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5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200" w:lineRule="exact"/>
        <w:rPr>
          <w:sz w:val="24"/>
          <w:szCs w:val="24"/>
          <w:color w:val="auto"/>
        </w:rPr>
      </w:pPr>
    </w:p>
    <w:p>
      <w:pPr>
        <w:spacing w:after="0" w:line="350"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63" w:lineRule="exact"/>
        <w:rPr>
          <w:sz w:val="24"/>
          <w:szCs w:val="24"/>
          <w:color w:val="auto"/>
        </w:rPr>
      </w:pPr>
    </w:p>
    <w:p>
      <w:pPr>
        <w:ind w:left="354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2929255</wp:posOffset>
            </wp:positionH>
            <wp:positionV relativeFrom="paragraph">
              <wp:posOffset>186690</wp:posOffset>
            </wp:positionV>
            <wp:extent cx="1397635" cy="4889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97635" cy="48895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5" w:lineRule="exact"/>
        <w:rPr>
          <w:sz w:val="24"/>
          <w:szCs w:val="24"/>
          <w:color w:val="auto"/>
        </w:rPr>
      </w:pPr>
    </w:p>
    <w:p>
      <w:pPr>
        <w:ind w:left="6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jc w:val="center"/>
        <w:ind w:right="860"/>
        <w:spacing w:after="0"/>
        <w:rPr>
          <w:sz w:val="20"/>
          <w:szCs w:val="20"/>
          <w:color w:val="auto"/>
        </w:rPr>
      </w:pPr>
      <w:r>
        <w:rPr>
          <w:rFonts w:ascii="Arial" w:cs="Arial" w:eastAsia="Arial" w:hAnsi="Arial"/>
          <w:sz w:val="18"/>
          <w:szCs w:val="18"/>
          <w:color w:val="auto"/>
        </w:rPr>
        <w:t>Registrant; State of</w:t>
      </w:r>
    </w:p>
    <w:p>
      <w:pPr>
        <w:spacing w:after="0" w:line="15" w:lineRule="exact"/>
        <w:rPr>
          <w:sz w:val="24"/>
          <w:szCs w:val="24"/>
          <w:color w:val="auto"/>
        </w:rPr>
      </w:pPr>
    </w:p>
    <w:p>
      <w:pPr>
        <w:jc w:val="center"/>
        <w:ind w:right="860"/>
        <w:spacing w:after="0"/>
        <w:rPr>
          <w:sz w:val="20"/>
          <w:szCs w:val="20"/>
          <w:color w:val="auto"/>
        </w:rPr>
      </w:pPr>
      <w:r>
        <w:rPr>
          <w:rFonts w:ascii="Arial" w:cs="Arial" w:eastAsia="Arial" w:hAnsi="Arial"/>
          <w:sz w:val="15"/>
          <w:szCs w:val="15"/>
          <w:color w:val="auto"/>
        </w:rPr>
        <w:t>Incorporation; Address and Telephone</w:t>
      </w:r>
    </w:p>
    <w:p>
      <w:pPr>
        <w:spacing w:after="0" w:line="44" w:lineRule="exact"/>
        <w:rPr>
          <w:sz w:val="24"/>
          <w:szCs w:val="24"/>
          <w:color w:val="auto"/>
        </w:rPr>
      </w:pPr>
    </w:p>
    <w:p>
      <w:pPr>
        <w:jc w:val="center"/>
        <w:ind w:right="860"/>
        <w:spacing w:after="0"/>
        <w:rPr>
          <w:sz w:val="20"/>
          <w:szCs w:val="20"/>
          <w:color w:val="auto"/>
        </w:rPr>
      </w:pPr>
      <w:r>
        <w:rPr>
          <w:rFonts w:ascii="Arial" w:cs="Arial" w:eastAsia="Arial" w:hAnsi="Arial"/>
          <w:sz w:val="18"/>
          <w:szCs w:val="18"/>
          <w:color w:val="auto"/>
        </w:rPr>
        <w:t>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5" w:lineRule="exact"/>
        <w:rPr>
          <w:sz w:val="24"/>
          <w:szCs w:val="24"/>
          <w:color w:val="auto"/>
        </w:rPr>
      </w:pPr>
    </w:p>
    <w:p>
      <w:pPr>
        <w:spacing w:after="0"/>
        <w:rPr>
          <w:sz w:val="20"/>
          <w:szCs w:val="20"/>
          <w:color w:val="auto"/>
        </w:rPr>
      </w:pPr>
      <w:r>
        <w:rPr>
          <w:rFonts w:ascii="Arial" w:cs="Arial" w:eastAsia="Arial" w:hAnsi="Arial"/>
          <w:sz w:val="16"/>
          <w:szCs w:val="16"/>
          <w:color w:val="auto"/>
        </w:rPr>
        <w:t>I.R.S. Employer Identification No.</w:t>
      </w:r>
    </w:p>
    <w:p>
      <w:pPr>
        <w:spacing w:after="0" w:line="38" w:lineRule="exact"/>
        <w:rPr>
          <w:sz w:val="24"/>
          <w:szCs w:val="24"/>
          <w:color w:val="auto"/>
        </w:rPr>
      </w:pPr>
    </w:p>
    <w:p>
      <w:pPr>
        <w:sectPr>
          <w:pgSz w:w="11900" w:h="16838" w:orient="portrait"/>
          <w:cols w:equalWidth="0" w:num="3">
            <w:col w:w="3660" w:space="720"/>
            <w:col w:w="3560" w:space="720"/>
            <w:col w:w="2760"/>
          </w:cols>
          <w:pgMar w:left="240" w:top="230" w:right="239" w:bottom="1440" w:gutter="0" w:footer="0" w:header="0"/>
          <w:type w:val="continuous"/>
        </w:sectPr>
      </w:pPr>
    </w:p>
    <w:tbl>
      <w:tblPr>
        <w:tblLayout w:type="fixed"/>
        <w:tblInd w:w="0" w:type="dxa"/>
        <w:tblCellMar>
          <w:top w:w="0" w:type="dxa"/>
          <w:left w:w="0" w:type="dxa"/>
          <w:bottom w:w="0" w:type="dxa"/>
          <w:right w:w="0" w:type="dxa"/>
        </w:tblCellMar>
      </w:tblPr>
      <w:tr>
        <w:trPr>
          <w:trHeight w:val="158"/>
        </w:trPr>
        <w:tc>
          <w:tcPr>
            <w:tcW w:w="2680" w:type="dxa"/>
            <w:vAlign w:val="bottom"/>
            <w:tcBorders>
              <w:top w:val="single" w:sz="8" w:color="auto"/>
            </w:tcBorders>
            <w:vMerge w:val="restart"/>
          </w:tcPr>
          <w:p>
            <w:pPr>
              <w:jc w:val="right"/>
              <w:ind w:right="652"/>
              <w:spacing w:after="0"/>
              <w:rPr>
                <w:sz w:val="20"/>
                <w:szCs w:val="20"/>
                <w:color w:val="auto"/>
              </w:rPr>
            </w:pPr>
            <w:r>
              <w:rPr>
                <w:rFonts w:ascii="Arial" w:cs="Arial" w:eastAsia="Arial" w:hAnsi="Arial"/>
                <w:sz w:val="18"/>
                <w:szCs w:val="18"/>
                <w:b w:val="1"/>
                <w:bCs w:val="1"/>
                <w:color w:val="auto"/>
              </w:rPr>
              <w:t>001-32871</w:t>
            </w:r>
          </w:p>
        </w:tc>
        <w:tc>
          <w:tcPr>
            <w:tcW w:w="6060" w:type="dxa"/>
            <w:vAlign w:val="bottom"/>
            <w:tcBorders>
              <w:top w:val="single" w:sz="8" w:color="auto"/>
            </w:tcBorders>
          </w:tcPr>
          <w:p>
            <w:pPr>
              <w:jc w:val="center"/>
              <w:spacing w:after="0" w:line="157" w:lineRule="exact"/>
              <w:rPr>
                <w:sz w:val="20"/>
                <w:szCs w:val="20"/>
                <w:color w:val="auto"/>
              </w:rPr>
            </w:pPr>
            <w:r>
              <w:rPr>
                <w:rFonts w:ascii="Arial" w:cs="Arial" w:eastAsia="Arial" w:hAnsi="Arial"/>
                <w:sz w:val="18"/>
                <w:szCs w:val="18"/>
                <w:b w:val="1"/>
                <w:bCs w:val="1"/>
                <w:color w:val="auto"/>
              </w:rPr>
              <w:t>COMCAST CORPORATION</w:t>
            </w:r>
          </w:p>
        </w:tc>
        <w:tc>
          <w:tcPr>
            <w:tcW w:w="2680" w:type="dxa"/>
            <w:vAlign w:val="bottom"/>
            <w:tcBorders>
              <w:top w:val="single" w:sz="8" w:color="auto"/>
            </w:tcBorders>
            <w:vMerge w:val="restart"/>
          </w:tcPr>
          <w:p>
            <w:pPr>
              <w:jc w:val="right"/>
              <w:ind w:right="1032"/>
              <w:spacing w:after="0"/>
              <w:rPr>
                <w:sz w:val="20"/>
                <w:szCs w:val="20"/>
                <w:color w:val="auto"/>
              </w:rPr>
            </w:pPr>
            <w:r>
              <w:rPr>
                <w:rFonts w:ascii="Arial" w:cs="Arial" w:eastAsia="Arial" w:hAnsi="Arial"/>
                <w:sz w:val="18"/>
                <w:szCs w:val="18"/>
                <w:b w:val="1"/>
                <w:bCs w:val="1"/>
                <w:color w:val="auto"/>
              </w:rPr>
              <w:t>27-0000798</w:t>
            </w:r>
          </w:p>
        </w:tc>
        <w:tc>
          <w:tcPr>
            <w:tcW w:w="0" w:type="dxa"/>
            <w:vAlign w:val="bottom"/>
          </w:tcPr>
          <w:p>
            <w:pPr>
              <w:spacing w:after="0"/>
              <w:rPr>
                <w:sz w:val="1"/>
                <w:szCs w:val="1"/>
                <w:color w:val="auto"/>
              </w:rPr>
            </w:pPr>
          </w:p>
        </w:tc>
      </w:tr>
      <w:tr>
        <w:trPr>
          <w:trHeight w:val="71"/>
        </w:trPr>
        <w:tc>
          <w:tcPr>
            <w:tcW w:w="2680" w:type="dxa"/>
            <w:vAlign w:val="bottom"/>
            <w:vMerge w:val="continue"/>
          </w:tcPr>
          <w:p>
            <w:pPr>
              <w:spacing w:after="0"/>
              <w:rPr>
                <w:sz w:val="6"/>
                <w:szCs w:val="6"/>
                <w:color w:val="auto"/>
              </w:rPr>
            </w:pPr>
          </w:p>
        </w:tc>
        <w:tc>
          <w:tcPr>
            <w:tcW w:w="6060" w:type="dxa"/>
            <w:vAlign w:val="bottom"/>
          </w:tcPr>
          <w:p>
            <w:pPr>
              <w:spacing w:after="0"/>
              <w:rPr>
                <w:sz w:val="6"/>
                <w:szCs w:val="6"/>
                <w:color w:val="auto"/>
              </w:rPr>
            </w:pPr>
          </w:p>
        </w:tc>
        <w:tc>
          <w:tcPr>
            <w:tcW w:w="2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33"/>
        </w:trPr>
        <w:tc>
          <w:tcPr>
            <w:tcW w:w="2680" w:type="dxa"/>
            <w:vAlign w:val="bottom"/>
          </w:tcPr>
          <w:p>
            <w:pPr>
              <w:spacing w:after="0"/>
              <w:rPr>
                <w:sz w:val="24"/>
                <w:szCs w:val="24"/>
                <w:color w:val="auto"/>
              </w:rPr>
            </w:pPr>
          </w:p>
        </w:tc>
        <w:tc>
          <w:tcPr>
            <w:tcW w:w="6060" w:type="dxa"/>
            <w:vAlign w:val="bottom"/>
          </w:tcPr>
          <w:p>
            <w:pPr>
              <w:jc w:val="center"/>
              <w:spacing w:after="0"/>
              <w:rPr>
                <w:sz w:val="20"/>
                <w:szCs w:val="20"/>
                <w:color w:val="auto"/>
              </w:rPr>
            </w:pPr>
            <w:r>
              <w:rPr>
                <w:rFonts w:ascii="Arial" w:cs="Arial" w:eastAsia="Arial" w:hAnsi="Arial"/>
                <w:sz w:val="18"/>
                <w:szCs w:val="18"/>
                <w:b w:val="1"/>
                <w:bCs w:val="1"/>
                <w:color w:val="auto"/>
                <w:w w:val="96"/>
              </w:rPr>
              <w:t>PENNSYLVANIA</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6060" w:type="dxa"/>
            <w:vAlign w:val="bottom"/>
          </w:tcPr>
          <w:p>
            <w:pPr>
              <w:jc w:val="center"/>
              <w:spacing w:after="0"/>
              <w:rPr>
                <w:sz w:val="20"/>
                <w:szCs w:val="20"/>
                <w:color w:val="auto"/>
              </w:rPr>
            </w:pPr>
            <w:r>
              <w:rPr>
                <w:rFonts w:ascii="Arial" w:cs="Arial" w:eastAsia="Arial" w:hAnsi="Arial"/>
                <w:sz w:val="18"/>
                <w:szCs w:val="18"/>
                <w:b w:val="1"/>
                <w:bCs w:val="1"/>
                <w:color w:val="auto"/>
                <w:w w:val="88"/>
              </w:rPr>
              <w:t>One Comcast Center</w:t>
            </w:r>
          </w:p>
        </w:tc>
        <w:tc>
          <w:tcPr>
            <w:tcW w:w="2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6060" w:type="dxa"/>
            <w:vAlign w:val="bottom"/>
          </w:tcPr>
          <w:p>
            <w:pPr>
              <w:jc w:val="center"/>
              <w:spacing w:after="0"/>
              <w:rPr>
                <w:sz w:val="20"/>
                <w:szCs w:val="20"/>
                <w:color w:val="auto"/>
              </w:rPr>
            </w:pPr>
            <w:r>
              <w:rPr>
                <w:rFonts w:ascii="Arial" w:cs="Arial" w:eastAsia="Arial" w:hAnsi="Arial"/>
                <w:sz w:val="18"/>
                <w:szCs w:val="18"/>
                <w:b w:val="1"/>
                <w:bCs w:val="1"/>
                <w:color w:val="auto"/>
                <w:w w:val="88"/>
              </w:rPr>
              <w:t>Philadelphia, PA 19103-2838</w:t>
            </w:r>
          </w:p>
        </w:tc>
        <w:tc>
          <w:tcPr>
            <w:tcW w:w="2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680" w:type="dxa"/>
            <w:vAlign w:val="bottom"/>
          </w:tcPr>
          <w:p>
            <w:pPr>
              <w:spacing w:after="0"/>
              <w:rPr>
                <w:sz w:val="19"/>
                <w:szCs w:val="19"/>
                <w:color w:val="auto"/>
              </w:rPr>
            </w:pPr>
          </w:p>
        </w:tc>
        <w:tc>
          <w:tcPr>
            <w:tcW w:w="6060" w:type="dxa"/>
            <w:vAlign w:val="bottom"/>
          </w:tcPr>
          <w:p>
            <w:pPr>
              <w:jc w:val="center"/>
              <w:spacing w:after="0"/>
              <w:rPr>
                <w:sz w:val="20"/>
                <w:szCs w:val="20"/>
                <w:color w:val="auto"/>
              </w:rPr>
            </w:pPr>
            <w:r>
              <w:rPr>
                <w:rFonts w:ascii="Arial" w:cs="Arial" w:eastAsia="Arial" w:hAnsi="Arial"/>
                <w:sz w:val="18"/>
                <w:szCs w:val="18"/>
                <w:b w:val="1"/>
                <w:bCs w:val="1"/>
                <w:color w:val="auto"/>
                <w:w w:val="89"/>
              </w:rPr>
              <w:t>(215) 286-1700</w:t>
            </w:r>
          </w:p>
        </w:tc>
        <w:tc>
          <w:tcPr>
            <w:tcW w:w="2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6"/>
        </w:trPr>
        <w:tc>
          <w:tcPr>
            <w:tcW w:w="2680" w:type="dxa"/>
            <w:vAlign w:val="bottom"/>
            <w:vMerge w:val="restart"/>
          </w:tcPr>
          <w:p>
            <w:pPr>
              <w:jc w:val="right"/>
              <w:ind w:right="652"/>
              <w:spacing w:after="0"/>
              <w:rPr>
                <w:sz w:val="20"/>
                <w:szCs w:val="20"/>
                <w:color w:val="auto"/>
              </w:rPr>
            </w:pPr>
            <w:r>
              <w:rPr>
                <w:rFonts w:ascii="Arial" w:cs="Arial" w:eastAsia="Arial" w:hAnsi="Arial"/>
                <w:sz w:val="18"/>
                <w:szCs w:val="18"/>
                <w:b w:val="1"/>
                <w:bCs w:val="1"/>
                <w:color w:val="auto"/>
              </w:rPr>
              <w:t>001-36438</w:t>
            </w:r>
          </w:p>
        </w:tc>
        <w:tc>
          <w:tcPr>
            <w:tcW w:w="6060" w:type="dxa"/>
            <w:vAlign w:val="bottom"/>
          </w:tcPr>
          <w:p>
            <w:pPr>
              <w:jc w:val="center"/>
              <w:spacing w:after="0" w:line="286" w:lineRule="exact"/>
              <w:rPr>
                <w:sz w:val="20"/>
                <w:szCs w:val="20"/>
                <w:color w:val="auto"/>
              </w:rPr>
            </w:pPr>
            <w:r>
              <w:rPr>
                <w:rFonts w:ascii="Arial" w:cs="Arial" w:eastAsia="Arial" w:hAnsi="Arial"/>
                <w:sz w:val="32"/>
                <w:szCs w:val="32"/>
                <w:b w:val="1"/>
                <w:bCs w:val="1"/>
                <w:color w:val="auto"/>
              </w:rPr>
              <w:t>NBCUNIVERSAL MEDIA, LLC</w:t>
            </w:r>
          </w:p>
        </w:tc>
        <w:tc>
          <w:tcPr>
            <w:tcW w:w="2680" w:type="dxa"/>
            <w:vAlign w:val="bottom"/>
            <w:vMerge w:val="restart"/>
          </w:tcPr>
          <w:p>
            <w:pPr>
              <w:jc w:val="right"/>
              <w:ind w:right="1032"/>
              <w:spacing w:after="0"/>
              <w:rPr>
                <w:sz w:val="20"/>
                <w:szCs w:val="20"/>
                <w:color w:val="auto"/>
              </w:rPr>
            </w:pPr>
            <w:r>
              <w:rPr>
                <w:rFonts w:ascii="Arial" w:cs="Arial" w:eastAsia="Arial" w:hAnsi="Arial"/>
                <w:sz w:val="18"/>
                <w:szCs w:val="18"/>
                <w:b w:val="1"/>
                <w:bCs w:val="1"/>
                <w:color w:val="auto"/>
              </w:rPr>
              <w:t>14-1682529</w:t>
            </w:r>
          </w:p>
        </w:tc>
        <w:tc>
          <w:tcPr>
            <w:tcW w:w="0" w:type="dxa"/>
            <w:vAlign w:val="bottom"/>
          </w:tcPr>
          <w:p>
            <w:pPr>
              <w:spacing w:after="0"/>
              <w:rPr>
                <w:sz w:val="1"/>
                <w:szCs w:val="1"/>
                <w:color w:val="auto"/>
              </w:rPr>
            </w:pPr>
          </w:p>
        </w:tc>
      </w:tr>
      <w:tr>
        <w:trPr>
          <w:trHeight w:val="52"/>
        </w:trPr>
        <w:tc>
          <w:tcPr>
            <w:tcW w:w="2680" w:type="dxa"/>
            <w:vAlign w:val="bottom"/>
            <w:vMerge w:val="continue"/>
          </w:tcPr>
          <w:p>
            <w:pPr>
              <w:spacing w:after="0"/>
              <w:rPr>
                <w:sz w:val="4"/>
                <w:szCs w:val="4"/>
                <w:color w:val="auto"/>
              </w:rPr>
            </w:pPr>
          </w:p>
        </w:tc>
        <w:tc>
          <w:tcPr>
            <w:tcW w:w="6060" w:type="dxa"/>
            <w:vAlign w:val="bottom"/>
          </w:tcPr>
          <w:p>
            <w:pPr>
              <w:spacing w:after="0"/>
              <w:rPr>
                <w:sz w:val="4"/>
                <w:szCs w:val="4"/>
                <w:color w:val="auto"/>
              </w:rPr>
            </w:pPr>
          </w:p>
        </w:tc>
        <w:tc>
          <w:tcPr>
            <w:tcW w:w="26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3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DELAWARE</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30 Rockefeller Plaza</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New York, NY 10112-0015</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(212) 664-4444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109855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2" w:lineRule="exact"/>
        <w:rPr>
          <w:sz w:val="24"/>
          <w:szCs w:val="24"/>
          <w:color w:val="auto"/>
        </w:rPr>
      </w:pPr>
    </w:p>
    <w:p>
      <w:pPr>
        <w:jc w:val="both"/>
        <w:spacing w:after="0" w:line="258"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twelve months (or for such shorter period that the registrant was required to file such reports), and (2) has been subject to such filing requirements for the past 90 days.</w:t>
      </w:r>
    </w:p>
    <w:p>
      <w:pPr>
        <w:sectPr>
          <w:pgSz w:w="11900" w:h="16838" w:orient="portrait"/>
          <w:cols w:equalWidth="0" w:num="1">
            <w:col w:w="11420"/>
          </w:cols>
          <w:pgMar w:left="240" w:top="230" w:right="239" w:bottom="1440" w:gutter="0" w:footer="0" w:header="0"/>
          <w:type w:val="continuous"/>
        </w:sectPr>
      </w:pPr>
    </w:p>
    <w:p>
      <w:pPr>
        <w:spacing w:after="0" w:line="35" w:lineRule="exact"/>
        <w:rPr>
          <w:sz w:val="24"/>
          <w:szCs w:val="24"/>
          <w:color w:val="auto"/>
        </w:rPr>
      </w:pPr>
    </w:p>
    <w:p>
      <w:pPr>
        <w:ind w:left="3200"/>
        <w:spacing w:after="0"/>
        <w:rPr>
          <w:sz w:val="20"/>
          <w:szCs w:val="20"/>
          <w:color w:val="auto"/>
        </w:rPr>
      </w:pPr>
      <w:r>
        <w:rPr>
          <w:rFonts w:ascii="Arial" w:cs="Arial" w:eastAsia="Arial" w:hAnsi="Arial"/>
          <w:sz w:val="18"/>
          <w:szCs w:val="18"/>
          <w:color w:val="auto"/>
        </w:rPr>
        <w:t>Comcast Corporation</w:t>
      </w:r>
    </w:p>
    <w:p>
      <w:pPr>
        <w:spacing w:after="0" w:line="15" w:lineRule="exact"/>
        <w:rPr>
          <w:sz w:val="24"/>
          <w:szCs w:val="24"/>
          <w:color w:val="auto"/>
        </w:rPr>
      </w:pPr>
    </w:p>
    <w:p>
      <w:pPr>
        <w:ind w:left="3200"/>
        <w:spacing w:after="0"/>
        <w:rPr>
          <w:sz w:val="20"/>
          <w:szCs w:val="20"/>
          <w:color w:val="auto"/>
        </w:rPr>
      </w:pPr>
      <w:r>
        <w:rPr>
          <w:rFonts w:ascii="Arial" w:cs="Arial" w:eastAsia="Arial" w:hAnsi="Arial"/>
          <w:sz w:val="16"/>
          <w:szCs w:val="16"/>
          <w:color w:val="auto"/>
        </w:rPr>
        <w:t>NBCUniversal Media,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116205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89" w:lineRule="exact"/>
        <w:tabs>
          <w:tab w:leader="none" w:pos="5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56" w:lineRule="exact"/>
        <w:rPr>
          <w:sz w:val="24"/>
          <w:szCs w:val="24"/>
          <w:color w:val="auto"/>
        </w:rPr>
      </w:pPr>
    </w:p>
    <w:p>
      <w:pPr>
        <w:spacing w:after="0" w:line="207" w:lineRule="exact"/>
        <w:tabs>
          <w:tab w:leader="none" w:pos="5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6360" w:space="720"/>
            <w:col w:w="4340"/>
          </w:cols>
          <w:pgMar w:left="240" w:top="230" w:right="239" w:bottom="1440" w:gutter="0" w:footer="0" w:header="0"/>
          <w:type w:val="continuous"/>
        </w:sectPr>
      </w:pPr>
    </w:p>
    <w:p>
      <w:pPr>
        <w:spacing w:after="0" w:line="11" w:lineRule="exact"/>
        <w:rPr>
          <w:sz w:val="24"/>
          <w:szCs w:val="24"/>
          <w:color w:val="auto"/>
        </w:rPr>
      </w:pPr>
    </w:p>
    <w:p>
      <w:pPr>
        <w:jc w:val="both"/>
        <w:spacing w:after="0" w:line="258"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period that the registrant was required to submit and post such files).</w:t>
      </w:r>
    </w:p>
    <w:p>
      <w:pPr>
        <w:sectPr>
          <w:pgSz w:w="11900" w:h="16838" w:orient="portrait"/>
          <w:cols w:equalWidth="0" w:num="1">
            <w:col w:w="11420"/>
          </w:cols>
          <w:pgMar w:left="240" w:top="230" w:right="239" w:bottom="1440" w:gutter="0" w:footer="0" w:header="0"/>
          <w:type w:val="continuous"/>
        </w:sectPr>
      </w:pPr>
    </w:p>
    <w:p>
      <w:pPr>
        <w:spacing w:after="0" w:line="35" w:lineRule="exact"/>
        <w:rPr>
          <w:sz w:val="24"/>
          <w:szCs w:val="24"/>
          <w:color w:val="auto"/>
        </w:rPr>
      </w:pPr>
    </w:p>
    <w:p>
      <w:pPr>
        <w:ind w:left="3200"/>
        <w:spacing w:after="0"/>
        <w:rPr>
          <w:sz w:val="20"/>
          <w:szCs w:val="20"/>
          <w:color w:val="auto"/>
        </w:rPr>
      </w:pPr>
      <w:r>
        <w:rPr>
          <w:rFonts w:ascii="Arial" w:cs="Arial" w:eastAsia="Arial" w:hAnsi="Arial"/>
          <w:sz w:val="18"/>
          <w:szCs w:val="18"/>
          <w:color w:val="auto"/>
        </w:rPr>
        <w:t>Comcast Corporation</w:t>
      </w:r>
    </w:p>
    <w:p>
      <w:pPr>
        <w:spacing w:after="0" w:line="15" w:lineRule="exact"/>
        <w:rPr>
          <w:sz w:val="24"/>
          <w:szCs w:val="24"/>
          <w:color w:val="auto"/>
        </w:rPr>
      </w:pPr>
    </w:p>
    <w:p>
      <w:pPr>
        <w:ind w:left="3200"/>
        <w:spacing w:after="0"/>
        <w:rPr>
          <w:sz w:val="20"/>
          <w:szCs w:val="20"/>
          <w:color w:val="auto"/>
        </w:rPr>
      </w:pPr>
      <w:r>
        <w:rPr>
          <w:rFonts w:ascii="Arial" w:cs="Arial" w:eastAsia="Arial" w:hAnsi="Arial"/>
          <w:sz w:val="16"/>
          <w:szCs w:val="16"/>
          <w:color w:val="auto"/>
        </w:rPr>
        <w:t>NBCUniversal Media, LLC</w:t>
      </w:r>
    </w:p>
    <w:p>
      <w:pPr>
        <w:spacing w:after="0" w:line="20" w:lineRule="exact"/>
        <w:rPr>
          <w:sz w:val="24"/>
          <w:szCs w:val="24"/>
          <w:color w:val="auto"/>
        </w:rPr>
      </w:pPr>
      <w:r>
        <w:rPr>
          <w:sz w:val="24"/>
          <w:szCs w:val="24"/>
          <w:color w:val="auto"/>
        </w:rPr>
        <w:br w:type="column"/>
      </w:r>
    </w:p>
    <w:p>
      <w:pPr>
        <w:spacing w:after="0" w:line="189" w:lineRule="exact"/>
        <w:tabs>
          <w:tab w:leader="none" w:pos="5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56" w:lineRule="exact"/>
        <w:rPr>
          <w:sz w:val="24"/>
          <w:szCs w:val="24"/>
          <w:color w:val="auto"/>
        </w:rPr>
      </w:pPr>
    </w:p>
    <w:p>
      <w:pPr>
        <w:spacing w:after="0" w:line="207" w:lineRule="exact"/>
        <w:tabs>
          <w:tab w:leader="none" w:pos="5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49" w:lineRule="exact"/>
        <w:rPr>
          <w:sz w:val="24"/>
          <w:szCs w:val="24"/>
          <w:color w:val="auto"/>
        </w:rPr>
      </w:pPr>
    </w:p>
    <w:p>
      <w:pPr>
        <w:sectPr>
          <w:pgSz w:w="11900" w:h="16838" w:orient="portrait"/>
          <w:cols w:equalWidth="0" w:num="2">
            <w:col w:w="6360" w:space="720"/>
            <w:col w:w="4340"/>
          </w:cols>
          <w:pgMar w:left="240" w:top="230" w:right="239" w:bottom="1440" w:gutter="0" w:footer="0" w:header="0"/>
          <w:type w:val="continuous"/>
        </w:sectPr>
      </w:pPr>
    </w:p>
    <w:p>
      <w:pPr>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ectPr>
          <w:pgSz w:w="11900" w:h="16838" w:orient="portrait"/>
          <w:cols w:equalWidth="0" w:num="1">
            <w:col w:w="11420"/>
          </w:cols>
          <w:pgMar w:left="240" w:top="230" w:right="239" w:bottom="1440" w:gutter="0" w:footer="0" w:header="0"/>
          <w:type w:val="continuous"/>
        </w:sectPr>
      </w:pPr>
    </w:p>
    <w:p>
      <w:pPr>
        <w:spacing w:after="0" w:line="33" w:lineRule="exact"/>
        <w:rPr>
          <w:sz w:val="24"/>
          <w:szCs w:val="24"/>
          <w:color w:val="auto"/>
        </w:rPr>
      </w:pPr>
    </w:p>
    <w:p>
      <w:pPr>
        <w:ind w:right="280"/>
        <w:spacing w:after="0" w:line="317" w:lineRule="auto"/>
        <w:rPr>
          <w:sz w:val="20"/>
          <w:szCs w:val="20"/>
          <w:color w:val="auto"/>
        </w:rPr>
      </w:pPr>
      <w:r>
        <w:rPr>
          <w:rFonts w:ascii="Arial" w:cs="Arial" w:eastAsia="Arial" w:hAnsi="Arial"/>
          <w:sz w:val="16"/>
          <w:szCs w:val="16"/>
          <w:color w:val="auto"/>
        </w:rPr>
        <w:t>Comcast Corporation NBCUniversal Media, LLC</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line="338" w:lineRule="auto"/>
        <w:rPr>
          <w:sz w:val="20"/>
          <w:szCs w:val="20"/>
          <w:color w:val="auto"/>
        </w:rPr>
      </w:pPr>
      <w:r>
        <w:rPr>
          <w:rFonts w:ascii="Arial" w:cs="Arial" w:eastAsia="Arial" w:hAnsi="Arial"/>
          <w:sz w:val="15"/>
          <w:szCs w:val="15"/>
          <w:color w:val="auto"/>
        </w:rPr>
        <w:t>Large accelerated filer Large accelerated filer</w:t>
      </w:r>
    </w:p>
    <w:p>
      <w:pPr>
        <w:spacing w:after="0" w:line="20" w:lineRule="exact"/>
        <w:rPr>
          <w:sz w:val="24"/>
          <w:szCs w:val="24"/>
          <w:color w:val="auto"/>
        </w:rPr>
      </w:pPr>
      <w:r>
        <w:rPr>
          <w:sz w:val="24"/>
          <w:szCs w:val="24"/>
          <w:color w:val="auto"/>
        </w:rPr>
        <w:br w:type="column"/>
      </w:r>
    </w:p>
    <w:p>
      <w:pPr>
        <w:jc w:val="both"/>
        <w:spacing w:after="0" w:line="226"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w:t>
      </w:r>
    </w:p>
    <w:p>
      <w:pPr>
        <w:spacing w:after="0" w:line="20" w:lineRule="exact"/>
        <w:rPr>
          <w:sz w:val="24"/>
          <w:szCs w:val="24"/>
          <w:color w:val="auto"/>
        </w:rPr>
      </w:pPr>
      <w:r>
        <w:rPr>
          <w:sz w:val="24"/>
          <w:szCs w:val="24"/>
          <w:color w:val="auto"/>
        </w:rPr>
        <w:br w:type="column"/>
      </w:r>
    </w:p>
    <w:p>
      <w:pPr>
        <w:jc w:val="both"/>
        <w:spacing w:after="0" w:line="226"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Non-accelerated filer</w:t>
      </w:r>
    </w:p>
    <w:p>
      <w:pPr>
        <w:spacing w:after="0" w:line="20" w:lineRule="exact"/>
        <w:rPr>
          <w:sz w:val="24"/>
          <w:szCs w:val="24"/>
          <w:color w:val="auto"/>
        </w:rPr>
      </w:pPr>
      <w:r>
        <w:rPr>
          <w:sz w:val="24"/>
          <w:szCs w:val="24"/>
          <w:color w:val="auto"/>
        </w:rPr>
        <w:br w:type="column"/>
      </w:r>
    </w:p>
    <w:p>
      <w:pPr>
        <w:jc w:val="both"/>
        <w:spacing w:after="0" w:line="226"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Smaller reporting company </w:t>
      </w:r>
      <w:r>
        <w:rPr>
          <w:rFonts w:ascii="MS PGothic" w:cs="MS PGothic" w:eastAsia="MS PGothic" w:hAnsi="MS PGothic"/>
          <w:sz w:val="16"/>
          <w:szCs w:val="16"/>
          <w:color w:val="auto"/>
        </w:rPr>
        <w:t>☒</w:t>
      </w:r>
      <w:r>
        <w:rPr>
          <w:rFonts w:ascii="Arial" w:cs="Arial" w:eastAsia="Arial" w:hAnsi="Arial"/>
          <w:sz w:val="16"/>
          <w:szCs w:val="16"/>
          <w:color w:val="auto"/>
        </w:rPr>
        <w:t xml:space="preserve"> 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1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23" w:lineRule="exact"/>
        <w:rPr>
          <w:sz w:val="24"/>
          <w:szCs w:val="24"/>
          <w:color w:val="auto"/>
        </w:rPr>
      </w:pPr>
    </w:p>
    <w:p>
      <w:pPr>
        <w:sectPr>
          <w:pgSz w:w="11900" w:h="16838" w:orient="portrait"/>
          <w:cols w:equalWidth="0" w:num="6">
            <w:col w:w="2240" w:space="720"/>
            <w:col w:w="1580" w:space="300"/>
            <w:col w:w="1460" w:space="260"/>
            <w:col w:w="1760" w:space="320"/>
            <w:col w:w="2200" w:space="400"/>
            <w:col w:w="180"/>
          </w:cols>
          <w:pgMar w:left="240" w:top="230" w:right="239" w:bottom="1440" w:gutter="0" w:footer="0" w:header="0"/>
          <w:type w:val="continuous"/>
        </w:sectPr>
      </w:pPr>
    </w:p>
    <w:p>
      <w:pPr>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Act).</w:t>
      </w:r>
    </w:p>
    <w:p>
      <w:pPr>
        <w:sectPr>
          <w:pgSz w:w="11900" w:h="16838" w:orient="portrait"/>
          <w:cols w:equalWidth="0" w:num="1">
            <w:col w:w="11420"/>
          </w:cols>
          <w:pgMar w:left="240" w:top="230" w:right="239" w:bottom="1440" w:gutter="0" w:footer="0" w:header="0"/>
          <w:type w:val="continuous"/>
        </w:sectPr>
      </w:pPr>
    </w:p>
    <w:p>
      <w:pPr>
        <w:spacing w:after="0" w:line="98" w:lineRule="exact"/>
        <w:rPr>
          <w:sz w:val="24"/>
          <w:szCs w:val="24"/>
          <w:color w:val="auto"/>
        </w:rPr>
      </w:pPr>
    </w:p>
    <w:p>
      <w:pPr>
        <w:ind w:left="3200"/>
        <w:spacing w:after="0"/>
        <w:rPr>
          <w:sz w:val="20"/>
          <w:szCs w:val="20"/>
          <w:color w:val="auto"/>
        </w:rPr>
      </w:pPr>
      <w:r>
        <w:rPr>
          <w:rFonts w:ascii="Arial" w:cs="Arial" w:eastAsia="Arial" w:hAnsi="Arial"/>
          <w:sz w:val="18"/>
          <w:szCs w:val="18"/>
          <w:color w:val="auto"/>
        </w:rPr>
        <w:t>Comcast Corporation</w:t>
      </w:r>
    </w:p>
    <w:p>
      <w:pPr>
        <w:spacing w:after="0" w:line="15" w:lineRule="exact"/>
        <w:rPr>
          <w:sz w:val="24"/>
          <w:szCs w:val="24"/>
          <w:color w:val="auto"/>
        </w:rPr>
      </w:pPr>
    </w:p>
    <w:p>
      <w:pPr>
        <w:ind w:left="3200"/>
        <w:spacing w:after="0"/>
        <w:rPr>
          <w:sz w:val="20"/>
          <w:szCs w:val="20"/>
          <w:color w:val="auto"/>
        </w:rPr>
      </w:pPr>
      <w:r>
        <w:rPr>
          <w:rFonts w:ascii="Arial" w:cs="Arial" w:eastAsia="Arial" w:hAnsi="Arial"/>
          <w:sz w:val="16"/>
          <w:szCs w:val="16"/>
          <w:color w:val="auto"/>
        </w:rPr>
        <w:t>NBCUniversal Media, LLC</w:t>
      </w:r>
    </w:p>
    <w:p>
      <w:pPr>
        <w:spacing w:after="0" w:line="20" w:lineRule="exact"/>
        <w:rPr>
          <w:sz w:val="24"/>
          <w:szCs w:val="24"/>
          <w:color w:val="auto"/>
        </w:rPr>
      </w:pPr>
      <w:r>
        <w:rPr>
          <w:sz w:val="24"/>
          <w:szCs w:val="24"/>
          <w:color w:val="auto"/>
        </w:rPr>
        <w:br w:type="column"/>
      </w:r>
    </w:p>
    <w:p>
      <w:pPr>
        <w:spacing w:after="0" w:line="78" w:lineRule="exact"/>
        <w:rPr>
          <w:sz w:val="24"/>
          <w:szCs w:val="24"/>
          <w:color w:val="auto"/>
        </w:rPr>
      </w:pPr>
    </w:p>
    <w:p>
      <w:pPr>
        <w:spacing w:after="0"/>
        <w:tabs>
          <w:tab w:leader="none" w:pos="58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No</w:t>
      </w:r>
    </w:p>
    <w:p>
      <w:pPr>
        <w:spacing w:after="0" w:line="15" w:lineRule="exact"/>
        <w:rPr>
          <w:sz w:val="24"/>
          <w:szCs w:val="24"/>
          <w:color w:val="auto"/>
        </w:rPr>
      </w:pPr>
    </w:p>
    <w:p>
      <w:pPr>
        <w:spacing w:after="0" w:line="207" w:lineRule="exact"/>
        <w:tabs>
          <w:tab w:leader="none" w:pos="5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57" w:lineRule="exact"/>
        <w:rPr>
          <w:sz w:val="24"/>
          <w:szCs w:val="24"/>
          <w:color w:val="auto"/>
        </w:rPr>
      </w:pPr>
    </w:p>
    <w:p>
      <w:pPr>
        <w:sectPr>
          <w:pgSz w:w="11900" w:h="16838" w:orient="portrait"/>
          <w:cols w:equalWidth="0" w:num="2">
            <w:col w:w="6360" w:space="720"/>
            <w:col w:w="4340"/>
          </w:cols>
          <w:pgMar w:left="240" w:top="230" w:right="239" w:bottom="1440" w:gutter="0" w:footer="0" w:header="0"/>
          <w:type w:val="continuous"/>
        </w:sectPr>
      </w:pPr>
    </w:p>
    <w:p>
      <w:pPr>
        <w:spacing w:after="0"/>
        <w:rPr>
          <w:sz w:val="20"/>
          <w:szCs w:val="20"/>
          <w:color w:val="auto"/>
        </w:rPr>
      </w:pPr>
      <w:r>
        <w:rPr>
          <w:rFonts w:ascii="Arial" w:cs="Arial" w:eastAsia="Arial" w:hAnsi="Arial"/>
          <w:sz w:val="18"/>
          <w:szCs w:val="18"/>
          <w:color w:val="auto"/>
        </w:rPr>
        <w:t>Indicate the number of shares outstanding of each of the registrant’s classes of stock, as of the latest practical date:</w:t>
      </w:r>
    </w:p>
    <w:p>
      <w:pPr>
        <w:spacing w:after="0" w:line="63"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As of September 30, 2015, there were 2,100,458,460 shares of Comcast Corporation Class A common stock, 347,326,688 shares of Comcast Corporation Class A Special common stock and 9,444,375 shares of Comcast Corporation Class B common stock outstanding.</w:t>
      </w:r>
    </w:p>
    <w:p>
      <w:pPr>
        <w:spacing w:after="0" w:line="24" w:lineRule="exact"/>
        <w:rPr>
          <w:sz w:val="24"/>
          <w:szCs w:val="24"/>
          <w:color w:val="auto"/>
        </w:rPr>
      </w:pPr>
    </w:p>
    <w:p>
      <w:pPr>
        <w:spacing w:after="0"/>
        <w:rPr>
          <w:sz w:val="20"/>
          <w:szCs w:val="20"/>
          <w:color w:val="auto"/>
        </w:rPr>
      </w:pPr>
      <w:r>
        <w:rPr>
          <w:rFonts w:ascii="Arial" w:cs="Arial" w:eastAsia="Arial" w:hAnsi="Arial"/>
          <w:sz w:val="18"/>
          <w:szCs w:val="18"/>
          <w:color w:val="auto"/>
        </w:rPr>
        <w:t>Not applicable for NBCUniversal Media, LLC.</w:t>
      </w:r>
    </w:p>
    <w:p>
      <w:pPr>
        <w:spacing w:after="0" w:line="57" w:lineRule="exact"/>
        <w:rPr>
          <w:sz w:val="24"/>
          <w:szCs w:val="24"/>
          <w:color w:val="auto"/>
        </w:rPr>
      </w:pPr>
    </w:p>
    <w:p>
      <w:pPr>
        <w:spacing w:after="0" w:line="275" w:lineRule="auto"/>
        <w:rPr>
          <w:sz w:val="20"/>
          <w:szCs w:val="20"/>
          <w:color w:val="auto"/>
        </w:rPr>
      </w:pPr>
      <w:r>
        <w:rPr>
          <w:rFonts w:ascii="Arial" w:cs="Arial" w:eastAsia="Arial" w:hAnsi="Arial"/>
          <w:sz w:val="18"/>
          <w:szCs w:val="18"/>
          <w:b w:val="1"/>
          <w:bCs w:val="1"/>
          <w:color w:val="auto"/>
        </w:rPr>
        <w:t>NBCUniversal Media, LLC meets the conditions set forth in General Instruction H(1)(a) and (b) of Form 10-Q and is therefore filing this form with the reduced disclosure format.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50800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tbl>
      <w:tblPr>
        <w:tblLayout w:type="fixed"/>
        <w:tblInd w:w="0" w:type="dxa"/>
        <w:tblCellMar>
          <w:top w:w="0" w:type="dxa"/>
          <w:left w:w="0" w:type="dxa"/>
          <w:bottom w:w="0" w:type="dxa"/>
          <w:right w:w="0" w:type="dxa"/>
        </w:tblCellMar>
      </w:tblPr>
      <w:tr>
        <w:trPr>
          <w:trHeight w:val="152"/>
        </w:trPr>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500" w:type="dxa"/>
            <w:vAlign w:val="bottom"/>
          </w:tcPr>
          <w:p>
            <w:pPr>
              <w:jc w:val="right"/>
              <w:ind w:right="92"/>
              <w:spacing w:after="0" w:line="152" w:lineRule="exact"/>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Number</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900" w:type="dxa"/>
            <w:vAlign w:val="bottom"/>
            <w:gridSpan w:val="20"/>
          </w:tcPr>
          <w:p>
            <w:pPr>
              <w:spacing w:after="0" w:line="129" w:lineRule="exact"/>
              <w:rPr>
                <w:rFonts w:ascii="Arial" w:cs="Arial" w:eastAsia="Arial" w:hAnsi="Arial"/>
                <w:sz w:val="14"/>
                <w:szCs w:val="14"/>
                <w:b w:val="1"/>
                <w:bCs w:val="1"/>
                <w:color w:val="0000EE"/>
              </w:rPr>
            </w:pPr>
            <w:hyperlink w:anchor="page3">
              <w:r>
                <w:rPr>
                  <w:rFonts w:ascii="Arial" w:cs="Arial" w:eastAsia="Arial" w:hAnsi="Arial"/>
                  <w:sz w:val="14"/>
                  <w:szCs w:val="14"/>
                  <w:b w:val="1"/>
                  <w:bCs w:val="1"/>
                  <w:color w:val="0000EE"/>
                </w:rPr>
                <w:t>PART I. FINANCIAL INFORMATION</w:t>
              </w:r>
            </w:hyperlink>
          </w:p>
        </w:tc>
        <w:tc>
          <w:tcPr>
            <w:tcW w:w="150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80" w:type="dxa"/>
            <w:vAlign w:val="bottom"/>
            <w:tcBorders>
              <w:top w:val="single" w:sz="8" w:color="0000EE"/>
            </w:tcBorders>
            <w:gridSpan w:val="2"/>
          </w:tcPr>
          <w:p>
            <w:pPr>
              <w:ind w:left="200"/>
              <w:spacing w:after="0" w:line="129" w:lineRule="exact"/>
              <w:rPr>
                <w:sz w:val="20"/>
                <w:szCs w:val="20"/>
                <w:color w:val="auto"/>
              </w:rPr>
            </w:pPr>
            <w:r>
              <w:rPr>
                <w:rFonts w:ascii="Arial" w:cs="Arial" w:eastAsia="Arial" w:hAnsi="Arial"/>
                <w:sz w:val="14"/>
                <w:szCs w:val="14"/>
                <w:b w:val="1"/>
                <w:bCs w:val="1"/>
                <w:color w:val="auto"/>
              </w:rPr>
              <w:t>Item 1.</w:t>
            </w:r>
          </w:p>
        </w:tc>
        <w:tc>
          <w:tcPr>
            <w:tcW w:w="1200" w:type="dxa"/>
            <w:vAlign w:val="bottom"/>
            <w:tcBorders>
              <w:top w:val="single" w:sz="8" w:color="0000EE"/>
            </w:tcBorders>
            <w:gridSpan w:val="6"/>
          </w:tcPr>
          <w:p>
            <w:pPr>
              <w:spacing w:after="0" w:line="129" w:lineRule="exact"/>
              <w:rPr>
                <w:rFonts w:ascii="Arial" w:cs="Arial" w:eastAsia="Arial" w:hAnsi="Arial"/>
                <w:sz w:val="14"/>
                <w:szCs w:val="14"/>
                <w:color w:val="0000EE"/>
                <w:w w:val="89"/>
              </w:rPr>
            </w:pPr>
            <w:hyperlink w:anchor="page3">
              <w:r>
                <w:rPr>
                  <w:rFonts w:ascii="Arial" w:cs="Arial" w:eastAsia="Arial" w:hAnsi="Arial"/>
                  <w:sz w:val="14"/>
                  <w:szCs w:val="14"/>
                  <w:color w:val="0000EE"/>
                  <w:w w:val="89"/>
                </w:rPr>
                <w:t>Comcast Corporation</w:t>
              </w:r>
            </w:hyperlink>
          </w:p>
        </w:tc>
        <w:tc>
          <w:tcPr>
            <w:tcW w:w="7620" w:type="dxa"/>
            <w:vAlign w:val="bottom"/>
            <w:gridSpan w:val="12"/>
          </w:tcPr>
          <w:p>
            <w:pPr>
              <w:spacing w:after="0" w:line="129" w:lineRule="exact"/>
              <w:rPr>
                <w:rFonts w:ascii="Arial" w:cs="Arial" w:eastAsia="Arial" w:hAnsi="Arial"/>
                <w:sz w:val="14"/>
                <w:szCs w:val="14"/>
                <w:color w:val="0000EE"/>
              </w:rPr>
            </w:pPr>
            <w:hyperlink w:anchor="page3">
              <w:r>
                <w:rPr>
                  <w:rFonts w:ascii="Arial" w:cs="Arial" w:eastAsia="Arial" w:hAnsi="Arial"/>
                  <w:sz w:val="14"/>
                  <w:szCs w:val="14"/>
                  <w:color w:val="0000EE"/>
                </w:rPr>
                <w:t>Financial Statements</w:t>
              </w:r>
            </w:hyperlink>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320" w:type="dxa"/>
            <w:vAlign w:val="bottom"/>
            <w:tcBorders>
              <w:top w:val="single" w:sz="8" w:color="0000EE"/>
              <w:bottom w:val="single" w:sz="8" w:color="0000EE"/>
            </w:tcBorders>
            <w:gridSpan w:val="9"/>
          </w:tcPr>
          <w:p>
            <w:pPr>
              <w:spacing w:after="0" w:line="129" w:lineRule="exact"/>
              <w:rPr>
                <w:rFonts w:ascii="Arial" w:cs="Arial" w:eastAsia="Arial" w:hAnsi="Arial"/>
                <w:sz w:val="14"/>
                <w:szCs w:val="14"/>
                <w:color w:val="0000EE"/>
                <w:w w:val="84"/>
              </w:rPr>
            </w:pPr>
            <w:hyperlink w:anchor="page3">
              <w:r>
                <w:rPr>
                  <w:rFonts w:ascii="Arial" w:cs="Arial" w:eastAsia="Arial" w:hAnsi="Arial"/>
                  <w:sz w:val="14"/>
                  <w:szCs w:val="14"/>
                  <w:color w:val="0000EE"/>
                  <w:w w:val="84"/>
                </w:rPr>
                <w:t>Condensed Consolidated Balance Sheet as</w:t>
              </w:r>
            </w:hyperlink>
          </w:p>
        </w:tc>
        <w:tc>
          <w:tcPr>
            <w:tcW w:w="3260" w:type="dxa"/>
            <w:vAlign w:val="bottom"/>
            <w:tcBorders>
              <w:bottom w:val="single" w:sz="8" w:color="0000EE"/>
            </w:tcBorders>
            <w:gridSpan w:val="5"/>
          </w:tcPr>
          <w:p>
            <w:pPr>
              <w:ind w:left="20"/>
              <w:spacing w:after="0" w:line="129" w:lineRule="exact"/>
              <w:rPr>
                <w:rFonts w:ascii="Arial" w:cs="Arial" w:eastAsia="Arial" w:hAnsi="Arial"/>
                <w:sz w:val="14"/>
                <w:szCs w:val="14"/>
                <w:color w:val="0000EE"/>
                <w:w w:val="86"/>
              </w:rPr>
            </w:pPr>
            <w:hyperlink w:anchor="page3">
              <w:r>
                <w:rPr>
                  <w:rFonts w:ascii="Arial" w:cs="Arial" w:eastAsia="Arial" w:hAnsi="Arial"/>
                  <w:sz w:val="14"/>
                  <w:szCs w:val="14"/>
                  <w:color w:val="0000EE"/>
                  <w:w w:val="86"/>
                </w:rPr>
                <w:t>of September 30, 2015 and December 31, 2014 (Unaudited)</w:t>
              </w:r>
            </w:hyperlink>
          </w:p>
        </w:tc>
        <w:tc>
          <w:tcPr>
            <w:tcW w:w="3240" w:type="dxa"/>
            <w:vAlign w:val="bottom"/>
            <w:gridSpan w:val="4"/>
          </w:tcPr>
          <w:p>
            <w:pPr>
              <w:spacing w:after="0"/>
              <w:rPr>
                <w:sz w:val="11"/>
                <w:szCs w:val="11"/>
                <w:color w:val="auto"/>
              </w:rPr>
            </w:pPr>
          </w:p>
        </w:tc>
        <w:tc>
          <w:tcPr>
            <w:tcW w:w="1500" w:type="dxa"/>
            <w:vAlign w:val="bottom"/>
          </w:tcPr>
          <w:p>
            <w:pPr>
              <w:jc w:val="right"/>
              <w:spacing w:after="0" w:line="12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940" w:type="dxa"/>
            <w:vAlign w:val="bottom"/>
            <w:tcBorders>
              <w:bottom w:val="single" w:sz="8" w:color="0000EE"/>
            </w:tcBorders>
            <w:gridSpan w:val="16"/>
          </w:tcPr>
          <w:p>
            <w:pPr>
              <w:spacing w:after="0" w:line="129" w:lineRule="exact"/>
              <w:rPr>
                <w:rFonts w:ascii="Arial" w:cs="Arial" w:eastAsia="Arial" w:hAnsi="Arial"/>
                <w:sz w:val="14"/>
                <w:szCs w:val="14"/>
                <w:color w:val="0000EE"/>
                <w:w w:val="86"/>
              </w:rPr>
            </w:pPr>
            <w:hyperlink w:anchor="page4">
              <w:r>
                <w:rPr>
                  <w:rFonts w:ascii="Arial" w:cs="Arial" w:eastAsia="Arial" w:hAnsi="Arial"/>
                  <w:sz w:val="14"/>
                  <w:szCs w:val="14"/>
                  <w:color w:val="0000EE"/>
                  <w:w w:val="86"/>
                </w:rPr>
                <w:t>Condensed Consolidated Statement of Income for the Three and Nine Months Ended September 30, 2015 and 2014 (Unaudited)</w:t>
              </w:r>
            </w:hyperlink>
          </w:p>
        </w:tc>
        <w:tc>
          <w:tcPr>
            <w:tcW w:w="1880" w:type="dxa"/>
            <w:vAlign w:val="bottom"/>
            <w:gridSpan w:val="2"/>
          </w:tcPr>
          <w:p>
            <w:pPr>
              <w:spacing w:after="0"/>
              <w:rPr>
                <w:sz w:val="11"/>
                <w:szCs w:val="11"/>
                <w:color w:val="auto"/>
              </w:rPr>
            </w:pPr>
          </w:p>
        </w:tc>
        <w:tc>
          <w:tcPr>
            <w:tcW w:w="1500" w:type="dxa"/>
            <w:vAlign w:val="bottom"/>
          </w:tcPr>
          <w:p>
            <w:pPr>
              <w:jc w:val="right"/>
              <w:spacing w:after="0" w:line="12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20" w:type="dxa"/>
            <w:vAlign w:val="bottom"/>
            <w:gridSpan w:val="18"/>
          </w:tcPr>
          <w:p>
            <w:pPr>
              <w:spacing w:after="0" w:line="129" w:lineRule="exact"/>
              <w:rPr>
                <w:rFonts w:ascii="Arial" w:cs="Arial" w:eastAsia="Arial" w:hAnsi="Arial"/>
                <w:sz w:val="14"/>
                <w:szCs w:val="14"/>
                <w:color w:val="0000EE"/>
                <w:w w:val="97"/>
              </w:rPr>
            </w:pPr>
            <w:hyperlink w:anchor="page5">
              <w:r>
                <w:rPr>
                  <w:rFonts w:ascii="Arial" w:cs="Arial" w:eastAsia="Arial" w:hAnsi="Arial"/>
                  <w:sz w:val="14"/>
                  <w:szCs w:val="14"/>
                  <w:color w:val="0000EE"/>
                  <w:w w:val="97"/>
                </w:rPr>
                <w:t>Condensed Consolidated Statement of Comprehensive Income for the Three and Nine Months Ended September 30, 2015 and 2014 (Unaudited)</w:t>
              </w:r>
            </w:hyperlink>
          </w:p>
        </w:tc>
        <w:tc>
          <w:tcPr>
            <w:tcW w:w="1500" w:type="dxa"/>
            <w:vAlign w:val="bottom"/>
          </w:tcPr>
          <w:p>
            <w:pPr>
              <w:jc w:val="right"/>
              <w:spacing w:after="0" w:line="12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20" w:type="dxa"/>
            <w:vAlign w:val="bottom"/>
            <w:tcBorders>
              <w:top w:val="single" w:sz="8" w:color="0000EE"/>
            </w:tcBorders>
            <w:gridSpan w:val="17"/>
          </w:tcPr>
          <w:p>
            <w:pPr>
              <w:spacing w:after="0" w:line="129" w:lineRule="exact"/>
              <w:rPr>
                <w:rFonts w:ascii="Arial" w:cs="Arial" w:eastAsia="Arial" w:hAnsi="Arial"/>
                <w:sz w:val="14"/>
                <w:szCs w:val="14"/>
                <w:color w:val="0000EE"/>
              </w:rPr>
            </w:pPr>
            <w:hyperlink w:anchor="page6">
              <w:r>
                <w:rPr>
                  <w:rFonts w:ascii="Arial" w:cs="Arial" w:eastAsia="Arial" w:hAnsi="Arial"/>
                  <w:sz w:val="14"/>
                  <w:szCs w:val="14"/>
                  <w:color w:val="0000EE"/>
                </w:rPr>
                <w:t>Condensed Consolidated Statement of Cash Flows for the Nine Months Ended September 30, 2015 and 2014 (Unaudited)</w:t>
              </w:r>
            </w:hyperlink>
          </w:p>
        </w:tc>
        <w:tc>
          <w:tcPr>
            <w:tcW w:w="1000" w:type="dxa"/>
            <w:vAlign w:val="bottom"/>
          </w:tcPr>
          <w:p>
            <w:pPr>
              <w:spacing w:after="0"/>
              <w:rPr>
                <w:sz w:val="11"/>
                <w:szCs w:val="11"/>
                <w:color w:val="auto"/>
              </w:rPr>
            </w:pPr>
          </w:p>
        </w:tc>
        <w:tc>
          <w:tcPr>
            <w:tcW w:w="1500" w:type="dxa"/>
            <w:vAlign w:val="bottom"/>
          </w:tcPr>
          <w:p>
            <w:pPr>
              <w:jc w:val="right"/>
              <w:spacing w:after="0" w:line="12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74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500" w:type="dxa"/>
            <w:vAlign w:val="bottom"/>
            <w:vMerge w:val="restart"/>
          </w:tcPr>
          <w:p>
            <w:pPr>
              <w:jc w:val="right"/>
              <w:spacing w:after="0" w:line="149" w:lineRule="exact"/>
              <w:rPr>
                <w:sz w:val="20"/>
                <w:szCs w:val="20"/>
                <w:color w:val="auto"/>
              </w:rPr>
            </w:pPr>
            <w:r>
              <w:rPr>
                <w:rFonts w:ascii="Arial" w:cs="Arial" w:eastAsia="Arial" w:hAnsi="Arial"/>
                <w:sz w:val="14"/>
                <w:szCs w:val="14"/>
                <w:color w:val="auto"/>
              </w:rPr>
              <w:t>5</w:t>
            </w: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20" w:type="dxa"/>
            <w:vAlign w:val="bottom"/>
            <w:gridSpan w:val="18"/>
          </w:tcPr>
          <w:p>
            <w:pPr>
              <w:spacing w:after="0" w:line="129" w:lineRule="exact"/>
              <w:rPr>
                <w:rFonts w:ascii="Arial" w:cs="Arial" w:eastAsia="Arial" w:hAnsi="Arial"/>
                <w:sz w:val="14"/>
                <w:szCs w:val="14"/>
                <w:color w:val="0000EE"/>
              </w:rPr>
            </w:pPr>
            <w:hyperlink w:anchor="page7">
              <w:r>
                <w:rPr>
                  <w:rFonts w:ascii="Arial" w:cs="Arial" w:eastAsia="Arial" w:hAnsi="Arial"/>
                  <w:sz w:val="14"/>
                  <w:szCs w:val="14"/>
                  <w:color w:val="0000EE"/>
                </w:rPr>
                <w:t>Condensed Consolidated Statement of Changes in Equity for the Nine Months Ended September 30, 2015 and 2014 (Unaudited)</w:t>
              </w:r>
            </w:hyperlink>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Item 2.</w:t>
            </w:r>
          </w:p>
        </w:tc>
        <w:tc>
          <w:tcPr>
            <w:tcW w:w="6940" w:type="dxa"/>
            <w:vAlign w:val="bottom"/>
            <w:tcBorders>
              <w:top w:val="single" w:sz="8" w:color="0000EE"/>
            </w:tcBorders>
            <w:gridSpan w:val="16"/>
          </w:tcPr>
          <w:p>
            <w:pPr>
              <w:spacing w:after="0" w:line="129" w:lineRule="exact"/>
              <w:rPr>
                <w:rFonts w:ascii="Arial" w:cs="Arial" w:eastAsia="Arial" w:hAnsi="Arial"/>
                <w:sz w:val="14"/>
                <w:szCs w:val="14"/>
                <w:color w:val="0000EE"/>
              </w:rPr>
            </w:pPr>
            <w:hyperlink w:anchor="page8">
              <w:r>
                <w:rPr>
                  <w:rFonts w:ascii="Arial" w:cs="Arial" w:eastAsia="Arial" w:hAnsi="Arial"/>
                  <w:sz w:val="14"/>
                  <w:szCs w:val="14"/>
                  <w:color w:val="0000EE"/>
                </w:rPr>
                <w:t>Notes to Condensed Consolidated Financial Statements (Unaudited)</w:t>
              </w:r>
            </w:hyperlink>
          </w:p>
        </w:tc>
        <w:tc>
          <w:tcPr>
            <w:tcW w:w="1880" w:type="dxa"/>
            <w:vAlign w:val="bottom"/>
            <w:gridSpan w:val="2"/>
          </w:tcPr>
          <w:p>
            <w:pPr>
              <w:spacing w:after="0"/>
              <w:rPr>
                <w:sz w:val="11"/>
                <w:szCs w:val="11"/>
                <w:color w:val="auto"/>
              </w:rPr>
            </w:pPr>
          </w:p>
        </w:tc>
        <w:tc>
          <w:tcPr>
            <w:tcW w:w="1500" w:type="dxa"/>
            <w:vAlign w:val="bottom"/>
          </w:tcPr>
          <w:p>
            <w:pPr>
              <w:jc w:val="right"/>
              <w:spacing w:after="0" w:line="12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3680" w:type="dxa"/>
            <w:vAlign w:val="bottom"/>
            <w:tcBorders>
              <w:top w:val="single" w:sz="8" w:color="0000EE"/>
            </w:tcBorders>
            <w:gridSpan w:val="12"/>
          </w:tcPr>
          <w:p>
            <w:pPr>
              <w:spacing w:after="0" w:line="129" w:lineRule="exact"/>
              <w:rPr>
                <w:rFonts w:ascii="Arial" w:cs="Arial" w:eastAsia="Arial" w:hAnsi="Arial"/>
                <w:sz w:val="14"/>
                <w:szCs w:val="14"/>
                <w:color w:val="0000EE"/>
                <w:w w:val="88"/>
              </w:rPr>
            </w:pPr>
            <w:hyperlink w:anchor="page27">
              <w:r>
                <w:rPr>
                  <w:rFonts w:ascii="Arial" w:cs="Arial" w:eastAsia="Arial" w:hAnsi="Arial"/>
                  <w:sz w:val="14"/>
                  <w:szCs w:val="14"/>
                  <w:color w:val="0000EE"/>
                  <w:w w:val="88"/>
                </w:rPr>
                <w:t>Management’s Discussion and Analysis of Financial Condition and</w:t>
              </w:r>
            </w:hyperlink>
          </w:p>
        </w:tc>
        <w:tc>
          <w:tcPr>
            <w:tcW w:w="5140" w:type="dxa"/>
            <w:vAlign w:val="bottom"/>
            <w:gridSpan w:val="6"/>
          </w:tcPr>
          <w:p>
            <w:pPr>
              <w:spacing w:after="0" w:line="129" w:lineRule="exact"/>
              <w:rPr>
                <w:rFonts w:ascii="Arial" w:cs="Arial" w:eastAsia="Arial" w:hAnsi="Arial"/>
                <w:sz w:val="14"/>
                <w:szCs w:val="14"/>
                <w:color w:val="0000EE"/>
              </w:rPr>
            </w:pPr>
            <w:hyperlink w:anchor="page27">
              <w:r>
                <w:rPr>
                  <w:rFonts w:ascii="Arial" w:cs="Arial" w:eastAsia="Arial" w:hAnsi="Arial"/>
                  <w:sz w:val="14"/>
                  <w:szCs w:val="14"/>
                  <w:color w:val="0000EE"/>
                </w:rPr>
                <w:t>Results of Operations</w:t>
              </w:r>
            </w:hyperlink>
          </w:p>
        </w:tc>
        <w:tc>
          <w:tcPr>
            <w:tcW w:w="1500" w:type="dxa"/>
            <w:vAlign w:val="bottom"/>
          </w:tcPr>
          <w:p>
            <w:pPr>
              <w:jc w:val="right"/>
              <w:spacing w:after="0" w:line="129" w:lineRule="exact"/>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80" w:type="dxa"/>
            <w:vAlign w:val="bottom"/>
            <w:gridSpan w:val="2"/>
          </w:tcPr>
          <w:p>
            <w:pPr>
              <w:ind w:left="200"/>
              <w:spacing w:after="0" w:line="129" w:lineRule="exact"/>
              <w:rPr>
                <w:sz w:val="20"/>
                <w:szCs w:val="20"/>
                <w:color w:val="auto"/>
              </w:rPr>
            </w:pPr>
            <w:r>
              <w:rPr>
                <w:rFonts w:ascii="Arial" w:cs="Arial" w:eastAsia="Arial" w:hAnsi="Arial"/>
                <w:sz w:val="14"/>
                <w:szCs w:val="14"/>
                <w:b w:val="1"/>
                <w:bCs w:val="1"/>
                <w:color w:val="auto"/>
              </w:rPr>
              <w:t>Item 3.</w:t>
            </w:r>
          </w:p>
        </w:tc>
        <w:tc>
          <w:tcPr>
            <w:tcW w:w="4840" w:type="dxa"/>
            <w:vAlign w:val="bottom"/>
            <w:tcBorders>
              <w:top w:val="single" w:sz="8" w:color="0000EE"/>
            </w:tcBorders>
            <w:gridSpan w:val="13"/>
          </w:tcPr>
          <w:p>
            <w:pPr>
              <w:spacing w:after="0" w:line="129" w:lineRule="exact"/>
              <w:rPr>
                <w:rFonts w:ascii="Arial" w:cs="Arial" w:eastAsia="Arial" w:hAnsi="Arial"/>
                <w:sz w:val="14"/>
                <w:szCs w:val="14"/>
                <w:color w:val="0000EE"/>
              </w:rPr>
            </w:pPr>
            <w:hyperlink w:anchor="page44">
              <w:r>
                <w:rPr>
                  <w:rFonts w:ascii="Arial" w:cs="Arial" w:eastAsia="Arial" w:hAnsi="Arial"/>
                  <w:sz w:val="14"/>
                  <w:szCs w:val="14"/>
                  <w:color w:val="0000EE"/>
                </w:rPr>
                <w:t>Quantitative and Qualitative Disclosures About Market Risk</w:t>
              </w:r>
            </w:hyperlink>
          </w:p>
        </w:tc>
        <w:tc>
          <w:tcPr>
            <w:tcW w:w="3980" w:type="dxa"/>
            <w:vAlign w:val="bottom"/>
            <w:gridSpan w:val="5"/>
          </w:tcPr>
          <w:p>
            <w:pPr>
              <w:spacing w:after="0"/>
              <w:rPr>
                <w:sz w:val="11"/>
                <w:szCs w:val="11"/>
                <w:color w:val="auto"/>
              </w:rPr>
            </w:pPr>
          </w:p>
        </w:tc>
        <w:tc>
          <w:tcPr>
            <w:tcW w:w="1500" w:type="dxa"/>
            <w:vAlign w:val="bottom"/>
          </w:tcPr>
          <w:p>
            <w:pPr>
              <w:jc w:val="right"/>
              <w:spacing w:after="0" w:line="129" w:lineRule="exact"/>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80" w:type="dxa"/>
            <w:vAlign w:val="bottom"/>
            <w:gridSpan w:val="2"/>
          </w:tcPr>
          <w:p>
            <w:pPr>
              <w:ind w:left="200"/>
              <w:spacing w:after="0" w:line="129" w:lineRule="exact"/>
              <w:rPr>
                <w:sz w:val="20"/>
                <w:szCs w:val="20"/>
                <w:color w:val="auto"/>
              </w:rPr>
            </w:pPr>
            <w:r>
              <w:rPr>
                <w:rFonts w:ascii="Arial" w:cs="Arial" w:eastAsia="Arial" w:hAnsi="Arial"/>
                <w:sz w:val="14"/>
                <w:szCs w:val="14"/>
                <w:b w:val="1"/>
                <w:bCs w:val="1"/>
                <w:color w:val="auto"/>
              </w:rPr>
              <w:t>Item 4.</w:t>
            </w:r>
          </w:p>
        </w:tc>
        <w:tc>
          <w:tcPr>
            <w:tcW w:w="3280" w:type="dxa"/>
            <w:vAlign w:val="bottom"/>
            <w:tcBorders>
              <w:top w:val="single" w:sz="8" w:color="0000EE"/>
            </w:tcBorders>
            <w:gridSpan w:val="11"/>
          </w:tcPr>
          <w:p>
            <w:pPr>
              <w:spacing w:after="0" w:line="129" w:lineRule="exact"/>
              <w:rPr>
                <w:rFonts w:ascii="Arial" w:cs="Arial" w:eastAsia="Arial" w:hAnsi="Arial"/>
                <w:sz w:val="14"/>
                <w:szCs w:val="14"/>
                <w:color w:val="0000EE"/>
              </w:rPr>
            </w:pPr>
            <w:hyperlink w:anchor="page44">
              <w:r>
                <w:rPr>
                  <w:rFonts w:ascii="Arial" w:cs="Arial" w:eastAsia="Arial" w:hAnsi="Arial"/>
                  <w:sz w:val="14"/>
                  <w:szCs w:val="14"/>
                  <w:color w:val="0000EE"/>
                </w:rPr>
                <w:t>Controls and Procedures</w:t>
              </w:r>
            </w:hyperlink>
          </w:p>
        </w:tc>
        <w:tc>
          <w:tcPr>
            <w:tcW w:w="5540" w:type="dxa"/>
            <w:vAlign w:val="bottom"/>
            <w:gridSpan w:val="7"/>
          </w:tcPr>
          <w:p>
            <w:pPr>
              <w:spacing w:after="0"/>
              <w:rPr>
                <w:sz w:val="11"/>
                <w:szCs w:val="11"/>
                <w:color w:val="auto"/>
              </w:rPr>
            </w:pPr>
          </w:p>
        </w:tc>
        <w:tc>
          <w:tcPr>
            <w:tcW w:w="1500" w:type="dxa"/>
            <w:vAlign w:val="bottom"/>
          </w:tcPr>
          <w:p>
            <w:pPr>
              <w:jc w:val="right"/>
              <w:spacing w:after="0" w:line="129" w:lineRule="exact"/>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29"/>
        </w:trPr>
        <w:tc>
          <w:tcPr>
            <w:tcW w:w="1100" w:type="dxa"/>
            <w:vAlign w:val="bottom"/>
            <w:gridSpan w:val="3"/>
          </w:tcPr>
          <w:p>
            <w:pPr>
              <w:spacing w:after="0" w:line="129" w:lineRule="exact"/>
              <w:rPr>
                <w:rFonts w:ascii="Arial" w:cs="Arial" w:eastAsia="Arial" w:hAnsi="Arial"/>
                <w:sz w:val="14"/>
                <w:szCs w:val="14"/>
                <w:b w:val="1"/>
                <w:bCs w:val="1"/>
                <w:color w:val="0000EE"/>
              </w:rPr>
            </w:pPr>
            <w:hyperlink w:anchor="page45">
              <w:r>
                <w:rPr>
                  <w:rFonts w:ascii="Arial" w:cs="Arial" w:eastAsia="Arial" w:hAnsi="Arial"/>
                  <w:sz w:val="14"/>
                  <w:szCs w:val="14"/>
                  <w:b w:val="1"/>
                  <w:bCs w:val="1"/>
                  <w:color w:val="0000EE"/>
                </w:rPr>
                <w:t>PART II. OTHER</w:t>
              </w:r>
            </w:hyperlink>
          </w:p>
        </w:tc>
        <w:tc>
          <w:tcPr>
            <w:tcW w:w="1320" w:type="dxa"/>
            <w:vAlign w:val="bottom"/>
            <w:tcBorders>
              <w:top w:val="single" w:sz="8" w:color="0000EE"/>
            </w:tcBorders>
            <w:gridSpan w:val="7"/>
          </w:tcPr>
          <w:p>
            <w:pPr>
              <w:spacing w:after="0" w:line="129" w:lineRule="exact"/>
              <w:rPr>
                <w:rFonts w:ascii="Arial" w:cs="Arial" w:eastAsia="Arial" w:hAnsi="Arial"/>
                <w:sz w:val="14"/>
                <w:szCs w:val="14"/>
                <w:b w:val="1"/>
                <w:bCs w:val="1"/>
                <w:color w:val="0000EE"/>
              </w:rPr>
            </w:pPr>
            <w:hyperlink w:anchor="page45">
              <w:r>
                <w:rPr>
                  <w:rFonts w:ascii="Arial" w:cs="Arial" w:eastAsia="Arial" w:hAnsi="Arial"/>
                  <w:sz w:val="14"/>
                  <w:szCs w:val="14"/>
                  <w:b w:val="1"/>
                  <w:bCs w:val="1"/>
                  <w:color w:val="0000EE"/>
                </w:rPr>
                <w:t>INFORMATION</w:t>
              </w:r>
            </w:hyperlink>
          </w:p>
        </w:tc>
        <w:tc>
          <w:tcPr>
            <w:tcW w:w="260" w:type="dxa"/>
            <w:vAlign w:val="bottom"/>
          </w:tcPr>
          <w:p>
            <w:pPr>
              <w:spacing w:after="0"/>
              <w:rPr>
                <w:sz w:val="11"/>
                <w:szCs w:val="11"/>
                <w:color w:val="auto"/>
              </w:rPr>
            </w:pPr>
          </w:p>
        </w:tc>
        <w:tc>
          <w:tcPr>
            <w:tcW w:w="1680" w:type="dxa"/>
            <w:vAlign w:val="bottom"/>
            <w:gridSpan w:val="2"/>
          </w:tcPr>
          <w:p>
            <w:pPr>
              <w:spacing w:after="0"/>
              <w:rPr>
                <w:sz w:val="11"/>
                <w:szCs w:val="11"/>
                <w:color w:val="auto"/>
              </w:rPr>
            </w:pPr>
          </w:p>
        </w:tc>
        <w:tc>
          <w:tcPr>
            <w:tcW w:w="5560" w:type="dxa"/>
            <w:vAlign w:val="bottom"/>
            <w:gridSpan w:val="8"/>
          </w:tcPr>
          <w:p>
            <w:pPr>
              <w:spacing w:after="0"/>
              <w:rPr>
                <w:sz w:val="11"/>
                <w:szCs w:val="11"/>
                <w:color w:val="auto"/>
              </w:rPr>
            </w:pPr>
          </w:p>
        </w:tc>
        <w:tc>
          <w:tcPr>
            <w:tcW w:w="1500" w:type="dxa"/>
            <w:vAlign w:val="bottom"/>
            <w:vMerge w:val="restart"/>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80" w:type="dxa"/>
            <w:vAlign w:val="bottom"/>
            <w:tcBorders>
              <w:top w:val="single" w:sz="8" w:color="0000EE"/>
            </w:tcBorders>
            <w:gridSpan w:val="2"/>
          </w:tcPr>
          <w:p>
            <w:pPr>
              <w:ind w:left="200"/>
              <w:spacing w:after="0" w:line="129" w:lineRule="exact"/>
              <w:rPr>
                <w:sz w:val="20"/>
                <w:szCs w:val="20"/>
                <w:color w:val="auto"/>
              </w:rPr>
            </w:pPr>
            <w:r>
              <w:rPr>
                <w:rFonts w:ascii="Arial" w:cs="Arial" w:eastAsia="Arial" w:hAnsi="Arial"/>
                <w:sz w:val="14"/>
                <w:szCs w:val="14"/>
                <w:b w:val="1"/>
                <w:bCs w:val="1"/>
                <w:color w:val="auto"/>
              </w:rPr>
              <w:t>Item 1.</w:t>
            </w:r>
          </w:p>
        </w:tc>
        <w:tc>
          <w:tcPr>
            <w:tcW w:w="980" w:type="dxa"/>
            <w:vAlign w:val="bottom"/>
            <w:tcBorders>
              <w:top w:val="single" w:sz="8" w:color="0000EE"/>
              <w:bottom w:val="single" w:sz="8" w:color="0000EE"/>
            </w:tcBorders>
            <w:gridSpan w:val="3"/>
          </w:tcPr>
          <w:p>
            <w:pPr>
              <w:spacing w:after="0" w:line="129" w:lineRule="exact"/>
              <w:rPr>
                <w:rFonts w:ascii="Arial" w:cs="Arial" w:eastAsia="Arial" w:hAnsi="Arial"/>
                <w:sz w:val="14"/>
                <w:szCs w:val="14"/>
                <w:color w:val="0000EE"/>
                <w:w w:val="82"/>
              </w:rPr>
            </w:pPr>
            <w:hyperlink w:anchor="page45">
              <w:r>
                <w:rPr>
                  <w:rFonts w:ascii="Arial" w:cs="Arial" w:eastAsia="Arial" w:hAnsi="Arial"/>
                  <w:sz w:val="14"/>
                  <w:szCs w:val="14"/>
                  <w:color w:val="0000EE"/>
                  <w:w w:val="82"/>
                </w:rPr>
                <w:t>Legal Proceedings</w:t>
              </w:r>
            </w:hyperlink>
          </w:p>
        </w:tc>
        <w:tc>
          <w:tcPr>
            <w:tcW w:w="20" w:type="dxa"/>
            <w:vAlign w:val="bottom"/>
            <w:tcBorders>
              <w:bottom w:val="single" w:sz="8" w:color="0000EE"/>
            </w:tcBorders>
          </w:tcPr>
          <w:p>
            <w:pPr>
              <w:spacing w:after="0"/>
              <w:rPr>
                <w:sz w:val="11"/>
                <w:szCs w:val="11"/>
                <w:color w:val="auto"/>
              </w:rPr>
            </w:pPr>
          </w:p>
        </w:tc>
        <w:tc>
          <w:tcPr>
            <w:tcW w:w="20" w:type="dxa"/>
            <w:vAlign w:val="bottom"/>
            <w:tcBorders>
              <w:bottom w:val="single" w:sz="8" w:color="0000EE"/>
            </w:tcBorders>
          </w:tcPr>
          <w:p>
            <w:pPr>
              <w:spacing w:after="0"/>
              <w:rPr>
                <w:sz w:val="11"/>
                <w:szCs w:val="11"/>
                <w:color w:val="auto"/>
              </w:rPr>
            </w:pPr>
          </w:p>
        </w:tc>
        <w:tc>
          <w:tcPr>
            <w:tcW w:w="560" w:type="dxa"/>
            <w:vAlign w:val="bottom"/>
            <w:gridSpan w:val="3"/>
          </w:tcPr>
          <w:p>
            <w:pPr>
              <w:spacing w:after="0"/>
              <w:rPr>
                <w:sz w:val="11"/>
                <w:szCs w:val="11"/>
                <w:color w:val="auto"/>
              </w:rPr>
            </w:pPr>
          </w:p>
        </w:tc>
        <w:tc>
          <w:tcPr>
            <w:tcW w:w="1680" w:type="dxa"/>
            <w:vAlign w:val="bottom"/>
            <w:gridSpan w:val="2"/>
          </w:tcPr>
          <w:p>
            <w:pPr>
              <w:spacing w:after="0"/>
              <w:rPr>
                <w:sz w:val="11"/>
                <w:szCs w:val="11"/>
                <w:color w:val="auto"/>
              </w:rPr>
            </w:pPr>
          </w:p>
        </w:tc>
        <w:tc>
          <w:tcPr>
            <w:tcW w:w="5560" w:type="dxa"/>
            <w:vAlign w:val="bottom"/>
            <w:gridSpan w:val="8"/>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80" w:type="dxa"/>
            <w:vAlign w:val="bottom"/>
            <w:gridSpan w:val="2"/>
          </w:tcPr>
          <w:p>
            <w:pPr>
              <w:ind w:left="200"/>
              <w:spacing w:after="0" w:line="129" w:lineRule="exact"/>
              <w:rPr>
                <w:sz w:val="20"/>
                <w:szCs w:val="20"/>
                <w:color w:val="auto"/>
              </w:rPr>
            </w:pPr>
            <w:r>
              <w:rPr>
                <w:rFonts w:ascii="Arial" w:cs="Arial" w:eastAsia="Arial" w:hAnsi="Arial"/>
                <w:sz w:val="14"/>
                <w:szCs w:val="14"/>
                <w:b w:val="1"/>
                <w:bCs w:val="1"/>
                <w:color w:val="auto"/>
              </w:rPr>
              <w:t>Item 1A.</w:t>
            </w:r>
          </w:p>
        </w:tc>
        <w:tc>
          <w:tcPr>
            <w:tcW w:w="1020" w:type="dxa"/>
            <w:vAlign w:val="bottom"/>
            <w:gridSpan w:val="5"/>
          </w:tcPr>
          <w:p>
            <w:pPr>
              <w:spacing w:after="0" w:line="129" w:lineRule="exact"/>
              <w:rPr>
                <w:rFonts w:ascii="Arial" w:cs="Arial" w:eastAsia="Arial" w:hAnsi="Arial"/>
                <w:sz w:val="14"/>
                <w:szCs w:val="14"/>
                <w:color w:val="0000EE"/>
              </w:rPr>
            </w:pPr>
            <w:hyperlink w:anchor="page45">
              <w:r>
                <w:rPr>
                  <w:rFonts w:ascii="Arial" w:cs="Arial" w:eastAsia="Arial" w:hAnsi="Arial"/>
                  <w:sz w:val="14"/>
                  <w:szCs w:val="14"/>
                  <w:color w:val="0000EE"/>
                </w:rPr>
                <w:t>Risk Factors</w:t>
              </w:r>
            </w:hyperlink>
          </w:p>
        </w:tc>
        <w:tc>
          <w:tcPr>
            <w:tcW w:w="560" w:type="dxa"/>
            <w:vAlign w:val="bottom"/>
            <w:gridSpan w:val="3"/>
          </w:tcPr>
          <w:p>
            <w:pPr>
              <w:spacing w:after="0"/>
              <w:rPr>
                <w:sz w:val="11"/>
                <w:szCs w:val="11"/>
                <w:color w:val="auto"/>
              </w:rPr>
            </w:pPr>
          </w:p>
        </w:tc>
        <w:tc>
          <w:tcPr>
            <w:tcW w:w="1680" w:type="dxa"/>
            <w:vAlign w:val="bottom"/>
            <w:gridSpan w:val="2"/>
          </w:tcPr>
          <w:p>
            <w:pPr>
              <w:spacing w:after="0"/>
              <w:rPr>
                <w:sz w:val="11"/>
                <w:szCs w:val="11"/>
                <w:color w:val="auto"/>
              </w:rPr>
            </w:pPr>
          </w:p>
        </w:tc>
        <w:tc>
          <w:tcPr>
            <w:tcW w:w="5560" w:type="dxa"/>
            <w:vAlign w:val="bottom"/>
            <w:gridSpan w:val="8"/>
          </w:tcPr>
          <w:p>
            <w:pPr>
              <w:spacing w:after="0"/>
              <w:rPr>
                <w:sz w:val="11"/>
                <w:szCs w:val="11"/>
                <w:color w:val="auto"/>
              </w:rPr>
            </w:pPr>
          </w:p>
        </w:tc>
        <w:tc>
          <w:tcPr>
            <w:tcW w:w="1500" w:type="dxa"/>
            <w:vAlign w:val="bottom"/>
          </w:tcPr>
          <w:p>
            <w:pPr>
              <w:jc w:val="right"/>
              <w:spacing w:after="0" w:line="129" w:lineRule="exact"/>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80" w:type="dxa"/>
            <w:vAlign w:val="bottom"/>
            <w:gridSpan w:val="2"/>
          </w:tcPr>
          <w:p>
            <w:pPr>
              <w:ind w:left="200"/>
              <w:spacing w:after="0" w:line="129" w:lineRule="exact"/>
              <w:rPr>
                <w:sz w:val="20"/>
                <w:szCs w:val="20"/>
                <w:color w:val="auto"/>
              </w:rPr>
            </w:pPr>
            <w:r>
              <w:rPr>
                <w:rFonts w:ascii="Arial" w:cs="Arial" w:eastAsia="Arial" w:hAnsi="Arial"/>
                <w:sz w:val="14"/>
                <w:szCs w:val="14"/>
                <w:b w:val="1"/>
                <w:bCs w:val="1"/>
                <w:color w:val="auto"/>
              </w:rPr>
              <w:t>Item 2.</w:t>
            </w:r>
          </w:p>
        </w:tc>
        <w:tc>
          <w:tcPr>
            <w:tcW w:w="680" w:type="dxa"/>
            <w:vAlign w:val="bottom"/>
            <w:tcBorders>
              <w:top w:val="single" w:sz="8" w:color="0000EE"/>
            </w:tcBorders>
            <w:gridSpan w:val="2"/>
          </w:tcPr>
          <w:p>
            <w:pPr>
              <w:spacing w:after="0" w:line="129" w:lineRule="exact"/>
              <w:rPr>
                <w:rFonts w:ascii="Arial" w:cs="Arial" w:eastAsia="Arial" w:hAnsi="Arial"/>
                <w:sz w:val="14"/>
                <w:szCs w:val="14"/>
                <w:color w:val="0000EE"/>
                <w:w w:val="82"/>
              </w:rPr>
            </w:pPr>
            <w:hyperlink w:anchor="page46">
              <w:r>
                <w:rPr>
                  <w:rFonts w:ascii="Arial" w:cs="Arial" w:eastAsia="Arial" w:hAnsi="Arial"/>
                  <w:sz w:val="14"/>
                  <w:szCs w:val="14"/>
                  <w:color w:val="0000EE"/>
                  <w:w w:val="82"/>
                </w:rPr>
                <w:t>Unregistered</w:t>
              </w:r>
            </w:hyperlink>
          </w:p>
        </w:tc>
        <w:tc>
          <w:tcPr>
            <w:tcW w:w="8140" w:type="dxa"/>
            <w:vAlign w:val="bottom"/>
            <w:gridSpan w:val="16"/>
          </w:tcPr>
          <w:p>
            <w:pPr>
              <w:ind w:left="60"/>
              <w:spacing w:after="0" w:line="129" w:lineRule="exact"/>
              <w:rPr>
                <w:rFonts w:ascii="Arial" w:cs="Arial" w:eastAsia="Arial" w:hAnsi="Arial"/>
                <w:sz w:val="14"/>
                <w:szCs w:val="14"/>
                <w:color w:val="0000EE"/>
              </w:rPr>
            </w:pPr>
            <w:hyperlink w:anchor="page46">
              <w:r>
                <w:rPr>
                  <w:rFonts w:ascii="Arial" w:cs="Arial" w:eastAsia="Arial" w:hAnsi="Arial"/>
                  <w:sz w:val="14"/>
                  <w:szCs w:val="14"/>
                  <w:color w:val="0000EE"/>
                </w:rPr>
                <w:t>Sales of Equity Securities and Use of Proceeds</w:t>
              </w:r>
            </w:hyperlink>
          </w:p>
        </w:tc>
        <w:tc>
          <w:tcPr>
            <w:tcW w:w="1500" w:type="dxa"/>
            <w:vAlign w:val="bottom"/>
          </w:tcPr>
          <w:p>
            <w:pPr>
              <w:jc w:val="right"/>
              <w:spacing w:after="0" w:line="129" w:lineRule="exact"/>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80" w:type="dxa"/>
            <w:vAlign w:val="bottom"/>
            <w:gridSpan w:val="2"/>
          </w:tcPr>
          <w:p>
            <w:pPr>
              <w:ind w:left="200"/>
              <w:spacing w:after="0" w:line="129" w:lineRule="exact"/>
              <w:rPr>
                <w:sz w:val="20"/>
                <w:szCs w:val="20"/>
                <w:color w:val="auto"/>
              </w:rPr>
            </w:pPr>
            <w:r>
              <w:rPr>
                <w:rFonts w:ascii="Arial" w:cs="Arial" w:eastAsia="Arial" w:hAnsi="Arial"/>
                <w:sz w:val="14"/>
                <w:szCs w:val="14"/>
                <w:b w:val="1"/>
                <w:bCs w:val="1"/>
                <w:color w:val="auto"/>
              </w:rPr>
              <w:t>Item 5.</w:t>
            </w:r>
          </w:p>
        </w:tc>
        <w:tc>
          <w:tcPr>
            <w:tcW w:w="3260" w:type="dxa"/>
            <w:vAlign w:val="bottom"/>
            <w:tcBorders>
              <w:top w:val="single" w:sz="8" w:color="0000EE"/>
            </w:tcBorders>
            <w:gridSpan w:val="10"/>
          </w:tcPr>
          <w:p>
            <w:pPr>
              <w:spacing w:after="0" w:line="129" w:lineRule="exact"/>
              <w:rPr>
                <w:rFonts w:ascii="Arial" w:cs="Arial" w:eastAsia="Arial" w:hAnsi="Arial"/>
                <w:sz w:val="14"/>
                <w:szCs w:val="14"/>
                <w:color w:val="0000EE"/>
              </w:rPr>
            </w:pPr>
            <w:hyperlink w:anchor="page47">
              <w:r>
                <w:rPr>
                  <w:rFonts w:ascii="Arial" w:cs="Arial" w:eastAsia="Arial" w:hAnsi="Arial"/>
                  <w:sz w:val="14"/>
                  <w:szCs w:val="14"/>
                  <w:color w:val="0000EE"/>
                </w:rPr>
                <w:t>Other Information</w:t>
              </w:r>
            </w:hyperlink>
          </w:p>
        </w:tc>
        <w:tc>
          <w:tcPr>
            <w:tcW w:w="5560" w:type="dxa"/>
            <w:vAlign w:val="bottom"/>
            <w:gridSpan w:val="8"/>
          </w:tcPr>
          <w:p>
            <w:pPr>
              <w:spacing w:after="0"/>
              <w:rPr>
                <w:sz w:val="11"/>
                <w:szCs w:val="11"/>
                <w:color w:val="auto"/>
              </w:rPr>
            </w:pPr>
          </w:p>
        </w:tc>
        <w:tc>
          <w:tcPr>
            <w:tcW w:w="1500" w:type="dxa"/>
            <w:vAlign w:val="bottom"/>
          </w:tcPr>
          <w:p>
            <w:pPr>
              <w:jc w:val="right"/>
              <w:spacing w:after="0" w:line="129" w:lineRule="exact"/>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80" w:type="dxa"/>
            <w:vAlign w:val="bottom"/>
            <w:gridSpan w:val="2"/>
          </w:tcPr>
          <w:p>
            <w:pPr>
              <w:ind w:left="200"/>
              <w:spacing w:after="0" w:line="129" w:lineRule="exact"/>
              <w:rPr>
                <w:sz w:val="20"/>
                <w:szCs w:val="20"/>
                <w:color w:val="auto"/>
              </w:rPr>
            </w:pPr>
            <w:r>
              <w:rPr>
                <w:rFonts w:ascii="Arial" w:cs="Arial" w:eastAsia="Arial" w:hAnsi="Arial"/>
                <w:sz w:val="14"/>
                <w:szCs w:val="14"/>
                <w:b w:val="1"/>
                <w:bCs w:val="1"/>
                <w:color w:val="auto"/>
              </w:rPr>
              <w:t>Item 6.</w:t>
            </w:r>
          </w:p>
        </w:tc>
        <w:tc>
          <w:tcPr>
            <w:tcW w:w="1000" w:type="dxa"/>
            <w:vAlign w:val="bottom"/>
            <w:tcBorders>
              <w:top w:val="single" w:sz="8" w:color="0000EE"/>
            </w:tcBorders>
            <w:gridSpan w:val="4"/>
          </w:tcPr>
          <w:p>
            <w:pPr>
              <w:spacing w:after="0" w:line="129" w:lineRule="exact"/>
              <w:rPr>
                <w:rFonts w:ascii="Arial" w:cs="Arial" w:eastAsia="Arial" w:hAnsi="Arial"/>
                <w:sz w:val="14"/>
                <w:szCs w:val="14"/>
                <w:color w:val="0000EE"/>
              </w:rPr>
            </w:pPr>
            <w:hyperlink w:anchor="page48">
              <w:r>
                <w:rPr>
                  <w:rFonts w:ascii="Arial" w:cs="Arial" w:eastAsia="Arial" w:hAnsi="Arial"/>
                  <w:sz w:val="14"/>
                  <w:szCs w:val="14"/>
                  <w:color w:val="0000EE"/>
                </w:rPr>
                <w:t>Exhibits</w:t>
              </w:r>
            </w:hyperlink>
          </w:p>
        </w:tc>
        <w:tc>
          <w:tcPr>
            <w:tcW w:w="580" w:type="dxa"/>
            <w:vAlign w:val="bottom"/>
            <w:gridSpan w:val="4"/>
          </w:tcPr>
          <w:p>
            <w:pPr>
              <w:spacing w:after="0"/>
              <w:rPr>
                <w:sz w:val="11"/>
                <w:szCs w:val="11"/>
                <w:color w:val="auto"/>
              </w:rPr>
            </w:pPr>
          </w:p>
        </w:tc>
        <w:tc>
          <w:tcPr>
            <w:tcW w:w="7240" w:type="dxa"/>
            <w:vAlign w:val="bottom"/>
            <w:gridSpan w:val="10"/>
          </w:tcPr>
          <w:p>
            <w:pPr>
              <w:spacing w:after="0"/>
              <w:rPr>
                <w:sz w:val="11"/>
                <w:szCs w:val="11"/>
                <w:color w:val="auto"/>
              </w:rPr>
            </w:pPr>
          </w:p>
        </w:tc>
        <w:tc>
          <w:tcPr>
            <w:tcW w:w="1500" w:type="dxa"/>
            <w:vAlign w:val="bottom"/>
          </w:tcPr>
          <w:p>
            <w:pPr>
              <w:jc w:val="right"/>
              <w:spacing w:after="0" w:line="129" w:lineRule="exact"/>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29"/>
        </w:trPr>
        <w:tc>
          <w:tcPr>
            <w:tcW w:w="1100" w:type="dxa"/>
            <w:vAlign w:val="bottom"/>
            <w:gridSpan w:val="3"/>
          </w:tcPr>
          <w:p>
            <w:pPr>
              <w:spacing w:after="0" w:line="129" w:lineRule="exact"/>
              <w:rPr>
                <w:rFonts w:ascii="Arial" w:cs="Arial" w:eastAsia="Arial" w:hAnsi="Arial"/>
                <w:sz w:val="14"/>
                <w:szCs w:val="14"/>
                <w:b w:val="1"/>
                <w:bCs w:val="1"/>
                <w:color w:val="0000EE"/>
              </w:rPr>
            </w:pPr>
            <w:hyperlink w:anchor="page49">
              <w:r>
                <w:rPr>
                  <w:rFonts w:ascii="Arial" w:cs="Arial" w:eastAsia="Arial" w:hAnsi="Arial"/>
                  <w:sz w:val="14"/>
                  <w:szCs w:val="14"/>
                  <w:b w:val="1"/>
                  <w:bCs w:val="1"/>
                  <w:color w:val="0000EE"/>
                </w:rPr>
                <w:t>SIGNATURES</w:t>
              </w:r>
            </w:hyperlink>
          </w:p>
        </w:tc>
        <w:tc>
          <w:tcPr>
            <w:tcW w:w="460" w:type="dxa"/>
            <w:vAlign w:val="bottom"/>
            <w:tcBorders>
              <w:top w:val="single" w:sz="8" w:color="0000EE"/>
            </w:tcBorders>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500" w:type="dxa"/>
            <w:vAlign w:val="bottom"/>
          </w:tcPr>
          <w:p>
            <w:pPr>
              <w:jc w:val="right"/>
              <w:spacing w:after="0" w:line="129" w:lineRule="exact"/>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Borders>
              <w:top w:val="single" w:sz="8" w:color="0000EE"/>
            </w:tcBorders>
          </w:tcPr>
          <w:p>
            <w:pPr>
              <w:spacing w:after="0" w:line="129" w:lineRule="exact"/>
              <w:rPr>
                <w:rFonts w:ascii="Arial" w:cs="Arial" w:eastAsia="Arial" w:hAnsi="Arial"/>
                <w:sz w:val="14"/>
                <w:szCs w:val="14"/>
                <w:color w:val="0000EE"/>
                <w:w w:val="95"/>
              </w:rPr>
            </w:pPr>
            <w:hyperlink w:anchor="page50">
              <w:r>
                <w:rPr>
                  <w:rFonts w:ascii="Arial" w:cs="Arial" w:eastAsia="Arial" w:hAnsi="Arial"/>
                  <w:sz w:val="14"/>
                  <w:szCs w:val="14"/>
                  <w:color w:val="0000EE"/>
                  <w:w w:val="95"/>
                </w:rPr>
                <w:t>NBCUniversal</w:t>
              </w:r>
            </w:hyperlink>
          </w:p>
        </w:tc>
        <w:tc>
          <w:tcPr>
            <w:tcW w:w="9040" w:type="dxa"/>
            <w:vAlign w:val="bottom"/>
            <w:gridSpan w:val="19"/>
          </w:tcPr>
          <w:p>
            <w:pPr>
              <w:spacing w:after="0" w:line="129" w:lineRule="exact"/>
              <w:rPr>
                <w:rFonts w:ascii="Arial" w:cs="Arial" w:eastAsia="Arial" w:hAnsi="Arial"/>
                <w:sz w:val="14"/>
                <w:szCs w:val="14"/>
                <w:color w:val="0000EE"/>
              </w:rPr>
            </w:pPr>
            <w:hyperlink w:anchor="page50">
              <w:r>
                <w:rPr>
                  <w:rFonts w:ascii="Arial" w:cs="Arial" w:eastAsia="Arial" w:hAnsi="Arial"/>
                  <w:sz w:val="14"/>
                  <w:szCs w:val="14"/>
                  <w:color w:val="0000EE"/>
                </w:rPr>
                <w:t>Media, LLC Financial Statements</w:t>
              </w:r>
            </w:hyperlink>
          </w:p>
        </w:tc>
        <w:tc>
          <w:tcPr>
            <w:tcW w:w="1500" w:type="dxa"/>
            <w:vAlign w:val="bottom"/>
          </w:tcPr>
          <w:p>
            <w:pPr>
              <w:jc w:val="right"/>
              <w:spacing w:after="0" w:line="129" w:lineRule="exact"/>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86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46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60" w:type="dxa"/>
            <w:vAlign w:val="bottom"/>
            <w:tcBorders>
              <w:top w:val="single" w:sz="8" w:color="0000EE"/>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125" w:lineRule="exact"/>
        <w:rPr>
          <w:sz w:val="20"/>
          <w:szCs w:val="20"/>
          <w:color w:val="auto"/>
        </w:rPr>
      </w:pPr>
    </w:p>
    <w:p>
      <w:pPr>
        <w:jc w:val="both"/>
        <w:spacing w:after="0" w:line="266" w:lineRule="auto"/>
        <w:rPr>
          <w:sz w:val="20"/>
          <w:szCs w:val="20"/>
          <w:color w:val="auto"/>
        </w:rPr>
      </w:pPr>
      <w:r>
        <w:rPr>
          <w:rFonts w:ascii="Arial" w:cs="Arial" w:eastAsia="Arial" w:hAnsi="Arial"/>
          <w:sz w:val="12"/>
          <w:szCs w:val="12"/>
          <w:color w:val="auto"/>
        </w:rPr>
        <w:t>This Quarterly Report on Form 10-Q is a combined report being filed separately by Comcast Corporation (“Comcast”) and NBCUniversal Media, LLC (“NBCUniversal”). Comcast owns all of the common equity interests in NBCUniversal, and NBCUniversal meets the conditions set forth in General Instruction H(1)(a) and (b) of Form 10-Q and is therefore filing its information within this Form 10-Q with the reduced disclosure format. Each of Comcast and NBCUniversal is filing on its own behalf the information contained in this report that relates to itself, and neither company makes any representation as to information relating to the other company. Where information or an explanation is provided that is substantially the same for each company, such information or explanation has been combined in this report. Where information or an explanation is not substantially the same for each company, separate information and explanation has been provided. In addition, separate condensed consolidated financial statements for each company, along with notes to the condensed consolidated financial statements, are included in this report. Unless indicated otherwise, throughout this Quarterly Report on Form 10-Q, we refer to Comcast and its consolidated subsidiaries, including NBCUniversal and its consolidated subsidiaries, as “we,” “us” and “our;” Comcast Cable Communications, LLC and its consolidated subsidiaries as “Comcast Cable;” Comcast Holdings Corporation as “Comcast Holdings;” and NBCUniversal, LLC as “NBCUniversal Holdings.”</w:t>
      </w:r>
    </w:p>
    <w:p>
      <w:pPr>
        <w:spacing w:after="0" w:line="32" w:lineRule="exact"/>
        <w:rPr>
          <w:sz w:val="20"/>
          <w:szCs w:val="20"/>
          <w:color w:val="auto"/>
        </w:rPr>
      </w:pPr>
    </w:p>
    <w:p>
      <w:pPr>
        <w:jc w:val="both"/>
        <w:spacing w:after="0" w:line="230" w:lineRule="auto"/>
        <w:rPr>
          <w:sz w:val="20"/>
          <w:szCs w:val="20"/>
          <w:color w:val="auto"/>
        </w:rPr>
      </w:pPr>
      <w:r>
        <w:rPr>
          <w:rFonts w:ascii="Arial" w:cs="Arial" w:eastAsia="Arial" w:hAnsi="Arial"/>
          <w:sz w:val="14"/>
          <w:szCs w:val="14"/>
          <w:color w:val="auto"/>
        </w:rPr>
        <w:t>This Quarterly Report on Form 10-Q is for the three and nine months ended September 30, 2015. This Quarterly Report modifies and supersedes documents filed prior to this Quarterly Report. The Securities and Exchange Commission (“SEC”) allows us to “incorporate by reference” information that we file with it, which means that we can disclose important information to you by referring you directly to those documents. Information incorporated by reference is considered to be part of this Quarterly Report. In addition, information that we file with the SEC in the future will automatically update and supersede information contained in this Quarterly Report.</w:t>
      </w:r>
    </w:p>
    <w:p>
      <w:pPr>
        <w:spacing w:after="0" w:line="45" w:lineRule="exact"/>
        <w:rPr>
          <w:sz w:val="20"/>
          <w:szCs w:val="20"/>
          <w:color w:val="auto"/>
        </w:rPr>
      </w:pPr>
    </w:p>
    <w:p>
      <w:pPr>
        <w:jc w:val="both"/>
        <w:spacing w:after="0" w:line="273" w:lineRule="auto"/>
        <w:rPr>
          <w:sz w:val="20"/>
          <w:szCs w:val="20"/>
          <w:color w:val="auto"/>
        </w:rPr>
      </w:pPr>
      <w:r>
        <w:rPr>
          <w:rFonts w:ascii="Arial" w:cs="Arial" w:eastAsia="Arial" w:hAnsi="Arial"/>
          <w:sz w:val="12"/>
          <w:szCs w:val="12"/>
          <w:color w:val="auto"/>
        </w:rPr>
        <w:t>You should carefully review the information contained in this Quarterly Report and particularly consider any risk factors set forth in this Quarterly Report and in other reports or documents that we file from time to time with the SEC. In this Quarterly Report, we state our beliefs of future events and of our future financial performance. In some cases, you can identify these so-called “forward-looking statements” by words such as “may,” “will,” “should,” “expects,” “believes,” “estimates,” “potential,” or “continue,” or the negative of those words, and other comparable words. You should be aware that these statements are only our predictions. In evaluating these statements, you should specifically consider various factors, including the risks outlined below and in other reports we file with the SEC. Actual events or our actual results may differ materially from any of our forward-looking statements. We undertake no obligation to update any forward-looking statements.</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Our businesses may be affected by, among other things, the following:</w:t>
      </w:r>
    </w:p>
    <w:p>
      <w:pPr>
        <w:spacing w:after="0" w:line="15" w:lineRule="exact"/>
        <w:rPr>
          <w:sz w:val="20"/>
          <w:szCs w:val="20"/>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businesses currently face a wide range of competition, and our businesses and results of operations could be adversely affected if we do not compete effectively</w:t>
      </w:r>
    </w:p>
    <w:p>
      <w:pPr>
        <w:spacing w:after="0" w:line="14"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changes in consumer behavior driven by new products and services may adversely affect our businesses and challenge existing business models</w:t>
      </w:r>
    </w:p>
    <w:p>
      <w:pPr>
        <w:spacing w:after="0" w:line="14"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a decline in advertising expenditures or changes in advertising markets could negatively impact our businesses</w:t>
      </w:r>
    </w:p>
    <w:p>
      <w:pPr>
        <w:spacing w:after="0" w:line="14"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businesses depend on keeping pace with technological developments</w:t>
      </w:r>
    </w:p>
    <w:p>
      <w:pPr>
        <w:spacing w:after="0" w:line="14"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are subject to regulation by federal, state, local and foreign authorities, which may impose additional costs and restrictions on our businesses</w:t>
      </w:r>
    </w:p>
    <w:p>
      <w:pPr>
        <w:spacing w:after="0" w:line="14"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changes to existing statutes, rules, regulations, or interpretations thereof, or adoption of new ones, could have an adverse effect on our businesses</w:t>
      </w:r>
    </w:p>
    <w:p>
      <w:pPr>
        <w:spacing w:after="0" w:line="14"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programming expenses for our video services are increasing, which could adversely affect our Cable Communications segment’s businesses</w:t>
      </w:r>
    </w:p>
    <w:p>
      <w:pPr>
        <w:spacing w:after="0" w:line="14" w:lineRule="exact"/>
        <w:rPr>
          <w:rFonts w:ascii="Arial" w:cs="Arial" w:eastAsia="Arial" w:hAnsi="Arial"/>
          <w:sz w:val="14"/>
          <w:szCs w:val="14"/>
          <w:color w:val="auto"/>
        </w:rPr>
      </w:pPr>
    </w:p>
    <w:p>
      <w:pPr>
        <w:ind w:left="1020" w:right="1260" w:hanging="215"/>
        <w:spacing w:after="0" w:line="239" w:lineRule="auto"/>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NBCUniversal’s success depends on consumer acceptance of its content and its businesses may be adversely affected if its content fails to achieve sufficient consumer acceptance or the costs to create or acquire content increase</w:t>
      </w:r>
    </w:p>
    <w:p>
      <w:pPr>
        <w:spacing w:after="0" w:line="3"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loss of NBCUniversal’s programming distribution agreements, or the renewal of these agreements on less favorable terms, could adversely affect its businesses</w:t>
      </w:r>
    </w:p>
    <w:p>
      <w:pPr>
        <w:spacing w:after="0" w:line="14" w:lineRule="exact"/>
        <w:rPr>
          <w:rFonts w:ascii="Arial" w:cs="Arial" w:eastAsia="Arial" w:hAnsi="Arial"/>
          <w:sz w:val="14"/>
          <w:szCs w:val="14"/>
          <w:color w:val="auto"/>
        </w:rPr>
      </w:pPr>
    </w:p>
    <w:p>
      <w:pPr>
        <w:ind w:left="1020" w:right="1240" w:hanging="215"/>
        <w:spacing w:after="0" w:line="239" w:lineRule="auto"/>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rely on network and information systems and other technologies, as well as key properties, and a disruption, cyber attack, failure or destruction of such networks, systems, technologies or properties may disrupt our businesses</w:t>
      </w:r>
    </w:p>
    <w:p>
      <w:pPr>
        <w:spacing w:after="0" w:line="3"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may be unable to obtain necessary hardware, software and operational support</w:t>
      </w:r>
    </w:p>
    <w:p>
      <w:pPr>
        <w:spacing w:after="0" w:line="14"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weak economic conditions may have a negative impact on our businesses</w:t>
      </w:r>
    </w:p>
    <w:p>
      <w:pPr>
        <w:spacing w:after="0" w:line="14"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businesses depend on using and protecting certain intellectual property rights and on not infringing the intellectual property rights of others</w:t>
      </w:r>
    </w:p>
    <w:p>
      <w:pPr>
        <w:spacing w:after="0" w:line="14" w:lineRule="exact"/>
        <w:rPr>
          <w:rFonts w:ascii="Arial" w:cs="Arial" w:eastAsia="Arial" w:hAnsi="Arial"/>
          <w:sz w:val="14"/>
          <w:szCs w:val="14"/>
          <w:color w:val="auto"/>
        </w:rPr>
      </w:pPr>
    </w:p>
    <w:p>
      <w:pPr>
        <w:ind w:left="1020" w:right="1240" w:hanging="215"/>
        <w:spacing w:after="0" w:line="239" w:lineRule="auto"/>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acquisitions and other strategic transactions present many risks, and we may not realize the financial and strategic goals that were contemplated at the time of any transaction</w:t>
      </w:r>
    </w:p>
    <w:p>
      <w:pPr>
        <w:spacing w:after="0" w:line="3"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labor disputes, whether involving employees or sports organizations, may disrupt our operations and adversely affect our businesses</w:t>
      </w:r>
    </w:p>
    <w:p>
      <w:pPr>
        <w:spacing w:after="0" w:line="14"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loss of key management personnel or popular on-air and creative talent could have an adverse effect on our businesses</w:t>
      </w:r>
    </w:p>
    <w:p>
      <w:pPr>
        <w:spacing w:after="0" w:line="14"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face risks relating to doing business internationally that could adversely affect our businesses</w:t>
      </w:r>
    </w:p>
    <w:p>
      <w:pPr>
        <w:spacing w:after="0" w:line="14" w:lineRule="exact"/>
        <w:rPr>
          <w:rFonts w:ascii="Arial" w:cs="Arial" w:eastAsia="Arial" w:hAnsi="Arial"/>
          <w:sz w:val="14"/>
          <w:szCs w:val="14"/>
          <w:color w:val="auto"/>
        </w:rPr>
      </w:pPr>
    </w:p>
    <w:p>
      <w:pPr>
        <w:ind w:left="1020" w:right="1240" w:hanging="215"/>
        <w:spacing w:after="0" w:line="239" w:lineRule="auto"/>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Class B common stock has substantial voting rights and separate approval rights over several potentially material transactions, and our Chairman and CEO has considerable influence over our company through his beneficial ownership of our Class B common stock</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 FINANCIAL INFORMATION</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FINANCIAL STATEMENTS</w:t>
      </w:r>
    </w:p>
    <w:p>
      <w:pPr>
        <w:spacing w:after="0" w:line="138"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20" w:type="dxa"/>
            <w:vAlign w:val="bottom"/>
          </w:tcPr>
          <w:p>
            <w:pPr>
              <w:spacing w:after="0"/>
              <w:rPr>
                <w:sz w:val="14"/>
                <w:szCs w:val="14"/>
                <w:color w:val="auto"/>
              </w:rPr>
            </w:pPr>
          </w:p>
        </w:tc>
        <w:tc>
          <w:tcPr>
            <w:tcW w:w="1660" w:type="dxa"/>
            <w:vAlign w:val="bottom"/>
            <w:gridSpan w:val="2"/>
          </w:tcPr>
          <w:p>
            <w:pPr>
              <w:ind w:left="560"/>
              <w:spacing w:after="0"/>
              <w:rPr>
                <w:sz w:val="20"/>
                <w:szCs w:val="20"/>
                <w:color w:val="auto"/>
              </w:rPr>
            </w:pPr>
            <w:r>
              <w:rPr>
                <w:rFonts w:ascii="Arial" w:cs="Arial" w:eastAsia="Arial" w:hAnsi="Arial"/>
                <w:sz w:val="14"/>
                <w:szCs w:val="14"/>
                <w:color w:val="auto"/>
              </w:rPr>
              <w:t>September 30,</w:t>
            </w:r>
          </w:p>
        </w:tc>
        <w:tc>
          <w:tcPr>
            <w:tcW w:w="1120" w:type="dxa"/>
            <w:vAlign w:val="bottom"/>
            <w:gridSpan w:val="2"/>
          </w:tcPr>
          <w:p>
            <w:pPr>
              <w:ind w:left="240"/>
              <w:spacing w:after="0"/>
              <w:rPr>
                <w:sz w:val="20"/>
                <w:szCs w:val="20"/>
                <w:color w:val="auto"/>
              </w:rPr>
            </w:pPr>
            <w:r>
              <w:rPr>
                <w:rFonts w:ascii="Arial" w:cs="Arial" w:eastAsia="Arial" w:hAnsi="Arial"/>
                <w:sz w:val="14"/>
                <w:szCs w:val="14"/>
                <w:color w:val="auto"/>
                <w:w w:val="97"/>
              </w:rPr>
              <w:t>December 31,</w:t>
            </w:r>
          </w:p>
        </w:tc>
        <w:tc>
          <w:tcPr>
            <w:tcW w:w="0" w:type="dxa"/>
            <w:vAlign w:val="bottom"/>
          </w:tcPr>
          <w:p>
            <w:pPr>
              <w:spacing w:after="0"/>
              <w:rPr>
                <w:sz w:val="1"/>
                <w:szCs w:val="1"/>
                <w:color w:val="auto"/>
              </w:rPr>
            </w:pPr>
          </w:p>
        </w:tc>
      </w:tr>
      <w:tr>
        <w:trPr>
          <w:trHeight w:val="159"/>
        </w:trPr>
        <w:tc>
          <w:tcPr>
            <w:tcW w:w="8640" w:type="dxa"/>
            <w:vAlign w:val="bottom"/>
            <w:gridSpan w:val="2"/>
          </w:tcPr>
          <w:p>
            <w:pPr>
              <w:spacing w:after="0" w:line="159" w:lineRule="exact"/>
              <w:rPr>
                <w:sz w:val="20"/>
                <w:szCs w:val="20"/>
                <w:color w:val="auto"/>
              </w:rPr>
            </w:pPr>
            <w:r>
              <w:rPr>
                <w:rFonts w:ascii="Arial" w:cs="Arial" w:eastAsia="Arial" w:hAnsi="Arial"/>
                <w:sz w:val="14"/>
                <w:szCs w:val="14"/>
                <w:color w:val="auto"/>
              </w:rPr>
              <w:t>(in millions, except share data)</w:t>
            </w:r>
          </w:p>
        </w:tc>
        <w:tc>
          <w:tcPr>
            <w:tcW w:w="720" w:type="dxa"/>
            <w:vAlign w:val="bottom"/>
          </w:tcPr>
          <w:p>
            <w:pPr>
              <w:spacing w:after="0"/>
              <w:rPr>
                <w:sz w:val="13"/>
                <w:szCs w:val="13"/>
                <w:color w:val="auto"/>
              </w:rPr>
            </w:pPr>
          </w:p>
        </w:tc>
        <w:tc>
          <w:tcPr>
            <w:tcW w:w="940" w:type="dxa"/>
            <w:vAlign w:val="bottom"/>
          </w:tcPr>
          <w:p>
            <w:pPr>
              <w:jc w:val="right"/>
              <w:ind w:right="473"/>
              <w:spacing w:after="0" w:line="159" w:lineRule="exact"/>
              <w:rPr>
                <w:sz w:val="20"/>
                <w:szCs w:val="20"/>
                <w:color w:val="auto"/>
              </w:rPr>
            </w:pPr>
            <w:r>
              <w:rPr>
                <w:rFonts w:ascii="Arial" w:cs="Arial" w:eastAsia="Arial" w:hAnsi="Arial"/>
                <w:sz w:val="14"/>
                <w:szCs w:val="14"/>
                <w:color w:val="auto"/>
              </w:rPr>
              <w:t>2015</w:t>
            </w:r>
          </w:p>
        </w:tc>
        <w:tc>
          <w:tcPr>
            <w:tcW w:w="380" w:type="dxa"/>
            <w:vAlign w:val="bottom"/>
          </w:tcPr>
          <w:p>
            <w:pPr>
              <w:spacing w:after="0"/>
              <w:rPr>
                <w:sz w:val="13"/>
                <w:szCs w:val="13"/>
                <w:color w:val="auto"/>
              </w:rPr>
            </w:pPr>
          </w:p>
        </w:tc>
        <w:tc>
          <w:tcPr>
            <w:tcW w:w="740" w:type="dxa"/>
            <w:vAlign w:val="bottom"/>
          </w:tcPr>
          <w:p>
            <w:pPr>
              <w:jc w:val="right"/>
              <w:ind w:right="273"/>
              <w:spacing w:after="0" w:line="159" w:lineRule="exact"/>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2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Assets</w:t>
            </w:r>
          </w:p>
        </w:tc>
        <w:tc>
          <w:tcPr>
            <w:tcW w:w="720" w:type="dxa"/>
            <w:vAlign w:val="bottom"/>
            <w:tcBorders>
              <w:top w:val="single" w:sz="8" w:color="auto"/>
            </w:tcBorders>
            <w:shd w:val="clear" w:color="auto" w:fill="E5E5E5"/>
          </w:tcPr>
          <w:p>
            <w:pPr>
              <w:spacing w:after="0"/>
              <w:rPr>
                <w:sz w:val="18"/>
                <w:szCs w:val="18"/>
                <w:color w:val="auto"/>
              </w:rPr>
            </w:pPr>
          </w:p>
        </w:tc>
        <w:tc>
          <w:tcPr>
            <w:tcW w:w="940" w:type="dxa"/>
            <w:vAlign w:val="bottom"/>
            <w:tcBorders>
              <w:top w:val="single" w:sz="8" w:color="auto"/>
            </w:tcBorders>
            <w:shd w:val="clear" w:color="auto" w:fill="E5E5E5"/>
          </w:tcPr>
          <w:p>
            <w:pPr>
              <w:spacing w:after="0"/>
              <w:rPr>
                <w:sz w:val="18"/>
                <w:szCs w:val="18"/>
                <w:color w:val="auto"/>
              </w:rPr>
            </w:pPr>
          </w:p>
        </w:tc>
        <w:tc>
          <w:tcPr>
            <w:tcW w:w="380" w:type="dxa"/>
            <w:vAlign w:val="bottom"/>
            <w:tcBorders>
              <w:top w:val="single" w:sz="8" w:color="auto"/>
            </w:tcBorders>
            <w:shd w:val="clear" w:color="auto" w:fill="E5E5E5"/>
          </w:tcPr>
          <w:p>
            <w:pPr>
              <w:spacing w:after="0"/>
              <w:rPr>
                <w:sz w:val="18"/>
                <w:szCs w:val="18"/>
                <w:color w:val="auto"/>
              </w:rPr>
            </w:pPr>
          </w:p>
        </w:tc>
        <w:tc>
          <w:tcPr>
            <w:tcW w:w="74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Current Assets:</w:t>
            </w: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Cash and cash equivalents</w:t>
            </w:r>
          </w:p>
        </w:tc>
        <w:tc>
          <w:tcPr>
            <w:tcW w:w="720" w:type="dxa"/>
            <w:vAlign w:val="bottom"/>
            <w:shd w:val="clear" w:color="auto" w:fill="E5E5E5"/>
          </w:tcPr>
          <w:p>
            <w:pPr>
              <w:ind w:left="560"/>
              <w:spacing w:after="0"/>
              <w:rPr>
                <w:sz w:val="20"/>
                <w:szCs w:val="20"/>
                <w:color w:val="auto"/>
              </w:rPr>
            </w:pPr>
            <w:r>
              <w:rPr>
                <w:rFonts w:ascii="Arial" w:cs="Arial" w:eastAsia="Arial" w:hAnsi="Arial"/>
                <w:sz w:val="18"/>
                <w:szCs w:val="18"/>
                <w:color w:val="auto"/>
              </w:rPr>
              <w:t>$</w:t>
            </w:r>
          </w:p>
        </w:tc>
        <w:tc>
          <w:tcPr>
            <w:tcW w:w="94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1,893</w:t>
            </w:r>
          </w:p>
        </w:tc>
        <w:tc>
          <w:tcPr>
            <w:tcW w:w="380" w:type="dxa"/>
            <w:vAlign w:val="bottom"/>
            <w:shd w:val="clear" w:color="auto" w:fill="E5E5E5"/>
          </w:tcPr>
          <w:p>
            <w:pPr>
              <w:ind w:left="240"/>
              <w:spacing w:after="0"/>
              <w:rPr>
                <w:sz w:val="20"/>
                <w:szCs w:val="20"/>
                <w:color w:val="auto"/>
              </w:rPr>
            </w:pPr>
            <w:r>
              <w:rPr>
                <w:rFonts w:ascii="Arial" w:cs="Arial" w:eastAsia="Arial" w:hAnsi="Arial"/>
                <w:sz w:val="18"/>
                <w:szCs w:val="18"/>
                <w:color w:val="auto"/>
              </w:rPr>
              <w:t>$</w:t>
            </w: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420"/>
              <w:spacing w:after="0"/>
              <w:rPr>
                <w:sz w:val="20"/>
                <w:szCs w:val="20"/>
                <w:color w:val="auto"/>
              </w:rPr>
            </w:pPr>
            <w:r>
              <w:rPr>
                <w:rFonts w:ascii="Arial" w:cs="Arial" w:eastAsia="Arial" w:hAnsi="Arial"/>
                <w:sz w:val="18"/>
                <w:szCs w:val="18"/>
                <w:color w:val="auto"/>
              </w:rPr>
              <w:t>Investments</w:t>
            </w:r>
          </w:p>
        </w:tc>
        <w:tc>
          <w:tcPr>
            <w:tcW w:w="720" w:type="dxa"/>
            <w:vAlign w:val="bottom"/>
          </w:tcPr>
          <w:p>
            <w:pPr>
              <w:spacing w:after="0"/>
              <w:rPr>
                <w:sz w:val="18"/>
                <w:szCs w:val="18"/>
                <w:color w:val="auto"/>
              </w:rPr>
            </w:pPr>
          </w:p>
        </w:tc>
        <w:tc>
          <w:tcPr>
            <w:tcW w:w="940" w:type="dxa"/>
            <w:vAlign w:val="bottom"/>
          </w:tcPr>
          <w:p>
            <w:pPr>
              <w:jc w:val="right"/>
              <w:ind w:right="233"/>
              <w:spacing w:after="0"/>
              <w:rPr>
                <w:sz w:val="20"/>
                <w:szCs w:val="20"/>
                <w:color w:val="auto"/>
              </w:rPr>
            </w:pPr>
            <w:r>
              <w:rPr>
                <w:rFonts w:ascii="Arial" w:cs="Arial" w:eastAsia="Arial" w:hAnsi="Arial"/>
                <w:sz w:val="18"/>
                <w:szCs w:val="18"/>
                <w:color w:val="auto"/>
              </w:rPr>
              <w:t>137</w:t>
            </w:r>
          </w:p>
        </w:tc>
        <w:tc>
          <w:tcPr>
            <w:tcW w:w="38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Receivables, net</w:t>
            </w:r>
          </w:p>
        </w:tc>
        <w:tc>
          <w:tcPr>
            <w:tcW w:w="720" w:type="dxa"/>
            <w:vAlign w:val="bottom"/>
            <w:shd w:val="clear" w:color="auto" w:fill="E5E5E5"/>
          </w:tcPr>
          <w:p>
            <w:pPr>
              <w:spacing w:after="0"/>
              <w:rPr>
                <w:sz w:val="18"/>
                <w:szCs w:val="18"/>
                <w:color w:val="auto"/>
              </w:rPr>
            </w:pPr>
          </w:p>
        </w:tc>
        <w:tc>
          <w:tcPr>
            <w:tcW w:w="94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6,527</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6,321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420"/>
              <w:spacing w:after="0"/>
              <w:rPr>
                <w:sz w:val="20"/>
                <w:szCs w:val="20"/>
                <w:color w:val="auto"/>
              </w:rPr>
            </w:pPr>
            <w:r>
              <w:rPr>
                <w:rFonts w:ascii="Arial" w:cs="Arial" w:eastAsia="Arial" w:hAnsi="Arial"/>
                <w:sz w:val="18"/>
                <w:szCs w:val="18"/>
                <w:color w:val="auto"/>
              </w:rPr>
              <w:t>Programming rights</w:t>
            </w:r>
          </w:p>
        </w:tc>
        <w:tc>
          <w:tcPr>
            <w:tcW w:w="720" w:type="dxa"/>
            <w:vAlign w:val="bottom"/>
          </w:tcPr>
          <w:p>
            <w:pPr>
              <w:spacing w:after="0"/>
              <w:rPr>
                <w:sz w:val="18"/>
                <w:szCs w:val="18"/>
                <w:color w:val="auto"/>
              </w:rPr>
            </w:pPr>
          </w:p>
        </w:tc>
        <w:tc>
          <w:tcPr>
            <w:tcW w:w="940" w:type="dxa"/>
            <w:vAlign w:val="bottom"/>
          </w:tcPr>
          <w:p>
            <w:pPr>
              <w:jc w:val="right"/>
              <w:ind w:right="233"/>
              <w:spacing w:after="0"/>
              <w:rPr>
                <w:sz w:val="20"/>
                <w:szCs w:val="20"/>
                <w:color w:val="auto"/>
              </w:rPr>
            </w:pPr>
            <w:r>
              <w:rPr>
                <w:rFonts w:ascii="Arial" w:cs="Arial" w:eastAsia="Arial" w:hAnsi="Arial"/>
                <w:sz w:val="18"/>
                <w:szCs w:val="18"/>
                <w:color w:val="auto"/>
              </w:rPr>
              <w:t>1,130</w:t>
            </w:r>
          </w:p>
        </w:tc>
        <w:tc>
          <w:tcPr>
            <w:tcW w:w="38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Other current assets</w:t>
            </w:r>
          </w:p>
        </w:tc>
        <w:tc>
          <w:tcPr>
            <w:tcW w:w="720" w:type="dxa"/>
            <w:vAlign w:val="bottom"/>
            <w:tcBorders>
              <w:bottom w:val="single" w:sz="8" w:color="auto"/>
            </w:tcBorders>
            <w:shd w:val="clear" w:color="auto" w:fill="E5E5E5"/>
          </w:tcPr>
          <w:p>
            <w:pPr>
              <w:spacing w:after="0"/>
              <w:rPr>
                <w:sz w:val="18"/>
                <w:szCs w:val="18"/>
                <w:color w:val="auto"/>
              </w:rPr>
            </w:pPr>
          </w:p>
        </w:tc>
        <w:tc>
          <w:tcPr>
            <w:tcW w:w="940" w:type="dxa"/>
            <w:vAlign w:val="bottom"/>
            <w:tcBorders>
              <w:bottom w:val="single" w:sz="8" w:color="auto"/>
            </w:tcBorders>
            <w:shd w:val="clear" w:color="auto" w:fill="E5E5E5"/>
          </w:tcPr>
          <w:p>
            <w:pPr>
              <w:jc w:val="right"/>
              <w:ind w:right="233"/>
              <w:spacing w:after="0"/>
              <w:rPr>
                <w:sz w:val="20"/>
                <w:szCs w:val="20"/>
                <w:color w:val="auto"/>
              </w:rPr>
            </w:pPr>
            <w:r>
              <w:rPr>
                <w:rFonts w:ascii="Arial" w:cs="Arial" w:eastAsia="Arial" w:hAnsi="Arial"/>
                <w:sz w:val="18"/>
                <w:szCs w:val="18"/>
                <w:color w:val="auto"/>
              </w:rPr>
              <w:t>1,814</w:t>
            </w:r>
          </w:p>
        </w:tc>
        <w:tc>
          <w:tcPr>
            <w:tcW w:w="38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1,859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Total current assets</w:t>
            </w:r>
          </w:p>
        </w:tc>
        <w:tc>
          <w:tcPr>
            <w:tcW w:w="720" w:type="dxa"/>
            <w:vAlign w:val="bottom"/>
          </w:tcPr>
          <w:p>
            <w:pPr>
              <w:spacing w:after="0"/>
              <w:rPr>
                <w:sz w:val="18"/>
                <w:szCs w:val="18"/>
                <w:color w:val="auto"/>
              </w:rPr>
            </w:pPr>
          </w:p>
        </w:tc>
        <w:tc>
          <w:tcPr>
            <w:tcW w:w="940" w:type="dxa"/>
            <w:vAlign w:val="bottom"/>
          </w:tcPr>
          <w:p>
            <w:pPr>
              <w:jc w:val="right"/>
              <w:ind w:right="233"/>
              <w:spacing w:after="0"/>
              <w:rPr>
                <w:sz w:val="20"/>
                <w:szCs w:val="20"/>
                <w:color w:val="auto"/>
              </w:rPr>
            </w:pPr>
            <w:r>
              <w:rPr>
                <w:rFonts w:ascii="Arial" w:cs="Arial" w:eastAsia="Arial" w:hAnsi="Arial"/>
                <w:sz w:val="18"/>
                <w:szCs w:val="18"/>
                <w:color w:val="auto"/>
              </w:rPr>
              <w:t>11,501</w:t>
            </w:r>
          </w:p>
        </w:tc>
        <w:tc>
          <w:tcPr>
            <w:tcW w:w="38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13,531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E5E5E5"/>
          </w:tcPr>
          <w:p>
            <w:pPr>
              <w:spacing w:after="0"/>
              <w:rPr>
                <w:sz w:val="20"/>
                <w:szCs w:val="20"/>
                <w:color w:val="auto"/>
              </w:rPr>
            </w:pPr>
            <w:r>
              <w:rPr>
                <w:rFonts w:ascii="Arial" w:cs="Arial" w:eastAsia="Arial" w:hAnsi="Arial"/>
                <w:sz w:val="18"/>
                <w:szCs w:val="18"/>
                <w:color w:val="auto"/>
              </w:rPr>
              <w:t>Film and television costs</w:t>
            </w:r>
          </w:p>
        </w:tc>
        <w:tc>
          <w:tcPr>
            <w:tcW w:w="720" w:type="dxa"/>
            <w:vAlign w:val="bottom"/>
            <w:shd w:val="clear" w:color="auto" w:fill="E5E5E5"/>
          </w:tcPr>
          <w:p>
            <w:pPr>
              <w:spacing w:after="0"/>
              <w:rPr>
                <w:sz w:val="18"/>
                <w:szCs w:val="18"/>
                <w:color w:val="auto"/>
              </w:rPr>
            </w:pPr>
          </w:p>
        </w:tc>
        <w:tc>
          <w:tcPr>
            <w:tcW w:w="94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5,712</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5,727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Investments</w:t>
            </w:r>
          </w:p>
        </w:tc>
        <w:tc>
          <w:tcPr>
            <w:tcW w:w="720" w:type="dxa"/>
            <w:vAlign w:val="bottom"/>
          </w:tcPr>
          <w:p>
            <w:pPr>
              <w:spacing w:after="0"/>
              <w:rPr>
                <w:sz w:val="18"/>
                <w:szCs w:val="18"/>
                <w:color w:val="auto"/>
              </w:rPr>
            </w:pPr>
          </w:p>
        </w:tc>
        <w:tc>
          <w:tcPr>
            <w:tcW w:w="940" w:type="dxa"/>
            <w:vAlign w:val="bottom"/>
          </w:tcPr>
          <w:p>
            <w:pPr>
              <w:jc w:val="right"/>
              <w:ind w:right="233"/>
              <w:spacing w:after="0"/>
              <w:rPr>
                <w:sz w:val="20"/>
                <w:szCs w:val="20"/>
                <w:color w:val="auto"/>
              </w:rPr>
            </w:pPr>
            <w:r>
              <w:rPr>
                <w:rFonts w:ascii="Arial" w:cs="Arial" w:eastAsia="Arial" w:hAnsi="Arial"/>
                <w:sz w:val="18"/>
                <w:szCs w:val="18"/>
                <w:color w:val="auto"/>
              </w:rPr>
              <w:t>3,323</w:t>
            </w:r>
          </w:p>
        </w:tc>
        <w:tc>
          <w:tcPr>
            <w:tcW w:w="38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3,135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E5E5E5"/>
          </w:tcPr>
          <w:p>
            <w:pPr>
              <w:spacing w:after="0"/>
              <w:rPr>
                <w:sz w:val="20"/>
                <w:szCs w:val="20"/>
                <w:color w:val="auto"/>
              </w:rPr>
            </w:pPr>
            <w:r>
              <w:rPr>
                <w:rFonts w:ascii="Arial" w:cs="Arial" w:eastAsia="Arial" w:hAnsi="Arial"/>
                <w:sz w:val="18"/>
                <w:szCs w:val="18"/>
                <w:color w:val="auto"/>
              </w:rPr>
              <w:t>Property and equipment, net of accumulated depreciation of $47,460 and $45,410</w:t>
            </w:r>
          </w:p>
        </w:tc>
        <w:tc>
          <w:tcPr>
            <w:tcW w:w="720" w:type="dxa"/>
            <w:vAlign w:val="bottom"/>
            <w:shd w:val="clear" w:color="auto" w:fill="E5E5E5"/>
          </w:tcPr>
          <w:p>
            <w:pPr>
              <w:spacing w:after="0"/>
              <w:rPr>
                <w:sz w:val="18"/>
                <w:szCs w:val="18"/>
                <w:color w:val="auto"/>
              </w:rPr>
            </w:pPr>
          </w:p>
        </w:tc>
        <w:tc>
          <w:tcPr>
            <w:tcW w:w="94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32,170</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30,953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Franchise rights</w:t>
            </w:r>
          </w:p>
        </w:tc>
        <w:tc>
          <w:tcPr>
            <w:tcW w:w="720" w:type="dxa"/>
            <w:vAlign w:val="bottom"/>
          </w:tcPr>
          <w:p>
            <w:pPr>
              <w:spacing w:after="0"/>
              <w:rPr>
                <w:sz w:val="18"/>
                <w:szCs w:val="18"/>
                <w:color w:val="auto"/>
              </w:rPr>
            </w:pPr>
          </w:p>
        </w:tc>
        <w:tc>
          <w:tcPr>
            <w:tcW w:w="940" w:type="dxa"/>
            <w:vAlign w:val="bottom"/>
          </w:tcPr>
          <w:p>
            <w:pPr>
              <w:jc w:val="right"/>
              <w:ind w:right="233"/>
              <w:spacing w:after="0"/>
              <w:rPr>
                <w:sz w:val="20"/>
                <w:szCs w:val="20"/>
                <w:color w:val="auto"/>
              </w:rPr>
            </w:pPr>
            <w:r>
              <w:rPr>
                <w:rFonts w:ascii="Arial" w:cs="Arial" w:eastAsia="Arial" w:hAnsi="Arial"/>
                <w:sz w:val="18"/>
                <w:szCs w:val="18"/>
                <w:color w:val="auto"/>
              </w:rPr>
              <w:t>59,364</w:t>
            </w:r>
          </w:p>
        </w:tc>
        <w:tc>
          <w:tcPr>
            <w:tcW w:w="38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59,364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E5E5E5"/>
          </w:tcPr>
          <w:p>
            <w:pPr>
              <w:spacing w:after="0"/>
              <w:rPr>
                <w:sz w:val="20"/>
                <w:szCs w:val="20"/>
                <w:color w:val="auto"/>
              </w:rPr>
            </w:pPr>
            <w:r>
              <w:rPr>
                <w:rFonts w:ascii="Arial" w:cs="Arial" w:eastAsia="Arial" w:hAnsi="Arial"/>
                <w:sz w:val="18"/>
                <w:szCs w:val="18"/>
                <w:color w:val="auto"/>
              </w:rPr>
              <w:t>Goodwill</w:t>
            </w:r>
          </w:p>
        </w:tc>
        <w:tc>
          <w:tcPr>
            <w:tcW w:w="720" w:type="dxa"/>
            <w:vAlign w:val="bottom"/>
            <w:shd w:val="clear" w:color="auto" w:fill="E5E5E5"/>
          </w:tcPr>
          <w:p>
            <w:pPr>
              <w:spacing w:after="0"/>
              <w:rPr>
                <w:sz w:val="18"/>
                <w:szCs w:val="18"/>
                <w:color w:val="auto"/>
              </w:rPr>
            </w:pPr>
          </w:p>
        </w:tc>
        <w:tc>
          <w:tcPr>
            <w:tcW w:w="94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27,492</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27,316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Other intangible assets, net of accumulated amortization of $11,251 and $10,170</w:t>
            </w:r>
          </w:p>
        </w:tc>
        <w:tc>
          <w:tcPr>
            <w:tcW w:w="720" w:type="dxa"/>
            <w:vAlign w:val="bottom"/>
          </w:tcPr>
          <w:p>
            <w:pPr>
              <w:spacing w:after="0"/>
              <w:rPr>
                <w:sz w:val="18"/>
                <w:szCs w:val="18"/>
                <w:color w:val="auto"/>
              </w:rPr>
            </w:pPr>
          </w:p>
        </w:tc>
        <w:tc>
          <w:tcPr>
            <w:tcW w:w="940" w:type="dxa"/>
            <w:vAlign w:val="bottom"/>
          </w:tcPr>
          <w:p>
            <w:pPr>
              <w:jc w:val="right"/>
              <w:ind w:right="233"/>
              <w:spacing w:after="0"/>
              <w:rPr>
                <w:sz w:val="20"/>
                <w:szCs w:val="20"/>
                <w:color w:val="auto"/>
              </w:rPr>
            </w:pPr>
            <w:r>
              <w:rPr>
                <w:rFonts w:ascii="Arial" w:cs="Arial" w:eastAsia="Arial" w:hAnsi="Arial"/>
                <w:sz w:val="18"/>
                <w:szCs w:val="18"/>
                <w:color w:val="auto"/>
              </w:rPr>
              <w:t>16,896</w:t>
            </w:r>
          </w:p>
        </w:tc>
        <w:tc>
          <w:tcPr>
            <w:tcW w:w="38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16,980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Other noncurrent assets, net</w:t>
            </w:r>
          </w:p>
        </w:tc>
        <w:tc>
          <w:tcPr>
            <w:tcW w:w="720" w:type="dxa"/>
            <w:vAlign w:val="bottom"/>
            <w:tcBorders>
              <w:bottom w:val="single" w:sz="8" w:color="auto"/>
            </w:tcBorders>
            <w:shd w:val="clear" w:color="auto" w:fill="E5E5E5"/>
          </w:tcPr>
          <w:p>
            <w:pPr>
              <w:spacing w:after="0"/>
              <w:rPr>
                <w:sz w:val="18"/>
                <w:szCs w:val="18"/>
                <w:color w:val="auto"/>
              </w:rPr>
            </w:pPr>
          </w:p>
        </w:tc>
        <w:tc>
          <w:tcPr>
            <w:tcW w:w="940" w:type="dxa"/>
            <w:vAlign w:val="bottom"/>
            <w:tcBorders>
              <w:bottom w:val="single" w:sz="8" w:color="auto"/>
            </w:tcBorders>
            <w:shd w:val="clear" w:color="auto" w:fill="E5E5E5"/>
          </w:tcPr>
          <w:p>
            <w:pPr>
              <w:jc w:val="right"/>
              <w:ind w:right="233"/>
              <w:spacing w:after="0"/>
              <w:rPr>
                <w:sz w:val="20"/>
                <w:szCs w:val="20"/>
                <w:color w:val="auto"/>
              </w:rPr>
            </w:pPr>
            <w:r>
              <w:rPr>
                <w:rFonts w:ascii="Arial" w:cs="Arial" w:eastAsia="Arial" w:hAnsi="Arial"/>
                <w:sz w:val="18"/>
                <w:szCs w:val="18"/>
                <w:color w:val="auto"/>
              </w:rPr>
              <w:t>2,500</w:t>
            </w:r>
          </w:p>
        </w:tc>
        <w:tc>
          <w:tcPr>
            <w:tcW w:w="38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2,333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assets</w:t>
            </w:r>
          </w:p>
        </w:tc>
        <w:tc>
          <w:tcPr>
            <w:tcW w:w="720" w:type="dxa"/>
            <w:vAlign w:val="bottom"/>
            <w:tcBorders>
              <w:bottom w:val="single" w:sz="8" w:color="auto"/>
            </w:tcBorders>
          </w:tcPr>
          <w:p>
            <w:pPr>
              <w:ind w:left="56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b w:val="1"/>
                <w:bCs w:val="1"/>
                <w:color w:val="auto"/>
                <w:w w:val="92"/>
              </w:rPr>
              <w:t>158,958</w:t>
            </w:r>
          </w:p>
        </w:tc>
        <w:tc>
          <w:tcPr>
            <w:tcW w:w="38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w w:val="95"/>
              </w:rPr>
              <w:t>159,339</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8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940" w:type="dxa"/>
            <w:vAlign w:val="bottom"/>
          </w:tcPr>
          <w:p>
            <w:pPr>
              <w:spacing w:after="0"/>
              <w:rPr>
                <w:sz w:val="8"/>
                <w:szCs w:val="8"/>
                <w:color w:val="auto"/>
              </w:rPr>
            </w:pPr>
          </w:p>
        </w:tc>
        <w:tc>
          <w:tcPr>
            <w:tcW w:w="38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2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Liabilities and Equity</w:t>
            </w:r>
          </w:p>
        </w:tc>
        <w:tc>
          <w:tcPr>
            <w:tcW w:w="720" w:type="dxa"/>
            <w:vAlign w:val="bottom"/>
            <w:shd w:val="clear" w:color="auto" w:fill="E5E5E5"/>
          </w:tcPr>
          <w:p>
            <w:pPr>
              <w:spacing w:after="0"/>
              <w:rPr>
                <w:sz w:val="18"/>
                <w:szCs w:val="18"/>
                <w:color w:val="auto"/>
              </w:rPr>
            </w:pPr>
          </w:p>
        </w:tc>
        <w:tc>
          <w:tcPr>
            <w:tcW w:w="94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Current Liabilities:</w:t>
            </w: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Accounts payable and accrued expenses related to trade creditors</w:t>
            </w:r>
          </w:p>
        </w:tc>
        <w:tc>
          <w:tcPr>
            <w:tcW w:w="720" w:type="dxa"/>
            <w:vAlign w:val="bottom"/>
            <w:shd w:val="clear" w:color="auto" w:fill="E5E5E5"/>
          </w:tcPr>
          <w:p>
            <w:pPr>
              <w:ind w:left="560"/>
              <w:spacing w:after="0"/>
              <w:rPr>
                <w:sz w:val="20"/>
                <w:szCs w:val="20"/>
                <w:color w:val="auto"/>
              </w:rPr>
            </w:pPr>
            <w:r>
              <w:rPr>
                <w:rFonts w:ascii="Arial" w:cs="Arial" w:eastAsia="Arial" w:hAnsi="Arial"/>
                <w:sz w:val="18"/>
                <w:szCs w:val="18"/>
                <w:color w:val="auto"/>
              </w:rPr>
              <w:t>$</w:t>
            </w:r>
          </w:p>
        </w:tc>
        <w:tc>
          <w:tcPr>
            <w:tcW w:w="94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5,996</w:t>
            </w:r>
          </w:p>
        </w:tc>
        <w:tc>
          <w:tcPr>
            <w:tcW w:w="380" w:type="dxa"/>
            <w:vAlign w:val="bottom"/>
            <w:shd w:val="clear" w:color="auto" w:fill="E5E5E5"/>
          </w:tcPr>
          <w:p>
            <w:pPr>
              <w:ind w:left="240"/>
              <w:spacing w:after="0"/>
              <w:rPr>
                <w:sz w:val="20"/>
                <w:szCs w:val="20"/>
                <w:color w:val="auto"/>
              </w:rPr>
            </w:pPr>
            <w:r>
              <w:rPr>
                <w:rFonts w:ascii="Arial" w:cs="Arial" w:eastAsia="Arial" w:hAnsi="Arial"/>
                <w:sz w:val="18"/>
                <w:szCs w:val="18"/>
                <w:color w:val="auto"/>
              </w:rPr>
              <w:t>$</w:t>
            </w: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5,638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420"/>
              <w:spacing w:after="0"/>
              <w:rPr>
                <w:sz w:val="20"/>
                <w:szCs w:val="20"/>
                <w:color w:val="auto"/>
              </w:rPr>
            </w:pPr>
            <w:r>
              <w:rPr>
                <w:rFonts w:ascii="Arial" w:cs="Arial" w:eastAsia="Arial" w:hAnsi="Arial"/>
                <w:sz w:val="18"/>
                <w:szCs w:val="18"/>
                <w:color w:val="auto"/>
              </w:rPr>
              <w:t>Accrued participations and residuals</w:t>
            </w:r>
          </w:p>
        </w:tc>
        <w:tc>
          <w:tcPr>
            <w:tcW w:w="720" w:type="dxa"/>
            <w:vAlign w:val="bottom"/>
          </w:tcPr>
          <w:p>
            <w:pPr>
              <w:spacing w:after="0"/>
              <w:rPr>
                <w:sz w:val="18"/>
                <w:szCs w:val="18"/>
                <w:color w:val="auto"/>
              </w:rPr>
            </w:pPr>
          </w:p>
        </w:tc>
        <w:tc>
          <w:tcPr>
            <w:tcW w:w="940" w:type="dxa"/>
            <w:vAlign w:val="bottom"/>
          </w:tcPr>
          <w:p>
            <w:pPr>
              <w:jc w:val="right"/>
              <w:ind w:right="233"/>
              <w:spacing w:after="0"/>
              <w:rPr>
                <w:sz w:val="20"/>
                <w:szCs w:val="20"/>
                <w:color w:val="auto"/>
              </w:rPr>
            </w:pPr>
            <w:r>
              <w:rPr>
                <w:rFonts w:ascii="Arial" w:cs="Arial" w:eastAsia="Arial" w:hAnsi="Arial"/>
                <w:sz w:val="18"/>
                <w:szCs w:val="18"/>
                <w:color w:val="auto"/>
              </w:rPr>
              <w:t>1,491</w:t>
            </w:r>
          </w:p>
        </w:tc>
        <w:tc>
          <w:tcPr>
            <w:tcW w:w="38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1,347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Deferred revenue</w:t>
            </w:r>
          </w:p>
        </w:tc>
        <w:tc>
          <w:tcPr>
            <w:tcW w:w="720" w:type="dxa"/>
            <w:vAlign w:val="bottom"/>
            <w:shd w:val="clear" w:color="auto" w:fill="E5E5E5"/>
          </w:tcPr>
          <w:p>
            <w:pPr>
              <w:spacing w:after="0"/>
              <w:rPr>
                <w:sz w:val="18"/>
                <w:szCs w:val="18"/>
                <w:color w:val="auto"/>
              </w:rPr>
            </w:pPr>
          </w:p>
        </w:tc>
        <w:tc>
          <w:tcPr>
            <w:tcW w:w="94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1,265</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720" w:type="dxa"/>
            <w:vAlign w:val="bottom"/>
          </w:tcPr>
          <w:p>
            <w:pPr>
              <w:spacing w:after="0"/>
              <w:rPr>
                <w:sz w:val="18"/>
                <w:szCs w:val="18"/>
                <w:color w:val="auto"/>
              </w:rPr>
            </w:pPr>
          </w:p>
        </w:tc>
        <w:tc>
          <w:tcPr>
            <w:tcW w:w="940" w:type="dxa"/>
            <w:vAlign w:val="bottom"/>
          </w:tcPr>
          <w:p>
            <w:pPr>
              <w:jc w:val="right"/>
              <w:ind w:right="233"/>
              <w:spacing w:after="0"/>
              <w:rPr>
                <w:sz w:val="20"/>
                <w:szCs w:val="20"/>
                <w:color w:val="auto"/>
              </w:rPr>
            </w:pPr>
            <w:r>
              <w:rPr>
                <w:rFonts w:ascii="Arial" w:cs="Arial" w:eastAsia="Arial" w:hAnsi="Arial"/>
                <w:sz w:val="18"/>
                <w:szCs w:val="18"/>
                <w:color w:val="auto"/>
              </w:rPr>
              <w:t>5,455</w:t>
            </w:r>
          </w:p>
        </w:tc>
        <w:tc>
          <w:tcPr>
            <w:tcW w:w="38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5,293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Current portion of long-term debt</w:t>
            </w:r>
          </w:p>
        </w:tc>
        <w:tc>
          <w:tcPr>
            <w:tcW w:w="720" w:type="dxa"/>
            <w:vAlign w:val="bottom"/>
            <w:tcBorders>
              <w:bottom w:val="single" w:sz="8" w:color="auto"/>
            </w:tcBorders>
            <w:shd w:val="clear" w:color="auto" w:fill="E5E5E5"/>
          </w:tcPr>
          <w:p>
            <w:pPr>
              <w:spacing w:after="0"/>
              <w:rPr>
                <w:sz w:val="18"/>
                <w:szCs w:val="18"/>
                <w:color w:val="auto"/>
              </w:rPr>
            </w:pPr>
          </w:p>
        </w:tc>
        <w:tc>
          <w:tcPr>
            <w:tcW w:w="940" w:type="dxa"/>
            <w:vAlign w:val="bottom"/>
            <w:tcBorders>
              <w:bottom w:val="single" w:sz="8" w:color="auto"/>
            </w:tcBorders>
            <w:shd w:val="clear" w:color="auto" w:fill="E5E5E5"/>
          </w:tcPr>
          <w:p>
            <w:pPr>
              <w:jc w:val="right"/>
              <w:ind w:right="233"/>
              <w:spacing w:after="0"/>
              <w:rPr>
                <w:sz w:val="20"/>
                <w:szCs w:val="20"/>
                <w:color w:val="auto"/>
              </w:rPr>
            </w:pPr>
            <w:r>
              <w:rPr>
                <w:rFonts w:ascii="Arial" w:cs="Arial" w:eastAsia="Arial" w:hAnsi="Arial"/>
                <w:sz w:val="18"/>
                <w:szCs w:val="18"/>
                <w:color w:val="auto"/>
              </w:rPr>
              <w:t>3,152</w:t>
            </w:r>
          </w:p>
        </w:tc>
        <w:tc>
          <w:tcPr>
            <w:tcW w:w="38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4,217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720" w:type="dxa"/>
            <w:vAlign w:val="bottom"/>
          </w:tcPr>
          <w:p>
            <w:pPr>
              <w:spacing w:after="0"/>
              <w:rPr>
                <w:sz w:val="18"/>
                <w:szCs w:val="18"/>
                <w:color w:val="auto"/>
              </w:rPr>
            </w:pPr>
          </w:p>
        </w:tc>
        <w:tc>
          <w:tcPr>
            <w:tcW w:w="940" w:type="dxa"/>
            <w:vAlign w:val="bottom"/>
          </w:tcPr>
          <w:p>
            <w:pPr>
              <w:jc w:val="right"/>
              <w:ind w:right="233"/>
              <w:spacing w:after="0"/>
              <w:rPr>
                <w:sz w:val="20"/>
                <w:szCs w:val="20"/>
                <w:color w:val="auto"/>
              </w:rPr>
            </w:pPr>
            <w:r>
              <w:rPr>
                <w:rFonts w:ascii="Arial" w:cs="Arial" w:eastAsia="Arial" w:hAnsi="Arial"/>
                <w:sz w:val="18"/>
                <w:szCs w:val="18"/>
                <w:color w:val="auto"/>
              </w:rPr>
              <w:t>17,359</w:t>
            </w:r>
          </w:p>
        </w:tc>
        <w:tc>
          <w:tcPr>
            <w:tcW w:w="38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17,410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E5E5E5"/>
          </w:tcPr>
          <w:p>
            <w:pPr>
              <w:spacing w:after="0"/>
              <w:rPr>
                <w:sz w:val="20"/>
                <w:szCs w:val="20"/>
                <w:color w:val="auto"/>
              </w:rPr>
            </w:pPr>
            <w:r>
              <w:rPr>
                <w:rFonts w:ascii="Arial" w:cs="Arial" w:eastAsia="Arial" w:hAnsi="Arial"/>
                <w:sz w:val="18"/>
                <w:szCs w:val="18"/>
                <w:color w:val="auto"/>
              </w:rPr>
              <w:t>Long-term debt, less current portion</w:t>
            </w:r>
          </w:p>
        </w:tc>
        <w:tc>
          <w:tcPr>
            <w:tcW w:w="720" w:type="dxa"/>
            <w:vAlign w:val="bottom"/>
            <w:shd w:val="clear" w:color="auto" w:fill="E5E5E5"/>
          </w:tcPr>
          <w:p>
            <w:pPr>
              <w:spacing w:after="0"/>
              <w:rPr>
                <w:sz w:val="18"/>
                <w:szCs w:val="18"/>
                <w:color w:val="auto"/>
              </w:rPr>
            </w:pPr>
          </w:p>
        </w:tc>
        <w:tc>
          <w:tcPr>
            <w:tcW w:w="94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44,605</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44,017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Deferred income taxes</w:t>
            </w:r>
          </w:p>
        </w:tc>
        <w:tc>
          <w:tcPr>
            <w:tcW w:w="720" w:type="dxa"/>
            <w:vAlign w:val="bottom"/>
          </w:tcPr>
          <w:p>
            <w:pPr>
              <w:spacing w:after="0"/>
              <w:rPr>
                <w:sz w:val="18"/>
                <w:szCs w:val="18"/>
                <w:color w:val="auto"/>
              </w:rPr>
            </w:pPr>
          </w:p>
        </w:tc>
        <w:tc>
          <w:tcPr>
            <w:tcW w:w="940" w:type="dxa"/>
            <w:vAlign w:val="bottom"/>
          </w:tcPr>
          <w:p>
            <w:pPr>
              <w:jc w:val="right"/>
              <w:ind w:right="233"/>
              <w:spacing w:after="0"/>
              <w:rPr>
                <w:sz w:val="20"/>
                <w:szCs w:val="20"/>
                <w:color w:val="auto"/>
              </w:rPr>
            </w:pPr>
            <w:r>
              <w:rPr>
                <w:rFonts w:ascii="Arial" w:cs="Arial" w:eastAsia="Arial" w:hAnsi="Arial"/>
                <w:sz w:val="18"/>
                <w:szCs w:val="18"/>
                <w:color w:val="auto"/>
              </w:rPr>
              <w:t>33,131</w:t>
            </w:r>
          </w:p>
        </w:tc>
        <w:tc>
          <w:tcPr>
            <w:tcW w:w="38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32,959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E5E5E5"/>
          </w:tcPr>
          <w:p>
            <w:pPr>
              <w:spacing w:after="0"/>
              <w:rPr>
                <w:sz w:val="20"/>
                <w:szCs w:val="20"/>
                <w:color w:val="auto"/>
              </w:rPr>
            </w:pPr>
            <w:r>
              <w:rPr>
                <w:rFonts w:ascii="Arial" w:cs="Arial" w:eastAsia="Arial" w:hAnsi="Arial"/>
                <w:sz w:val="18"/>
                <w:szCs w:val="18"/>
                <w:color w:val="auto"/>
              </w:rPr>
              <w:t>Other noncurrent liabilities</w:t>
            </w:r>
          </w:p>
        </w:tc>
        <w:tc>
          <w:tcPr>
            <w:tcW w:w="720" w:type="dxa"/>
            <w:vAlign w:val="bottom"/>
            <w:shd w:val="clear" w:color="auto" w:fill="E5E5E5"/>
          </w:tcPr>
          <w:p>
            <w:pPr>
              <w:spacing w:after="0"/>
              <w:rPr>
                <w:sz w:val="18"/>
                <w:szCs w:val="18"/>
                <w:color w:val="auto"/>
              </w:rPr>
            </w:pPr>
          </w:p>
        </w:tc>
        <w:tc>
          <w:tcPr>
            <w:tcW w:w="94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10,694</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10,819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Commitments and contingencies (Note 11)</w:t>
            </w: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E5E5E5"/>
          </w:tcPr>
          <w:p>
            <w:pPr>
              <w:spacing w:after="0"/>
              <w:rPr>
                <w:sz w:val="20"/>
                <w:szCs w:val="20"/>
                <w:color w:val="auto"/>
              </w:rPr>
            </w:pPr>
            <w:r>
              <w:rPr>
                <w:rFonts w:ascii="Arial" w:cs="Arial" w:eastAsia="Arial" w:hAnsi="Arial"/>
                <w:sz w:val="18"/>
                <w:szCs w:val="18"/>
                <w:color w:val="auto"/>
              </w:rPr>
              <w:t>Redeemable noncontrolling interests and redeemable subsidiary preferred stock</w:t>
            </w:r>
          </w:p>
        </w:tc>
        <w:tc>
          <w:tcPr>
            <w:tcW w:w="720" w:type="dxa"/>
            <w:vAlign w:val="bottom"/>
            <w:shd w:val="clear" w:color="auto" w:fill="E5E5E5"/>
          </w:tcPr>
          <w:p>
            <w:pPr>
              <w:spacing w:after="0"/>
              <w:rPr>
                <w:sz w:val="18"/>
                <w:szCs w:val="18"/>
                <w:color w:val="auto"/>
              </w:rPr>
            </w:pPr>
          </w:p>
        </w:tc>
        <w:tc>
          <w:tcPr>
            <w:tcW w:w="94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1,204</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1,066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Equity:</w:t>
            </w: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Preferred stock—authorized, 20,000,000 shares; issued, zero</w:t>
            </w:r>
          </w:p>
        </w:tc>
        <w:tc>
          <w:tcPr>
            <w:tcW w:w="720" w:type="dxa"/>
            <w:vAlign w:val="bottom"/>
            <w:shd w:val="clear" w:color="auto" w:fill="E5E5E5"/>
          </w:tcPr>
          <w:p>
            <w:pPr>
              <w:spacing w:after="0"/>
              <w:rPr>
                <w:sz w:val="18"/>
                <w:szCs w:val="18"/>
                <w:color w:val="auto"/>
              </w:rPr>
            </w:pPr>
          </w:p>
        </w:tc>
        <w:tc>
          <w:tcPr>
            <w:tcW w:w="94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20" w:type="dxa"/>
            <w:vAlign w:val="bottom"/>
          </w:tcPr>
          <w:p>
            <w:pPr>
              <w:ind w:left="420"/>
              <w:spacing w:after="0"/>
              <w:rPr>
                <w:sz w:val="20"/>
                <w:szCs w:val="20"/>
                <w:color w:val="auto"/>
              </w:rPr>
            </w:pPr>
            <w:r>
              <w:rPr>
                <w:rFonts w:ascii="Arial" w:cs="Arial" w:eastAsia="Arial" w:hAnsi="Arial"/>
                <w:sz w:val="18"/>
                <w:szCs w:val="18"/>
                <w:color w:val="auto"/>
                <w:w w:val="99"/>
              </w:rPr>
              <w:t>Class A common stock, $0.01 par value—authorized, 7,500,000,000 shares; issued, 2,465,919,210 and</w:t>
            </w: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20" w:type="dxa"/>
            <w:vAlign w:val="bottom"/>
          </w:tcPr>
          <w:p>
            <w:pPr>
              <w:ind w:left="640"/>
              <w:spacing w:after="0"/>
              <w:rPr>
                <w:sz w:val="20"/>
                <w:szCs w:val="20"/>
                <w:color w:val="auto"/>
              </w:rPr>
            </w:pPr>
            <w:r>
              <w:rPr>
                <w:rFonts w:ascii="Arial" w:cs="Arial" w:eastAsia="Arial" w:hAnsi="Arial"/>
                <w:sz w:val="18"/>
                <w:szCs w:val="18"/>
                <w:color w:val="auto"/>
              </w:rPr>
              <w:t>2,496,598,612; outstanding, 2,100,458,460 and 2,131,137,862</w:t>
            </w:r>
          </w:p>
        </w:tc>
        <w:tc>
          <w:tcPr>
            <w:tcW w:w="720" w:type="dxa"/>
            <w:vAlign w:val="bottom"/>
          </w:tcPr>
          <w:p>
            <w:pPr>
              <w:spacing w:after="0"/>
              <w:rPr>
                <w:sz w:val="19"/>
                <w:szCs w:val="19"/>
                <w:color w:val="auto"/>
              </w:rPr>
            </w:pPr>
          </w:p>
        </w:tc>
        <w:tc>
          <w:tcPr>
            <w:tcW w:w="940" w:type="dxa"/>
            <w:vAlign w:val="bottom"/>
          </w:tcPr>
          <w:p>
            <w:pPr>
              <w:jc w:val="right"/>
              <w:ind w:right="233"/>
              <w:spacing w:after="0"/>
              <w:rPr>
                <w:sz w:val="20"/>
                <w:szCs w:val="20"/>
                <w:color w:val="auto"/>
              </w:rPr>
            </w:pPr>
            <w:r>
              <w:rPr>
                <w:rFonts w:ascii="Arial" w:cs="Arial" w:eastAsia="Arial" w:hAnsi="Arial"/>
                <w:sz w:val="18"/>
                <w:szCs w:val="18"/>
                <w:color w:val="auto"/>
              </w:rPr>
              <w:t>25</w:t>
            </w:r>
          </w:p>
        </w:tc>
        <w:tc>
          <w:tcPr>
            <w:tcW w:w="380" w:type="dxa"/>
            <w:vAlign w:val="bottom"/>
          </w:tcPr>
          <w:p>
            <w:pPr>
              <w:spacing w:after="0"/>
              <w:rPr>
                <w:sz w:val="19"/>
                <w:szCs w:val="19"/>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20" w:type="dxa"/>
            <w:vAlign w:val="bottom"/>
            <w:shd w:val="clear" w:color="auto" w:fill="E5E5E5"/>
          </w:tcPr>
          <w:p>
            <w:pPr>
              <w:ind w:left="420"/>
              <w:spacing w:after="0"/>
              <w:rPr>
                <w:sz w:val="20"/>
                <w:szCs w:val="20"/>
                <w:color w:val="auto"/>
              </w:rPr>
            </w:pPr>
            <w:r>
              <w:rPr>
                <w:rFonts w:ascii="Arial" w:cs="Arial" w:eastAsia="Arial" w:hAnsi="Arial"/>
                <w:sz w:val="18"/>
                <w:szCs w:val="18"/>
                <w:color w:val="auto"/>
                <w:w w:val="93"/>
              </w:rPr>
              <w:t>Class A Special common stock, $0.01 par value—authorized, 7,500,000,000 shares; issued, 418,261,452 and</w:t>
            </w:r>
          </w:p>
        </w:tc>
        <w:tc>
          <w:tcPr>
            <w:tcW w:w="720" w:type="dxa"/>
            <w:vAlign w:val="bottom"/>
            <w:shd w:val="clear" w:color="auto" w:fill="E5E5E5"/>
          </w:tcPr>
          <w:p>
            <w:pPr>
              <w:spacing w:after="0"/>
              <w:rPr>
                <w:sz w:val="18"/>
                <w:szCs w:val="18"/>
                <w:color w:val="auto"/>
              </w:rPr>
            </w:pPr>
          </w:p>
        </w:tc>
        <w:tc>
          <w:tcPr>
            <w:tcW w:w="94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620" w:type="dxa"/>
            <w:vAlign w:val="bottom"/>
            <w:shd w:val="clear" w:color="auto" w:fill="E5E5E5"/>
          </w:tcPr>
          <w:p>
            <w:pPr>
              <w:ind w:left="640"/>
              <w:spacing w:after="0"/>
              <w:rPr>
                <w:sz w:val="20"/>
                <w:szCs w:val="20"/>
                <w:color w:val="auto"/>
              </w:rPr>
            </w:pPr>
            <w:r>
              <w:rPr>
                <w:rFonts w:ascii="Arial" w:cs="Arial" w:eastAsia="Arial" w:hAnsi="Arial"/>
                <w:sz w:val="18"/>
                <w:szCs w:val="18"/>
                <w:color w:val="auto"/>
              </w:rPr>
              <w:t>471,419,601; outstanding, 347,326,688 and 400,484,837</w:t>
            </w:r>
          </w:p>
        </w:tc>
        <w:tc>
          <w:tcPr>
            <w:tcW w:w="720" w:type="dxa"/>
            <w:vAlign w:val="bottom"/>
            <w:shd w:val="clear" w:color="auto" w:fill="E5E5E5"/>
          </w:tcPr>
          <w:p>
            <w:pPr>
              <w:spacing w:after="0"/>
              <w:rPr>
                <w:sz w:val="19"/>
                <w:szCs w:val="19"/>
                <w:color w:val="auto"/>
              </w:rPr>
            </w:pPr>
          </w:p>
        </w:tc>
        <w:tc>
          <w:tcPr>
            <w:tcW w:w="94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4</w:t>
            </w:r>
          </w:p>
        </w:tc>
        <w:tc>
          <w:tcPr>
            <w:tcW w:w="380" w:type="dxa"/>
            <w:vAlign w:val="bottom"/>
            <w:shd w:val="clear" w:color="auto" w:fill="E5E5E5"/>
          </w:tcPr>
          <w:p>
            <w:pPr>
              <w:spacing w:after="0"/>
              <w:rPr>
                <w:sz w:val="19"/>
                <w:szCs w:val="19"/>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420"/>
              <w:spacing w:after="0"/>
              <w:rPr>
                <w:sz w:val="20"/>
                <w:szCs w:val="20"/>
                <w:color w:val="auto"/>
              </w:rPr>
            </w:pPr>
            <w:r>
              <w:rPr>
                <w:rFonts w:ascii="Arial" w:cs="Arial" w:eastAsia="Arial" w:hAnsi="Arial"/>
                <w:sz w:val="18"/>
                <w:szCs w:val="18"/>
                <w:color w:val="auto"/>
                <w:w w:val="94"/>
              </w:rPr>
              <w:t>Class B common stock, $0.01 par value—authorized, 75,000,000 shares; issued and outstanding, 9,444,375</w:t>
            </w:r>
          </w:p>
        </w:tc>
        <w:tc>
          <w:tcPr>
            <w:tcW w:w="720" w:type="dxa"/>
            <w:vAlign w:val="bottom"/>
          </w:tcPr>
          <w:p>
            <w:pPr>
              <w:spacing w:after="0"/>
              <w:rPr>
                <w:sz w:val="18"/>
                <w:szCs w:val="18"/>
                <w:color w:val="auto"/>
              </w:rPr>
            </w:pPr>
          </w:p>
        </w:tc>
        <w:tc>
          <w:tcPr>
            <w:tcW w:w="940" w:type="dxa"/>
            <w:vAlign w:val="bottom"/>
          </w:tcPr>
          <w:p>
            <w:pPr>
              <w:jc w:val="right"/>
              <w:ind w:right="23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Additional paid-in capital</w:t>
            </w:r>
          </w:p>
        </w:tc>
        <w:tc>
          <w:tcPr>
            <w:tcW w:w="720" w:type="dxa"/>
            <w:vAlign w:val="bottom"/>
            <w:shd w:val="clear" w:color="auto" w:fill="E5E5E5"/>
          </w:tcPr>
          <w:p>
            <w:pPr>
              <w:spacing w:after="0"/>
              <w:rPr>
                <w:sz w:val="18"/>
                <w:szCs w:val="18"/>
                <w:color w:val="auto"/>
              </w:rPr>
            </w:pPr>
          </w:p>
        </w:tc>
        <w:tc>
          <w:tcPr>
            <w:tcW w:w="94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38,516</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38,805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420"/>
              <w:spacing w:after="0"/>
              <w:rPr>
                <w:sz w:val="20"/>
                <w:szCs w:val="20"/>
                <w:color w:val="auto"/>
              </w:rPr>
            </w:pPr>
            <w:r>
              <w:rPr>
                <w:rFonts w:ascii="Arial" w:cs="Arial" w:eastAsia="Arial" w:hAnsi="Arial"/>
                <w:sz w:val="18"/>
                <w:szCs w:val="18"/>
                <w:color w:val="auto"/>
              </w:rPr>
              <w:t>Retained earnings</w:t>
            </w:r>
          </w:p>
        </w:tc>
        <w:tc>
          <w:tcPr>
            <w:tcW w:w="720" w:type="dxa"/>
            <w:vAlign w:val="bottom"/>
          </w:tcPr>
          <w:p>
            <w:pPr>
              <w:spacing w:after="0"/>
              <w:rPr>
                <w:sz w:val="18"/>
                <w:szCs w:val="18"/>
                <w:color w:val="auto"/>
              </w:rPr>
            </w:pPr>
          </w:p>
        </w:tc>
        <w:tc>
          <w:tcPr>
            <w:tcW w:w="940" w:type="dxa"/>
            <w:vAlign w:val="bottom"/>
          </w:tcPr>
          <w:p>
            <w:pPr>
              <w:jc w:val="right"/>
              <w:ind w:right="233"/>
              <w:spacing w:after="0"/>
              <w:rPr>
                <w:sz w:val="20"/>
                <w:szCs w:val="20"/>
                <w:color w:val="auto"/>
              </w:rPr>
            </w:pPr>
            <w:r>
              <w:rPr>
                <w:rFonts w:ascii="Arial" w:cs="Arial" w:eastAsia="Arial" w:hAnsi="Arial"/>
                <w:sz w:val="18"/>
                <w:szCs w:val="18"/>
                <w:color w:val="auto"/>
              </w:rPr>
              <w:t>20,883</w:t>
            </w:r>
          </w:p>
        </w:tc>
        <w:tc>
          <w:tcPr>
            <w:tcW w:w="38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21,539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E5E5E5"/>
          </w:tcPr>
          <w:p>
            <w:pPr>
              <w:ind w:left="420"/>
              <w:spacing w:after="0"/>
              <w:rPr>
                <w:sz w:val="20"/>
                <w:szCs w:val="20"/>
                <w:color w:val="auto"/>
              </w:rPr>
            </w:pPr>
            <w:r>
              <w:rPr>
                <w:rFonts w:ascii="Arial" w:cs="Arial" w:eastAsia="Arial" w:hAnsi="Arial"/>
                <w:sz w:val="18"/>
                <w:szCs w:val="18"/>
                <w:color w:val="auto"/>
                <w:w w:val="99"/>
              </w:rPr>
              <w:t>Treasury stock, 365,460,750 Class A common shares and 70,934,764 Class A Special common shares</w:t>
            </w:r>
          </w:p>
        </w:tc>
        <w:tc>
          <w:tcPr>
            <w:tcW w:w="720" w:type="dxa"/>
            <w:vAlign w:val="bottom"/>
            <w:shd w:val="clear" w:color="auto" w:fill="E5E5E5"/>
          </w:tcPr>
          <w:p>
            <w:pPr>
              <w:spacing w:after="0"/>
              <w:rPr>
                <w:sz w:val="18"/>
                <w:szCs w:val="18"/>
                <w:color w:val="auto"/>
              </w:rPr>
            </w:pPr>
          </w:p>
        </w:tc>
        <w:tc>
          <w:tcPr>
            <w:tcW w:w="94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(7,517)</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Accumulated other comprehensive income (loss)</w:t>
            </w:r>
          </w:p>
        </w:tc>
        <w:tc>
          <w:tcPr>
            <w:tcW w:w="7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(195)</w:t>
            </w: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20" w:type="dxa"/>
            <w:vAlign w:val="bottom"/>
            <w:shd w:val="clear" w:color="auto" w:fill="E5E5E5"/>
          </w:tcPr>
          <w:p>
            <w:pPr>
              <w:spacing w:after="0"/>
              <w:rPr>
                <w:sz w:val="20"/>
                <w:szCs w:val="20"/>
                <w:color w:val="auto"/>
              </w:rPr>
            </w:pPr>
            <w:r>
              <w:rPr>
                <w:rFonts w:ascii="Arial" w:cs="Arial" w:eastAsia="Arial" w:hAnsi="Arial"/>
                <w:sz w:val="18"/>
                <w:szCs w:val="18"/>
                <w:color w:val="auto"/>
              </w:rPr>
              <w:t>Total Comcast Corporation shareholders’ equity</w:t>
            </w:r>
          </w:p>
        </w:tc>
        <w:tc>
          <w:tcPr>
            <w:tcW w:w="720" w:type="dxa"/>
            <w:vAlign w:val="bottom"/>
            <w:shd w:val="clear" w:color="auto" w:fill="E5E5E5"/>
          </w:tcPr>
          <w:p>
            <w:pPr>
              <w:spacing w:after="0"/>
              <w:rPr>
                <w:sz w:val="18"/>
                <w:szCs w:val="18"/>
                <w:color w:val="auto"/>
              </w:rPr>
            </w:pPr>
          </w:p>
        </w:tc>
        <w:tc>
          <w:tcPr>
            <w:tcW w:w="94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51,716</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52,711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Noncontrolling interests</w:t>
            </w:r>
          </w:p>
        </w:tc>
        <w:tc>
          <w:tcPr>
            <w:tcW w:w="7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rPr>
              <w:t>249</w:t>
            </w: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Total equity</w:t>
            </w:r>
          </w:p>
        </w:tc>
        <w:tc>
          <w:tcPr>
            <w:tcW w:w="720" w:type="dxa"/>
            <w:vAlign w:val="bottom"/>
            <w:tcBorders>
              <w:bottom w:val="single" w:sz="8" w:color="auto"/>
            </w:tcBorders>
            <w:shd w:val="clear" w:color="auto" w:fill="E5E5E5"/>
          </w:tcPr>
          <w:p>
            <w:pPr>
              <w:spacing w:after="0"/>
              <w:rPr>
                <w:sz w:val="18"/>
                <w:szCs w:val="18"/>
                <w:color w:val="auto"/>
              </w:rPr>
            </w:pPr>
          </w:p>
        </w:tc>
        <w:tc>
          <w:tcPr>
            <w:tcW w:w="940" w:type="dxa"/>
            <w:vAlign w:val="bottom"/>
            <w:tcBorders>
              <w:bottom w:val="single" w:sz="8" w:color="auto"/>
            </w:tcBorders>
            <w:shd w:val="clear" w:color="auto" w:fill="E5E5E5"/>
          </w:tcPr>
          <w:p>
            <w:pPr>
              <w:jc w:val="right"/>
              <w:ind w:right="233"/>
              <w:spacing w:after="0"/>
              <w:rPr>
                <w:sz w:val="20"/>
                <w:szCs w:val="20"/>
                <w:color w:val="auto"/>
              </w:rPr>
            </w:pPr>
            <w:r>
              <w:rPr>
                <w:rFonts w:ascii="Arial" w:cs="Arial" w:eastAsia="Arial" w:hAnsi="Arial"/>
                <w:sz w:val="18"/>
                <w:szCs w:val="18"/>
                <w:color w:val="auto"/>
              </w:rPr>
              <w:t>51,965</w:t>
            </w:r>
          </w:p>
        </w:tc>
        <w:tc>
          <w:tcPr>
            <w:tcW w:w="38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53,068</w:t>
            </w: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86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liabilities and equity</w:t>
            </w:r>
          </w:p>
        </w:tc>
        <w:tc>
          <w:tcPr>
            <w:tcW w:w="720" w:type="dxa"/>
            <w:vAlign w:val="bottom"/>
            <w:tcBorders>
              <w:bottom w:val="single" w:sz="8" w:color="auto"/>
            </w:tcBorders>
          </w:tcPr>
          <w:p>
            <w:pPr>
              <w:ind w:left="56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b w:val="1"/>
                <w:bCs w:val="1"/>
                <w:color w:val="auto"/>
                <w:w w:val="92"/>
              </w:rPr>
              <w:t>158,958</w:t>
            </w:r>
          </w:p>
        </w:tc>
        <w:tc>
          <w:tcPr>
            <w:tcW w:w="38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w w:val="95"/>
              </w:rPr>
              <w:t>159,339</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Income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0" w:type="dxa"/>
            <w:vAlign w:val="bottom"/>
            <w:gridSpan w:val="3"/>
          </w:tcPr>
          <w:p>
            <w:pPr>
              <w:jc w:val="right"/>
              <w:ind w:right="293"/>
              <w:spacing w:after="0"/>
              <w:rPr>
                <w:sz w:val="20"/>
                <w:szCs w:val="20"/>
                <w:color w:val="auto"/>
              </w:rPr>
            </w:pPr>
            <w:r>
              <w:rPr>
                <w:rFonts w:ascii="Arial" w:cs="Arial" w:eastAsia="Arial" w:hAnsi="Arial"/>
                <w:sz w:val="14"/>
                <w:szCs w:val="14"/>
                <w:color w:val="auto"/>
                <w:w w:val="91"/>
              </w:rPr>
              <w:t>Three Months Ended</w:t>
            </w:r>
          </w:p>
        </w:tc>
        <w:tc>
          <w:tcPr>
            <w:tcW w:w="220" w:type="dxa"/>
            <w:vAlign w:val="bottom"/>
          </w:tcPr>
          <w:p>
            <w:pPr>
              <w:spacing w:after="0"/>
              <w:rPr>
                <w:sz w:val="14"/>
                <w:szCs w:val="14"/>
                <w:color w:val="auto"/>
              </w:rPr>
            </w:pPr>
          </w:p>
        </w:tc>
        <w:tc>
          <w:tcPr>
            <w:tcW w:w="1500" w:type="dxa"/>
            <w:vAlign w:val="bottom"/>
            <w:gridSpan w:val="3"/>
          </w:tcPr>
          <w:p>
            <w:pPr>
              <w:jc w:val="right"/>
              <w:ind w:right="213"/>
              <w:spacing w:after="0"/>
              <w:rPr>
                <w:sz w:val="20"/>
                <w:szCs w:val="20"/>
                <w:color w:val="auto"/>
              </w:rPr>
            </w:pPr>
            <w:r>
              <w:rPr>
                <w:rFonts w:ascii="Arial" w:cs="Arial" w:eastAsia="Arial" w:hAnsi="Arial"/>
                <w:sz w:val="14"/>
                <w:szCs w:val="14"/>
                <w:color w:val="auto"/>
                <w:w w:val="95"/>
              </w:rPr>
              <w:t>Nine Months Ended</w:t>
            </w:r>
          </w:p>
        </w:tc>
        <w:tc>
          <w:tcPr>
            <w:tcW w:w="0" w:type="dxa"/>
            <w:vAlign w:val="bottom"/>
          </w:tcPr>
          <w:p>
            <w:pPr>
              <w:spacing w:after="0"/>
              <w:rPr>
                <w:sz w:val="1"/>
                <w:szCs w:val="1"/>
                <w:color w:val="auto"/>
              </w:rPr>
            </w:pPr>
          </w:p>
        </w:tc>
      </w:tr>
      <w:tr>
        <w:trPr>
          <w:trHeight w:val="159"/>
        </w:trPr>
        <w:tc>
          <w:tcPr>
            <w:tcW w:w="7680" w:type="dxa"/>
            <w:vAlign w:val="bottom"/>
            <w:gridSpan w:val="2"/>
            <w:vMerge w:val="restart"/>
          </w:tcPr>
          <w:p>
            <w:pPr>
              <w:spacing w:after="0"/>
              <w:rPr>
                <w:sz w:val="20"/>
                <w:szCs w:val="20"/>
                <w:color w:val="auto"/>
              </w:rPr>
            </w:pPr>
            <w:r>
              <w:rPr>
                <w:rFonts w:ascii="Arial" w:cs="Arial" w:eastAsia="Arial" w:hAnsi="Arial"/>
                <w:sz w:val="14"/>
                <w:szCs w:val="14"/>
                <w:color w:val="auto"/>
              </w:rPr>
              <w:t>(in millions, except per share data)</w:t>
            </w:r>
          </w:p>
        </w:tc>
        <w:tc>
          <w:tcPr>
            <w:tcW w:w="42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3"/>
          </w:tcPr>
          <w:p>
            <w:pPr>
              <w:jc w:val="right"/>
              <w:ind w:right="473"/>
              <w:spacing w:after="0" w:line="159" w:lineRule="exact"/>
              <w:rPr>
                <w:sz w:val="20"/>
                <w:szCs w:val="20"/>
                <w:color w:val="auto"/>
              </w:rPr>
            </w:pPr>
            <w:r>
              <w:rPr>
                <w:rFonts w:ascii="Arial" w:cs="Arial" w:eastAsia="Arial" w:hAnsi="Arial"/>
                <w:sz w:val="14"/>
                <w:szCs w:val="14"/>
                <w:color w:val="auto"/>
              </w:rPr>
              <w:t>September 30</w:t>
            </w:r>
          </w:p>
        </w:tc>
        <w:tc>
          <w:tcPr>
            <w:tcW w:w="22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3"/>
          </w:tcPr>
          <w:p>
            <w:pPr>
              <w:jc w:val="right"/>
              <w:ind w:right="393"/>
              <w:spacing w:after="0" w:line="159" w:lineRule="exact"/>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42"/>
        </w:trPr>
        <w:tc>
          <w:tcPr>
            <w:tcW w:w="768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jc w:val="right"/>
              <w:ind w:right="255"/>
              <w:spacing w:after="0" w:line="142" w:lineRule="exact"/>
              <w:rPr>
                <w:sz w:val="20"/>
                <w:szCs w:val="20"/>
                <w:color w:val="auto"/>
              </w:rPr>
            </w:pPr>
            <w:r>
              <w:rPr>
                <w:rFonts w:ascii="Arial" w:cs="Arial" w:eastAsia="Arial" w:hAnsi="Arial"/>
                <w:sz w:val="14"/>
                <w:szCs w:val="14"/>
                <w:color w:val="auto"/>
              </w:rPr>
              <w:t>2015</w:t>
            </w:r>
          </w:p>
        </w:tc>
        <w:tc>
          <w:tcPr>
            <w:tcW w:w="240" w:type="dxa"/>
            <w:vAlign w:val="bottom"/>
          </w:tcPr>
          <w:p>
            <w:pPr>
              <w:spacing w:after="0"/>
              <w:rPr>
                <w:sz w:val="12"/>
                <w:szCs w:val="12"/>
                <w:color w:val="auto"/>
              </w:rPr>
            </w:pPr>
          </w:p>
        </w:tc>
        <w:tc>
          <w:tcPr>
            <w:tcW w:w="680" w:type="dxa"/>
            <w:vAlign w:val="bottom"/>
          </w:tcPr>
          <w:p>
            <w:pPr>
              <w:jc w:val="right"/>
              <w:ind w:right="273"/>
              <w:spacing w:after="0" w:line="142" w:lineRule="exact"/>
              <w:rPr>
                <w:sz w:val="20"/>
                <w:szCs w:val="20"/>
                <w:color w:val="auto"/>
              </w:rPr>
            </w:pPr>
            <w:r>
              <w:rPr>
                <w:rFonts w:ascii="Arial" w:cs="Arial" w:eastAsia="Arial" w:hAnsi="Arial"/>
                <w:sz w:val="14"/>
                <w:szCs w:val="14"/>
                <w:color w:val="auto"/>
                <w:w w:val="96"/>
              </w:rPr>
              <w:t>2014</w:t>
            </w:r>
          </w:p>
        </w:tc>
        <w:tc>
          <w:tcPr>
            <w:tcW w:w="220" w:type="dxa"/>
            <w:vAlign w:val="bottom"/>
          </w:tcPr>
          <w:p>
            <w:pPr>
              <w:spacing w:after="0"/>
              <w:rPr>
                <w:sz w:val="12"/>
                <w:szCs w:val="12"/>
                <w:color w:val="auto"/>
              </w:rPr>
            </w:pPr>
          </w:p>
        </w:tc>
        <w:tc>
          <w:tcPr>
            <w:tcW w:w="680" w:type="dxa"/>
            <w:vAlign w:val="bottom"/>
          </w:tcPr>
          <w:p>
            <w:pPr>
              <w:jc w:val="right"/>
              <w:ind w:right="255"/>
              <w:spacing w:after="0" w:line="142" w:lineRule="exact"/>
              <w:rPr>
                <w:sz w:val="20"/>
                <w:szCs w:val="20"/>
                <w:color w:val="auto"/>
              </w:rPr>
            </w:pPr>
            <w:r>
              <w:rPr>
                <w:rFonts w:ascii="Arial" w:cs="Arial" w:eastAsia="Arial" w:hAnsi="Arial"/>
                <w:sz w:val="14"/>
                <w:szCs w:val="14"/>
                <w:color w:val="auto"/>
              </w:rPr>
              <w:t>2015</w:t>
            </w:r>
          </w:p>
        </w:tc>
        <w:tc>
          <w:tcPr>
            <w:tcW w:w="220" w:type="dxa"/>
            <w:vAlign w:val="bottom"/>
          </w:tcPr>
          <w:p>
            <w:pPr>
              <w:spacing w:after="0"/>
              <w:rPr>
                <w:sz w:val="12"/>
                <w:szCs w:val="12"/>
                <w:color w:val="auto"/>
              </w:rPr>
            </w:pPr>
          </w:p>
        </w:tc>
        <w:tc>
          <w:tcPr>
            <w:tcW w:w="600" w:type="dxa"/>
            <w:vAlign w:val="bottom"/>
          </w:tcPr>
          <w:p>
            <w:pPr>
              <w:jc w:val="right"/>
              <w:ind w:right="173"/>
              <w:spacing w:after="0" w:line="142" w:lineRule="exact"/>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4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E5E5E5"/>
          </w:tcPr>
          <w:p>
            <w:pPr>
              <w:jc w:val="right"/>
              <w:ind w:right="95"/>
              <w:spacing w:after="0"/>
              <w:rPr>
                <w:sz w:val="20"/>
                <w:szCs w:val="20"/>
                <w:color w:val="auto"/>
              </w:rPr>
            </w:pPr>
            <w:r>
              <w:rPr>
                <w:rFonts w:ascii="Arial" w:cs="Arial" w:eastAsia="Arial" w:hAnsi="Arial"/>
                <w:sz w:val="18"/>
                <w:szCs w:val="18"/>
                <w:color w:val="auto"/>
                <w:w w:val="87"/>
              </w:rPr>
              <w:t>18,669</w:t>
            </w:r>
          </w:p>
        </w:tc>
        <w:tc>
          <w:tcPr>
            <w:tcW w:w="2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w w:val="83"/>
              </w:rPr>
              <w:t>16,791</w:t>
            </w:r>
          </w:p>
        </w:tc>
        <w:tc>
          <w:tcPr>
            <w:tcW w:w="2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E5E5E5"/>
          </w:tcPr>
          <w:p>
            <w:pPr>
              <w:jc w:val="right"/>
              <w:ind w:right="115"/>
              <w:spacing w:after="0"/>
              <w:rPr>
                <w:sz w:val="20"/>
                <w:szCs w:val="20"/>
                <w:color w:val="auto"/>
              </w:rPr>
            </w:pPr>
            <w:r>
              <w:rPr>
                <w:rFonts w:ascii="Arial" w:cs="Arial" w:eastAsia="Arial" w:hAnsi="Arial"/>
                <w:sz w:val="18"/>
                <w:szCs w:val="18"/>
                <w:color w:val="auto"/>
                <w:w w:val="83"/>
              </w:rPr>
              <w:t>55,265</w:t>
            </w:r>
          </w:p>
        </w:tc>
        <w:tc>
          <w:tcPr>
            <w:tcW w:w="2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w w:val="87"/>
              </w:rPr>
              <w:t>51,043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Costs and Expenses:</w:t>
            </w: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Programming and production</w:t>
            </w:r>
          </w:p>
        </w:tc>
        <w:tc>
          <w:tcPr>
            <w:tcW w:w="42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95"/>
              <w:spacing w:after="0"/>
              <w:rPr>
                <w:sz w:val="20"/>
                <w:szCs w:val="20"/>
                <w:color w:val="auto"/>
              </w:rPr>
            </w:pPr>
            <w:r>
              <w:rPr>
                <w:rFonts w:ascii="Arial" w:cs="Arial" w:eastAsia="Arial" w:hAnsi="Arial"/>
                <w:sz w:val="18"/>
                <w:szCs w:val="18"/>
                <w:color w:val="auto"/>
              </w:rPr>
              <w:t>5,582</w:t>
            </w:r>
          </w:p>
        </w:tc>
        <w:tc>
          <w:tcPr>
            <w:tcW w:w="24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4,772</w:t>
            </w:r>
          </w:p>
        </w:tc>
        <w:tc>
          <w:tcPr>
            <w:tcW w:w="22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15"/>
              <w:spacing w:after="0"/>
              <w:rPr>
                <w:sz w:val="20"/>
                <w:szCs w:val="20"/>
                <w:color w:val="auto"/>
              </w:rPr>
            </w:pPr>
            <w:r>
              <w:rPr>
                <w:rFonts w:ascii="Arial" w:cs="Arial" w:eastAsia="Arial" w:hAnsi="Arial"/>
                <w:sz w:val="18"/>
                <w:szCs w:val="18"/>
                <w:color w:val="auto"/>
                <w:w w:val="83"/>
              </w:rPr>
              <w:t>16,714</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w w:val="87"/>
              </w:rPr>
              <w:t>15,554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420"/>
              <w:spacing w:after="0"/>
              <w:rPr>
                <w:sz w:val="20"/>
                <w:szCs w:val="20"/>
                <w:color w:val="auto"/>
              </w:rPr>
            </w:pPr>
            <w:r>
              <w:rPr>
                <w:rFonts w:ascii="Arial" w:cs="Arial" w:eastAsia="Arial" w:hAnsi="Arial"/>
                <w:sz w:val="18"/>
                <w:szCs w:val="18"/>
                <w:color w:val="auto"/>
              </w:rPr>
              <w:t>Other operating and administrative</w:t>
            </w:r>
          </w:p>
        </w:tc>
        <w:tc>
          <w:tcPr>
            <w:tcW w:w="420" w:type="dxa"/>
            <w:vAlign w:val="bottom"/>
          </w:tcPr>
          <w:p>
            <w:pPr>
              <w:spacing w:after="0"/>
              <w:rPr>
                <w:sz w:val="18"/>
                <w:szCs w:val="18"/>
                <w:color w:val="auto"/>
              </w:rPr>
            </w:pPr>
          </w:p>
        </w:tc>
        <w:tc>
          <w:tcPr>
            <w:tcW w:w="680" w:type="dxa"/>
            <w:vAlign w:val="bottom"/>
          </w:tcPr>
          <w:p>
            <w:pPr>
              <w:jc w:val="right"/>
              <w:ind w:right="95"/>
              <w:spacing w:after="0"/>
              <w:rPr>
                <w:sz w:val="20"/>
                <w:szCs w:val="20"/>
                <w:color w:val="auto"/>
              </w:rPr>
            </w:pPr>
            <w:r>
              <w:rPr>
                <w:rFonts w:ascii="Arial" w:cs="Arial" w:eastAsia="Arial" w:hAnsi="Arial"/>
                <w:sz w:val="18"/>
                <w:szCs w:val="18"/>
                <w:color w:val="auto"/>
              </w:rPr>
              <w:t>5,394</w:t>
            </w:r>
          </w:p>
        </w:tc>
        <w:tc>
          <w:tcPr>
            <w:tcW w:w="240" w:type="dxa"/>
            <w:vAlign w:val="bottom"/>
          </w:tcPr>
          <w:p>
            <w:pPr>
              <w:spacing w:after="0"/>
              <w:rPr>
                <w:sz w:val="18"/>
                <w:szCs w:val="18"/>
                <w:color w:val="auto"/>
              </w:rPr>
            </w:pPr>
          </w:p>
        </w:tc>
        <w:tc>
          <w:tcPr>
            <w:tcW w:w="680" w:type="dxa"/>
            <w:vAlign w:val="bottom"/>
          </w:tcPr>
          <w:p>
            <w:pPr>
              <w:jc w:val="right"/>
              <w:ind w:right="113"/>
              <w:spacing w:after="0"/>
              <w:rPr>
                <w:sz w:val="20"/>
                <w:szCs w:val="20"/>
                <w:color w:val="auto"/>
              </w:rPr>
            </w:pPr>
            <w:r>
              <w:rPr>
                <w:rFonts w:ascii="Arial" w:cs="Arial" w:eastAsia="Arial" w:hAnsi="Arial"/>
                <w:sz w:val="18"/>
                <w:szCs w:val="18"/>
                <w:color w:val="auto"/>
              </w:rPr>
              <w:t>5,017</w:t>
            </w:r>
          </w:p>
        </w:tc>
        <w:tc>
          <w:tcPr>
            <w:tcW w:w="220" w:type="dxa"/>
            <w:vAlign w:val="bottom"/>
          </w:tcPr>
          <w:p>
            <w:pPr>
              <w:spacing w:after="0"/>
              <w:rPr>
                <w:sz w:val="18"/>
                <w:szCs w:val="18"/>
                <w:color w:val="auto"/>
              </w:rPr>
            </w:pPr>
          </w:p>
        </w:tc>
        <w:tc>
          <w:tcPr>
            <w:tcW w:w="680" w:type="dxa"/>
            <w:vAlign w:val="bottom"/>
          </w:tcPr>
          <w:p>
            <w:pPr>
              <w:jc w:val="right"/>
              <w:ind w:right="115"/>
              <w:spacing w:after="0"/>
              <w:rPr>
                <w:sz w:val="20"/>
                <w:szCs w:val="20"/>
                <w:color w:val="auto"/>
              </w:rPr>
            </w:pPr>
            <w:r>
              <w:rPr>
                <w:rFonts w:ascii="Arial" w:cs="Arial" w:eastAsia="Arial" w:hAnsi="Arial"/>
                <w:sz w:val="18"/>
                <w:szCs w:val="18"/>
                <w:color w:val="auto"/>
                <w:w w:val="83"/>
              </w:rPr>
              <w:t>15,753</w:t>
            </w:r>
          </w:p>
        </w:tc>
        <w:tc>
          <w:tcPr>
            <w:tcW w:w="22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w w:val="87"/>
              </w:rPr>
              <w:t>14,688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Advertising, marketing and promotion</w:t>
            </w:r>
          </w:p>
        </w:tc>
        <w:tc>
          <w:tcPr>
            <w:tcW w:w="42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95"/>
              <w:spacing w:after="0"/>
              <w:rPr>
                <w:sz w:val="20"/>
                <w:szCs w:val="20"/>
                <w:color w:val="auto"/>
              </w:rPr>
            </w:pPr>
            <w:r>
              <w:rPr>
                <w:rFonts w:ascii="Arial" w:cs="Arial" w:eastAsia="Arial" w:hAnsi="Arial"/>
                <w:sz w:val="18"/>
                <w:szCs w:val="18"/>
                <w:color w:val="auto"/>
              </w:rPr>
              <w:t>1,509</w:t>
            </w:r>
          </w:p>
        </w:tc>
        <w:tc>
          <w:tcPr>
            <w:tcW w:w="24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1,298</w:t>
            </w:r>
          </w:p>
        </w:tc>
        <w:tc>
          <w:tcPr>
            <w:tcW w:w="22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15"/>
              <w:spacing w:after="0"/>
              <w:rPr>
                <w:sz w:val="20"/>
                <w:szCs w:val="20"/>
                <w:color w:val="auto"/>
              </w:rPr>
            </w:pPr>
            <w:r>
              <w:rPr>
                <w:rFonts w:ascii="Arial" w:cs="Arial" w:eastAsia="Arial" w:hAnsi="Arial"/>
                <w:sz w:val="18"/>
                <w:szCs w:val="18"/>
                <w:color w:val="auto"/>
              </w:rPr>
              <w:t>4,392</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420"/>
              <w:spacing w:after="0"/>
              <w:rPr>
                <w:sz w:val="20"/>
                <w:szCs w:val="20"/>
                <w:color w:val="auto"/>
              </w:rPr>
            </w:pPr>
            <w:r>
              <w:rPr>
                <w:rFonts w:ascii="Arial" w:cs="Arial" w:eastAsia="Arial" w:hAnsi="Arial"/>
                <w:sz w:val="18"/>
                <w:szCs w:val="18"/>
                <w:color w:val="auto"/>
              </w:rPr>
              <w:t>Depreciation</w:t>
            </w:r>
          </w:p>
        </w:tc>
        <w:tc>
          <w:tcPr>
            <w:tcW w:w="420" w:type="dxa"/>
            <w:vAlign w:val="bottom"/>
          </w:tcPr>
          <w:p>
            <w:pPr>
              <w:spacing w:after="0"/>
              <w:rPr>
                <w:sz w:val="18"/>
                <w:szCs w:val="18"/>
                <w:color w:val="auto"/>
              </w:rPr>
            </w:pPr>
          </w:p>
        </w:tc>
        <w:tc>
          <w:tcPr>
            <w:tcW w:w="680" w:type="dxa"/>
            <w:vAlign w:val="bottom"/>
          </w:tcPr>
          <w:p>
            <w:pPr>
              <w:jc w:val="right"/>
              <w:ind w:right="95"/>
              <w:spacing w:after="0"/>
              <w:rPr>
                <w:sz w:val="20"/>
                <w:szCs w:val="20"/>
                <w:color w:val="auto"/>
              </w:rPr>
            </w:pPr>
            <w:r>
              <w:rPr>
                <w:rFonts w:ascii="Arial" w:cs="Arial" w:eastAsia="Arial" w:hAnsi="Arial"/>
                <w:sz w:val="18"/>
                <w:szCs w:val="18"/>
                <w:color w:val="auto"/>
              </w:rPr>
              <w:t>1,697</w:t>
            </w:r>
          </w:p>
        </w:tc>
        <w:tc>
          <w:tcPr>
            <w:tcW w:w="240" w:type="dxa"/>
            <w:vAlign w:val="bottom"/>
          </w:tcPr>
          <w:p>
            <w:pPr>
              <w:spacing w:after="0"/>
              <w:rPr>
                <w:sz w:val="18"/>
                <w:szCs w:val="18"/>
                <w:color w:val="auto"/>
              </w:rPr>
            </w:pPr>
          </w:p>
        </w:tc>
        <w:tc>
          <w:tcPr>
            <w:tcW w:w="680" w:type="dxa"/>
            <w:vAlign w:val="bottom"/>
          </w:tcPr>
          <w:p>
            <w:pPr>
              <w:jc w:val="right"/>
              <w:ind w:right="113"/>
              <w:spacing w:after="0"/>
              <w:rPr>
                <w:sz w:val="20"/>
                <w:szCs w:val="20"/>
                <w:color w:val="auto"/>
              </w:rPr>
            </w:pPr>
            <w:r>
              <w:rPr>
                <w:rFonts w:ascii="Arial" w:cs="Arial" w:eastAsia="Arial" w:hAnsi="Arial"/>
                <w:sz w:val="18"/>
                <w:szCs w:val="18"/>
                <w:color w:val="auto"/>
              </w:rPr>
              <w:t>1,539</w:t>
            </w:r>
          </w:p>
        </w:tc>
        <w:tc>
          <w:tcPr>
            <w:tcW w:w="220" w:type="dxa"/>
            <w:vAlign w:val="bottom"/>
          </w:tcPr>
          <w:p>
            <w:pPr>
              <w:spacing w:after="0"/>
              <w:rPr>
                <w:sz w:val="18"/>
                <w:szCs w:val="18"/>
                <w:color w:val="auto"/>
              </w:rPr>
            </w:pPr>
          </w:p>
        </w:tc>
        <w:tc>
          <w:tcPr>
            <w:tcW w:w="680" w:type="dxa"/>
            <w:vAlign w:val="bottom"/>
          </w:tcPr>
          <w:p>
            <w:pPr>
              <w:jc w:val="right"/>
              <w:ind w:right="115"/>
              <w:spacing w:after="0"/>
              <w:rPr>
                <w:sz w:val="20"/>
                <w:szCs w:val="20"/>
                <w:color w:val="auto"/>
              </w:rPr>
            </w:pPr>
            <w:r>
              <w:rPr>
                <w:rFonts w:ascii="Arial" w:cs="Arial" w:eastAsia="Arial" w:hAnsi="Arial"/>
                <w:sz w:val="18"/>
                <w:szCs w:val="18"/>
                <w:color w:val="auto"/>
              </w:rPr>
              <w:t>5,005</w:t>
            </w:r>
          </w:p>
        </w:tc>
        <w:tc>
          <w:tcPr>
            <w:tcW w:w="22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4,707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Amortization</w:t>
            </w:r>
          </w:p>
        </w:tc>
        <w:tc>
          <w:tcPr>
            <w:tcW w:w="42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95"/>
              <w:spacing w:after="0"/>
              <w:rPr>
                <w:sz w:val="20"/>
                <w:szCs w:val="20"/>
                <w:color w:val="auto"/>
              </w:rPr>
            </w:pPr>
            <w:r>
              <w:rPr>
                <w:rFonts w:ascii="Arial" w:cs="Arial" w:eastAsia="Arial" w:hAnsi="Arial"/>
                <w:sz w:val="18"/>
                <w:szCs w:val="18"/>
                <w:color w:val="auto"/>
              </w:rPr>
              <w:t>486</w:t>
            </w:r>
          </w:p>
        </w:tc>
        <w:tc>
          <w:tcPr>
            <w:tcW w:w="24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420</w:t>
            </w:r>
          </w:p>
        </w:tc>
        <w:tc>
          <w:tcPr>
            <w:tcW w:w="22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15"/>
              <w:spacing w:after="0"/>
              <w:rPr>
                <w:sz w:val="20"/>
                <w:szCs w:val="20"/>
                <w:color w:val="auto"/>
              </w:rPr>
            </w:pPr>
            <w:r>
              <w:rPr>
                <w:rFonts w:ascii="Arial" w:cs="Arial" w:eastAsia="Arial" w:hAnsi="Arial"/>
                <w:sz w:val="18"/>
                <w:szCs w:val="18"/>
                <w:color w:val="auto"/>
              </w:rPr>
              <w:t>1,405</w:t>
            </w:r>
          </w:p>
        </w:tc>
        <w:tc>
          <w:tcPr>
            <w:tcW w:w="2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1,222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w w:val="87"/>
              </w:rPr>
              <w:t>14,668</w:t>
            </w: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w w:val="83"/>
              </w:rPr>
              <w:t>13,046</w:t>
            </w: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color w:val="auto"/>
                <w:w w:val="83"/>
              </w:rPr>
              <w:t>43,269</w:t>
            </w: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w w:val="87"/>
              </w:rPr>
              <w:t>39,926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6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Operating income</w:t>
            </w:r>
          </w:p>
        </w:tc>
        <w:tc>
          <w:tcPr>
            <w:tcW w:w="42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95"/>
              <w:spacing w:after="0"/>
              <w:rPr>
                <w:sz w:val="20"/>
                <w:szCs w:val="20"/>
                <w:color w:val="auto"/>
              </w:rPr>
            </w:pPr>
            <w:r>
              <w:rPr>
                <w:rFonts w:ascii="Arial" w:cs="Arial" w:eastAsia="Arial" w:hAnsi="Arial"/>
                <w:sz w:val="18"/>
                <w:szCs w:val="18"/>
                <w:color w:val="auto"/>
              </w:rPr>
              <w:t>4,001</w:t>
            </w:r>
          </w:p>
        </w:tc>
        <w:tc>
          <w:tcPr>
            <w:tcW w:w="24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3,745</w:t>
            </w:r>
          </w:p>
        </w:tc>
        <w:tc>
          <w:tcPr>
            <w:tcW w:w="22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15"/>
              <w:spacing w:after="0"/>
              <w:rPr>
                <w:sz w:val="20"/>
                <w:szCs w:val="20"/>
                <w:color w:val="auto"/>
              </w:rPr>
            </w:pPr>
            <w:r>
              <w:rPr>
                <w:rFonts w:ascii="Arial" w:cs="Arial" w:eastAsia="Arial" w:hAnsi="Arial"/>
                <w:sz w:val="18"/>
                <w:szCs w:val="18"/>
                <w:color w:val="auto"/>
                <w:w w:val="83"/>
              </w:rPr>
              <w:t>11,996</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w w:val="87"/>
              </w:rPr>
              <w:t>11,117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Other Income (Expense):</w:t>
            </w: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Interest expense</w:t>
            </w:r>
          </w:p>
        </w:tc>
        <w:tc>
          <w:tcPr>
            <w:tcW w:w="42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35"/>
              <w:spacing w:after="0"/>
              <w:rPr>
                <w:sz w:val="20"/>
                <w:szCs w:val="20"/>
                <w:color w:val="auto"/>
              </w:rPr>
            </w:pPr>
            <w:r>
              <w:rPr>
                <w:rFonts w:ascii="Arial" w:cs="Arial" w:eastAsia="Arial" w:hAnsi="Arial"/>
                <w:sz w:val="18"/>
                <w:szCs w:val="18"/>
                <w:color w:val="auto"/>
              </w:rPr>
              <w:t>(659)</w:t>
            </w:r>
          </w:p>
        </w:tc>
        <w:tc>
          <w:tcPr>
            <w:tcW w:w="24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(663)</w:t>
            </w:r>
          </w:p>
        </w:tc>
        <w:tc>
          <w:tcPr>
            <w:tcW w:w="22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55"/>
              <w:spacing w:after="0"/>
              <w:rPr>
                <w:sz w:val="20"/>
                <w:szCs w:val="20"/>
                <w:color w:val="auto"/>
              </w:rPr>
            </w:pPr>
            <w:r>
              <w:rPr>
                <w:rFonts w:ascii="Arial" w:cs="Arial" w:eastAsia="Arial" w:hAnsi="Arial"/>
                <w:sz w:val="18"/>
                <w:szCs w:val="18"/>
                <w:color w:val="auto"/>
                <w:w w:val="91"/>
              </w:rPr>
              <w:t>(2,028)</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4"/>
              </w:rPr>
              <w:t>(1,953)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420"/>
              <w:spacing w:after="0"/>
              <w:rPr>
                <w:sz w:val="20"/>
                <w:szCs w:val="20"/>
                <w:color w:val="auto"/>
              </w:rPr>
            </w:pPr>
            <w:r>
              <w:rPr>
                <w:rFonts w:ascii="Arial" w:cs="Arial" w:eastAsia="Arial" w:hAnsi="Arial"/>
                <w:sz w:val="18"/>
                <w:szCs w:val="18"/>
                <w:color w:val="auto"/>
              </w:rPr>
              <w:t>Investment income (loss), net</w:t>
            </w:r>
          </w:p>
        </w:tc>
        <w:tc>
          <w:tcPr>
            <w:tcW w:w="420" w:type="dxa"/>
            <w:vAlign w:val="bottom"/>
          </w:tcPr>
          <w:p>
            <w:pPr>
              <w:spacing w:after="0"/>
              <w:rPr>
                <w:sz w:val="18"/>
                <w:szCs w:val="18"/>
                <w:color w:val="auto"/>
              </w:rPr>
            </w:pPr>
          </w:p>
        </w:tc>
        <w:tc>
          <w:tcPr>
            <w:tcW w:w="680" w:type="dxa"/>
            <w:vAlign w:val="bottom"/>
          </w:tcPr>
          <w:p>
            <w:pPr>
              <w:jc w:val="right"/>
              <w:ind w:right="35"/>
              <w:spacing w:after="0"/>
              <w:rPr>
                <w:sz w:val="20"/>
                <w:szCs w:val="20"/>
                <w:color w:val="auto"/>
              </w:rPr>
            </w:pPr>
            <w:r>
              <w:rPr>
                <w:rFonts w:ascii="Arial" w:cs="Arial" w:eastAsia="Arial" w:hAnsi="Arial"/>
                <w:sz w:val="18"/>
                <w:szCs w:val="18"/>
                <w:color w:val="auto"/>
              </w:rPr>
              <w:t>(26)</w:t>
            </w:r>
          </w:p>
        </w:tc>
        <w:tc>
          <w:tcPr>
            <w:tcW w:w="240" w:type="dxa"/>
            <w:vAlign w:val="bottom"/>
          </w:tcPr>
          <w:p>
            <w:pPr>
              <w:spacing w:after="0"/>
              <w:rPr>
                <w:sz w:val="18"/>
                <w:szCs w:val="18"/>
                <w:color w:val="auto"/>
              </w:rPr>
            </w:pPr>
          </w:p>
        </w:tc>
        <w:tc>
          <w:tcPr>
            <w:tcW w:w="680" w:type="dxa"/>
            <w:vAlign w:val="bottom"/>
          </w:tcPr>
          <w:p>
            <w:pPr>
              <w:jc w:val="right"/>
              <w:ind w:right="113"/>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8"/>
                <w:szCs w:val="18"/>
                <w:color w:val="auto"/>
              </w:rPr>
            </w:pPr>
          </w:p>
        </w:tc>
        <w:tc>
          <w:tcPr>
            <w:tcW w:w="680" w:type="dxa"/>
            <w:vAlign w:val="bottom"/>
          </w:tcPr>
          <w:p>
            <w:pPr>
              <w:jc w:val="right"/>
              <w:ind w:right="115"/>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Equity in net income (losses) of investees, net</w:t>
            </w:r>
          </w:p>
        </w:tc>
        <w:tc>
          <w:tcPr>
            <w:tcW w:w="42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95"/>
              <w:spacing w:after="0"/>
              <w:rPr>
                <w:sz w:val="20"/>
                <w:szCs w:val="20"/>
                <w:color w:val="auto"/>
              </w:rPr>
            </w:pPr>
            <w:r>
              <w:rPr>
                <w:rFonts w:ascii="Arial" w:cs="Arial" w:eastAsia="Arial" w:hAnsi="Arial"/>
                <w:sz w:val="18"/>
                <w:szCs w:val="18"/>
                <w:color w:val="auto"/>
              </w:rPr>
              <w:t>1</w:t>
            </w:r>
          </w:p>
        </w:tc>
        <w:tc>
          <w:tcPr>
            <w:tcW w:w="24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33</w:t>
            </w:r>
          </w:p>
        </w:tc>
        <w:tc>
          <w:tcPr>
            <w:tcW w:w="22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55"/>
              <w:spacing w:after="0"/>
              <w:rPr>
                <w:sz w:val="20"/>
                <w:szCs w:val="20"/>
                <w:color w:val="auto"/>
              </w:rPr>
            </w:pPr>
            <w:r>
              <w:rPr>
                <w:rFonts w:ascii="Arial" w:cs="Arial" w:eastAsia="Arial" w:hAnsi="Arial"/>
                <w:sz w:val="18"/>
                <w:szCs w:val="18"/>
                <w:color w:val="auto"/>
              </w:rPr>
              <w:t>(202)</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Other income (expense), net</w:t>
            </w:r>
          </w:p>
        </w:tc>
        <w:tc>
          <w:tcPr>
            <w:tcW w:w="4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(53)</w:t>
            </w: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(96)</w:t>
            </w: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color w:val="auto"/>
              </w:rPr>
              <w:t>364</w:t>
            </w: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60" w:type="dxa"/>
            <w:vAlign w:val="bottom"/>
            <w:tcBorders>
              <w:bottom w:val="single" w:sz="8" w:color="auto"/>
            </w:tcBorders>
            <w:shd w:val="clear" w:color="auto" w:fill="E5E5E5"/>
          </w:tcPr>
          <w:p>
            <w:pPr>
              <w:spacing w:after="0"/>
              <w:rPr>
                <w:sz w:val="18"/>
                <w:szCs w:val="18"/>
                <w:color w:val="auto"/>
              </w:rPr>
            </w:pPr>
          </w:p>
        </w:tc>
        <w:tc>
          <w:tcPr>
            <w:tcW w:w="42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35"/>
              <w:spacing w:after="0"/>
              <w:rPr>
                <w:sz w:val="20"/>
                <w:szCs w:val="20"/>
                <w:color w:val="auto"/>
              </w:rPr>
            </w:pPr>
            <w:r>
              <w:rPr>
                <w:rFonts w:ascii="Arial" w:cs="Arial" w:eastAsia="Arial" w:hAnsi="Arial"/>
                <w:sz w:val="18"/>
                <w:szCs w:val="18"/>
                <w:color w:val="auto"/>
              </w:rPr>
              <w:t>(737)</w:t>
            </w:r>
          </w:p>
        </w:tc>
        <w:tc>
          <w:tcPr>
            <w:tcW w:w="24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(705)</w:t>
            </w:r>
          </w:p>
        </w:tc>
        <w:tc>
          <w:tcPr>
            <w:tcW w:w="22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55"/>
              <w:spacing w:after="0"/>
              <w:rPr>
                <w:sz w:val="20"/>
                <w:szCs w:val="20"/>
                <w:color w:val="auto"/>
              </w:rPr>
            </w:pPr>
            <w:r>
              <w:rPr>
                <w:rFonts w:ascii="Arial" w:cs="Arial" w:eastAsia="Arial" w:hAnsi="Arial"/>
                <w:sz w:val="18"/>
                <w:szCs w:val="18"/>
                <w:color w:val="auto"/>
                <w:w w:val="91"/>
              </w:rPr>
              <w:t>(1,842)</w:t>
            </w:r>
          </w:p>
        </w:tc>
        <w:tc>
          <w:tcPr>
            <w:tcW w:w="2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94"/>
              </w:rPr>
              <w:t>(1,762)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420" w:type="dxa"/>
            <w:vAlign w:val="bottom"/>
          </w:tcPr>
          <w:p>
            <w:pPr>
              <w:spacing w:after="0"/>
              <w:rPr>
                <w:sz w:val="18"/>
                <w:szCs w:val="18"/>
                <w:color w:val="auto"/>
              </w:rPr>
            </w:pPr>
          </w:p>
        </w:tc>
        <w:tc>
          <w:tcPr>
            <w:tcW w:w="680" w:type="dxa"/>
            <w:vAlign w:val="bottom"/>
          </w:tcPr>
          <w:p>
            <w:pPr>
              <w:jc w:val="right"/>
              <w:ind w:right="95"/>
              <w:spacing w:after="0"/>
              <w:rPr>
                <w:sz w:val="20"/>
                <w:szCs w:val="20"/>
                <w:color w:val="auto"/>
              </w:rPr>
            </w:pPr>
            <w:r>
              <w:rPr>
                <w:rFonts w:ascii="Arial" w:cs="Arial" w:eastAsia="Arial" w:hAnsi="Arial"/>
                <w:sz w:val="18"/>
                <w:szCs w:val="18"/>
                <w:color w:val="auto"/>
              </w:rPr>
              <w:t>3,264</w:t>
            </w:r>
          </w:p>
        </w:tc>
        <w:tc>
          <w:tcPr>
            <w:tcW w:w="240" w:type="dxa"/>
            <w:vAlign w:val="bottom"/>
          </w:tcPr>
          <w:p>
            <w:pPr>
              <w:spacing w:after="0"/>
              <w:rPr>
                <w:sz w:val="18"/>
                <w:szCs w:val="18"/>
                <w:color w:val="auto"/>
              </w:rPr>
            </w:pPr>
          </w:p>
        </w:tc>
        <w:tc>
          <w:tcPr>
            <w:tcW w:w="680" w:type="dxa"/>
            <w:vAlign w:val="bottom"/>
          </w:tcPr>
          <w:p>
            <w:pPr>
              <w:jc w:val="right"/>
              <w:ind w:right="113"/>
              <w:spacing w:after="0"/>
              <w:rPr>
                <w:sz w:val="20"/>
                <w:szCs w:val="20"/>
                <w:color w:val="auto"/>
              </w:rPr>
            </w:pPr>
            <w:r>
              <w:rPr>
                <w:rFonts w:ascii="Arial" w:cs="Arial" w:eastAsia="Arial" w:hAnsi="Arial"/>
                <w:sz w:val="18"/>
                <w:szCs w:val="18"/>
                <w:color w:val="auto"/>
              </w:rPr>
              <w:t>3,040</w:t>
            </w:r>
          </w:p>
        </w:tc>
        <w:tc>
          <w:tcPr>
            <w:tcW w:w="220" w:type="dxa"/>
            <w:vAlign w:val="bottom"/>
          </w:tcPr>
          <w:p>
            <w:pPr>
              <w:spacing w:after="0"/>
              <w:rPr>
                <w:sz w:val="18"/>
                <w:szCs w:val="18"/>
                <w:color w:val="auto"/>
              </w:rPr>
            </w:pPr>
          </w:p>
        </w:tc>
        <w:tc>
          <w:tcPr>
            <w:tcW w:w="680" w:type="dxa"/>
            <w:vAlign w:val="bottom"/>
          </w:tcPr>
          <w:p>
            <w:pPr>
              <w:jc w:val="right"/>
              <w:ind w:right="115"/>
              <w:spacing w:after="0"/>
              <w:rPr>
                <w:sz w:val="20"/>
                <w:szCs w:val="20"/>
                <w:color w:val="auto"/>
              </w:rPr>
            </w:pPr>
            <w:r>
              <w:rPr>
                <w:rFonts w:ascii="Arial" w:cs="Arial" w:eastAsia="Arial" w:hAnsi="Arial"/>
                <w:sz w:val="18"/>
                <w:szCs w:val="18"/>
                <w:color w:val="auto"/>
                <w:w w:val="83"/>
              </w:rPr>
              <w:t>10,154</w:t>
            </w:r>
          </w:p>
        </w:tc>
        <w:tc>
          <w:tcPr>
            <w:tcW w:w="22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9,355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Income tax expense</w:t>
            </w:r>
          </w:p>
        </w:tc>
        <w:tc>
          <w:tcPr>
            <w:tcW w:w="42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35"/>
              <w:spacing w:after="0"/>
              <w:rPr>
                <w:sz w:val="20"/>
                <w:szCs w:val="20"/>
                <w:color w:val="auto"/>
              </w:rPr>
            </w:pPr>
            <w:r>
              <w:rPr>
                <w:rFonts w:ascii="Arial" w:cs="Arial" w:eastAsia="Arial" w:hAnsi="Arial"/>
                <w:sz w:val="18"/>
                <w:szCs w:val="18"/>
                <w:color w:val="auto"/>
                <w:w w:val="94"/>
              </w:rPr>
              <w:t>(1,223)</w:t>
            </w:r>
          </w:p>
        </w:tc>
        <w:tc>
          <w:tcPr>
            <w:tcW w:w="24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(407)</w:t>
            </w:r>
          </w:p>
        </w:tc>
        <w:tc>
          <w:tcPr>
            <w:tcW w:w="22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55"/>
              <w:spacing w:after="0"/>
              <w:rPr>
                <w:sz w:val="20"/>
                <w:szCs w:val="20"/>
                <w:color w:val="auto"/>
              </w:rPr>
            </w:pPr>
            <w:r>
              <w:rPr>
                <w:rFonts w:ascii="Arial" w:cs="Arial" w:eastAsia="Arial" w:hAnsi="Arial"/>
                <w:sz w:val="18"/>
                <w:szCs w:val="18"/>
                <w:color w:val="auto"/>
                <w:w w:val="91"/>
              </w:rPr>
              <w:t>(3,797)</w:t>
            </w:r>
          </w:p>
        </w:tc>
        <w:tc>
          <w:tcPr>
            <w:tcW w:w="2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94"/>
              </w:rPr>
              <w:t>(2,759)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Net income</w:t>
            </w:r>
          </w:p>
        </w:tc>
        <w:tc>
          <w:tcPr>
            <w:tcW w:w="420" w:type="dxa"/>
            <w:vAlign w:val="bottom"/>
          </w:tcPr>
          <w:p>
            <w:pPr>
              <w:spacing w:after="0"/>
              <w:rPr>
                <w:sz w:val="18"/>
                <w:szCs w:val="18"/>
                <w:color w:val="auto"/>
              </w:rPr>
            </w:pPr>
          </w:p>
        </w:tc>
        <w:tc>
          <w:tcPr>
            <w:tcW w:w="680" w:type="dxa"/>
            <w:vAlign w:val="bottom"/>
          </w:tcPr>
          <w:p>
            <w:pPr>
              <w:jc w:val="right"/>
              <w:ind w:right="95"/>
              <w:spacing w:after="0"/>
              <w:rPr>
                <w:sz w:val="20"/>
                <w:szCs w:val="20"/>
                <w:color w:val="auto"/>
              </w:rPr>
            </w:pPr>
            <w:r>
              <w:rPr>
                <w:rFonts w:ascii="Arial" w:cs="Arial" w:eastAsia="Arial" w:hAnsi="Arial"/>
                <w:sz w:val="18"/>
                <w:szCs w:val="18"/>
                <w:color w:val="auto"/>
              </w:rPr>
              <w:t>2,041</w:t>
            </w:r>
          </w:p>
        </w:tc>
        <w:tc>
          <w:tcPr>
            <w:tcW w:w="240" w:type="dxa"/>
            <w:vAlign w:val="bottom"/>
          </w:tcPr>
          <w:p>
            <w:pPr>
              <w:spacing w:after="0"/>
              <w:rPr>
                <w:sz w:val="18"/>
                <w:szCs w:val="18"/>
                <w:color w:val="auto"/>
              </w:rPr>
            </w:pPr>
          </w:p>
        </w:tc>
        <w:tc>
          <w:tcPr>
            <w:tcW w:w="680" w:type="dxa"/>
            <w:vAlign w:val="bottom"/>
          </w:tcPr>
          <w:p>
            <w:pPr>
              <w:jc w:val="right"/>
              <w:ind w:right="113"/>
              <w:spacing w:after="0"/>
              <w:rPr>
                <w:sz w:val="20"/>
                <w:szCs w:val="20"/>
                <w:color w:val="auto"/>
              </w:rPr>
            </w:pPr>
            <w:r>
              <w:rPr>
                <w:rFonts w:ascii="Arial" w:cs="Arial" w:eastAsia="Arial" w:hAnsi="Arial"/>
                <w:sz w:val="18"/>
                <w:szCs w:val="18"/>
                <w:color w:val="auto"/>
              </w:rPr>
              <w:t>2,633</w:t>
            </w:r>
          </w:p>
        </w:tc>
        <w:tc>
          <w:tcPr>
            <w:tcW w:w="220" w:type="dxa"/>
            <w:vAlign w:val="bottom"/>
          </w:tcPr>
          <w:p>
            <w:pPr>
              <w:spacing w:after="0"/>
              <w:rPr>
                <w:sz w:val="18"/>
                <w:szCs w:val="18"/>
                <w:color w:val="auto"/>
              </w:rPr>
            </w:pPr>
          </w:p>
        </w:tc>
        <w:tc>
          <w:tcPr>
            <w:tcW w:w="680" w:type="dxa"/>
            <w:vAlign w:val="bottom"/>
          </w:tcPr>
          <w:p>
            <w:pPr>
              <w:jc w:val="right"/>
              <w:ind w:right="115"/>
              <w:spacing w:after="0"/>
              <w:rPr>
                <w:sz w:val="20"/>
                <w:szCs w:val="20"/>
                <w:color w:val="auto"/>
              </w:rPr>
            </w:pPr>
            <w:r>
              <w:rPr>
                <w:rFonts w:ascii="Arial" w:cs="Arial" w:eastAsia="Arial" w:hAnsi="Arial"/>
                <w:sz w:val="18"/>
                <w:szCs w:val="18"/>
                <w:color w:val="auto"/>
              </w:rPr>
              <w:t>6,357</w:t>
            </w:r>
          </w:p>
        </w:tc>
        <w:tc>
          <w:tcPr>
            <w:tcW w:w="22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6,596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w w:val="96"/>
              </w:rPr>
              <w:t>Net (income) loss attributable to noncontrolling interests and redeemable subsidiary preferred stock</w:t>
            </w:r>
          </w:p>
        </w:tc>
        <w:tc>
          <w:tcPr>
            <w:tcW w:w="42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35"/>
              <w:spacing w:after="0"/>
              <w:rPr>
                <w:sz w:val="20"/>
                <w:szCs w:val="20"/>
                <w:color w:val="auto"/>
              </w:rPr>
            </w:pPr>
            <w:r>
              <w:rPr>
                <w:rFonts w:ascii="Arial" w:cs="Arial" w:eastAsia="Arial" w:hAnsi="Arial"/>
                <w:sz w:val="18"/>
                <w:szCs w:val="18"/>
                <w:color w:val="auto"/>
              </w:rPr>
              <w:t>(45)</w:t>
            </w:r>
          </w:p>
        </w:tc>
        <w:tc>
          <w:tcPr>
            <w:tcW w:w="24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(41)</w:t>
            </w:r>
          </w:p>
        </w:tc>
        <w:tc>
          <w:tcPr>
            <w:tcW w:w="22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55"/>
              <w:spacing w:after="0"/>
              <w:rPr>
                <w:sz w:val="20"/>
                <w:szCs w:val="20"/>
                <w:color w:val="auto"/>
              </w:rPr>
            </w:pPr>
            <w:r>
              <w:rPr>
                <w:rFonts w:ascii="Arial" w:cs="Arial" w:eastAsia="Arial" w:hAnsi="Arial"/>
                <w:sz w:val="18"/>
                <w:szCs w:val="18"/>
                <w:color w:val="auto"/>
              </w:rPr>
              <w:t>(165)</w:t>
            </w:r>
          </w:p>
        </w:tc>
        <w:tc>
          <w:tcPr>
            <w:tcW w:w="2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income attributable to Comcast Corporation</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b w:val="1"/>
                <w:bCs w:val="1"/>
                <w:color w:val="auto"/>
              </w:rPr>
              <w:t>1,996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b w:val="1"/>
                <w:bCs w:val="1"/>
                <w:color w:val="auto"/>
              </w:rPr>
              <w:t>2,592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b w:val="1"/>
                <w:bCs w:val="1"/>
                <w:color w:val="auto"/>
              </w:rPr>
              <w:t>6,192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6,455</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76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Basic earnings per common share attributable to Comcast Corporation shareholders</w:t>
            </w:r>
          </w:p>
        </w:tc>
        <w:tc>
          <w:tcPr>
            <w:tcW w:w="42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E5E5E5"/>
          </w:tcPr>
          <w:p>
            <w:pPr>
              <w:jc w:val="right"/>
              <w:ind w:right="95"/>
              <w:spacing w:after="0"/>
              <w:rPr>
                <w:sz w:val="20"/>
                <w:szCs w:val="20"/>
                <w:color w:val="auto"/>
              </w:rPr>
            </w:pPr>
            <w:r>
              <w:rPr>
                <w:rFonts w:ascii="Arial" w:cs="Arial" w:eastAsia="Arial" w:hAnsi="Arial"/>
                <w:sz w:val="18"/>
                <w:szCs w:val="18"/>
                <w:b w:val="1"/>
                <w:bCs w:val="1"/>
                <w:color w:val="auto"/>
              </w:rPr>
              <w:t>0.81</w:t>
            </w:r>
          </w:p>
        </w:tc>
        <w:tc>
          <w:tcPr>
            <w:tcW w:w="2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E5E5E5"/>
          </w:tcPr>
          <w:p>
            <w:pPr>
              <w:jc w:val="right"/>
              <w:ind w:right="113"/>
              <w:spacing w:after="0"/>
              <w:rPr>
                <w:sz w:val="20"/>
                <w:szCs w:val="20"/>
                <w:color w:val="auto"/>
              </w:rPr>
            </w:pPr>
            <w:r>
              <w:rPr>
                <w:rFonts w:ascii="Arial" w:cs="Arial" w:eastAsia="Arial" w:hAnsi="Arial"/>
                <w:sz w:val="18"/>
                <w:szCs w:val="18"/>
                <w:b w:val="1"/>
                <w:bCs w:val="1"/>
                <w:color w:val="auto"/>
              </w:rPr>
              <w:t>1.00</w:t>
            </w:r>
          </w:p>
        </w:tc>
        <w:tc>
          <w:tcPr>
            <w:tcW w:w="22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E5E5E5"/>
          </w:tcPr>
          <w:p>
            <w:pPr>
              <w:jc w:val="right"/>
              <w:ind w:right="115"/>
              <w:spacing w:after="0"/>
              <w:rPr>
                <w:sz w:val="20"/>
                <w:szCs w:val="20"/>
                <w:color w:val="auto"/>
              </w:rPr>
            </w:pPr>
            <w:r>
              <w:rPr>
                <w:rFonts w:ascii="Arial" w:cs="Arial" w:eastAsia="Arial" w:hAnsi="Arial"/>
                <w:sz w:val="18"/>
                <w:szCs w:val="18"/>
                <w:b w:val="1"/>
                <w:bCs w:val="1"/>
                <w:color w:val="auto"/>
              </w:rPr>
              <w:t>2.48</w:t>
            </w:r>
          </w:p>
        </w:tc>
        <w:tc>
          <w:tcPr>
            <w:tcW w:w="22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b w:val="1"/>
                <w:bCs w:val="1"/>
                <w:color w:val="auto"/>
              </w:rPr>
              <w:t>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b w:val="1"/>
                <w:bCs w:val="1"/>
                <w:color w:val="auto"/>
              </w:rPr>
              <w:t>Diluted earnings per common share attributable to Comcast Corporation shareholders</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95"/>
              <w:spacing w:after="0"/>
              <w:rPr>
                <w:sz w:val="20"/>
                <w:szCs w:val="20"/>
                <w:color w:val="auto"/>
              </w:rPr>
            </w:pPr>
            <w:r>
              <w:rPr>
                <w:rFonts w:ascii="Arial" w:cs="Arial" w:eastAsia="Arial" w:hAnsi="Arial"/>
                <w:sz w:val="18"/>
                <w:szCs w:val="18"/>
                <w:b w:val="1"/>
                <w:bCs w:val="1"/>
                <w:color w:val="auto"/>
              </w:rPr>
              <w:t>0.80</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13"/>
              <w:spacing w:after="0"/>
              <w:rPr>
                <w:sz w:val="20"/>
                <w:szCs w:val="20"/>
                <w:color w:val="auto"/>
              </w:rPr>
            </w:pPr>
            <w:r>
              <w:rPr>
                <w:rFonts w:ascii="Arial" w:cs="Arial" w:eastAsia="Arial" w:hAnsi="Arial"/>
                <w:sz w:val="18"/>
                <w:szCs w:val="18"/>
                <w:b w:val="1"/>
                <w:bCs w:val="1"/>
                <w:color w:val="auto"/>
              </w:rPr>
              <w:t>0.99</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15"/>
              <w:spacing w:after="0"/>
              <w:rPr>
                <w:sz w:val="20"/>
                <w:szCs w:val="20"/>
                <w:color w:val="auto"/>
              </w:rPr>
            </w:pPr>
            <w:r>
              <w:rPr>
                <w:rFonts w:ascii="Arial" w:cs="Arial" w:eastAsia="Arial" w:hAnsi="Arial"/>
                <w:sz w:val="18"/>
                <w:szCs w:val="18"/>
                <w:b w:val="1"/>
                <w:bCs w:val="1"/>
                <w:color w:val="auto"/>
              </w:rPr>
              <w:t>2.45</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ind w:right="13"/>
              <w:spacing w:after="0"/>
              <w:rPr>
                <w:sz w:val="20"/>
                <w:szCs w:val="20"/>
                <w:color w:val="auto"/>
              </w:rPr>
            </w:pPr>
            <w:r>
              <w:rPr>
                <w:rFonts w:ascii="Arial" w:cs="Arial" w:eastAsia="Arial" w:hAnsi="Arial"/>
                <w:sz w:val="18"/>
                <w:szCs w:val="18"/>
                <w:b w:val="1"/>
                <w:bCs w:val="1"/>
                <w:color w:val="auto"/>
              </w:rPr>
              <w:t>2.46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Dividends declared per common share</w:t>
            </w:r>
          </w:p>
        </w:tc>
        <w:tc>
          <w:tcPr>
            <w:tcW w:w="4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shd w:val="clear" w:color="auto" w:fill="E5E5E5"/>
          </w:tcPr>
          <w:p>
            <w:pPr>
              <w:jc w:val="right"/>
              <w:ind w:right="95"/>
              <w:spacing w:after="0"/>
              <w:rPr>
                <w:sz w:val="20"/>
                <w:szCs w:val="20"/>
                <w:color w:val="auto"/>
              </w:rPr>
            </w:pPr>
            <w:r>
              <w:rPr>
                <w:rFonts w:ascii="Arial" w:cs="Arial" w:eastAsia="Arial" w:hAnsi="Arial"/>
                <w:sz w:val="18"/>
                <w:szCs w:val="18"/>
                <w:b w:val="1"/>
                <w:bCs w:val="1"/>
                <w:color w:val="auto"/>
              </w:rPr>
              <w:t>0.25</w:t>
            </w:r>
          </w:p>
        </w:tc>
        <w:tc>
          <w:tcPr>
            <w:tcW w:w="2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b w:val="1"/>
                <w:bCs w:val="1"/>
                <w:color w:val="auto"/>
              </w:rPr>
              <w:t>0.225</w:t>
            </w:r>
          </w:p>
        </w:tc>
        <w:tc>
          <w:tcPr>
            <w:tcW w:w="2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shd w:val="clear" w:color="auto" w:fill="E5E5E5"/>
          </w:tcPr>
          <w:p>
            <w:pPr>
              <w:jc w:val="right"/>
              <w:ind w:right="115"/>
              <w:spacing w:after="0"/>
              <w:rPr>
                <w:sz w:val="20"/>
                <w:szCs w:val="20"/>
                <w:color w:val="auto"/>
              </w:rPr>
            </w:pPr>
            <w:r>
              <w:rPr>
                <w:rFonts w:ascii="Arial" w:cs="Arial" w:eastAsia="Arial" w:hAnsi="Arial"/>
                <w:sz w:val="18"/>
                <w:szCs w:val="18"/>
                <w:b w:val="1"/>
                <w:bCs w:val="1"/>
                <w:color w:val="auto"/>
              </w:rPr>
              <w:t>0.75</w:t>
            </w:r>
          </w:p>
        </w:tc>
        <w:tc>
          <w:tcPr>
            <w:tcW w:w="2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rPr>
              <w:t>0.675</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Comprehensive Income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60" w:type="dxa"/>
            <w:vAlign w:val="bottom"/>
          </w:tcPr>
          <w:p>
            <w:pPr>
              <w:spacing w:after="0"/>
              <w:rPr>
                <w:sz w:val="14"/>
                <w:szCs w:val="14"/>
                <w:color w:val="auto"/>
              </w:rPr>
            </w:pPr>
          </w:p>
        </w:tc>
        <w:tc>
          <w:tcPr>
            <w:tcW w:w="2320" w:type="dxa"/>
            <w:vAlign w:val="bottom"/>
            <w:gridSpan w:val="2"/>
          </w:tcPr>
          <w:p>
            <w:pPr>
              <w:jc w:val="right"/>
              <w:ind w:right="434"/>
              <w:spacing w:after="0"/>
              <w:rPr>
                <w:sz w:val="20"/>
                <w:szCs w:val="20"/>
                <w:color w:val="auto"/>
              </w:rPr>
            </w:pPr>
            <w:r>
              <w:rPr>
                <w:rFonts w:ascii="Arial" w:cs="Arial" w:eastAsia="Arial" w:hAnsi="Arial"/>
                <w:sz w:val="14"/>
                <w:szCs w:val="14"/>
                <w:color w:val="auto"/>
              </w:rPr>
              <w:t>Three Months Ended</w:t>
            </w:r>
          </w:p>
        </w:tc>
        <w:tc>
          <w:tcPr>
            <w:tcW w:w="1840" w:type="dxa"/>
            <w:vAlign w:val="bottom"/>
            <w:gridSpan w:val="2"/>
          </w:tcPr>
          <w:p>
            <w:pPr>
              <w:jc w:val="right"/>
              <w:ind w:right="274"/>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59"/>
        </w:trPr>
        <w:tc>
          <w:tcPr>
            <w:tcW w:w="726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2320" w:type="dxa"/>
            <w:vAlign w:val="bottom"/>
            <w:tcBorders>
              <w:bottom w:val="single" w:sz="8" w:color="auto"/>
            </w:tcBorders>
            <w:gridSpan w:val="2"/>
          </w:tcPr>
          <w:p>
            <w:pPr>
              <w:jc w:val="right"/>
              <w:ind w:right="634"/>
              <w:spacing w:after="0" w:line="159" w:lineRule="exact"/>
              <w:rPr>
                <w:sz w:val="20"/>
                <w:szCs w:val="20"/>
                <w:color w:val="auto"/>
              </w:rPr>
            </w:pPr>
            <w:r>
              <w:rPr>
                <w:rFonts w:ascii="Arial" w:cs="Arial" w:eastAsia="Arial" w:hAnsi="Arial"/>
                <w:sz w:val="14"/>
                <w:szCs w:val="14"/>
                <w:color w:val="auto"/>
              </w:rPr>
              <w:t>September 30</w:t>
            </w:r>
          </w:p>
        </w:tc>
        <w:tc>
          <w:tcPr>
            <w:tcW w:w="1840" w:type="dxa"/>
            <w:vAlign w:val="bottom"/>
            <w:tcBorders>
              <w:bottom w:val="single" w:sz="8" w:color="auto"/>
            </w:tcBorders>
            <w:gridSpan w:val="2"/>
          </w:tcPr>
          <w:p>
            <w:pPr>
              <w:jc w:val="right"/>
              <w:ind w:right="454"/>
              <w:spacing w:after="0" w:line="159" w:lineRule="exact"/>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42"/>
        </w:trPr>
        <w:tc>
          <w:tcPr>
            <w:tcW w:w="7260" w:type="dxa"/>
            <w:vAlign w:val="bottom"/>
            <w:tcBorders>
              <w:bottom w:val="single" w:sz="8" w:color="auto"/>
            </w:tcBorders>
            <w:vMerge w:val="continue"/>
          </w:tcPr>
          <w:p>
            <w:pPr>
              <w:spacing w:after="0"/>
              <w:rPr>
                <w:sz w:val="12"/>
                <w:szCs w:val="12"/>
                <w:color w:val="auto"/>
              </w:rPr>
            </w:pPr>
          </w:p>
        </w:tc>
        <w:tc>
          <w:tcPr>
            <w:tcW w:w="1260" w:type="dxa"/>
            <w:vAlign w:val="bottom"/>
            <w:tcBorders>
              <w:bottom w:val="single" w:sz="8" w:color="auto"/>
            </w:tcBorders>
          </w:tcPr>
          <w:p>
            <w:pPr>
              <w:jc w:val="right"/>
              <w:ind w:right="357"/>
              <w:spacing w:after="0" w:line="142" w:lineRule="exact"/>
              <w:rPr>
                <w:sz w:val="20"/>
                <w:szCs w:val="20"/>
                <w:color w:val="auto"/>
              </w:rPr>
            </w:pPr>
            <w:r>
              <w:rPr>
                <w:rFonts w:ascii="Arial" w:cs="Arial" w:eastAsia="Arial" w:hAnsi="Arial"/>
                <w:sz w:val="14"/>
                <w:szCs w:val="14"/>
                <w:color w:val="auto"/>
              </w:rPr>
              <w:t>2015</w:t>
            </w:r>
          </w:p>
        </w:tc>
        <w:tc>
          <w:tcPr>
            <w:tcW w:w="1060" w:type="dxa"/>
            <w:vAlign w:val="bottom"/>
            <w:tcBorders>
              <w:bottom w:val="single" w:sz="8" w:color="auto"/>
            </w:tcBorders>
          </w:tcPr>
          <w:p>
            <w:pPr>
              <w:jc w:val="right"/>
              <w:ind w:right="334"/>
              <w:spacing w:after="0" w:line="142" w:lineRule="exact"/>
              <w:rPr>
                <w:sz w:val="20"/>
                <w:szCs w:val="20"/>
                <w:color w:val="auto"/>
              </w:rPr>
            </w:pPr>
            <w:r>
              <w:rPr>
                <w:rFonts w:ascii="Arial" w:cs="Arial" w:eastAsia="Arial" w:hAnsi="Arial"/>
                <w:sz w:val="14"/>
                <w:szCs w:val="14"/>
                <w:color w:val="auto"/>
              </w:rPr>
              <w:t>2014</w:t>
            </w:r>
          </w:p>
        </w:tc>
        <w:tc>
          <w:tcPr>
            <w:tcW w:w="960" w:type="dxa"/>
            <w:vAlign w:val="bottom"/>
            <w:tcBorders>
              <w:bottom w:val="single" w:sz="8" w:color="auto"/>
            </w:tcBorders>
          </w:tcPr>
          <w:p>
            <w:pPr>
              <w:jc w:val="right"/>
              <w:ind w:right="237"/>
              <w:spacing w:after="0" w:line="142" w:lineRule="exact"/>
              <w:rPr>
                <w:sz w:val="20"/>
                <w:szCs w:val="20"/>
                <w:color w:val="auto"/>
              </w:rPr>
            </w:pPr>
            <w:r>
              <w:rPr>
                <w:rFonts w:ascii="Arial" w:cs="Arial" w:eastAsia="Arial" w:hAnsi="Arial"/>
                <w:sz w:val="14"/>
                <w:szCs w:val="14"/>
                <w:color w:val="auto"/>
              </w:rPr>
              <w:t>2015</w:t>
            </w:r>
          </w:p>
        </w:tc>
        <w:tc>
          <w:tcPr>
            <w:tcW w:w="88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210"/>
        </w:trPr>
        <w:tc>
          <w:tcPr>
            <w:tcW w:w="7260" w:type="dxa"/>
            <w:vAlign w:val="bottom"/>
            <w:shd w:val="clear" w:color="auto" w:fill="E5E5E5"/>
          </w:tcPr>
          <w:p>
            <w:pPr>
              <w:spacing w:after="0"/>
              <w:rPr>
                <w:sz w:val="20"/>
                <w:szCs w:val="20"/>
                <w:color w:val="auto"/>
              </w:rPr>
            </w:pPr>
            <w:r>
              <w:rPr>
                <w:rFonts w:ascii="Arial" w:cs="Arial" w:eastAsia="Arial" w:hAnsi="Arial"/>
                <w:sz w:val="18"/>
                <w:szCs w:val="18"/>
                <w:color w:val="auto"/>
              </w:rPr>
              <w:t>Net income</w:t>
            </w:r>
          </w:p>
        </w:tc>
        <w:tc>
          <w:tcPr>
            <w:tcW w:w="1260" w:type="dxa"/>
            <w:vAlign w:val="bottom"/>
            <w:shd w:val="clear" w:color="auto" w:fill="E5E5E5"/>
          </w:tcPr>
          <w:p>
            <w:pPr>
              <w:jc w:val="right"/>
              <w:ind w:right="217"/>
              <w:spacing w:after="0"/>
              <w:rPr>
                <w:sz w:val="20"/>
                <w:szCs w:val="20"/>
                <w:color w:val="auto"/>
              </w:rPr>
            </w:pPr>
            <w:r>
              <w:rPr>
                <w:rFonts w:ascii="Arial" w:cs="Arial" w:eastAsia="Arial" w:hAnsi="Arial"/>
                <w:sz w:val="18"/>
                <w:szCs w:val="18"/>
                <w:color w:val="auto"/>
              </w:rPr>
              <w:t>$ 2,041</w:t>
            </w:r>
          </w:p>
        </w:tc>
        <w:tc>
          <w:tcPr>
            <w:tcW w:w="1060" w:type="dxa"/>
            <w:vAlign w:val="bottom"/>
            <w:shd w:val="clear" w:color="auto" w:fill="E5E5E5"/>
          </w:tcPr>
          <w:p>
            <w:pPr>
              <w:jc w:val="right"/>
              <w:ind w:right="214"/>
              <w:spacing w:after="0"/>
              <w:rPr>
                <w:sz w:val="20"/>
                <w:szCs w:val="20"/>
                <w:color w:val="auto"/>
              </w:rPr>
            </w:pPr>
            <w:r>
              <w:rPr>
                <w:rFonts w:ascii="Arial" w:cs="Arial" w:eastAsia="Arial" w:hAnsi="Arial"/>
                <w:sz w:val="18"/>
                <w:szCs w:val="18"/>
                <w:color w:val="auto"/>
              </w:rPr>
              <w:t>$ 2,633</w:t>
            </w:r>
          </w:p>
        </w:tc>
        <w:tc>
          <w:tcPr>
            <w:tcW w:w="960" w:type="dxa"/>
            <w:vAlign w:val="bottom"/>
            <w:shd w:val="clear" w:color="auto" w:fill="E5E5E5"/>
          </w:tcPr>
          <w:p>
            <w:pPr>
              <w:jc w:val="right"/>
              <w:ind w:right="97"/>
              <w:spacing w:after="0"/>
              <w:rPr>
                <w:sz w:val="20"/>
                <w:szCs w:val="20"/>
                <w:color w:val="auto"/>
              </w:rPr>
            </w:pPr>
            <w:r>
              <w:rPr>
                <w:rFonts w:ascii="Arial" w:cs="Arial" w:eastAsia="Arial" w:hAnsi="Arial"/>
                <w:sz w:val="18"/>
                <w:szCs w:val="18"/>
                <w:color w:val="auto"/>
              </w:rPr>
              <w:t>$ 6,357</w:t>
            </w:r>
          </w:p>
        </w:tc>
        <w:tc>
          <w:tcPr>
            <w:tcW w:w="88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$ 6,596</w:t>
            </w:r>
          </w:p>
        </w:tc>
        <w:tc>
          <w:tcPr>
            <w:tcW w:w="0" w:type="dxa"/>
            <w:vAlign w:val="bottom"/>
          </w:tcPr>
          <w:p>
            <w:pPr>
              <w:spacing w:after="0"/>
              <w:rPr>
                <w:sz w:val="1"/>
                <w:szCs w:val="1"/>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w w:val="91"/>
              </w:rPr>
              <w:t>Unrealized gains (losses) on marketable securities, net of deferred taxes of $—, $—, $— and $(19)</w:t>
            </w:r>
          </w:p>
        </w:tc>
        <w:tc>
          <w:tcPr>
            <w:tcW w:w="1260" w:type="dxa"/>
            <w:vAlign w:val="bottom"/>
          </w:tcPr>
          <w:p>
            <w:pPr>
              <w:jc w:val="right"/>
              <w:ind w:right="217"/>
              <w:spacing w:after="0"/>
              <w:rPr>
                <w:sz w:val="20"/>
                <w:szCs w:val="20"/>
                <w:color w:val="auto"/>
              </w:rPr>
            </w:pPr>
            <w:r>
              <w:rPr>
                <w:rFonts w:ascii="Arial" w:cs="Arial" w:eastAsia="Arial" w:hAnsi="Arial"/>
                <w:sz w:val="18"/>
                <w:szCs w:val="18"/>
                <w:color w:val="auto"/>
              </w:rPr>
              <w:t>1</w:t>
            </w:r>
          </w:p>
        </w:tc>
        <w:tc>
          <w:tcPr>
            <w:tcW w:w="1060" w:type="dxa"/>
            <w:vAlign w:val="bottom"/>
          </w:tcPr>
          <w:p>
            <w:pPr>
              <w:jc w:val="right"/>
              <w:ind w:right="214"/>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7"/>
              <w:spacing w:after="0"/>
              <w:rPr>
                <w:sz w:val="20"/>
                <w:szCs w:val="20"/>
                <w:color w:val="auto"/>
              </w:rPr>
            </w:pPr>
            <w:r>
              <w:rPr>
                <w:rFonts w:ascii="Arial" w:cs="Arial" w:eastAsia="Arial" w:hAnsi="Arial"/>
                <w:sz w:val="18"/>
                <w:szCs w:val="18"/>
                <w:color w:val="auto"/>
              </w:rPr>
              <w:t>1</w:t>
            </w:r>
          </w:p>
        </w:tc>
        <w:tc>
          <w:tcPr>
            <w:tcW w:w="880" w:type="dxa"/>
            <w:vAlign w:val="bottom"/>
          </w:tcPr>
          <w:p>
            <w:pPr>
              <w:jc w:val="right"/>
              <w:ind w:right="134"/>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7260" w:type="dxa"/>
            <w:vAlign w:val="bottom"/>
            <w:shd w:val="clear" w:color="auto" w:fill="E5E5E5"/>
          </w:tcPr>
          <w:p>
            <w:pPr>
              <w:spacing w:after="0"/>
              <w:rPr>
                <w:sz w:val="20"/>
                <w:szCs w:val="20"/>
                <w:color w:val="auto"/>
              </w:rPr>
            </w:pPr>
            <w:r>
              <w:rPr>
                <w:rFonts w:ascii="Arial" w:cs="Arial" w:eastAsia="Arial" w:hAnsi="Arial"/>
                <w:sz w:val="18"/>
                <w:szCs w:val="18"/>
                <w:color w:val="auto"/>
              </w:rPr>
              <w:t>Deferred gains (losses) on cash flow hedges, net of deferred taxes of $30, $2, $40 and $1</w:t>
            </w:r>
          </w:p>
        </w:tc>
        <w:tc>
          <w:tcPr>
            <w:tcW w:w="1260" w:type="dxa"/>
            <w:vAlign w:val="bottom"/>
            <w:shd w:val="clear" w:color="auto" w:fill="E5E5E5"/>
          </w:tcPr>
          <w:p>
            <w:pPr>
              <w:jc w:val="right"/>
              <w:ind w:right="157"/>
              <w:spacing w:after="0"/>
              <w:rPr>
                <w:sz w:val="20"/>
                <w:szCs w:val="20"/>
                <w:color w:val="auto"/>
              </w:rPr>
            </w:pPr>
            <w:r>
              <w:rPr>
                <w:rFonts w:ascii="Arial" w:cs="Arial" w:eastAsia="Arial" w:hAnsi="Arial"/>
                <w:sz w:val="18"/>
                <w:szCs w:val="18"/>
                <w:color w:val="auto"/>
              </w:rPr>
              <w:t>(50)</w:t>
            </w:r>
          </w:p>
        </w:tc>
        <w:tc>
          <w:tcPr>
            <w:tcW w:w="106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(4)</w:t>
            </w:r>
          </w:p>
        </w:tc>
        <w:tc>
          <w:tcPr>
            <w:tcW w:w="960" w:type="dxa"/>
            <w:vAlign w:val="bottom"/>
            <w:shd w:val="clear" w:color="auto" w:fill="E5E5E5"/>
          </w:tcPr>
          <w:p>
            <w:pPr>
              <w:jc w:val="right"/>
              <w:ind w:right="37"/>
              <w:spacing w:after="0"/>
              <w:rPr>
                <w:sz w:val="20"/>
                <w:szCs w:val="20"/>
                <w:color w:val="auto"/>
              </w:rPr>
            </w:pPr>
            <w:r>
              <w:rPr>
                <w:rFonts w:ascii="Arial" w:cs="Arial" w:eastAsia="Arial" w:hAnsi="Arial"/>
                <w:sz w:val="18"/>
                <w:szCs w:val="18"/>
                <w:color w:val="auto"/>
              </w:rPr>
              <w:t>(67)</w:t>
            </w:r>
          </w:p>
        </w:tc>
        <w:tc>
          <w:tcPr>
            <w:tcW w:w="880" w:type="dxa"/>
            <w:vAlign w:val="bottom"/>
            <w:shd w:val="clear" w:color="auto" w:fill="E5E5E5"/>
          </w:tcPr>
          <w:p>
            <w:pPr>
              <w:jc w:val="right"/>
              <w:ind w:right="74"/>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Amounts reclassified to net income:</w:t>
            </w:r>
          </w:p>
        </w:tc>
        <w:tc>
          <w:tcPr>
            <w:tcW w:w="1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shd w:val="clear" w:color="auto" w:fill="E5E5E5"/>
          </w:tcPr>
          <w:p>
            <w:pPr>
              <w:ind w:left="440"/>
              <w:spacing w:after="0"/>
              <w:rPr>
                <w:sz w:val="20"/>
                <w:szCs w:val="20"/>
                <w:color w:val="auto"/>
              </w:rPr>
            </w:pPr>
            <w:r>
              <w:rPr>
                <w:rFonts w:ascii="Arial" w:cs="Arial" w:eastAsia="Arial" w:hAnsi="Arial"/>
                <w:sz w:val="18"/>
                <w:szCs w:val="18"/>
                <w:color w:val="auto"/>
                <w:w w:val="91"/>
              </w:rPr>
              <w:t>Realized (gains) losses on marketable securities, net of deferred taxes of $1, $—, $1 and $58</w:t>
            </w:r>
          </w:p>
        </w:tc>
        <w:tc>
          <w:tcPr>
            <w:tcW w:w="1260" w:type="dxa"/>
            <w:vAlign w:val="bottom"/>
            <w:shd w:val="clear" w:color="auto" w:fill="E5E5E5"/>
          </w:tcPr>
          <w:p>
            <w:pPr>
              <w:jc w:val="right"/>
              <w:ind w:right="157"/>
              <w:spacing w:after="0"/>
              <w:rPr>
                <w:sz w:val="20"/>
                <w:szCs w:val="20"/>
                <w:color w:val="auto"/>
              </w:rPr>
            </w:pPr>
            <w:r>
              <w:rPr>
                <w:rFonts w:ascii="Arial" w:cs="Arial" w:eastAsia="Arial" w:hAnsi="Arial"/>
                <w:sz w:val="18"/>
                <w:szCs w:val="18"/>
                <w:color w:val="auto"/>
              </w:rPr>
              <w:t>(1)</w:t>
            </w:r>
          </w:p>
        </w:tc>
        <w:tc>
          <w:tcPr>
            <w:tcW w:w="106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(1)</w:t>
            </w:r>
          </w:p>
        </w:tc>
        <w:tc>
          <w:tcPr>
            <w:tcW w:w="960" w:type="dxa"/>
            <w:vAlign w:val="bottom"/>
            <w:shd w:val="clear" w:color="auto" w:fill="E5E5E5"/>
          </w:tcPr>
          <w:p>
            <w:pPr>
              <w:jc w:val="right"/>
              <w:ind w:right="37"/>
              <w:spacing w:after="0"/>
              <w:rPr>
                <w:sz w:val="20"/>
                <w:szCs w:val="20"/>
                <w:color w:val="auto"/>
              </w:rPr>
            </w:pPr>
            <w:r>
              <w:rPr>
                <w:rFonts w:ascii="Arial" w:cs="Arial" w:eastAsia="Arial" w:hAnsi="Arial"/>
                <w:sz w:val="18"/>
                <w:szCs w:val="18"/>
                <w:color w:val="auto"/>
              </w:rPr>
              <w:t>(1)</w:t>
            </w:r>
          </w:p>
        </w:tc>
        <w:tc>
          <w:tcPr>
            <w:tcW w:w="880" w:type="dxa"/>
            <w:vAlign w:val="bottom"/>
            <w:shd w:val="clear" w:color="auto" w:fill="E5E5E5"/>
          </w:tcPr>
          <w:p>
            <w:pPr>
              <w:jc w:val="right"/>
              <w:ind w:right="74"/>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8"/>
        </w:trPr>
        <w:tc>
          <w:tcPr>
            <w:tcW w:w="7260" w:type="dxa"/>
            <w:vAlign w:val="bottom"/>
          </w:tcPr>
          <w:p>
            <w:pPr>
              <w:ind w:left="440"/>
              <w:spacing w:after="0"/>
              <w:rPr>
                <w:sz w:val="20"/>
                <w:szCs w:val="20"/>
                <w:color w:val="auto"/>
              </w:rPr>
            </w:pPr>
            <w:r>
              <w:rPr>
                <w:rFonts w:ascii="Arial" w:cs="Arial" w:eastAsia="Arial" w:hAnsi="Arial"/>
                <w:sz w:val="18"/>
                <w:szCs w:val="18"/>
                <w:color w:val="auto"/>
                <w:w w:val="92"/>
              </w:rPr>
              <w:t>Realized (gains) losses on cash flow hedges, net of deferred taxes of $(20), $(22), $(26) and</w:t>
            </w:r>
          </w:p>
        </w:tc>
        <w:tc>
          <w:tcPr>
            <w:tcW w:w="1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260" w:type="dxa"/>
            <w:vAlign w:val="bottom"/>
          </w:tcPr>
          <w:p>
            <w:pPr>
              <w:ind w:left="660"/>
              <w:spacing w:after="0"/>
              <w:rPr>
                <w:sz w:val="20"/>
                <w:szCs w:val="20"/>
                <w:color w:val="auto"/>
              </w:rPr>
            </w:pPr>
            <w:r>
              <w:rPr>
                <w:rFonts w:ascii="Arial" w:cs="Arial" w:eastAsia="Arial" w:hAnsi="Arial"/>
                <w:sz w:val="18"/>
                <w:szCs w:val="18"/>
                <w:color w:val="auto"/>
              </w:rPr>
              <w:t>$(10)</w:t>
            </w:r>
          </w:p>
        </w:tc>
        <w:tc>
          <w:tcPr>
            <w:tcW w:w="1260" w:type="dxa"/>
            <w:vAlign w:val="bottom"/>
          </w:tcPr>
          <w:p>
            <w:pPr>
              <w:jc w:val="right"/>
              <w:ind w:right="217"/>
              <w:spacing w:after="0"/>
              <w:rPr>
                <w:sz w:val="20"/>
                <w:szCs w:val="20"/>
                <w:color w:val="auto"/>
              </w:rPr>
            </w:pPr>
            <w:r>
              <w:rPr>
                <w:rFonts w:ascii="Arial" w:cs="Arial" w:eastAsia="Arial" w:hAnsi="Arial"/>
                <w:sz w:val="18"/>
                <w:szCs w:val="18"/>
                <w:color w:val="auto"/>
              </w:rPr>
              <w:t>32</w:t>
            </w:r>
          </w:p>
        </w:tc>
        <w:tc>
          <w:tcPr>
            <w:tcW w:w="1060" w:type="dxa"/>
            <w:vAlign w:val="bottom"/>
          </w:tcPr>
          <w:p>
            <w:pPr>
              <w:jc w:val="right"/>
              <w:ind w:right="214"/>
              <w:spacing w:after="0"/>
              <w:rPr>
                <w:sz w:val="20"/>
                <w:szCs w:val="20"/>
                <w:color w:val="auto"/>
              </w:rPr>
            </w:pPr>
            <w:r>
              <w:rPr>
                <w:rFonts w:ascii="Arial" w:cs="Arial" w:eastAsia="Arial" w:hAnsi="Arial"/>
                <w:sz w:val="18"/>
                <w:szCs w:val="18"/>
                <w:color w:val="auto"/>
              </w:rPr>
              <w:t>38</w:t>
            </w:r>
          </w:p>
        </w:tc>
        <w:tc>
          <w:tcPr>
            <w:tcW w:w="960" w:type="dxa"/>
            <w:vAlign w:val="bottom"/>
          </w:tcPr>
          <w:p>
            <w:pPr>
              <w:jc w:val="right"/>
              <w:ind w:right="97"/>
              <w:spacing w:after="0"/>
              <w:rPr>
                <w:sz w:val="20"/>
                <w:szCs w:val="20"/>
                <w:color w:val="auto"/>
              </w:rPr>
            </w:pPr>
            <w:r>
              <w:rPr>
                <w:rFonts w:ascii="Arial" w:cs="Arial" w:eastAsia="Arial" w:hAnsi="Arial"/>
                <w:sz w:val="18"/>
                <w:szCs w:val="18"/>
                <w:color w:val="auto"/>
              </w:rPr>
              <w:t>42</w:t>
            </w:r>
          </w:p>
        </w:tc>
        <w:tc>
          <w:tcPr>
            <w:tcW w:w="880" w:type="dxa"/>
            <w:vAlign w:val="bottom"/>
          </w:tcPr>
          <w:p>
            <w:pPr>
              <w:jc w:val="right"/>
              <w:ind w:right="134"/>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8"/>
        </w:trPr>
        <w:tc>
          <w:tcPr>
            <w:tcW w:w="7260" w:type="dxa"/>
            <w:vAlign w:val="bottom"/>
            <w:shd w:val="clear" w:color="auto" w:fill="E5E5E5"/>
          </w:tcPr>
          <w:p>
            <w:pPr>
              <w:spacing w:after="0"/>
              <w:rPr>
                <w:sz w:val="20"/>
                <w:szCs w:val="20"/>
                <w:color w:val="auto"/>
              </w:rPr>
            </w:pPr>
            <w:r>
              <w:rPr>
                <w:rFonts w:ascii="Arial" w:cs="Arial" w:eastAsia="Arial" w:hAnsi="Arial"/>
                <w:sz w:val="18"/>
                <w:szCs w:val="18"/>
                <w:color w:val="auto"/>
              </w:rPr>
              <w:t>Employee benefit obligations, net of deferred taxes of $(8), $—, $(8) and $—</w:t>
            </w:r>
          </w:p>
        </w:tc>
        <w:tc>
          <w:tcPr>
            <w:tcW w:w="1260" w:type="dxa"/>
            <w:vAlign w:val="bottom"/>
            <w:shd w:val="clear" w:color="auto" w:fill="E5E5E5"/>
          </w:tcPr>
          <w:p>
            <w:pPr>
              <w:jc w:val="right"/>
              <w:ind w:right="217"/>
              <w:spacing w:after="0"/>
              <w:rPr>
                <w:sz w:val="20"/>
                <w:szCs w:val="20"/>
                <w:color w:val="auto"/>
              </w:rPr>
            </w:pPr>
            <w:r>
              <w:rPr>
                <w:rFonts w:ascii="Arial" w:cs="Arial" w:eastAsia="Arial" w:hAnsi="Arial"/>
                <w:sz w:val="18"/>
                <w:szCs w:val="18"/>
                <w:color w:val="auto"/>
              </w:rPr>
              <w:t>14</w:t>
            </w:r>
          </w:p>
        </w:tc>
        <w:tc>
          <w:tcPr>
            <w:tcW w:w="1060" w:type="dxa"/>
            <w:vAlign w:val="bottom"/>
            <w:shd w:val="clear" w:color="auto" w:fill="E5E5E5"/>
          </w:tcPr>
          <w:p>
            <w:pPr>
              <w:jc w:val="right"/>
              <w:ind w:right="214"/>
              <w:spacing w:after="0"/>
              <w:rPr>
                <w:sz w:val="20"/>
                <w:szCs w:val="20"/>
                <w:color w:val="auto"/>
              </w:rPr>
            </w:pPr>
            <w:r>
              <w:rPr>
                <w:rFonts w:ascii="Arial" w:cs="Arial" w:eastAsia="Arial" w:hAnsi="Arial"/>
                <w:sz w:val="18"/>
                <w:szCs w:val="18"/>
                <w:color w:val="auto"/>
              </w:rPr>
              <w:t>—</w:t>
            </w:r>
          </w:p>
        </w:tc>
        <w:tc>
          <w:tcPr>
            <w:tcW w:w="960" w:type="dxa"/>
            <w:vAlign w:val="bottom"/>
            <w:shd w:val="clear" w:color="auto" w:fill="E5E5E5"/>
          </w:tcPr>
          <w:p>
            <w:pPr>
              <w:jc w:val="right"/>
              <w:ind w:right="97"/>
              <w:spacing w:after="0"/>
              <w:rPr>
                <w:sz w:val="20"/>
                <w:szCs w:val="20"/>
                <w:color w:val="auto"/>
              </w:rPr>
            </w:pPr>
            <w:r>
              <w:rPr>
                <w:rFonts w:ascii="Arial" w:cs="Arial" w:eastAsia="Arial" w:hAnsi="Arial"/>
                <w:sz w:val="18"/>
                <w:szCs w:val="18"/>
                <w:color w:val="auto"/>
              </w:rPr>
              <w:t>14</w:t>
            </w:r>
          </w:p>
        </w:tc>
        <w:tc>
          <w:tcPr>
            <w:tcW w:w="880" w:type="dxa"/>
            <w:vAlign w:val="bottom"/>
            <w:shd w:val="clear" w:color="auto" w:fill="E5E5E5"/>
          </w:tcPr>
          <w:p>
            <w:pPr>
              <w:jc w:val="right"/>
              <w:ind w:right="7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7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Currency translation adjustments, net of deferred taxes of $15, $10, $23 and $3</w:t>
            </w:r>
          </w:p>
        </w:tc>
        <w:tc>
          <w:tcPr>
            <w:tcW w:w="1260" w:type="dxa"/>
            <w:vAlign w:val="bottom"/>
            <w:tcBorders>
              <w:bottom w:val="single" w:sz="8" w:color="auto"/>
            </w:tcBorders>
          </w:tcPr>
          <w:p>
            <w:pPr>
              <w:jc w:val="right"/>
              <w:ind w:right="157"/>
              <w:spacing w:after="0"/>
              <w:rPr>
                <w:sz w:val="20"/>
                <w:szCs w:val="20"/>
                <w:color w:val="auto"/>
              </w:rPr>
            </w:pPr>
            <w:r>
              <w:rPr>
                <w:rFonts w:ascii="Arial" w:cs="Arial" w:eastAsia="Arial" w:hAnsi="Arial"/>
                <w:sz w:val="18"/>
                <w:szCs w:val="18"/>
                <w:color w:val="auto"/>
              </w:rPr>
              <w:t>(25)</w:t>
            </w:r>
          </w:p>
        </w:tc>
        <w:tc>
          <w:tcPr>
            <w:tcW w:w="106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(16)</w:t>
            </w:r>
          </w:p>
        </w:tc>
        <w:tc>
          <w:tcPr>
            <w:tcW w:w="9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(38)</w:t>
            </w:r>
          </w:p>
        </w:tc>
        <w:tc>
          <w:tcPr>
            <w:tcW w:w="88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0"/>
        </w:trPr>
        <w:tc>
          <w:tcPr>
            <w:tcW w:w="7260" w:type="dxa"/>
            <w:vAlign w:val="bottom"/>
            <w:shd w:val="clear" w:color="auto" w:fill="E5E5E5"/>
          </w:tcPr>
          <w:p>
            <w:pPr>
              <w:spacing w:after="0"/>
              <w:rPr>
                <w:sz w:val="20"/>
                <w:szCs w:val="20"/>
                <w:color w:val="auto"/>
              </w:rPr>
            </w:pPr>
            <w:r>
              <w:rPr>
                <w:rFonts w:ascii="Arial" w:cs="Arial" w:eastAsia="Arial" w:hAnsi="Arial"/>
                <w:sz w:val="18"/>
                <w:szCs w:val="18"/>
                <w:color w:val="auto"/>
              </w:rPr>
              <w:t>Comprehensive income</w:t>
            </w:r>
          </w:p>
        </w:tc>
        <w:tc>
          <w:tcPr>
            <w:tcW w:w="1260" w:type="dxa"/>
            <w:vAlign w:val="bottom"/>
            <w:shd w:val="clear" w:color="auto" w:fill="E5E5E5"/>
          </w:tcPr>
          <w:p>
            <w:pPr>
              <w:jc w:val="right"/>
              <w:ind w:right="217"/>
              <w:spacing w:after="0"/>
              <w:rPr>
                <w:sz w:val="20"/>
                <w:szCs w:val="20"/>
                <w:color w:val="auto"/>
              </w:rPr>
            </w:pPr>
            <w:r>
              <w:rPr>
                <w:rFonts w:ascii="Arial" w:cs="Arial" w:eastAsia="Arial" w:hAnsi="Arial"/>
                <w:sz w:val="18"/>
                <w:szCs w:val="18"/>
                <w:color w:val="auto"/>
              </w:rPr>
              <w:t>2,012</w:t>
            </w:r>
          </w:p>
        </w:tc>
        <w:tc>
          <w:tcPr>
            <w:tcW w:w="1060" w:type="dxa"/>
            <w:vAlign w:val="bottom"/>
            <w:shd w:val="clear" w:color="auto" w:fill="E5E5E5"/>
          </w:tcPr>
          <w:p>
            <w:pPr>
              <w:jc w:val="right"/>
              <w:ind w:right="214"/>
              <w:spacing w:after="0"/>
              <w:rPr>
                <w:sz w:val="20"/>
                <w:szCs w:val="20"/>
                <w:color w:val="auto"/>
              </w:rPr>
            </w:pPr>
            <w:r>
              <w:rPr>
                <w:rFonts w:ascii="Arial" w:cs="Arial" w:eastAsia="Arial" w:hAnsi="Arial"/>
                <w:sz w:val="18"/>
                <w:szCs w:val="18"/>
                <w:color w:val="auto"/>
              </w:rPr>
              <w:t>2,650</w:t>
            </w:r>
          </w:p>
        </w:tc>
        <w:tc>
          <w:tcPr>
            <w:tcW w:w="960" w:type="dxa"/>
            <w:vAlign w:val="bottom"/>
            <w:shd w:val="clear" w:color="auto" w:fill="E5E5E5"/>
          </w:tcPr>
          <w:p>
            <w:pPr>
              <w:jc w:val="right"/>
              <w:ind w:right="97"/>
              <w:spacing w:after="0"/>
              <w:rPr>
                <w:sz w:val="20"/>
                <w:szCs w:val="20"/>
                <w:color w:val="auto"/>
              </w:rPr>
            </w:pPr>
            <w:r>
              <w:rPr>
                <w:rFonts w:ascii="Arial" w:cs="Arial" w:eastAsia="Arial" w:hAnsi="Arial"/>
                <w:sz w:val="18"/>
                <w:szCs w:val="18"/>
                <w:color w:val="auto"/>
              </w:rPr>
              <w:t>6,308</w:t>
            </w:r>
          </w:p>
        </w:tc>
        <w:tc>
          <w:tcPr>
            <w:tcW w:w="88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6,543</w:t>
            </w:r>
          </w:p>
        </w:tc>
        <w:tc>
          <w:tcPr>
            <w:tcW w:w="0" w:type="dxa"/>
            <w:vAlign w:val="bottom"/>
          </w:tcPr>
          <w:p>
            <w:pPr>
              <w:spacing w:after="0"/>
              <w:rPr>
                <w:sz w:val="1"/>
                <w:szCs w:val="1"/>
                <w:color w:val="auto"/>
              </w:rPr>
            </w:pPr>
          </w:p>
        </w:tc>
      </w:tr>
      <w:tr>
        <w:trPr>
          <w:trHeight w:val="216"/>
        </w:trPr>
        <w:tc>
          <w:tcPr>
            <w:tcW w:w="7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Net (income) loss attributable to noncontrolling interests and redeemable subsidiary preferred stock</w:t>
            </w:r>
          </w:p>
        </w:tc>
        <w:tc>
          <w:tcPr>
            <w:tcW w:w="1260" w:type="dxa"/>
            <w:vAlign w:val="bottom"/>
            <w:tcBorders>
              <w:bottom w:val="single" w:sz="8" w:color="auto"/>
            </w:tcBorders>
          </w:tcPr>
          <w:p>
            <w:pPr>
              <w:jc w:val="right"/>
              <w:ind w:right="157"/>
              <w:spacing w:after="0"/>
              <w:rPr>
                <w:sz w:val="20"/>
                <w:szCs w:val="20"/>
                <w:color w:val="auto"/>
              </w:rPr>
            </w:pPr>
            <w:r>
              <w:rPr>
                <w:rFonts w:ascii="Arial" w:cs="Arial" w:eastAsia="Arial" w:hAnsi="Arial"/>
                <w:sz w:val="18"/>
                <w:szCs w:val="18"/>
                <w:color w:val="auto"/>
              </w:rPr>
              <w:t>(45)</w:t>
            </w:r>
          </w:p>
        </w:tc>
        <w:tc>
          <w:tcPr>
            <w:tcW w:w="106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(41)</w:t>
            </w:r>
          </w:p>
        </w:tc>
        <w:tc>
          <w:tcPr>
            <w:tcW w:w="9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(165)</w:t>
            </w:r>
          </w:p>
        </w:tc>
        <w:tc>
          <w:tcPr>
            <w:tcW w:w="88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7"/>
        </w:trPr>
        <w:tc>
          <w:tcPr>
            <w:tcW w:w="72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Comprehensive income attributable to Comcast Corporation</w:t>
            </w:r>
          </w:p>
        </w:tc>
        <w:tc>
          <w:tcPr>
            <w:tcW w:w="1260" w:type="dxa"/>
            <w:vAlign w:val="bottom"/>
            <w:tcBorders>
              <w:bottom w:val="single" w:sz="8" w:color="auto"/>
            </w:tcBorders>
            <w:shd w:val="clear" w:color="auto" w:fill="E5E5E5"/>
          </w:tcPr>
          <w:p>
            <w:pPr>
              <w:jc w:val="right"/>
              <w:ind w:right="217"/>
              <w:spacing w:after="0"/>
              <w:rPr>
                <w:sz w:val="20"/>
                <w:szCs w:val="20"/>
                <w:color w:val="auto"/>
              </w:rPr>
            </w:pPr>
            <w:r>
              <w:rPr>
                <w:rFonts w:ascii="Arial" w:cs="Arial" w:eastAsia="Arial" w:hAnsi="Arial"/>
                <w:sz w:val="18"/>
                <w:szCs w:val="18"/>
                <w:b w:val="1"/>
                <w:bCs w:val="1"/>
                <w:color w:val="auto"/>
              </w:rPr>
              <w:t>$ 1,967</w:t>
            </w:r>
          </w:p>
        </w:tc>
        <w:tc>
          <w:tcPr>
            <w:tcW w:w="1060" w:type="dxa"/>
            <w:vAlign w:val="bottom"/>
            <w:tcBorders>
              <w:bottom w:val="single" w:sz="8" w:color="auto"/>
            </w:tcBorders>
            <w:shd w:val="clear" w:color="auto" w:fill="E5E5E5"/>
          </w:tcPr>
          <w:p>
            <w:pPr>
              <w:jc w:val="right"/>
              <w:ind w:right="214"/>
              <w:spacing w:after="0"/>
              <w:rPr>
                <w:sz w:val="20"/>
                <w:szCs w:val="20"/>
                <w:color w:val="auto"/>
              </w:rPr>
            </w:pPr>
            <w:r>
              <w:rPr>
                <w:rFonts w:ascii="Arial" w:cs="Arial" w:eastAsia="Arial" w:hAnsi="Arial"/>
                <w:sz w:val="18"/>
                <w:szCs w:val="18"/>
                <w:b w:val="1"/>
                <w:bCs w:val="1"/>
                <w:color w:val="auto"/>
              </w:rPr>
              <w:t>$ 2,609</w:t>
            </w:r>
          </w:p>
        </w:tc>
        <w:tc>
          <w:tcPr>
            <w:tcW w:w="960" w:type="dxa"/>
            <w:vAlign w:val="bottom"/>
            <w:tcBorders>
              <w:bottom w:val="single" w:sz="8" w:color="auto"/>
            </w:tcBorders>
            <w:shd w:val="clear" w:color="auto" w:fill="E5E5E5"/>
          </w:tcPr>
          <w:p>
            <w:pPr>
              <w:jc w:val="right"/>
              <w:ind w:right="97"/>
              <w:spacing w:after="0"/>
              <w:rPr>
                <w:sz w:val="20"/>
                <w:szCs w:val="20"/>
                <w:color w:val="auto"/>
              </w:rPr>
            </w:pPr>
            <w:r>
              <w:rPr>
                <w:rFonts w:ascii="Arial" w:cs="Arial" w:eastAsia="Arial" w:hAnsi="Arial"/>
                <w:sz w:val="18"/>
                <w:szCs w:val="18"/>
                <w:b w:val="1"/>
                <w:bCs w:val="1"/>
                <w:color w:val="auto"/>
              </w:rPr>
              <w:t>$ 6,143</w:t>
            </w:r>
          </w:p>
        </w:tc>
        <w:tc>
          <w:tcPr>
            <w:tcW w:w="880" w:type="dxa"/>
            <w:vAlign w:val="bottom"/>
            <w:tcBorders>
              <w:bottom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b w:val="1"/>
                <w:bCs w:val="1"/>
                <w:color w:val="auto"/>
              </w:rPr>
              <w:t>$ 6,402</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Cash Flows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0" w:type="dxa"/>
            <w:vAlign w:val="bottom"/>
            <w:gridSpan w:val="3"/>
          </w:tcPr>
          <w:p>
            <w:pPr>
              <w:jc w:val="right"/>
              <w:ind w:right="293"/>
              <w:spacing w:after="0"/>
              <w:rPr>
                <w:sz w:val="20"/>
                <w:szCs w:val="20"/>
                <w:color w:val="auto"/>
              </w:rPr>
            </w:pPr>
            <w:r>
              <w:rPr>
                <w:rFonts w:ascii="Arial" w:cs="Arial" w:eastAsia="Arial" w:hAnsi="Arial"/>
                <w:sz w:val="14"/>
                <w:szCs w:val="14"/>
                <w:color w:val="auto"/>
                <w:w w:val="97"/>
              </w:rPr>
              <w:t>Nine Months Ended</w:t>
            </w:r>
          </w:p>
        </w:tc>
        <w:tc>
          <w:tcPr>
            <w:tcW w:w="0" w:type="dxa"/>
            <w:vAlign w:val="bottom"/>
          </w:tcPr>
          <w:p>
            <w:pPr>
              <w:spacing w:after="0"/>
              <w:rPr>
                <w:sz w:val="1"/>
                <w:szCs w:val="1"/>
                <w:color w:val="auto"/>
              </w:rPr>
            </w:pPr>
          </w:p>
        </w:tc>
      </w:tr>
      <w:tr>
        <w:trPr>
          <w:trHeight w:val="159"/>
        </w:trPr>
        <w:tc>
          <w:tcPr>
            <w:tcW w:w="936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46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3"/>
          </w:tcPr>
          <w:p>
            <w:pPr>
              <w:jc w:val="right"/>
              <w:ind w:right="453"/>
              <w:spacing w:after="0" w:line="159" w:lineRule="exact"/>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42"/>
        </w:trPr>
        <w:tc>
          <w:tcPr>
            <w:tcW w:w="9360" w:type="dxa"/>
            <w:vAlign w:val="bottom"/>
            <w:tcBorders>
              <w:bottom w:val="single" w:sz="8" w:color="auto"/>
            </w:tcBorders>
            <w:vMerge w:val="continue"/>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95"/>
              <w:spacing w:after="0" w:line="142" w:lineRule="exact"/>
              <w:rPr>
                <w:sz w:val="20"/>
                <w:szCs w:val="20"/>
                <w:color w:val="auto"/>
              </w:rPr>
            </w:pPr>
            <w:r>
              <w:rPr>
                <w:rFonts w:ascii="Arial" w:cs="Arial" w:eastAsia="Arial" w:hAnsi="Arial"/>
                <w:sz w:val="14"/>
                <w:szCs w:val="14"/>
                <w:color w:val="auto"/>
                <w:w w:val="96"/>
              </w:rPr>
              <w:t>2015</w:t>
            </w:r>
          </w:p>
        </w:tc>
        <w:tc>
          <w:tcPr>
            <w:tcW w:w="2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210"/>
        </w:trPr>
        <w:tc>
          <w:tcPr>
            <w:tcW w:w="93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4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E5E5E5"/>
          </w:tcPr>
          <w:p>
            <w:pPr>
              <w:jc w:val="right"/>
              <w:ind w:right="115"/>
              <w:spacing w:after="0"/>
              <w:rPr>
                <w:sz w:val="20"/>
                <w:szCs w:val="20"/>
                <w:color w:val="auto"/>
              </w:rPr>
            </w:pPr>
            <w:r>
              <w:rPr>
                <w:rFonts w:ascii="Arial" w:cs="Arial" w:eastAsia="Arial" w:hAnsi="Arial"/>
                <w:sz w:val="18"/>
                <w:szCs w:val="18"/>
                <w:b w:val="1"/>
                <w:bCs w:val="1"/>
                <w:color w:val="auto"/>
                <w:w w:val="87"/>
              </w:rPr>
              <w:t>13,813</w:t>
            </w:r>
          </w:p>
        </w:tc>
        <w:tc>
          <w:tcPr>
            <w:tcW w:w="2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w w:val="94"/>
              </w:rPr>
              <w:t>12,302</w:t>
            </w:r>
          </w:p>
        </w:tc>
        <w:tc>
          <w:tcPr>
            <w:tcW w:w="0" w:type="dxa"/>
            <w:vAlign w:val="bottom"/>
          </w:tcPr>
          <w:p>
            <w:pPr>
              <w:spacing w:after="0"/>
              <w:rPr>
                <w:sz w:val="1"/>
                <w:szCs w:val="1"/>
                <w:color w:val="auto"/>
              </w:rPr>
            </w:pPr>
          </w:p>
        </w:tc>
      </w:tr>
      <w:tr>
        <w:trPr>
          <w:trHeight w:val="210"/>
        </w:trPr>
        <w:tc>
          <w:tcPr>
            <w:tcW w:w="936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Capital expenditures</w:t>
            </w:r>
          </w:p>
        </w:tc>
        <w:tc>
          <w:tcPr>
            <w:tcW w:w="46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55"/>
              <w:spacing w:after="0"/>
              <w:rPr>
                <w:sz w:val="20"/>
                <w:szCs w:val="20"/>
                <w:color w:val="auto"/>
              </w:rPr>
            </w:pPr>
            <w:r>
              <w:rPr>
                <w:rFonts w:ascii="Arial" w:cs="Arial" w:eastAsia="Arial" w:hAnsi="Arial"/>
                <w:sz w:val="18"/>
                <w:szCs w:val="18"/>
                <w:color w:val="auto"/>
                <w:w w:val="94"/>
              </w:rPr>
              <w:t>(5,862)</w:t>
            </w:r>
          </w:p>
        </w:tc>
        <w:tc>
          <w:tcPr>
            <w:tcW w:w="260" w:type="dxa"/>
            <w:vAlign w:val="bottom"/>
            <w:shd w:val="clear" w:color="auto" w:fill="E5E5E5"/>
          </w:tcPr>
          <w:p>
            <w:pPr>
              <w:spacing w:after="0"/>
              <w:rPr>
                <w:sz w:val="18"/>
                <w:szCs w:val="18"/>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(5,196)</w:t>
            </w:r>
          </w:p>
        </w:tc>
        <w:tc>
          <w:tcPr>
            <w:tcW w:w="0" w:type="dxa"/>
            <w:vAlign w:val="bottom"/>
          </w:tcPr>
          <w:p>
            <w:pPr>
              <w:spacing w:after="0"/>
              <w:rPr>
                <w:sz w:val="1"/>
                <w:szCs w:val="1"/>
                <w:color w:val="auto"/>
              </w:rPr>
            </w:pPr>
          </w:p>
        </w:tc>
      </w:tr>
      <w:tr>
        <w:trPr>
          <w:trHeight w:val="216"/>
        </w:trPr>
        <w:tc>
          <w:tcPr>
            <w:tcW w:w="9360" w:type="dxa"/>
            <w:vAlign w:val="bottom"/>
          </w:tcPr>
          <w:p>
            <w:pPr>
              <w:ind w:left="440"/>
              <w:spacing w:after="0"/>
              <w:rPr>
                <w:sz w:val="20"/>
                <w:szCs w:val="20"/>
                <w:color w:val="auto"/>
              </w:rPr>
            </w:pPr>
            <w:r>
              <w:rPr>
                <w:rFonts w:ascii="Arial" w:cs="Arial" w:eastAsia="Arial" w:hAnsi="Arial"/>
                <w:sz w:val="18"/>
                <w:szCs w:val="18"/>
                <w:color w:val="auto"/>
              </w:rPr>
              <w:t>Cash paid for intangible assets</w:t>
            </w:r>
          </w:p>
        </w:tc>
        <w:tc>
          <w:tcPr>
            <w:tcW w:w="460" w:type="dxa"/>
            <w:vAlign w:val="bottom"/>
          </w:tcPr>
          <w:p>
            <w:pPr>
              <w:spacing w:after="0"/>
              <w:rPr>
                <w:sz w:val="18"/>
                <w:szCs w:val="18"/>
                <w:color w:val="auto"/>
              </w:rPr>
            </w:pPr>
          </w:p>
        </w:tc>
        <w:tc>
          <w:tcPr>
            <w:tcW w:w="700" w:type="dxa"/>
            <w:vAlign w:val="bottom"/>
          </w:tcPr>
          <w:p>
            <w:pPr>
              <w:jc w:val="right"/>
              <w:ind w:right="55"/>
              <w:spacing w:after="0"/>
              <w:rPr>
                <w:sz w:val="20"/>
                <w:szCs w:val="20"/>
                <w:color w:val="auto"/>
              </w:rPr>
            </w:pPr>
            <w:r>
              <w:rPr>
                <w:rFonts w:ascii="Arial" w:cs="Arial" w:eastAsia="Arial" w:hAnsi="Arial"/>
                <w:sz w:val="18"/>
                <w:szCs w:val="18"/>
                <w:color w:val="auto"/>
              </w:rPr>
              <w:t>(916)</w:t>
            </w: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216"/>
        </w:trPr>
        <w:tc>
          <w:tcPr>
            <w:tcW w:w="9360" w:type="dxa"/>
            <w:vAlign w:val="bottom"/>
            <w:shd w:val="clear" w:color="auto" w:fill="E5E5E5"/>
          </w:tcPr>
          <w:p>
            <w:pPr>
              <w:ind w:left="440"/>
              <w:spacing w:after="0"/>
              <w:rPr>
                <w:sz w:val="20"/>
                <w:szCs w:val="20"/>
                <w:color w:val="auto"/>
              </w:rPr>
            </w:pPr>
            <w:r>
              <w:rPr>
                <w:rFonts w:ascii="Arial" w:cs="Arial" w:eastAsia="Arial" w:hAnsi="Arial"/>
                <w:sz w:val="18"/>
                <w:szCs w:val="18"/>
                <w:color w:val="auto"/>
              </w:rPr>
              <w:t>Acquisitions and construction of real estate properties</w:t>
            </w:r>
          </w:p>
        </w:tc>
        <w:tc>
          <w:tcPr>
            <w:tcW w:w="46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55"/>
              <w:spacing w:after="0"/>
              <w:rPr>
                <w:sz w:val="20"/>
                <w:szCs w:val="20"/>
                <w:color w:val="auto"/>
              </w:rPr>
            </w:pPr>
            <w:r>
              <w:rPr>
                <w:rFonts w:ascii="Arial" w:cs="Arial" w:eastAsia="Arial" w:hAnsi="Arial"/>
                <w:sz w:val="18"/>
                <w:szCs w:val="18"/>
                <w:color w:val="auto"/>
              </w:rPr>
              <w:t>(116)</w:t>
            </w:r>
          </w:p>
        </w:tc>
        <w:tc>
          <w:tcPr>
            <w:tcW w:w="260" w:type="dxa"/>
            <w:vAlign w:val="bottom"/>
            <w:shd w:val="clear" w:color="auto" w:fill="E5E5E5"/>
          </w:tcPr>
          <w:p>
            <w:pPr>
              <w:spacing w:after="0"/>
              <w:rPr>
                <w:sz w:val="18"/>
                <w:szCs w:val="18"/>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9360" w:type="dxa"/>
            <w:vAlign w:val="bottom"/>
          </w:tcPr>
          <w:p>
            <w:pPr>
              <w:ind w:left="440"/>
              <w:spacing w:after="0"/>
              <w:rPr>
                <w:sz w:val="20"/>
                <w:szCs w:val="20"/>
                <w:color w:val="auto"/>
              </w:rPr>
            </w:pPr>
            <w:r>
              <w:rPr>
                <w:rFonts w:ascii="Arial" w:cs="Arial" w:eastAsia="Arial" w:hAnsi="Arial"/>
                <w:sz w:val="18"/>
                <w:szCs w:val="18"/>
                <w:color w:val="auto"/>
              </w:rPr>
              <w:t>Acquisitions, net of cash acquired</w:t>
            </w:r>
          </w:p>
        </w:tc>
        <w:tc>
          <w:tcPr>
            <w:tcW w:w="460" w:type="dxa"/>
            <w:vAlign w:val="bottom"/>
          </w:tcPr>
          <w:p>
            <w:pPr>
              <w:spacing w:after="0"/>
              <w:rPr>
                <w:sz w:val="18"/>
                <w:szCs w:val="18"/>
                <w:color w:val="auto"/>
              </w:rPr>
            </w:pPr>
          </w:p>
        </w:tc>
        <w:tc>
          <w:tcPr>
            <w:tcW w:w="700" w:type="dxa"/>
            <w:vAlign w:val="bottom"/>
          </w:tcPr>
          <w:p>
            <w:pPr>
              <w:jc w:val="right"/>
              <w:ind w:right="55"/>
              <w:spacing w:after="0"/>
              <w:rPr>
                <w:sz w:val="20"/>
                <w:szCs w:val="20"/>
                <w:color w:val="auto"/>
              </w:rPr>
            </w:pPr>
            <w:r>
              <w:rPr>
                <w:rFonts w:ascii="Arial" w:cs="Arial" w:eastAsia="Arial" w:hAnsi="Arial"/>
                <w:sz w:val="18"/>
                <w:szCs w:val="18"/>
                <w:color w:val="auto"/>
              </w:rPr>
              <w:t>(286)</w:t>
            </w: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16"/>
        </w:trPr>
        <w:tc>
          <w:tcPr>
            <w:tcW w:w="9360" w:type="dxa"/>
            <w:vAlign w:val="bottom"/>
            <w:shd w:val="clear" w:color="auto" w:fill="E5E5E5"/>
          </w:tcPr>
          <w:p>
            <w:pPr>
              <w:ind w:left="440"/>
              <w:spacing w:after="0"/>
              <w:rPr>
                <w:sz w:val="20"/>
                <w:szCs w:val="20"/>
                <w:color w:val="auto"/>
              </w:rPr>
            </w:pPr>
            <w:r>
              <w:rPr>
                <w:rFonts w:ascii="Arial" w:cs="Arial" w:eastAsia="Arial" w:hAnsi="Arial"/>
                <w:sz w:val="18"/>
                <w:szCs w:val="18"/>
                <w:color w:val="auto"/>
              </w:rPr>
              <w:t>Proceeds from sales of businesses and investments</w:t>
            </w:r>
          </w:p>
        </w:tc>
        <w:tc>
          <w:tcPr>
            <w:tcW w:w="46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15"/>
              <w:spacing w:after="0"/>
              <w:rPr>
                <w:sz w:val="20"/>
                <w:szCs w:val="20"/>
                <w:color w:val="auto"/>
              </w:rPr>
            </w:pPr>
            <w:r>
              <w:rPr>
                <w:rFonts w:ascii="Arial" w:cs="Arial" w:eastAsia="Arial" w:hAnsi="Arial"/>
                <w:sz w:val="18"/>
                <w:szCs w:val="18"/>
                <w:color w:val="auto"/>
              </w:rPr>
              <w:t>420</w:t>
            </w:r>
          </w:p>
        </w:tc>
        <w:tc>
          <w:tcPr>
            <w:tcW w:w="26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16"/>
        </w:trPr>
        <w:tc>
          <w:tcPr>
            <w:tcW w:w="9360" w:type="dxa"/>
            <w:vAlign w:val="bottom"/>
          </w:tcPr>
          <w:p>
            <w:pPr>
              <w:ind w:left="440"/>
              <w:spacing w:after="0"/>
              <w:rPr>
                <w:sz w:val="20"/>
                <w:szCs w:val="20"/>
                <w:color w:val="auto"/>
              </w:rPr>
            </w:pPr>
            <w:r>
              <w:rPr>
                <w:rFonts w:ascii="Arial" w:cs="Arial" w:eastAsia="Arial" w:hAnsi="Arial"/>
                <w:sz w:val="18"/>
                <w:szCs w:val="18"/>
                <w:color w:val="auto"/>
              </w:rPr>
              <w:t>Purchases of investments</w:t>
            </w:r>
          </w:p>
        </w:tc>
        <w:tc>
          <w:tcPr>
            <w:tcW w:w="460" w:type="dxa"/>
            <w:vAlign w:val="bottom"/>
          </w:tcPr>
          <w:p>
            <w:pPr>
              <w:spacing w:after="0"/>
              <w:rPr>
                <w:sz w:val="18"/>
                <w:szCs w:val="18"/>
                <w:color w:val="auto"/>
              </w:rPr>
            </w:pPr>
          </w:p>
        </w:tc>
        <w:tc>
          <w:tcPr>
            <w:tcW w:w="700" w:type="dxa"/>
            <w:vAlign w:val="bottom"/>
          </w:tcPr>
          <w:p>
            <w:pPr>
              <w:jc w:val="right"/>
              <w:ind w:right="55"/>
              <w:spacing w:after="0"/>
              <w:rPr>
                <w:sz w:val="20"/>
                <w:szCs w:val="20"/>
                <w:color w:val="auto"/>
              </w:rPr>
            </w:pPr>
            <w:r>
              <w:rPr>
                <w:rFonts w:ascii="Arial" w:cs="Arial" w:eastAsia="Arial" w:hAnsi="Arial"/>
                <w:sz w:val="18"/>
                <w:szCs w:val="18"/>
                <w:color w:val="auto"/>
              </w:rPr>
              <w:t>(712)</w:t>
            </w: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9360" w:type="dxa"/>
            <w:vAlign w:val="bottom"/>
            <w:tcBorders>
              <w:bottom w:val="single" w:sz="8" w:color="auto"/>
            </w:tcBorders>
            <w:shd w:val="clear" w:color="auto" w:fill="E5E5E5"/>
          </w:tcPr>
          <w:p>
            <w:pPr>
              <w:ind w:left="440"/>
              <w:spacing w:after="0"/>
              <w:rPr>
                <w:sz w:val="20"/>
                <w:szCs w:val="20"/>
                <w:color w:val="auto"/>
              </w:rPr>
            </w:pPr>
            <w:r>
              <w:rPr>
                <w:rFonts w:ascii="Arial" w:cs="Arial" w:eastAsia="Arial" w:hAnsi="Arial"/>
                <w:sz w:val="18"/>
                <w:szCs w:val="18"/>
                <w:color w:val="auto"/>
              </w:rPr>
              <w:t>Other</w:t>
            </w:r>
          </w:p>
        </w:tc>
        <w:tc>
          <w:tcPr>
            <w:tcW w:w="46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15"/>
              <w:spacing w:after="0"/>
              <w:rPr>
                <w:sz w:val="20"/>
                <w:szCs w:val="20"/>
                <w:color w:val="auto"/>
              </w:rPr>
            </w:pPr>
            <w:r>
              <w:rPr>
                <w:rFonts w:ascii="Arial" w:cs="Arial" w:eastAsia="Arial" w:hAnsi="Arial"/>
                <w:sz w:val="18"/>
                <w:szCs w:val="18"/>
                <w:color w:val="auto"/>
              </w:rPr>
              <w:t>268</w:t>
            </w:r>
          </w:p>
        </w:tc>
        <w:tc>
          <w:tcPr>
            <w:tcW w:w="26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0"/>
        </w:trPr>
        <w:tc>
          <w:tcPr>
            <w:tcW w:w="9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4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b w:val="1"/>
                <w:bCs w:val="1"/>
                <w:color w:val="auto"/>
                <w:w w:val="94"/>
              </w:rPr>
              <w:t>(7,204)</w:t>
            </w:r>
          </w:p>
        </w:tc>
        <w:tc>
          <w:tcPr>
            <w:tcW w:w="2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(6,080)</w:t>
            </w:r>
          </w:p>
        </w:tc>
        <w:tc>
          <w:tcPr>
            <w:tcW w:w="0" w:type="dxa"/>
            <w:vAlign w:val="bottom"/>
          </w:tcPr>
          <w:p>
            <w:pPr>
              <w:spacing w:after="0"/>
              <w:rPr>
                <w:sz w:val="1"/>
                <w:szCs w:val="1"/>
                <w:color w:val="auto"/>
              </w:rPr>
            </w:pPr>
          </w:p>
        </w:tc>
      </w:tr>
      <w:tr>
        <w:trPr>
          <w:trHeight w:val="210"/>
        </w:trPr>
        <w:tc>
          <w:tcPr>
            <w:tcW w:w="936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Financing Activities</w:t>
            </w:r>
          </w:p>
        </w:tc>
        <w:tc>
          <w:tcPr>
            <w:tcW w:w="46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tcPr>
          <w:p>
            <w:pPr>
              <w:ind w:left="440"/>
              <w:spacing w:after="0"/>
              <w:rPr>
                <w:sz w:val="20"/>
                <w:szCs w:val="20"/>
                <w:color w:val="auto"/>
              </w:rPr>
            </w:pPr>
            <w:r>
              <w:rPr>
                <w:rFonts w:ascii="Arial" w:cs="Arial" w:eastAsia="Arial" w:hAnsi="Arial"/>
                <w:sz w:val="18"/>
                <w:szCs w:val="18"/>
                <w:color w:val="auto"/>
              </w:rPr>
              <w:t>Proceeds from (repayments of) short-term borrowings, net</w:t>
            </w:r>
          </w:p>
        </w:tc>
        <w:tc>
          <w:tcPr>
            <w:tcW w:w="460" w:type="dxa"/>
            <w:vAlign w:val="bottom"/>
          </w:tcPr>
          <w:p>
            <w:pPr>
              <w:spacing w:after="0"/>
              <w:rPr>
                <w:sz w:val="18"/>
                <w:szCs w:val="18"/>
                <w:color w:val="auto"/>
              </w:rPr>
            </w:pPr>
          </w:p>
        </w:tc>
        <w:tc>
          <w:tcPr>
            <w:tcW w:w="700" w:type="dxa"/>
            <w:vAlign w:val="bottom"/>
          </w:tcPr>
          <w:p>
            <w:pPr>
              <w:jc w:val="right"/>
              <w:ind w:right="55"/>
              <w:spacing w:after="0"/>
              <w:rPr>
                <w:sz w:val="20"/>
                <w:szCs w:val="20"/>
                <w:color w:val="auto"/>
              </w:rPr>
            </w:pPr>
            <w:r>
              <w:rPr>
                <w:rFonts w:ascii="Arial" w:cs="Arial" w:eastAsia="Arial" w:hAnsi="Arial"/>
                <w:sz w:val="18"/>
                <w:szCs w:val="18"/>
                <w:color w:val="auto"/>
              </w:rPr>
              <w:t>(220)</w:t>
            </w: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16"/>
        </w:trPr>
        <w:tc>
          <w:tcPr>
            <w:tcW w:w="9360" w:type="dxa"/>
            <w:vAlign w:val="bottom"/>
            <w:shd w:val="clear" w:color="auto" w:fill="E5E5E5"/>
          </w:tcPr>
          <w:p>
            <w:pPr>
              <w:ind w:left="440"/>
              <w:spacing w:after="0"/>
              <w:rPr>
                <w:sz w:val="20"/>
                <w:szCs w:val="20"/>
                <w:color w:val="auto"/>
              </w:rPr>
            </w:pPr>
            <w:r>
              <w:rPr>
                <w:rFonts w:ascii="Arial" w:cs="Arial" w:eastAsia="Arial" w:hAnsi="Arial"/>
                <w:sz w:val="18"/>
                <w:szCs w:val="18"/>
                <w:color w:val="auto"/>
              </w:rPr>
              <w:t>Proceeds from borrowings</w:t>
            </w:r>
          </w:p>
        </w:tc>
        <w:tc>
          <w:tcPr>
            <w:tcW w:w="46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15"/>
              <w:spacing w:after="0"/>
              <w:rPr>
                <w:sz w:val="20"/>
                <w:szCs w:val="20"/>
                <w:color w:val="auto"/>
              </w:rPr>
            </w:pPr>
            <w:r>
              <w:rPr>
                <w:rFonts w:ascii="Arial" w:cs="Arial" w:eastAsia="Arial" w:hAnsi="Arial"/>
                <w:sz w:val="18"/>
                <w:szCs w:val="18"/>
                <w:color w:val="auto"/>
              </w:rPr>
              <w:t>3,996</w:t>
            </w:r>
          </w:p>
        </w:tc>
        <w:tc>
          <w:tcPr>
            <w:tcW w:w="26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4,182</w:t>
            </w:r>
          </w:p>
        </w:tc>
        <w:tc>
          <w:tcPr>
            <w:tcW w:w="0" w:type="dxa"/>
            <w:vAlign w:val="bottom"/>
          </w:tcPr>
          <w:p>
            <w:pPr>
              <w:spacing w:after="0"/>
              <w:rPr>
                <w:sz w:val="1"/>
                <w:szCs w:val="1"/>
                <w:color w:val="auto"/>
              </w:rPr>
            </w:pPr>
          </w:p>
        </w:tc>
      </w:tr>
      <w:tr>
        <w:trPr>
          <w:trHeight w:val="216"/>
        </w:trPr>
        <w:tc>
          <w:tcPr>
            <w:tcW w:w="9360" w:type="dxa"/>
            <w:vAlign w:val="bottom"/>
          </w:tcPr>
          <w:p>
            <w:pPr>
              <w:ind w:left="440"/>
              <w:spacing w:after="0"/>
              <w:rPr>
                <w:sz w:val="20"/>
                <w:szCs w:val="20"/>
                <w:color w:val="auto"/>
              </w:rPr>
            </w:pPr>
            <w:r>
              <w:rPr>
                <w:rFonts w:ascii="Arial" w:cs="Arial" w:eastAsia="Arial" w:hAnsi="Arial"/>
                <w:sz w:val="18"/>
                <w:szCs w:val="18"/>
                <w:color w:val="auto"/>
              </w:rPr>
              <w:t>Repurchases and repayments of debt</w:t>
            </w:r>
          </w:p>
        </w:tc>
        <w:tc>
          <w:tcPr>
            <w:tcW w:w="460" w:type="dxa"/>
            <w:vAlign w:val="bottom"/>
          </w:tcPr>
          <w:p>
            <w:pPr>
              <w:spacing w:after="0"/>
              <w:rPr>
                <w:sz w:val="18"/>
                <w:szCs w:val="18"/>
                <w:color w:val="auto"/>
              </w:rPr>
            </w:pPr>
          </w:p>
        </w:tc>
        <w:tc>
          <w:tcPr>
            <w:tcW w:w="700" w:type="dxa"/>
            <w:vAlign w:val="bottom"/>
          </w:tcPr>
          <w:p>
            <w:pPr>
              <w:jc w:val="right"/>
              <w:ind w:right="55"/>
              <w:spacing w:after="0"/>
              <w:rPr>
                <w:sz w:val="20"/>
                <w:szCs w:val="20"/>
                <w:color w:val="auto"/>
              </w:rPr>
            </w:pPr>
            <w:r>
              <w:rPr>
                <w:rFonts w:ascii="Arial" w:cs="Arial" w:eastAsia="Arial" w:hAnsi="Arial"/>
                <w:sz w:val="18"/>
                <w:szCs w:val="18"/>
                <w:color w:val="auto"/>
                <w:w w:val="94"/>
              </w:rPr>
              <w:t>(4,353)</w:t>
            </w: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(3,172)</w:t>
            </w:r>
          </w:p>
        </w:tc>
        <w:tc>
          <w:tcPr>
            <w:tcW w:w="0" w:type="dxa"/>
            <w:vAlign w:val="bottom"/>
          </w:tcPr>
          <w:p>
            <w:pPr>
              <w:spacing w:after="0"/>
              <w:rPr>
                <w:sz w:val="1"/>
                <w:szCs w:val="1"/>
                <w:color w:val="auto"/>
              </w:rPr>
            </w:pPr>
          </w:p>
        </w:tc>
      </w:tr>
      <w:tr>
        <w:trPr>
          <w:trHeight w:val="216"/>
        </w:trPr>
        <w:tc>
          <w:tcPr>
            <w:tcW w:w="9360" w:type="dxa"/>
            <w:vAlign w:val="bottom"/>
            <w:shd w:val="clear" w:color="auto" w:fill="E5E5E5"/>
          </w:tcPr>
          <w:p>
            <w:pPr>
              <w:ind w:left="440"/>
              <w:spacing w:after="0"/>
              <w:rPr>
                <w:sz w:val="20"/>
                <w:szCs w:val="20"/>
                <w:color w:val="auto"/>
              </w:rPr>
            </w:pPr>
            <w:r>
              <w:rPr>
                <w:rFonts w:ascii="Arial" w:cs="Arial" w:eastAsia="Arial" w:hAnsi="Arial"/>
                <w:sz w:val="18"/>
                <w:szCs w:val="18"/>
                <w:color w:val="auto"/>
              </w:rPr>
              <w:t>Repurchases and retirements of common stock</w:t>
            </w:r>
          </w:p>
        </w:tc>
        <w:tc>
          <w:tcPr>
            <w:tcW w:w="46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55"/>
              <w:spacing w:after="0"/>
              <w:rPr>
                <w:sz w:val="20"/>
                <w:szCs w:val="20"/>
                <w:color w:val="auto"/>
              </w:rPr>
            </w:pPr>
            <w:r>
              <w:rPr>
                <w:rFonts w:ascii="Arial" w:cs="Arial" w:eastAsia="Arial" w:hAnsi="Arial"/>
                <w:sz w:val="18"/>
                <w:szCs w:val="18"/>
                <w:color w:val="auto"/>
                <w:w w:val="94"/>
              </w:rPr>
              <w:t>(5,770)</w:t>
            </w:r>
          </w:p>
        </w:tc>
        <w:tc>
          <w:tcPr>
            <w:tcW w:w="260" w:type="dxa"/>
            <w:vAlign w:val="bottom"/>
            <w:shd w:val="clear" w:color="auto" w:fill="E5E5E5"/>
          </w:tcPr>
          <w:p>
            <w:pPr>
              <w:spacing w:after="0"/>
              <w:rPr>
                <w:sz w:val="18"/>
                <w:szCs w:val="18"/>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(2,250)</w:t>
            </w:r>
          </w:p>
        </w:tc>
        <w:tc>
          <w:tcPr>
            <w:tcW w:w="0" w:type="dxa"/>
            <w:vAlign w:val="bottom"/>
          </w:tcPr>
          <w:p>
            <w:pPr>
              <w:spacing w:after="0"/>
              <w:rPr>
                <w:sz w:val="1"/>
                <w:szCs w:val="1"/>
                <w:color w:val="auto"/>
              </w:rPr>
            </w:pPr>
          </w:p>
        </w:tc>
      </w:tr>
      <w:tr>
        <w:trPr>
          <w:trHeight w:val="216"/>
        </w:trPr>
        <w:tc>
          <w:tcPr>
            <w:tcW w:w="9360" w:type="dxa"/>
            <w:vAlign w:val="bottom"/>
          </w:tcPr>
          <w:p>
            <w:pPr>
              <w:ind w:left="440"/>
              <w:spacing w:after="0"/>
              <w:rPr>
                <w:sz w:val="20"/>
                <w:szCs w:val="20"/>
                <w:color w:val="auto"/>
              </w:rPr>
            </w:pPr>
            <w:r>
              <w:rPr>
                <w:rFonts w:ascii="Arial" w:cs="Arial" w:eastAsia="Arial" w:hAnsi="Arial"/>
                <w:sz w:val="18"/>
                <w:szCs w:val="18"/>
                <w:color w:val="auto"/>
              </w:rPr>
              <w:t>Dividends paid</w:t>
            </w:r>
          </w:p>
        </w:tc>
        <w:tc>
          <w:tcPr>
            <w:tcW w:w="460" w:type="dxa"/>
            <w:vAlign w:val="bottom"/>
          </w:tcPr>
          <w:p>
            <w:pPr>
              <w:spacing w:after="0"/>
              <w:rPr>
                <w:sz w:val="18"/>
                <w:szCs w:val="18"/>
                <w:color w:val="auto"/>
              </w:rPr>
            </w:pPr>
          </w:p>
        </w:tc>
        <w:tc>
          <w:tcPr>
            <w:tcW w:w="700" w:type="dxa"/>
            <w:vAlign w:val="bottom"/>
          </w:tcPr>
          <w:p>
            <w:pPr>
              <w:jc w:val="right"/>
              <w:ind w:right="55"/>
              <w:spacing w:after="0"/>
              <w:rPr>
                <w:sz w:val="20"/>
                <w:szCs w:val="20"/>
                <w:color w:val="auto"/>
              </w:rPr>
            </w:pPr>
            <w:r>
              <w:rPr>
                <w:rFonts w:ascii="Arial" w:cs="Arial" w:eastAsia="Arial" w:hAnsi="Arial"/>
                <w:sz w:val="18"/>
                <w:szCs w:val="18"/>
                <w:color w:val="auto"/>
                <w:w w:val="94"/>
              </w:rPr>
              <w:t>(1,823)</w:t>
            </w: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(1,676)</w:t>
            </w:r>
          </w:p>
        </w:tc>
        <w:tc>
          <w:tcPr>
            <w:tcW w:w="0" w:type="dxa"/>
            <w:vAlign w:val="bottom"/>
          </w:tcPr>
          <w:p>
            <w:pPr>
              <w:spacing w:after="0"/>
              <w:rPr>
                <w:sz w:val="1"/>
                <w:szCs w:val="1"/>
                <w:color w:val="auto"/>
              </w:rPr>
            </w:pPr>
          </w:p>
        </w:tc>
      </w:tr>
      <w:tr>
        <w:trPr>
          <w:trHeight w:val="216"/>
        </w:trPr>
        <w:tc>
          <w:tcPr>
            <w:tcW w:w="9360" w:type="dxa"/>
            <w:vAlign w:val="bottom"/>
            <w:shd w:val="clear" w:color="auto" w:fill="E5E5E5"/>
          </w:tcPr>
          <w:p>
            <w:pPr>
              <w:ind w:left="440"/>
              <w:spacing w:after="0"/>
              <w:rPr>
                <w:sz w:val="20"/>
                <w:szCs w:val="20"/>
                <w:color w:val="auto"/>
              </w:rPr>
            </w:pPr>
            <w:r>
              <w:rPr>
                <w:rFonts w:ascii="Arial" w:cs="Arial" w:eastAsia="Arial" w:hAnsi="Arial"/>
                <w:sz w:val="18"/>
                <w:szCs w:val="18"/>
                <w:color w:val="auto"/>
              </w:rPr>
              <w:t>Issuances of common stock</w:t>
            </w:r>
          </w:p>
        </w:tc>
        <w:tc>
          <w:tcPr>
            <w:tcW w:w="46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15"/>
              <w:spacing w:after="0"/>
              <w:rPr>
                <w:sz w:val="20"/>
                <w:szCs w:val="20"/>
                <w:color w:val="auto"/>
              </w:rPr>
            </w:pPr>
            <w:r>
              <w:rPr>
                <w:rFonts w:ascii="Arial" w:cs="Arial" w:eastAsia="Arial" w:hAnsi="Arial"/>
                <w:sz w:val="18"/>
                <w:szCs w:val="18"/>
                <w:color w:val="auto"/>
              </w:rPr>
              <w:t>35</w:t>
            </w:r>
          </w:p>
        </w:tc>
        <w:tc>
          <w:tcPr>
            <w:tcW w:w="26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9360" w:type="dxa"/>
            <w:vAlign w:val="bottom"/>
          </w:tcPr>
          <w:p>
            <w:pPr>
              <w:ind w:left="440"/>
              <w:spacing w:after="0"/>
              <w:rPr>
                <w:sz w:val="20"/>
                <w:szCs w:val="20"/>
                <w:color w:val="auto"/>
              </w:rPr>
            </w:pPr>
            <w:r>
              <w:rPr>
                <w:rFonts w:ascii="Arial" w:cs="Arial" w:eastAsia="Arial" w:hAnsi="Arial"/>
                <w:sz w:val="18"/>
                <w:szCs w:val="18"/>
                <w:color w:val="auto"/>
              </w:rPr>
              <w:t>Distributions to noncontrolling interests and dividends for redeemable subsidiary preferred stock</w:t>
            </w:r>
          </w:p>
        </w:tc>
        <w:tc>
          <w:tcPr>
            <w:tcW w:w="460" w:type="dxa"/>
            <w:vAlign w:val="bottom"/>
          </w:tcPr>
          <w:p>
            <w:pPr>
              <w:spacing w:after="0"/>
              <w:rPr>
                <w:sz w:val="18"/>
                <w:szCs w:val="18"/>
                <w:color w:val="auto"/>
              </w:rPr>
            </w:pPr>
          </w:p>
        </w:tc>
        <w:tc>
          <w:tcPr>
            <w:tcW w:w="700" w:type="dxa"/>
            <w:vAlign w:val="bottom"/>
          </w:tcPr>
          <w:p>
            <w:pPr>
              <w:jc w:val="right"/>
              <w:ind w:right="55"/>
              <w:spacing w:after="0"/>
              <w:rPr>
                <w:sz w:val="20"/>
                <w:szCs w:val="20"/>
                <w:color w:val="auto"/>
              </w:rPr>
            </w:pPr>
            <w:r>
              <w:rPr>
                <w:rFonts w:ascii="Arial" w:cs="Arial" w:eastAsia="Arial" w:hAnsi="Arial"/>
                <w:sz w:val="18"/>
                <w:szCs w:val="18"/>
                <w:color w:val="auto"/>
              </w:rPr>
              <w:t>(178)</w:t>
            </w: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9360" w:type="dxa"/>
            <w:vAlign w:val="bottom"/>
            <w:tcBorders>
              <w:bottom w:val="single" w:sz="8" w:color="auto"/>
            </w:tcBorders>
            <w:shd w:val="clear" w:color="auto" w:fill="E5E5E5"/>
          </w:tcPr>
          <w:p>
            <w:pPr>
              <w:ind w:left="440"/>
              <w:spacing w:after="0"/>
              <w:rPr>
                <w:sz w:val="20"/>
                <w:szCs w:val="20"/>
                <w:color w:val="auto"/>
              </w:rPr>
            </w:pPr>
            <w:r>
              <w:rPr>
                <w:rFonts w:ascii="Arial" w:cs="Arial" w:eastAsia="Arial" w:hAnsi="Arial"/>
                <w:sz w:val="18"/>
                <w:szCs w:val="18"/>
                <w:color w:val="auto"/>
              </w:rPr>
              <w:t>Other</w:t>
            </w:r>
          </w:p>
        </w:tc>
        <w:tc>
          <w:tcPr>
            <w:tcW w:w="46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55"/>
              <w:spacing w:after="0"/>
              <w:rPr>
                <w:sz w:val="20"/>
                <w:szCs w:val="20"/>
                <w:color w:val="auto"/>
              </w:rPr>
            </w:pPr>
            <w:r>
              <w:rPr>
                <w:rFonts w:ascii="Arial" w:cs="Arial" w:eastAsia="Arial" w:hAnsi="Arial"/>
                <w:sz w:val="18"/>
                <w:szCs w:val="18"/>
                <w:color w:val="auto"/>
              </w:rPr>
              <w:t>(313)</w:t>
            </w:r>
          </w:p>
        </w:tc>
        <w:tc>
          <w:tcPr>
            <w:tcW w:w="26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0"/>
        </w:trPr>
        <w:tc>
          <w:tcPr>
            <w:tcW w:w="9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4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b w:val="1"/>
                <w:bCs w:val="1"/>
                <w:color w:val="auto"/>
                <w:w w:val="94"/>
              </w:rPr>
              <w:t>(8,626)</w:t>
            </w:r>
          </w:p>
        </w:tc>
        <w:tc>
          <w:tcPr>
            <w:tcW w:w="2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(3,393)</w:t>
            </w:r>
          </w:p>
        </w:tc>
        <w:tc>
          <w:tcPr>
            <w:tcW w:w="0" w:type="dxa"/>
            <w:vAlign w:val="bottom"/>
          </w:tcPr>
          <w:p>
            <w:pPr>
              <w:spacing w:after="0"/>
              <w:rPr>
                <w:sz w:val="1"/>
                <w:szCs w:val="1"/>
                <w:color w:val="auto"/>
              </w:rPr>
            </w:pPr>
          </w:p>
        </w:tc>
      </w:tr>
      <w:tr>
        <w:trPr>
          <w:trHeight w:val="210"/>
        </w:trPr>
        <w:tc>
          <w:tcPr>
            <w:tcW w:w="9360" w:type="dxa"/>
            <w:vAlign w:val="bottom"/>
            <w:shd w:val="clear" w:color="auto" w:fill="E5E5E5"/>
          </w:tcPr>
          <w:p>
            <w:pPr>
              <w:spacing w:after="0"/>
              <w:rPr>
                <w:sz w:val="20"/>
                <w:szCs w:val="20"/>
                <w:color w:val="auto"/>
              </w:rPr>
            </w:pPr>
            <w:r>
              <w:rPr>
                <w:rFonts w:ascii="Arial" w:cs="Arial" w:eastAsia="Arial" w:hAnsi="Arial"/>
                <w:sz w:val="18"/>
                <w:szCs w:val="18"/>
                <w:color w:val="auto"/>
              </w:rPr>
              <w:t>Increase (decrease) in cash and cash equivalents</w:t>
            </w:r>
          </w:p>
        </w:tc>
        <w:tc>
          <w:tcPr>
            <w:tcW w:w="46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55"/>
              <w:spacing w:after="0"/>
              <w:rPr>
                <w:sz w:val="20"/>
                <w:szCs w:val="20"/>
                <w:color w:val="auto"/>
              </w:rPr>
            </w:pPr>
            <w:r>
              <w:rPr>
                <w:rFonts w:ascii="Arial" w:cs="Arial" w:eastAsia="Arial" w:hAnsi="Arial"/>
                <w:sz w:val="18"/>
                <w:szCs w:val="18"/>
                <w:color w:val="auto"/>
                <w:w w:val="94"/>
              </w:rPr>
              <w:t>(2,017)</w:t>
            </w:r>
          </w:p>
        </w:tc>
        <w:tc>
          <w:tcPr>
            <w:tcW w:w="26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2,829</w:t>
            </w:r>
          </w:p>
        </w:tc>
        <w:tc>
          <w:tcPr>
            <w:tcW w:w="0" w:type="dxa"/>
            <w:vAlign w:val="bottom"/>
          </w:tcPr>
          <w:p>
            <w:pPr>
              <w:spacing w:after="0"/>
              <w:rPr>
                <w:sz w:val="1"/>
                <w:szCs w:val="1"/>
                <w:color w:val="auto"/>
              </w:rPr>
            </w:pPr>
          </w:p>
        </w:tc>
      </w:tr>
      <w:tr>
        <w:trPr>
          <w:trHeight w:val="216"/>
        </w:trPr>
        <w:tc>
          <w:tcPr>
            <w:tcW w:w="9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 and cash equivalents, beginning of period</w:t>
            </w:r>
          </w:p>
        </w:tc>
        <w:tc>
          <w:tcPr>
            <w:tcW w:w="4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color w:val="auto"/>
              </w:rPr>
              <w:t>3,910</w:t>
            </w:r>
          </w:p>
        </w:tc>
        <w:tc>
          <w:tcPr>
            <w:tcW w:w="2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1,718</w:t>
            </w:r>
          </w:p>
        </w:tc>
        <w:tc>
          <w:tcPr>
            <w:tcW w:w="0" w:type="dxa"/>
            <w:vAlign w:val="bottom"/>
          </w:tcPr>
          <w:p>
            <w:pPr>
              <w:spacing w:after="0"/>
              <w:rPr>
                <w:sz w:val="1"/>
                <w:szCs w:val="1"/>
                <w:color w:val="auto"/>
              </w:rPr>
            </w:pPr>
          </w:p>
        </w:tc>
      </w:tr>
      <w:tr>
        <w:trPr>
          <w:trHeight w:val="217"/>
        </w:trPr>
        <w:tc>
          <w:tcPr>
            <w:tcW w:w="93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4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E5E5E5"/>
          </w:tcPr>
          <w:p>
            <w:pPr>
              <w:jc w:val="right"/>
              <w:ind w:right="115"/>
              <w:spacing w:after="0"/>
              <w:rPr>
                <w:sz w:val="20"/>
                <w:szCs w:val="20"/>
                <w:color w:val="auto"/>
              </w:rPr>
            </w:pPr>
            <w:r>
              <w:rPr>
                <w:rFonts w:ascii="Arial" w:cs="Arial" w:eastAsia="Arial" w:hAnsi="Arial"/>
                <w:sz w:val="18"/>
                <w:szCs w:val="18"/>
                <w:b w:val="1"/>
                <w:bCs w:val="1"/>
                <w:color w:val="auto"/>
              </w:rPr>
              <w:t>1,893</w:t>
            </w:r>
          </w:p>
        </w:tc>
        <w:tc>
          <w:tcPr>
            <w:tcW w:w="2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rPr>
              <w:t>4,547</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Changes in Equity</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tcBorders>
              <w:right w:val="single" w:sz="8" w:color="auto"/>
            </w:tcBorders>
          </w:tcPr>
          <w:p>
            <w:pPr>
              <w:jc w:val="center"/>
              <w:ind w:right="352"/>
              <w:spacing w:after="0"/>
              <w:rPr>
                <w:sz w:val="20"/>
                <w:szCs w:val="20"/>
                <w:color w:val="auto"/>
              </w:rPr>
            </w:pPr>
            <w:r>
              <w:rPr>
                <w:rFonts w:ascii="Arial" w:cs="Arial" w:eastAsia="Arial" w:hAnsi="Arial"/>
                <w:sz w:val="14"/>
                <w:szCs w:val="14"/>
                <w:color w:val="auto"/>
                <w:w w:val="83"/>
              </w:rPr>
              <w:t>Redeemable</w:t>
            </w: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500" w:type="dxa"/>
            <w:vAlign w:val="bottom"/>
            <w:tcBorders>
              <w:right w:val="single" w:sz="8" w:color="auto"/>
            </w:tcBorders>
            <w:gridSpan w:val="2"/>
          </w:tcPr>
          <w:p>
            <w:pPr>
              <w:ind w:left="320"/>
              <w:spacing w:after="0" w:line="149" w:lineRule="exact"/>
              <w:rPr>
                <w:sz w:val="20"/>
                <w:szCs w:val="20"/>
                <w:color w:val="auto"/>
              </w:rPr>
            </w:pPr>
            <w:r>
              <w:rPr>
                <w:rFonts w:ascii="Arial" w:cs="Arial" w:eastAsia="Arial" w:hAnsi="Arial"/>
                <w:sz w:val="14"/>
                <w:szCs w:val="14"/>
                <w:color w:val="auto"/>
              </w:rPr>
              <w:t>Noncontrolling</w:t>
            </w: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tcBorders>
              <w:right w:val="single" w:sz="8" w:color="auto"/>
            </w:tcBorders>
          </w:tcPr>
          <w:p>
            <w:pPr>
              <w:jc w:val="center"/>
              <w:ind w:right="372"/>
              <w:spacing w:after="0" w:line="149" w:lineRule="exact"/>
              <w:rPr>
                <w:sz w:val="20"/>
                <w:szCs w:val="20"/>
                <w:color w:val="auto"/>
              </w:rPr>
            </w:pPr>
            <w:r>
              <w:rPr>
                <w:rFonts w:ascii="Arial" w:cs="Arial" w:eastAsia="Arial" w:hAnsi="Arial"/>
                <w:sz w:val="14"/>
                <w:szCs w:val="14"/>
                <w:color w:val="auto"/>
                <w:w w:val="83"/>
              </w:rPr>
              <w:t>Interests and</w:t>
            </w: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center"/>
              <w:ind w:right="132"/>
              <w:spacing w:after="0" w:line="149" w:lineRule="exact"/>
              <w:rPr>
                <w:sz w:val="20"/>
                <w:szCs w:val="20"/>
                <w:color w:val="auto"/>
              </w:rPr>
            </w:pPr>
            <w:r>
              <w:rPr>
                <w:rFonts w:ascii="Arial" w:cs="Arial" w:eastAsia="Arial" w:hAnsi="Arial"/>
                <w:sz w:val="14"/>
                <w:szCs w:val="14"/>
                <w:color w:val="auto"/>
                <w:w w:val="88"/>
              </w:rPr>
              <w:t>Accumulated</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tcBorders>
              <w:right w:val="single" w:sz="8" w:color="auto"/>
            </w:tcBorders>
          </w:tcPr>
          <w:p>
            <w:pPr>
              <w:jc w:val="center"/>
              <w:ind w:right="352"/>
              <w:spacing w:after="0" w:line="149" w:lineRule="exact"/>
              <w:rPr>
                <w:sz w:val="20"/>
                <w:szCs w:val="20"/>
                <w:color w:val="auto"/>
              </w:rPr>
            </w:pPr>
            <w:r>
              <w:rPr>
                <w:rFonts w:ascii="Arial" w:cs="Arial" w:eastAsia="Arial" w:hAnsi="Arial"/>
                <w:sz w:val="14"/>
                <w:szCs w:val="14"/>
                <w:color w:val="auto"/>
                <w:w w:val="83"/>
              </w:rPr>
              <w:t>Redeemable</w:t>
            </w: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00" w:type="dxa"/>
            <w:vAlign w:val="bottom"/>
            <w:gridSpan w:val="2"/>
          </w:tcPr>
          <w:p>
            <w:pPr>
              <w:ind w:left="40"/>
              <w:spacing w:after="0" w:line="149" w:lineRule="exact"/>
              <w:rPr>
                <w:sz w:val="20"/>
                <w:szCs w:val="20"/>
                <w:color w:val="auto"/>
              </w:rPr>
            </w:pPr>
            <w:r>
              <w:rPr>
                <w:rFonts w:ascii="Arial" w:cs="Arial" w:eastAsia="Arial" w:hAnsi="Arial"/>
                <w:sz w:val="14"/>
                <w:szCs w:val="14"/>
                <w:color w:val="auto"/>
                <w:w w:val="87"/>
              </w:rPr>
              <w:t>Common Stock</w:t>
            </w:r>
          </w:p>
        </w:tc>
        <w:tc>
          <w:tcPr>
            <w:tcW w:w="340" w:type="dxa"/>
            <w:vAlign w:val="bottom"/>
          </w:tcPr>
          <w:p>
            <w:pPr>
              <w:spacing w:after="0"/>
              <w:rPr>
                <w:sz w:val="12"/>
                <w:szCs w:val="12"/>
                <w:color w:val="auto"/>
              </w:rPr>
            </w:pPr>
          </w:p>
        </w:tc>
        <w:tc>
          <w:tcPr>
            <w:tcW w:w="86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Additional</w:t>
            </w:r>
          </w:p>
        </w:tc>
        <w:tc>
          <w:tcPr>
            <w:tcW w:w="720" w:type="dxa"/>
            <w:vAlign w:val="bottom"/>
          </w:tcPr>
          <w:p>
            <w:pPr>
              <w:spacing w:after="0"/>
              <w:rPr>
                <w:sz w:val="12"/>
                <w:szCs w:val="12"/>
                <w:color w:val="auto"/>
              </w:rPr>
            </w:pPr>
          </w:p>
        </w:tc>
        <w:tc>
          <w:tcPr>
            <w:tcW w:w="7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Treasury</w:t>
            </w:r>
          </w:p>
        </w:tc>
        <w:tc>
          <w:tcPr>
            <w:tcW w:w="160" w:type="dxa"/>
            <w:vAlign w:val="bottom"/>
          </w:tcPr>
          <w:p>
            <w:pPr>
              <w:spacing w:after="0"/>
              <w:rPr>
                <w:sz w:val="12"/>
                <w:szCs w:val="12"/>
                <w:color w:val="auto"/>
              </w:rPr>
            </w:pPr>
          </w:p>
        </w:tc>
        <w:tc>
          <w:tcPr>
            <w:tcW w:w="920" w:type="dxa"/>
            <w:vAlign w:val="bottom"/>
          </w:tcPr>
          <w:p>
            <w:pPr>
              <w:jc w:val="center"/>
              <w:ind w:right="152"/>
              <w:spacing w:after="0" w:line="149" w:lineRule="exact"/>
              <w:rPr>
                <w:sz w:val="20"/>
                <w:szCs w:val="20"/>
                <w:color w:val="auto"/>
              </w:rPr>
            </w:pPr>
            <w:r>
              <w:rPr>
                <w:rFonts w:ascii="Arial" w:cs="Arial" w:eastAsia="Arial" w:hAnsi="Arial"/>
                <w:sz w:val="14"/>
                <w:szCs w:val="14"/>
                <w:color w:val="auto"/>
                <w:w w:val="85"/>
              </w:rPr>
              <w:t>Other</w:t>
            </w:r>
          </w:p>
        </w:tc>
        <w:tc>
          <w:tcPr>
            <w:tcW w:w="160" w:type="dxa"/>
            <w:vAlign w:val="bottom"/>
          </w:tcPr>
          <w:p>
            <w:pPr>
              <w:spacing w:after="0"/>
              <w:rPr>
                <w:sz w:val="12"/>
                <w:szCs w:val="12"/>
                <w:color w:val="auto"/>
              </w:rPr>
            </w:pPr>
          </w:p>
        </w:tc>
        <w:tc>
          <w:tcPr>
            <w:tcW w:w="62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Non-</w:t>
            </w: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3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20" w:type="dxa"/>
            <w:vAlign w:val="bottom"/>
            <w:tcBorders>
              <w:right w:val="single" w:sz="8" w:color="auto"/>
            </w:tcBorders>
            <w:vMerge w:val="restart"/>
          </w:tcPr>
          <w:p>
            <w:pPr>
              <w:jc w:val="center"/>
              <w:ind w:right="352"/>
              <w:spacing w:after="0" w:line="149" w:lineRule="exact"/>
              <w:rPr>
                <w:sz w:val="20"/>
                <w:szCs w:val="20"/>
                <w:color w:val="auto"/>
              </w:rPr>
            </w:pPr>
            <w:r>
              <w:rPr>
                <w:rFonts w:ascii="Arial" w:cs="Arial" w:eastAsia="Arial" w:hAnsi="Arial"/>
                <w:sz w:val="14"/>
                <w:szCs w:val="14"/>
                <w:color w:val="auto"/>
                <w:w w:val="88"/>
              </w:rPr>
              <w:t>Subsidiary</w:t>
            </w:r>
          </w:p>
        </w:tc>
        <w:tc>
          <w:tcPr>
            <w:tcW w:w="160" w:type="dxa"/>
            <w:vAlign w:val="bottom"/>
            <w:vMerge w:val="restart"/>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vMerge w:val="restart"/>
          </w:tcPr>
          <w:p>
            <w:pPr>
              <w:jc w:val="right"/>
              <w:ind w:right="152"/>
              <w:spacing w:after="0" w:line="149" w:lineRule="exact"/>
              <w:rPr>
                <w:sz w:val="20"/>
                <w:szCs w:val="20"/>
                <w:color w:val="auto"/>
              </w:rPr>
            </w:pPr>
            <w:r>
              <w:rPr>
                <w:rFonts w:ascii="Arial" w:cs="Arial" w:eastAsia="Arial" w:hAnsi="Arial"/>
                <w:sz w:val="14"/>
                <w:szCs w:val="14"/>
                <w:color w:val="auto"/>
                <w:w w:val="90"/>
              </w:rPr>
              <w:t>Paid-In</w:t>
            </w:r>
          </w:p>
        </w:tc>
        <w:tc>
          <w:tcPr>
            <w:tcW w:w="720" w:type="dxa"/>
            <w:vAlign w:val="bottom"/>
            <w:vMerge w:val="restart"/>
          </w:tcPr>
          <w:p>
            <w:pPr>
              <w:jc w:val="right"/>
              <w:ind w:right="72"/>
              <w:spacing w:after="0" w:line="149" w:lineRule="exact"/>
              <w:rPr>
                <w:sz w:val="20"/>
                <w:szCs w:val="20"/>
                <w:color w:val="auto"/>
              </w:rPr>
            </w:pPr>
            <w:r>
              <w:rPr>
                <w:rFonts w:ascii="Arial" w:cs="Arial" w:eastAsia="Arial" w:hAnsi="Arial"/>
                <w:sz w:val="14"/>
                <w:szCs w:val="14"/>
                <w:color w:val="auto"/>
                <w:w w:val="99"/>
              </w:rPr>
              <w:t>Retained</w:t>
            </w:r>
          </w:p>
        </w:tc>
        <w:tc>
          <w:tcPr>
            <w:tcW w:w="720" w:type="dxa"/>
            <w:vAlign w:val="bottom"/>
            <w:gridSpan w:val="2"/>
            <w:vMerge w:val="restart"/>
          </w:tcPr>
          <w:p>
            <w:pPr>
              <w:ind w:left="120"/>
              <w:spacing w:after="0" w:line="149" w:lineRule="exact"/>
              <w:rPr>
                <w:sz w:val="20"/>
                <w:szCs w:val="20"/>
                <w:color w:val="auto"/>
              </w:rPr>
            </w:pPr>
            <w:r>
              <w:rPr>
                <w:rFonts w:ascii="Arial" w:cs="Arial" w:eastAsia="Arial" w:hAnsi="Arial"/>
                <w:sz w:val="14"/>
                <w:szCs w:val="14"/>
                <w:color w:val="auto"/>
              </w:rPr>
              <w:t>Stock at</w:t>
            </w:r>
          </w:p>
        </w:tc>
        <w:tc>
          <w:tcPr>
            <w:tcW w:w="1080" w:type="dxa"/>
            <w:vAlign w:val="bottom"/>
            <w:gridSpan w:val="2"/>
            <w:vMerge w:val="restart"/>
          </w:tcPr>
          <w:p>
            <w:pPr>
              <w:ind w:left="100"/>
              <w:spacing w:after="0" w:line="149" w:lineRule="exact"/>
              <w:rPr>
                <w:sz w:val="20"/>
                <w:szCs w:val="20"/>
                <w:color w:val="auto"/>
              </w:rPr>
            </w:pPr>
            <w:r>
              <w:rPr>
                <w:rFonts w:ascii="Arial" w:cs="Arial" w:eastAsia="Arial" w:hAnsi="Arial"/>
                <w:sz w:val="14"/>
                <w:szCs w:val="14"/>
                <w:color w:val="auto"/>
                <w:w w:val="97"/>
              </w:rPr>
              <w:t>Comprehensive</w:t>
            </w:r>
          </w:p>
        </w:tc>
        <w:tc>
          <w:tcPr>
            <w:tcW w:w="780" w:type="dxa"/>
            <w:vAlign w:val="bottom"/>
            <w:gridSpan w:val="2"/>
            <w:vMerge w:val="restart"/>
          </w:tcPr>
          <w:p>
            <w:pPr>
              <w:ind w:left="100"/>
              <w:spacing w:after="0" w:line="149" w:lineRule="exact"/>
              <w:rPr>
                <w:sz w:val="20"/>
                <w:szCs w:val="20"/>
                <w:color w:val="auto"/>
              </w:rPr>
            </w:pPr>
            <w:r>
              <w:rPr>
                <w:rFonts w:ascii="Arial" w:cs="Arial" w:eastAsia="Arial" w:hAnsi="Arial"/>
                <w:sz w:val="14"/>
                <w:szCs w:val="14"/>
                <w:color w:val="auto"/>
              </w:rPr>
              <w:t>controlling</w:t>
            </w:r>
          </w:p>
        </w:tc>
        <w:tc>
          <w:tcPr>
            <w:tcW w:w="620" w:type="dxa"/>
            <w:vAlign w:val="bottom"/>
            <w:vMerge w:val="restart"/>
          </w:tcPr>
          <w:p>
            <w:pPr>
              <w:jc w:val="right"/>
              <w:ind w:right="132"/>
              <w:spacing w:after="0" w:line="149"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33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120" w:type="dxa"/>
            <w:vAlign w:val="bottom"/>
            <w:tcBorders>
              <w:right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334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500" w:type="dxa"/>
            <w:vAlign w:val="bottom"/>
            <w:tcBorders>
              <w:right w:val="single" w:sz="8" w:color="auto"/>
            </w:tcBorders>
            <w:gridSpan w:val="2"/>
          </w:tcPr>
          <w:p>
            <w:pPr>
              <w:ind w:left="300"/>
              <w:spacing w:after="0"/>
              <w:rPr>
                <w:sz w:val="20"/>
                <w:szCs w:val="20"/>
                <w:color w:val="auto"/>
              </w:rPr>
            </w:pPr>
            <w:r>
              <w:rPr>
                <w:rFonts w:ascii="Arial" w:cs="Arial" w:eastAsia="Arial" w:hAnsi="Arial"/>
                <w:sz w:val="14"/>
                <w:szCs w:val="14"/>
                <w:color w:val="auto"/>
              </w:rPr>
              <w:t>Preferred Stock</w:t>
            </w:r>
          </w:p>
        </w:tc>
        <w:tc>
          <w:tcPr>
            <w:tcW w:w="160" w:type="dxa"/>
            <w:vAlign w:val="bottom"/>
          </w:tcPr>
          <w:p>
            <w:pPr>
              <w:spacing w:after="0"/>
              <w:rPr>
                <w:sz w:val="15"/>
                <w:szCs w:val="15"/>
                <w:color w:val="auto"/>
              </w:rPr>
            </w:pPr>
          </w:p>
        </w:tc>
        <w:tc>
          <w:tcPr>
            <w:tcW w:w="400" w:type="dxa"/>
            <w:vAlign w:val="bottom"/>
          </w:tcPr>
          <w:p>
            <w:pPr>
              <w:jc w:val="center"/>
              <w:ind w:left="32"/>
              <w:spacing w:after="0"/>
              <w:rPr>
                <w:sz w:val="20"/>
                <w:szCs w:val="20"/>
                <w:color w:val="auto"/>
              </w:rPr>
            </w:pPr>
            <w:r>
              <w:rPr>
                <w:rFonts w:ascii="Arial" w:cs="Arial" w:eastAsia="Arial" w:hAnsi="Arial"/>
                <w:sz w:val="14"/>
                <w:szCs w:val="14"/>
                <w:color w:val="auto"/>
              </w:rPr>
              <w:t>A</w:t>
            </w:r>
          </w:p>
        </w:tc>
        <w:tc>
          <w:tcPr>
            <w:tcW w:w="900" w:type="dxa"/>
            <w:vAlign w:val="bottom"/>
            <w:gridSpan w:val="2"/>
          </w:tcPr>
          <w:p>
            <w:pPr>
              <w:ind w:left="180"/>
              <w:spacing w:after="0"/>
              <w:rPr>
                <w:sz w:val="20"/>
                <w:szCs w:val="20"/>
                <w:color w:val="auto"/>
              </w:rPr>
            </w:pPr>
            <w:r>
              <w:rPr>
                <w:rFonts w:ascii="Arial" w:cs="Arial" w:eastAsia="Arial" w:hAnsi="Arial"/>
                <w:sz w:val="14"/>
                <w:szCs w:val="14"/>
                <w:color w:val="auto"/>
              </w:rPr>
              <w:t>A Special</w:t>
            </w:r>
          </w:p>
        </w:tc>
        <w:tc>
          <w:tcPr>
            <w:tcW w:w="340" w:type="dxa"/>
            <w:vAlign w:val="bottom"/>
          </w:tcPr>
          <w:p>
            <w:pPr>
              <w:jc w:val="center"/>
              <w:spacing w:after="0"/>
              <w:rPr>
                <w:sz w:val="20"/>
                <w:szCs w:val="20"/>
                <w:color w:val="auto"/>
              </w:rPr>
            </w:pPr>
            <w:r>
              <w:rPr>
                <w:rFonts w:ascii="Arial" w:cs="Arial" w:eastAsia="Arial" w:hAnsi="Arial"/>
                <w:sz w:val="14"/>
                <w:szCs w:val="14"/>
                <w:color w:val="auto"/>
              </w:rPr>
              <w:t>B</w:t>
            </w:r>
          </w:p>
        </w:tc>
        <w:tc>
          <w:tcPr>
            <w:tcW w:w="220" w:type="dxa"/>
            <w:vAlign w:val="bottom"/>
          </w:tcPr>
          <w:p>
            <w:pPr>
              <w:spacing w:after="0"/>
              <w:rPr>
                <w:sz w:val="15"/>
                <w:szCs w:val="15"/>
                <w:color w:val="auto"/>
              </w:rPr>
            </w:pPr>
          </w:p>
        </w:tc>
        <w:tc>
          <w:tcPr>
            <w:tcW w:w="640" w:type="dxa"/>
            <w:vAlign w:val="bottom"/>
          </w:tcPr>
          <w:p>
            <w:pPr>
              <w:jc w:val="right"/>
              <w:ind w:right="152"/>
              <w:spacing w:after="0"/>
              <w:rPr>
                <w:sz w:val="20"/>
                <w:szCs w:val="20"/>
                <w:color w:val="auto"/>
              </w:rPr>
            </w:pPr>
            <w:r>
              <w:rPr>
                <w:rFonts w:ascii="Arial" w:cs="Arial" w:eastAsia="Arial" w:hAnsi="Arial"/>
                <w:sz w:val="14"/>
                <w:szCs w:val="14"/>
                <w:color w:val="auto"/>
                <w:w w:val="91"/>
              </w:rPr>
              <w:t>Capital</w:t>
            </w:r>
          </w:p>
        </w:tc>
        <w:tc>
          <w:tcPr>
            <w:tcW w:w="720" w:type="dxa"/>
            <w:vAlign w:val="bottom"/>
          </w:tcPr>
          <w:p>
            <w:pPr>
              <w:jc w:val="right"/>
              <w:ind w:right="72"/>
              <w:spacing w:after="0"/>
              <w:rPr>
                <w:sz w:val="20"/>
                <w:szCs w:val="20"/>
                <w:color w:val="auto"/>
              </w:rPr>
            </w:pPr>
            <w:r>
              <w:rPr>
                <w:rFonts w:ascii="Arial" w:cs="Arial" w:eastAsia="Arial" w:hAnsi="Arial"/>
                <w:sz w:val="14"/>
                <w:szCs w:val="14"/>
                <w:color w:val="auto"/>
              </w:rPr>
              <w:t>Earnings</w:t>
            </w:r>
          </w:p>
        </w:tc>
        <w:tc>
          <w:tcPr>
            <w:tcW w:w="180" w:type="dxa"/>
            <w:vAlign w:val="bottom"/>
          </w:tcPr>
          <w:p>
            <w:pPr>
              <w:spacing w:after="0"/>
              <w:rPr>
                <w:sz w:val="15"/>
                <w:szCs w:val="15"/>
                <w:color w:val="auto"/>
              </w:rPr>
            </w:pPr>
          </w:p>
        </w:tc>
        <w:tc>
          <w:tcPr>
            <w:tcW w:w="540" w:type="dxa"/>
            <w:vAlign w:val="bottom"/>
          </w:tcPr>
          <w:p>
            <w:pPr>
              <w:jc w:val="right"/>
              <w:ind w:right="192"/>
              <w:spacing w:after="0"/>
              <w:rPr>
                <w:sz w:val="20"/>
                <w:szCs w:val="20"/>
                <w:color w:val="auto"/>
              </w:rPr>
            </w:pPr>
            <w:r>
              <w:rPr>
                <w:rFonts w:ascii="Arial" w:cs="Arial" w:eastAsia="Arial" w:hAnsi="Arial"/>
                <w:sz w:val="14"/>
                <w:szCs w:val="14"/>
                <w:color w:val="auto"/>
                <w:w w:val="90"/>
              </w:rPr>
              <w:t>Cost</w:t>
            </w:r>
          </w:p>
        </w:tc>
        <w:tc>
          <w:tcPr>
            <w:tcW w:w="1080" w:type="dxa"/>
            <w:vAlign w:val="bottom"/>
            <w:gridSpan w:val="2"/>
          </w:tcPr>
          <w:p>
            <w:pPr>
              <w:jc w:val="center"/>
              <w:spacing w:after="0"/>
              <w:rPr>
                <w:sz w:val="20"/>
                <w:szCs w:val="20"/>
                <w:color w:val="auto"/>
              </w:rPr>
            </w:pPr>
            <w:r>
              <w:rPr>
                <w:rFonts w:ascii="Arial" w:cs="Arial" w:eastAsia="Arial" w:hAnsi="Arial"/>
                <w:sz w:val="14"/>
                <w:szCs w:val="14"/>
                <w:color w:val="auto"/>
                <w:w w:val="87"/>
              </w:rPr>
              <w:t>Income (Loss)</w:t>
            </w:r>
          </w:p>
        </w:tc>
        <w:tc>
          <w:tcPr>
            <w:tcW w:w="160" w:type="dxa"/>
            <w:vAlign w:val="bottom"/>
          </w:tcPr>
          <w:p>
            <w:pPr>
              <w:spacing w:after="0"/>
              <w:rPr>
                <w:sz w:val="15"/>
                <w:szCs w:val="15"/>
                <w:color w:val="auto"/>
              </w:rPr>
            </w:pPr>
          </w:p>
        </w:tc>
        <w:tc>
          <w:tcPr>
            <w:tcW w:w="620" w:type="dxa"/>
            <w:vAlign w:val="bottom"/>
          </w:tcPr>
          <w:p>
            <w:pPr>
              <w:jc w:val="right"/>
              <w:ind w:right="92"/>
              <w:spacing w:after="0"/>
              <w:rPr>
                <w:sz w:val="20"/>
                <w:szCs w:val="20"/>
                <w:color w:val="auto"/>
              </w:rPr>
            </w:pPr>
            <w:r>
              <w:rPr>
                <w:rFonts w:ascii="Arial" w:cs="Arial" w:eastAsia="Arial" w:hAnsi="Arial"/>
                <w:sz w:val="14"/>
                <w:szCs w:val="14"/>
                <w:color w:val="auto"/>
                <w:w w:val="81"/>
              </w:rPr>
              <w:t>Interests</w:t>
            </w:r>
          </w:p>
        </w:tc>
        <w:tc>
          <w:tcPr>
            <w:tcW w:w="620" w:type="dxa"/>
            <w:vAlign w:val="bottom"/>
          </w:tcPr>
          <w:p>
            <w:pPr>
              <w:jc w:val="right"/>
              <w:ind w:right="92"/>
              <w:spacing w:after="0"/>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tcBorders>
              <w:top w:val="single" w:sz="8" w:color="auto"/>
            </w:tcBorders>
            <w:shd w:val="clear" w:color="auto" w:fill="E5E5E5"/>
          </w:tcPr>
          <w:p>
            <w:pPr>
              <w:spacing w:after="0" w:line="142" w:lineRule="exact"/>
              <w:rPr>
                <w:sz w:val="20"/>
                <w:szCs w:val="20"/>
                <w:color w:val="auto"/>
              </w:rPr>
            </w:pPr>
            <w:r>
              <w:rPr>
                <w:rFonts w:ascii="Arial" w:cs="Arial" w:eastAsia="Arial" w:hAnsi="Arial"/>
                <w:sz w:val="14"/>
                <w:szCs w:val="14"/>
                <w:color w:val="auto"/>
              </w:rPr>
              <w:t>Balance, December 31, 2013</w:t>
            </w:r>
          </w:p>
        </w:tc>
        <w:tc>
          <w:tcPr>
            <w:tcW w:w="380" w:type="dxa"/>
            <w:vAlign w:val="bottom"/>
            <w:tcBorders>
              <w:top w:val="single" w:sz="8" w:color="auto"/>
            </w:tcBorders>
            <w:shd w:val="clear" w:color="auto" w:fill="E5E5E5"/>
          </w:tcPr>
          <w:p>
            <w:pPr>
              <w:ind w:left="300"/>
              <w:spacing w:after="0" w:line="142" w:lineRule="exact"/>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right w:val="single" w:sz="8" w:color="auto"/>
            </w:tcBorders>
            <w:shd w:val="clear" w:color="auto" w:fill="E5E5E5"/>
          </w:tcPr>
          <w:p>
            <w:pPr>
              <w:jc w:val="right"/>
              <w:ind w:right="272"/>
              <w:spacing w:after="0" w:line="142" w:lineRule="exact"/>
              <w:rPr>
                <w:sz w:val="20"/>
                <w:szCs w:val="20"/>
                <w:color w:val="auto"/>
              </w:rPr>
            </w:pPr>
            <w:r>
              <w:rPr>
                <w:rFonts w:ascii="Arial" w:cs="Arial" w:eastAsia="Arial" w:hAnsi="Arial"/>
                <w:sz w:val="14"/>
                <w:szCs w:val="14"/>
                <w:color w:val="auto"/>
              </w:rPr>
              <w:t>957</w:t>
            </w:r>
          </w:p>
        </w:tc>
        <w:tc>
          <w:tcPr>
            <w:tcW w:w="160" w:type="dxa"/>
            <w:vAlign w:val="bottom"/>
            <w:tcBorders>
              <w:top w:val="single" w:sz="8" w:color="auto"/>
            </w:tcBorders>
            <w:shd w:val="clear" w:color="auto" w:fill="E5E5E5"/>
          </w:tcPr>
          <w:p>
            <w:pPr>
              <w:spacing w:after="0"/>
              <w:rPr>
                <w:sz w:val="12"/>
                <w:szCs w:val="12"/>
                <w:color w:val="auto"/>
              </w:rPr>
            </w:pPr>
          </w:p>
        </w:tc>
        <w:tc>
          <w:tcPr>
            <w:tcW w:w="400" w:type="dxa"/>
            <w:vAlign w:val="bottom"/>
            <w:tcBorders>
              <w:top w:val="single" w:sz="8" w:color="auto"/>
            </w:tcBorders>
            <w:shd w:val="clear" w:color="auto" w:fill="E5E5E5"/>
          </w:tcPr>
          <w:p>
            <w:pPr>
              <w:jc w:val="center"/>
              <w:ind w:left="52"/>
              <w:spacing w:after="0" w:line="142" w:lineRule="exact"/>
              <w:rPr>
                <w:sz w:val="20"/>
                <w:szCs w:val="20"/>
                <w:color w:val="auto"/>
              </w:rPr>
            </w:pPr>
            <w:r>
              <w:rPr>
                <w:rFonts w:ascii="Arial" w:cs="Arial" w:eastAsia="Arial" w:hAnsi="Arial"/>
                <w:sz w:val="14"/>
                <w:szCs w:val="14"/>
                <w:color w:val="auto"/>
                <w:w w:val="85"/>
              </w:rPr>
              <w:t>$25</w:t>
            </w:r>
          </w:p>
        </w:tc>
        <w:tc>
          <w:tcPr>
            <w:tcW w:w="420" w:type="dxa"/>
            <w:vAlign w:val="bottom"/>
            <w:tcBorders>
              <w:top w:val="single" w:sz="8" w:color="auto"/>
            </w:tcBorders>
            <w:shd w:val="clear" w:color="auto" w:fill="E5E5E5"/>
          </w:tcPr>
          <w:p>
            <w:pPr>
              <w:ind w:left="180"/>
              <w:spacing w:after="0" w:line="142" w:lineRule="exact"/>
              <w:rPr>
                <w:sz w:val="20"/>
                <w:szCs w:val="20"/>
                <w:color w:val="auto"/>
              </w:rPr>
            </w:pPr>
            <w:r>
              <w:rPr>
                <w:rFonts w:ascii="Arial" w:cs="Arial" w:eastAsia="Arial" w:hAnsi="Arial"/>
                <w:sz w:val="14"/>
                <w:szCs w:val="14"/>
                <w:color w:val="auto"/>
              </w:rPr>
              <w:t>$</w:t>
            </w:r>
          </w:p>
        </w:tc>
        <w:tc>
          <w:tcPr>
            <w:tcW w:w="480" w:type="dxa"/>
            <w:vAlign w:val="bottom"/>
            <w:tcBorders>
              <w:top w:val="single" w:sz="8" w:color="auto"/>
            </w:tcBorders>
            <w:shd w:val="clear" w:color="auto" w:fill="E5E5E5"/>
          </w:tcPr>
          <w:p>
            <w:pPr>
              <w:jc w:val="right"/>
              <w:ind w:right="132"/>
              <w:spacing w:after="0" w:line="142" w:lineRule="exact"/>
              <w:rPr>
                <w:sz w:val="20"/>
                <w:szCs w:val="20"/>
                <w:color w:val="auto"/>
              </w:rPr>
            </w:pPr>
            <w:r>
              <w:rPr>
                <w:rFonts w:ascii="Arial" w:cs="Arial" w:eastAsia="Arial" w:hAnsi="Arial"/>
                <w:sz w:val="14"/>
                <w:szCs w:val="14"/>
                <w:color w:val="auto"/>
              </w:rPr>
              <w:t>5</w:t>
            </w:r>
          </w:p>
        </w:tc>
        <w:tc>
          <w:tcPr>
            <w:tcW w:w="340" w:type="dxa"/>
            <w:vAlign w:val="bottom"/>
            <w:tcBorders>
              <w:top w:val="single" w:sz="8" w:color="auto"/>
            </w:tcBorders>
            <w:shd w:val="clear" w:color="auto" w:fill="E5E5E5"/>
          </w:tcPr>
          <w:p>
            <w:pPr>
              <w:jc w:val="center"/>
              <w:spacing w:after="0" w:line="142" w:lineRule="exact"/>
              <w:rPr>
                <w:sz w:val="20"/>
                <w:szCs w:val="20"/>
                <w:color w:val="auto"/>
              </w:rPr>
            </w:pPr>
            <w:r>
              <w:rPr>
                <w:rFonts w:ascii="Arial" w:cs="Arial" w:eastAsia="Arial" w:hAnsi="Arial"/>
                <w:sz w:val="14"/>
                <w:szCs w:val="14"/>
                <w:color w:val="auto"/>
              </w:rPr>
              <w:t>$ —</w:t>
            </w:r>
          </w:p>
        </w:tc>
        <w:tc>
          <w:tcPr>
            <w:tcW w:w="220" w:type="dxa"/>
            <w:vAlign w:val="bottom"/>
            <w:tcBorders>
              <w:top w:val="single" w:sz="8" w:color="auto"/>
            </w:tcBorders>
            <w:shd w:val="clear" w:color="auto" w:fill="E5E5E5"/>
          </w:tcPr>
          <w:p>
            <w:pPr>
              <w:ind w:left="140"/>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E5E5E5"/>
          </w:tcPr>
          <w:p>
            <w:pPr>
              <w:jc w:val="right"/>
              <w:ind w:right="72"/>
              <w:spacing w:after="0" w:line="142" w:lineRule="exact"/>
              <w:rPr>
                <w:sz w:val="20"/>
                <w:szCs w:val="20"/>
                <w:color w:val="auto"/>
              </w:rPr>
            </w:pPr>
            <w:r>
              <w:rPr>
                <w:rFonts w:ascii="Arial" w:cs="Arial" w:eastAsia="Arial" w:hAnsi="Arial"/>
                <w:sz w:val="14"/>
                <w:szCs w:val="14"/>
                <w:color w:val="auto"/>
              </w:rPr>
              <w:t>38,890</w:t>
            </w:r>
          </w:p>
        </w:tc>
        <w:tc>
          <w:tcPr>
            <w:tcW w:w="720" w:type="dxa"/>
            <w:vAlign w:val="bottom"/>
            <w:tcBorders>
              <w:top w:val="single" w:sz="8" w:color="auto"/>
            </w:tcBorders>
            <w:shd w:val="clear" w:color="auto" w:fill="E5E5E5"/>
          </w:tcPr>
          <w:p>
            <w:pPr>
              <w:jc w:val="right"/>
              <w:ind w:right="72"/>
              <w:spacing w:after="0" w:line="142" w:lineRule="exact"/>
              <w:rPr>
                <w:sz w:val="20"/>
                <w:szCs w:val="20"/>
                <w:color w:val="auto"/>
              </w:rPr>
            </w:pPr>
            <w:r>
              <w:rPr>
                <w:rFonts w:ascii="Arial" w:cs="Arial" w:eastAsia="Arial" w:hAnsi="Arial"/>
                <w:sz w:val="14"/>
                <w:szCs w:val="14"/>
                <w:color w:val="auto"/>
              </w:rPr>
              <w:t>$ 19,235</w:t>
            </w:r>
          </w:p>
        </w:tc>
        <w:tc>
          <w:tcPr>
            <w:tcW w:w="180" w:type="dxa"/>
            <w:vAlign w:val="bottom"/>
            <w:tcBorders>
              <w:top w:val="single" w:sz="8" w:color="auto"/>
            </w:tcBorders>
            <w:shd w:val="clear" w:color="auto" w:fill="E5E5E5"/>
          </w:tcPr>
          <w:p>
            <w:pPr>
              <w:ind w:left="100"/>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shd w:val="clear" w:color="auto" w:fill="E5E5E5"/>
          </w:tcPr>
          <w:p>
            <w:pPr>
              <w:jc w:val="right"/>
              <w:ind w:right="32"/>
              <w:spacing w:after="0" w:line="142" w:lineRule="exact"/>
              <w:rPr>
                <w:sz w:val="20"/>
                <w:szCs w:val="20"/>
                <w:color w:val="auto"/>
              </w:rPr>
            </w:pPr>
            <w:r>
              <w:rPr>
                <w:rFonts w:ascii="Arial" w:cs="Arial" w:eastAsia="Arial" w:hAnsi="Arial"/>
                <w:sz w:val="14"/>
                <w:szCs w:val="14"/>
                <w:color w:val="auto"/>
                <w:w w:val="94"/>
              </w:rPr>
              <w:t>(7,517)</w:t>
            </w:r>
          </w:p>
        </w:tc>
        <w:tc>
          <w:tcPr>
            <w:tcW w:w="160" w:type="dxa"/>
            <w:vAlign w:val="bottom"/>
            <w:tcBorders>
              <w:top w:val="single" w:sz="8" w:color="auto"/>
            </w:tcBorders>
            <w:shd w:val="clear" w:color="auto" w:fill="E5E5E5"/>
          </w:tcPr>
          <w:p>
            <w:pPr>
              <w:ind w:left="80"/>
              <w:spacing w:after="0" w:line="142"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E5E5E5"/>
          </w:tcPr>
          <w:p>
            <w:pPr>
              <w:jc w:val="right"/>
              <w:ind w:right="72"/>
              <w:spacing w:after="0" w:line="142" w:lineRule="exact"/>
              <w:rPr>
                <w:sz w:val="20"/>
                <w:szCs w:val="20"/>
                <w:color w:val="auto"/>
              </w:rPr>
            </w:pPr>
            <w:r>
              <w:rPr>
                <w:rFonts w:ascii="Arial" w:cs="Arial" w:eastAsia="Arial" w:hAnsi="Arial"/>
                <w:sz w:val="14"/>
                <w:szCs w:val="14"/>
                <w:color w:val="auto"/>
              </w:rPr>
              <w:t>56</w:t>
            </w:r>
          </w:p>
        </w:tc>
        <w:tc>
          <w:tcPr>
            <w:tcW w:w="160" w:type="dxa"/>
            <w:vAlign w:val="bottom"/>
            <w:tcBorders>
              <w:top w:val="single" w:sz="8" w:color="auto"/>
            </w:tcBorders>
            <w:shd w:val="clear" w:color="auto" w:fill="E5E5E5"/>
          </w:tcPr>
          <w:p>
            <w:pPr>
              <w:ind w:left="100"/>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shd w:val="clear" w:color="auto" w:fill="E5E5E5"/>
          </w:tcPr>
          <w:p>
            <w:pPr>
              <w:jc w:val="right"/>
              <w:ind w:right="32"/>
              <w:spacing w:after="0" w:line="142" w:lineRule="exact"/>
              <w:rPr>
                <w:sz w:val="20"/>
                <w:szCs w:val="20"/>
                <w:color w:val="auto"/>
              </w:rPr>
            </w:pPr>
            <w:r>
              <w:rPr>
                <w:rFonts w:ascii="Arial" w:cs="Arial" w:eastAsia="Arial" w:hAnsi="Arial"/>
                <w:sz w:val="14"/>
                <w:szCs w:val="14"/>
                <w:color w:val="auto"/>
              </w:rPr>
              <w:t>364</w:t>
            </w:r>
          </w:p>
        </w:tc>
        <w:tc>
          <w:tcPr>
            <w:tcW w:w="620" w:type="dxa"/>
            <w:vAlign w:val="bottom"/>
            <w:tcBorders>
              <w:top w:val="single" w:sz="8" w:color="auto"/>
            </w:tcBorders>
            <w:shd w:val="clear" w:color="auto" w:fill="E5E5E5"/>
          </w:tcPr>
          <w:p>
            <w:pPr>
              <w:jc w:val="right"/>
              <w:ind w:right="32"/>
              <w:spacing w:after="0" w:line="142" w:lineRule="exact"/>
              <w:rPr>
                <w:sz w:val="20"/>
                <w:szCs w:val="20"/>
                <w:color w:val="auto"/>
              </w:rPr>
            </w:pPr>
            <w:r>
              <w:rPr>
                <w:rFonts w:ascii="Arial" w:cs="Arial" w:eastAsia="Arial" w:hAnsi="Arial"/>
                <w:sz w:val="14"/>
                <w:szCs w:val="14"/>
                <w:color w:val="auto"/>
                <w:w w:val="98"/>
              </w:rPr>
              <w:t>$51,058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Stock compensation plans</w:t>
            </w:r>
          </w:p>
        </w:tc>
        <w:tc>
          <w:tcPr>
            <w:tcW w:w="380" w:type="dxa"/>
            <w:vAlign w:val="bottom"/>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580</w:t>
            </w:r>
          </w:p>
        </w:tc>
        <w:tc>
          <w:tcPr>
            <w:tcW w:w="7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(391)</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Repurchases and retirements of common stock</w:t>
            </w:r>
          </w:p>
        </w:tc>
        <w:tc>
          <w:tcPr>
            <w:tcW w:w="380" w:type="dxa"/>
            <w:vAlign w:val="bottom"/>
            <w:shd w:val="clear" w:color="auto" w:fill="E5E5E5"/>
          </w:tcPr>
          <w:p>
            <w:pPr>
              <w:spacing w:after="0"/>
              <w:rPr>
                <w:sz w:val="12"/>
                <w:szCs w:val="12"/>
                <w:color w:val="auto"/>
              </w:rPr>
            </w:pPr>
          </w:p>
        </w:tc>
        <w:tc>
          <w:tcPr>
            <w:tcW w:w="1120" w:type="dxa"/>
            <w:vAlign w:val="bottom"/>
            <w:tcBorders>
              <w:right w:val="single" w:sz="8" w:color="auto"/>
            </w:tcBorders>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400" w:type="dxa"/>
            <w:vAlign w:val="bottom"/>
            <w:shd w:val="clear" w:color="auto" w:fill="E5E5E5"/>
          </w:tcPr>
          <w:p>
            <w:pPr>
              <w:spacing w:after="0"/>
              <w:rPr>
                <w:sz w:val="12"/>
                <w:szCs w:val="12"/>
                <w:color w:val="auto"/>
              </w:rPr>
            </w:pPr>
          </w:p>
        </w:tc>
        <w:tc>
          <w:tcPr>
            <w:tcW w:w="420" w:type="dxa"/>
            <w:vAlign w:val="bottom"/>
            <w:shd w:val="clear" w:color="auto" w:fill="E5E5E5"/>
          </w:tcPr>
          <w:p>
            <w:pPr>
              <w:spacing w:after="0"/>
              <w:rPr>
                <w:sz w:val="12"/>
                <w:szCs w:val="12"/>
                <w:color w:val="auto"/>
              </w:rPr>
            </w:pPr>
          </w:p>
        </w:tc>
        <w:tc>
          <w:tcPr>
            <w:tcW w:w="480" w:type="dxa"/>
            <w:vAlign w:val="bottom"/>
            <w:shd w:val="clear" w:color="auto" w:fill="E5E5E5"/>
          </w:tcPr>
          <w:p>
            <w:pPr>
              <w:spacing w:after="0"/>
              <w:rPr>
                <w:sz w:val="12"/>
                <w:szCs w:val="12"/>
                <w:color w:val="auto"/>
              </w:rPr>
            </w:pPr>
          </w:p>
        </w:tc>
        <w:tc>
          <w:tcPr>
            <w:tcW w:w="340" w:type="dxa"/>
            <w:vAlign w:val="bottom"/>
            <w:shd w:val="clear" w:color="auto" w:fill="E5E5E5"/>
          </w:tcPr>
          <w:p>
            <w:pPr>
              <w:spacing w:after="0"/>
              <w:rPr>
                <w:sz w:val="12"/>
                <w:szCs w:val="12"/>
                <w:color w:val="auto"/>
              </w:rPr>
            </w:pPr>
          </w:p>
        </w:tc>
        <w:tc>
          <w:tcPr>
            <w:tcW w:w="220" w:type="dxa"/>
            <w:vAlign w:val="bottom"/>
            <w:shd w:val="clear" w:color="auto" w:fill="E5E5E5"/>
          </w:tcPr>
          <w:p>
            <w:pPr>
              <w:spacing w:after="0"/>
              <w:rPr>
                <w:sz w:val="12"/>
                <w:szCs w:val="12"/>
                <w:color w:val="auto"/>
              </w:rPr>
            </w:pPr>
          </w:p>
        </w:tc>
        <w:tc>
          <w:tcPr>
            <w:tcW w:w="640" w:type="dxa"/>
            <w:vAlign w:val="bottom"/>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(504)</w:t>
            </w:r>
          </w:p>
        </w:tc>
        <w:tc>
          <w:tcPr>
            <w:tcW w:w="720" w:type="dxa"/>
            <w:vAlign w:val="bottom"/>
            <w:shd w:val="clear" w:color="auto" w:fill="E5E5E5"/>
          </w:tcPr>
          <w:p>
            <w:pPr>
              <w:jc w:val="right"/>
              <w:ind w:right="32"/>
              <w:spacing w:after="0" w:line="149" w:lineRule="exact"/>
              <w:rPr>
                <w:sz w:val="20"/>
                <w:szCs w:val="20"/>
                <w:color w:val="auto"/>
              </w:rPr>
            </w:pPr>
            <w:r>
              <w:rPr>
                <w:rFonts w:ascii="Arial" w:cs="Arial" w:eastAsia="Arial" w:hAnsi="Arial"/>
                <w:sz w:val="14"/>
                <w:szCs w:val="14"/>
                <w:color w:val="auto"/>
              </w:rPr>
              <w:t>(1,746)</w:t>
            </w:r>
          </w:p>
        </w:tc>
        <w:tc>
          <w:tcPr>
            <w:tcW w:w="180" w:type="dxa"/>
            <w:vAlign w:val="bottom"/>
            <w:shd w:val="clear" w:color="auto" w:fill="E5E5E5"/>
          </w:tcPr>
          <w:p>
            <w:pPr>
              <w:spacing w:after="0"/>
              <w:rPr>
                <w:sz w:val="12"/>
                <w:szCs w:val="12"/>
                <w:color w:val="auto"/>
              </w:rPr>
            </w:pPr>
          </w:p>
        </w:tc>
        <w:tc>
          <w:tcPr>
            <w:tcW w:w="54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92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620" w:type="dxa"/>
            <w:vAlign w:val="bottom"/>
            <w:shd w:val="clear" w:color="auto" w:fill="E5E5E5"/>
          </w:tcPr>
          <w:p>
            <w:pPr>
              <w:spacing w:after="0"/>
              <w:rPr>
                <w:sz w:val="12"/>
                <w:szCs w:val="12"/>
                <w:color w:val="auto"/>
              </w:rPr>
            </w:pPr>
          </w:p>
        </w:tc>
        <w:tc>
          <w:tcPr>
            <w:tcW w:w="62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(2,250)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Employee stock purchase plans</w:t>
            </w:r>
          </w:p>
        </w:tc>
        <w:tc>
          <w:tcPr>
            <w:tcW w:w="380" w:type="dxa"/>
            <w:vAlign w:val="bottom"/>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91</w:t>
            </w: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Dividends declared</w:t>
            </w:r>
          </w:p>
        </w:tc>
        <w:tc>
          <w:tcPr>
            <w:tcW w:w="380" w:type="dxa"/>
            <w:vAlign w:val="bottom"/>
            <w:shd w:val="clear" w:color="auto" w:fill="E5E5E5"/>
          </w:tcPr>
          <w:p>
            <w:pPr>
              <w:spacing w:after="0"/>
              <w:rPr>
                <w:sz w:val="12"/>
                <w:szCs w:val="12"/>
                <w:color w:val="auto"/>
              </w:rPr>
            </w:pPr>
          </w:p>
        </w:tc>
        <w:tc>
          <w:tcPr>
            <w:tcW w:w="1120" w:type="dxa"/>
            <w:vAlign w:val="bottom"/>
            <w:tcBorders>
              <w:right w:val="single" w:sz="8" w:color="auto"/>
            </w:tcBorders>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400" w:type="dxa"/>
            <w:vAlign w:val="bottom"/>
            <w:shd w:val="clear" w:color="auto" w:fill="E5E5E5"/>
          </w:tcPr>
          <w:p>
            <w:pPr>
              <w:spacing w:after="0"/>
              <w:rPr>
                <w:sz w:val="12"/>
                <w:szCs w:val="12"/>
                <w:color w:val="auto"/>
              </w:rPr>
            </w:pPr>
          </w:p>
        </w:tc>
        <w:tc>
          <w:tcPr>
            <w:tcW w:w="420" w:type="dxa"/>
            <w:vAlign w:val="bottom"/>
            <w:shd w:val="clear" w:color="auto" w:fill="E5E5E5"/>
          </w:tcPr>
          <w:p>
            <w:pPr>
              <w:spacing w:after="0"/>
              <w:rPr>
                <w:sz w:val="12"/>
                <w:szCs w:val="12"/>
                <w:color w:val="auto"/>
              </w:rPr>
            </w:pPr>
          </w:p>
        </w:tc>
        <w:tc>
          <w:tcPr>
            <w:tcW w:w="480" w:type="dxa"/>
            <w:vAlign w:val="bottom"/>
            <w:shd w:val="clear" w:color="auto" w:fill="E5E5E5"/>
          </w:tcPr>
          <w:p>
            <w:pPr>
              <w:spacing w:after="0"/>
              <w:rPr>
                <w:sz w:val="12"/>
                <w:szCs w:val="12"/>
                <w:color w:val="auto"/>
              </w:rPr>
            </w:pPr>
          </w:p>
        </w:tc>
        <w:tc>
          <w:tcPr>
            <w:tcW w:w="340" w:type="dxa"/>
            <w:vAlign w:val="bottom"/>
            <w:shd w:val="clear" w:color="auto" w:fill="E5E5E5"/>
          </w:tcPr>
          <w:p>
            <w:pPr>
              <w:spacing w:after="0"/>
              <w:rPr>
                <w:sz w:val="12"/>
                <w:szCs w:val="12"/>
                <w:color w:val="auto"/>
              </w:rPr>
            </w:pPr>
          </w:p>
        </w:tc>
        <w:tc>
          <w:tcPr>
            <w:tcW w:w="220" w:type="dxa"/>
            <w:vAlign w:val="bottom"/>
            <w:shd w:val="clear" w:color="auto" w:fill="E5E5E5"/>
          </w:tcPr>
          <w:p>
            <w:pPr>
              <w:spacing w:after="0"/>
              <w:rPr>
                <w:sz w:val="12"/>
                <w:szCs w:val="12"/>
                <w:color w:val="auto"/>
              </w:rPr>
            </w:pPr>
          </w:p>
        </w:tc>
        <w:tc>
          <w:tcPr>
            <w:tcW w:w="640" w:type="dxa"/>
            <w:vAlign w:val="bottom"/>
            <w:shd w:val="clear" w:color="auto" w:fill="E5E5E5"/>
          </w:tcPr>
          <w:p>
            <w:pPr>
              <w:spacing w:after="0"/>
              <w:rPr>
                <w:sz w:val="12"/>
                <w:szCs w:val="12"/>
                <w:color w:val="auto"/>
              </w:rPr>
            </w:pPr>
          </w:p>
        </w:tc>
        <w:tc>
          <w:tcPr>
            <w:tcW w:w="720" w:type="dxa"/>
            <w:vAlign w:val="bottom"/>
            <w:shd w:val="clear" w:color="auto" w:fill="E5E5E5"/>
          </w:tcPr>
          <w:p>
            <w:pPr>
              <w:jc w:val="right"/>
              <w:ind w:right="32"/>
              <w:spacing w:after="0" w:line="149" w:lineRule="exact"/>
              <w:rPr>
                <w:sz w:val="20"/>
                <w:szCs w:val="20"/>
                <w:color w:val="auto"/>
              </w:rPr>
            </w:pPr>
            <w:r>
              <w:rPr>
                <w:rFonts w:ascii="Arial" w:cs="Arial" w:eastAsia="Arial" w:hAnsi="Arial"/>
                <w:sz w:val="14"/>
                <w:szCs w:val="14"/>
                <w:color w:val="auto"/>
              </w:rPr>
              <w:t>(1,748)</w:t>
            </w:r>
          </w:p>
        </w:tc>
        <w:tc>
          <w:tcPr>
            <w:tcW w:w="180" w:type="dxa"/>
            <w:vAlign w:val="bottom"/>
            <w:shd w:val="clear" w:color="auto" w:fill="E5E5E5"/>
          </w:tcPr>
          <w:p>
            <w:pPr>
              <w:spacing w:after="0"/>
              <w:rPr>
                <w:sz w:val="12"/>
                <w:szCs w:val="12"/>
                <w:color w:val="auto"/>
              </w:rPr>
            </w:pPr>
          </w:p>
        </w:tc>
        <w:tc>
          <w:tcPr>
            <w:tcW w:w="54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92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620" w:type="dxa"/>
            <w:vAlign w:val="bottom"/>
            <w:shd w:val="clear" w:color="auto" w:fill="E5E5E5"/>
          </w:tcPr>
          <w:p>
            <w:pPr>
              <w:spacing w:after="0"/>
              <w:rPr>
                <w:sz w:val="12"/>
                <w:szCs w:val="12"/>
                <w:color w:val="auto"/>
              </w:rPr>
            </w:pPr>
          </w:p>
        </w:tc>
        <w:tc>
          <w:tcPr>
            <w:tcW w:w="62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(1,748)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Other comprehensive income (loss)</w:t>
            </w:r>
          </w:p>
        </w:tc>
        <w:tc>
          <w:tcPr>
            <w:tcW w:w="380" w:type="dxa"/>
            <w:vAlign w:val="bottom"/>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(53)</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w w:val="94"/>
              </w:rPr>
              <w:t>Issuance of subsidiary shares to noncontrolling interests</w:t>
            </w:r>
          </w:p>
        </w:tc>
        <w:tc>
          <w:tcPr>
            <w:tcW w:w="380" w:type="dxa"/>
            <w:vAlign w:val="bottom"/>
            <w:shd w:val="clear" w:color="auto" w:fill="E5E5E5"/>
          </w:tcPr>
          <w:p>
            <w:pPr>
              <w:spacing w:after="0"/>
              <w:rPr>
                <w:sz w:val="12"/>
                <w:szCs w:val="12"/>
                <w:color w:val="auto"/>
              </w:rPr>
            </w:pPr>
          </w:p>
        </w:tc>
        <w:tc>
          <w:tcPr>
            <w:tcW w:w="1120" w:type="dxa"/>
            <w:vAlign w:val="bottom"/>
            <w:tcBorders>
              <w:right w:val="single" w:sz="8" w:color="auto"/>
            </w:tcBorders>
            <w:shd w:val="clear" w:color="auto" w:fill="E5E5E5"/>
          </w:tcPr>
          <w:p>
            <w:pPr>
              <w:jc w:val="right"/>
              <w:ind w:right="272"/>
              <w:spacing w:after="0" w:line="149" w:lineRule="exact"/>
              <w:rPr>
                <w:sz w:val="20"/>
                <w:szCs w:val="20"/>
                <w:color w:val="auto"/>
              </w:rPr>
            </w:pPr>
            <w:r>
              <w:rPr>
                <w:rFonts w:ascii="Arial" w:cs="Arial" w:eastAsia="Arial" w:hAnsi="Arial"/>
                <w:sz w:val="14"/>
                <w:szCs w:val="14"/>
                <w:color w:val="auto"/>
              </w:rPr>
              <w:t>85</w:t>
            </w:r>
          </w:p>
        </w:tc>
        <w:tc>
          <w:tcPr>
            <w:tcW w:w="160" w:type="dxa"/>
            <w:vAlign w:val="bottom"/>
            <w:shd w:val="clear" w:color="auto" w:fill="E5E5E5"/>
          </w:tcPr>
          <w:p>
            <w:pPr>
              <w:spacing w:after="0"/>
              <w:rPr>
                <w:sz w:val="12"/>
                <w:szCs w:val="12"/>
                <w:color w:val="auto"/>
              </w:rPr>
            </w:pPr>
          </w:p>
        </w:tc>
        <w:tc>
          <w:tcPr>
            <w:tcW w:w="400" w:type="dxa"/>
            <w:vAlign w:val="bottom"/>
            <w:shd w:val="clear" w:color="auto" w:fill="E5E5E5"/>
          </w:tcPr>
          <w:p>
            <w:pPr>
              <w:spacing w:after="0"/>
              <w:rPr>
                <w:sz w:val="12"/>
                <w:szCs w:val="12"/>
                <w:color w:val="auto"/>
              </w:rPr>
            </w:pPr>
          </w:p>
        </w:tc>
        <w:tc>
          <w:tcPr>
            <w:tcW w:w="420" w:type="dxa"/>
            <w:vAlign w:val="bottom"/>
            <w:shd w:val="clear" w:color="auto" w:fill="E5E5E5"/>
          </w:tcPr>
          <w:p>
            <w:pPr>
              <w:spacing w:after="0"/>
              <w:rPr>
                <w:sz w:val="12"/>
                <w:szCs w:val="12"/>
                <w:color w:val="auto"/>
              </w:rPr>
            </w:pPr>
          </w:p>
        </w:tc>
        <w:tc>
          <w:tcPr>
            <w:tcW w:w="480" w:type="dxa"/>
            <w:vAlign w:val="bottom"/>
            <w:shd w:val="clear" w:color="auto" w:fill="E5E5E5"/>
          </w:tcPr>
          <w:p>
            <w:pPr>
              <w:spacing w:after="0"/>
              <w:rPr>
                <w:sz w:val="12"/>
                <w:szCs w:val="12"/>
                <w:color w:val="auto"/>
              </w:rPr>
            </w:pPr>
          </w:p>
        </w:tc>
        <w:tc>
          <w:tcPr>
            <w:tcW w:w="340" w:type="dxa"/>
            <w:vAlign w:val="bottom"/>
            <w:shd w:val="clear" w:color="auto" w:fill="E5E5E5"/>
          </w:tcPr>
          <w:p>
            <w:pPr>
              <w:spacing w:after="0"/>
              <w:rPr>
                <w:sz w:val="12"/>
                <w:szCs w:val="12"/>
                <w:color w:val="auto"/>
              </w:rPr>
            </w:pPr>
          </w:p>
        </w:tc>
        <w:tc>
          <w:tcPr>
            <w:tcW w:w="220" w:type="dxa"/>
            <w:vAlign w:val="bottom"/>
            <w:shd w:val="clear" w:color="auto" w:fill="E5E5E5"/>
          </w:tcPr>
          <w:p>
            <w:pPr>
              <w:spacing w:after="0"/>
              <w:rPr>
                <w:sz w:val="12"/>
                <w:szCs w:val="12"/>
                <w:color w:val="auto"/>
              </w:rPr>
            </w:pPr>
          </w:p>
        </w:tc>
        <w:tc>
          <w:tcPr>
            <w:tcW w:w="640" w:type="dxa"/>
            <w:vAlign w:val="bottom"/>
            <w:shd w:val="clear" w:color="auto" w:fill="E5E5E5"/>
          </w:tcPr>
          <w:p>
            <w:pPr>
              <w:spacing w:after="0"/>
              <w:rPr>
                <w:sz w:val="12"/>
                <w:szCs w:val="12"/>
                <w:color w:val="auto"/>
              </w:rPr>
            </w:pPr>
          </w:p>
        </w:tc>
        <w:tc>
          <w:tcPr>
            <w:tcW w:w="72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54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92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620" w:type="dxa"/>
            <w:vAlign w:val="bottom"/>
            <w:shd w:val="clear" w:color="auto" w:fill="E5E5E5"/>
          </w:tcPr>
          <w:p>
            <w:pPr>
              <w:jc w:val="right"/>
              <w:ind w:right="32"/>
              <w:spacing w:after="0" w:line="149" w:lineRule="exact"/>
              <w:rPr>
                <w:sz w:val="20"/>
                <w:szCs w:val="20"/>
                <w:color w:val="auto"/>
              </w:rPr>
            </w:pPr>
            <w:r>
              <w:rPr>
                <w:rFonts w:ascii="Arial" w:cs="Arial" w:eastAsia="Arial" w:hAnsi="Arial"/>
                <w:sz w:val="14"/>
                <w:szCs w:val="14"/>
                <w:color w:val="auto"/>
              </w:rPr>
              <w:t>13</w:t>
            </w:r>
          </w:p>
        </w:tc>
        <w:tc>
          <w:tcPr>
            <w:tcW w:w="620" w:type="dxa"/>
            <w:vAlign w:val="bottom"/>
            <w:shd w:val="clear" w:color="auto" w:fill="E5E5E5"/>
          </w:tcPr>
          <w:p>
            <w:pPr>
              <w:jc w:val="right"/>
              <w:ind w:right="32"/>
              <w:spacing w:after="0" w:line="149"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320" w:type="dxa"/>
            <w:vAlign w:val="bottom"/>
          </w:tcPr>
          <w:p>
            <w:pPr>
              <w:spacing w:after="0" w:line="138" w:lineRule="exact"/>
              <w:rPr>
                <w:sz w:val="20"/>
                <w:szCs w:val="20"/>
                <w:color w:val="auto"/>
              </w:rPr>
            </w:pPr>
            <w:r>
              <w:rPr>
                <w:rFonts w:ascii="Arial" w:cs="Arial" w:eastAsia="Arial" w:hAnsi="Arial"/>
                <w:sz w:val="14"/>
                <w:szCs w:val="14"/>
                <w:color w:val="auto"/>
              </w:rPr>
              <w:t>Contributions from (distributions to)</w:t>
            </w:r>
          </w:p>
        </w:tc>
        <w:tc>
          <w:tcPr>
            <w:tcW w:w="380" w:type="dxa"/>
            <w:vAlign w:val="bottom"/>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320" w:type="dxa"/>
            <w:vAlign w:val="bottom"/>
          </w:tcPr>
          <w:p>
            <w:pPr>
              <w:ind w:left="200"/>
              <w:spacing w:after="0" w:line="159" w:lineRule="exact"/>
              <w:rPr>
                <w:sz w:val="20"/>
                <w:szCs w:val="20"/>
                <w:color w:val="auto"/>
              </w:rPr>
            </w:pPr>
            <w:r>
              <w:rPr>
                <w:rFonts w:ascii="Arial" w:cs="Arial" w:eastAsia="Arial" w:hAnsi="Arial"/>
                <w:sz w:val="14"/>
                <w:szCs w:val="14"/>
                <w:color w:val="auto"/>
              </w:rPr>
              <w:t>noncontrolling interests, net</w:t>
            </w:r>
          </w:p>
        </w:tc>
        <w:tc>
          <w:tcPr>
            <w:tcW w:w="380" w:type="dxa"/>
            <w:vAlign w:val="bottom"/>
          </w:tcPr>
          <w:p>
            <w:pPr>
              <w:spacing w:after="0"/>
              <w:rPr>
                <w:sz w:val="13"/>
                <w:szCs w:val="13"/>
                <w:color w:val="auto"/>
              </w:rPr>
            </w:pPr>
          </w:p>
        </w:tc>
        <w:tc>
          <w:tcPr>
            <w:tcW w:w="1120" w:type="dxa"/>
            <w:vAlign w:val="bottom"/>
            <w:tcBorders>
              <w:right w:val="single" w:sz="8" w:color="auto"/>
            </w:tcBorders>
          </w:tcPr>
          <w:p>
            <w:pPr>
              <w:jc w:val="right"/>
              <w:ind w:right="232"/>
              <w:spacing w:after="0" w:line="159" w:lineRule="exact"/>
              <w:rPr>
                <w:sz w:val="20"/>
                <w:szCs w:val="20"/>
                <w:color w:val="auto"/>
              </w:rPr>
            </w:pPr>
            <w:r>
              <w:rPr>
                <w:rFonts w:ascii="Arial" w:cs="Arial" w:eastAsia="Arial" w:hAnsi="Arial"/>
                <w:sz w:val="14"/>
                <w:szCs w:val="14"/>
                <w:color w:val="auto"/>
              </w:rPr>
              <w:t>(11)</w:t>
            </w: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(101)</w:t>
            </w: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Other</w:t>
            </w:r>
          </w:p>
        </w:tc>
        <w:tc>
          <w:tcPr>
            <w:tcW w:w="380" w:type="dxa"/>
            <w:vAlign w:val="bottom"/>
            <w:shd w:val="clear" w:color="auto" w:fill="E5E5E5"/>
          </w:tcPr>
          <w:p>
            <w:pPr>
              <w:spacing w:after="0"/>
              <w:rPr>
                <w:sz w:val="12"/>
                <w:szCs w:val="12"/>
                <w:color w:val="auto"/>
              </w:rPr>
            </w:pPr>
          </w:p>
        </w:tc>
        <w:tc>
          <w:tcPr>
            <w:tcW w:w="1120" w:type="dxa"/>
            <w:vAlign w:val="bottom"/>
            <w:tcBorders>
              <w:right w:val="single" w:sz="8" w:color="auto"/>
            </w:tcBorders>
            <w:shd w:val="clear" w:color="auto" w:fill="E5E5E5"/>
          </w:tcPr>
          <w:p>
            <w:pPr>
              <w:jc w:val="right"/>
              <w:ind w:right="232"/>
              <w:spacing w:after="0" w:line="149" w:lineRule="exact"/>
              <w:rPr>
                <w:sz w:val="20"/>
                <w:szCs w:val="20"/>
                <w:color w:val="auto"/>
              </w:rPr>
            </w:pPr>
            <w:r>
              <w:rPr>
                <w:rFonts w:ascii="Arial" w:cs="Arial" w:eastAsia="Arial" w:hAnsi="Arial"/>
                <w:sz w:val="14"/>
                <w:szCs w:val="14"/>
                <w:color w:val="auto"/>
              </w:rPr>
              <w:t>(22)</w:t>
            </w:r>
          </w:p>
        </w:tc>
        <w:tc>
          <w:tcPr>
            <w:tcW w:w="160" w:type="dxa"/>
            <w:vAlign w:val="bottom"/>
            <w:shd w:val="clear" w:color="auto" w:fill="E5E5E5"/>
          </w:tcPr>
          <w:p>
            <w:pPr>
              <w:spacing w:after="0"/>
              <w:rPr>
                <w:sz w:val="12"/>
                <w:szCs w:val="12"/>
                <w:color w:val="auto"/>
              </w:rPr>
            </w:pPr>
          </w:p>
        </w:tc>
        <w:tc>
          <w:tcPr>
            <w:tcW w:w="400" w:type="dxa"/>
            <w:vAlign w:val="bottom"/>
            <w:shd w:val="clear" w:color="auto" w:fill="E5E5E5"/>
          </w:tcPr>
          <w:p>
            <w:pPr>
              <w:spacing w:after="0"/>
              <w:rPr>
                <w:sz w:val="12"/>
                <w:szCs w:val="12"/>
                <w:color w:val="auto"/>
              </w:rPr>
            </w:pPr>
          </w:p>
        </w:tc>
        <w:tc>
          <w:tcPr>
            <w:tcW w:w="420" w:type="dxa"/>
            <w:vAlign w:val="bottom"/>
            <w:shd w:val="clear" w:color="auto" w:fill="E5E5E5"/>
          </w:tcPr>
          <w:p>
            <w:pPr>
              <w:spacing w:after="0"/>
              <w:rPr>
                <w:sz w:val="12"/>
                <w:szCs w:val="12"/>
                <w:color w:val="auto"/>
              </w:rPr>
            </w:pPr>
          </w:p>
        </w:tc>
        <w:tc>
          <w:tcPr>
            <w:tcW w:w="480" w:type="dxa"/>
            <w:vAlign w:val="bottom"/>
            <w:shd w:val="clear" w:color="auto" w:fill="E5E5E5"/>
          </w:tcPr>
          <w:p>
            <w:pPr>
              <w:spacing w:after="0"/>
              <w:rPr>
                <w:sz w:val="12"/>
                <w:szCs w:val="12"/>
                <w:color w:val="auto"/>
              </w:rPr>
            </w:pPr>
          </w:p>
        </w:tc>
        <w:tc>
          <w:tcPr>
            <w:tcW w:w="340" w:type="dxa"/>
            <w:vAlign w:val="bottom"/>
            <w:shd w:val="clear" w:color="auto" w:fill="E5E5E5"/>
          </w:tcPr>
          <w:p>
            <w:pPr>
              <w:spacing w:after="0"/>
              <w:rPr>
                <w:sz w:val="12"/>
                <w:szCs w:val="12"/>
                <w:color w:val="auto"/>
              </w:rPr>
            </w:pPr>
          </w:p>
        </w:tc>
        <w:tc>
          <w:tcPr>
            <w:tcW w:w="220" w:type="dxa"/>
            <w:vAlign w:val="bottom"/>
            <w:shd w:val="clear" w:color="auto" w:fill="E5E5E5"/>
          </w:tcPr>
          <w:p>
            <w:pPr>
              <w:spacing w:after="0"/>
              <w:rPr>
                <w:sz w:val="12"/>
                <w:szCs w:val="12"/>
                <w:color w:val="auto"/>
              </w:rPr>
            </w:pPr>
          </w:p>
        </w:tc>
        <w:tc>
          <w:tcPr>
            <w:tcW w:w="640" w:type="dxa"/>
            <w:vAlign w:val="bottom"/>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(80)</w:t>
            </w:r>
          </w:p>
        </w:tc>
        <w:tc>
          <w:tcPr>
            <w:tcW w:w="72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54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92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62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(13)</w:t>
            </w:r>
          </w:p>
        </w:tc>
        <w:tc>
          <w:tcPr>
            <w:tcW w:w="62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Net income (loss)</w:t>
            </w:r>
          </w:p>
        </w:tc>
        <w:tc>
          <w:tcPr>
            <w:tcW w:w="380" w:type="dxa"/>
            <w:vAlign w:val="bottom"/>
            <w:tcBorders>
              <w:bottom w:val="single" w:sz="8" w:color="auto"/>
            </w:tcBorders>
          </w:tcPr>
          <w:p>
            <w:pPr>
              <w:spacing w:after="0"/>
              <w:rPr>
                <w:sz w:val="12"/>
                <w:szCs w:val="12"/>
                <w:color w:val="auto"/>
              </w:rPr>
            </w:pPr>
          </w:p>
        </w:tc>
        <w:tc>
          <w:tcPr>
            <w:tcW w:w="1120" w:type="dxa"/>
            <w:vAlign w:val="bottom"/>
            <w:tcBorders>
              <w:bottom w:val="single" w:sz="8" w:color="auto"/>
              <w:right w:val="single" w:sz="8" w:color="auto"/>
            </w:tcBorders>
          </w:tcPr>
          <w:p>
            <w:pPr>
              <w:jc w:val="right"/>
              <w:ind w:right="272"/>
              <w:spacing w:after="0" w:line="149" w:lineRule="exact"/>
              <w:rPr>
                <w:sz w:val="20"/>
                <w:szCs w:val="20"/>
                <w:color w:val="auto"/>
              </w:rPr>
            </w:pPr>
            <w:r>
              <w:rPr>
                <w:rFonts w:ascii="Arial" w:cs="Arial" w:eastAsia="Arial" w:hAnsi="Arial"/>
                <w:sz w:val="14"/>
                <w:szCs w:val="14"/>
                <w:color w:val="auto"/>
              </w:rPr>
              <w:t>49</w:t>
            </w:r>
          </w:p>
        </w:tc>
        <w:tc>
          <w:tcPr>
            <w:tcW w:w="1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6,455</w:t>
            </w:r>
          </w:p>
        </w:tc>
        <w:tc>
          <w:tcPr>
            <w:tcW w:w="1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92</w:t>
            </w:r>
          </w:p>
        </w:tc>
        <w:tc>
          <w:tcPr>
            <w:tcW w:w="62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6,547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Borders>
              <w:bottom w:val="single" w:sz="8" w:color="auto"/>
            </w:tcBorders>
            <w:shd w:val="clear" w:color="auto" w:fill="E5E5E5"/>
          </w:tcPr>
          <w:p>
            <w:pPr>
              <w:spacing w:after="0" w:line="142" w:lineRule="exact"/>
              <w:rPr>
                <w:sz w:val="20"/>
                <w:szCs w:val="20"/>
                <w:color w:val="auto"/>
              </w:rPr>
            </w:pPr>
            <w:r>
              <w:rPr>
                <w:rFonts w:ascii="Arial" w:cs="Arial" w:eastAsia="Arial" w:hAnsi="Arial"/>
                <w:sz w:val="14"/>
                <w:szCs w:val="14"/>
                <w:b w:val="1"/>
                <w:bCs w:val="1"/>
                <w:color w:val="auto"/>
              </w:rPr>
              <w:t>Balance, September 30, 2014</w:t>
            </w:r>
          </w:p>
        </w:tc>
        <w:tc>
          <w:tcPr>
            <w:tcW w:w="380" w:type="dxa"/>
            <w:vAlign w:val="bottom"/>
            <w:tcBorders>
              <w:bottom w:val="single" w:sz="8" w:color="auto"/>
            </w:tcBorders>
            <w:shd w:val="clear" w:color="auto" w:fill="E5E5E5"/>
          </w:tcPr>
          <w:p>
            <w:pPr>
              <w:ind w:left="300"/>
              <w:spacing w:after="0" w:line="142" w:lineRule="exact"/>
              <w:rPr>
                <w:sz w:val="20"/>
                <w:szCs w:val="20"/>
                <w:color w:val="auto"/>
              </w:rPr>
            </w:pPr>
            <w:r>
              <w:rPr>
                <w:rFonts w:ascii="Arial" w:cs="Arial" w:eastAsia="Arial" w:hAnsi="Arial"/>
                <w:sz w:val="14"/>
                <w:szCs w:val="14"/>
                <w:b w:val="1"/>
                <w:bCs w:val="1"/>
                <w:color w:val="auto"/>
                <w:w w:val="76"/>
              </w:rPr>
              <w:t>$</w:t>
            </w:r>
          </w:p>
        </w:tc>
        <w:tc>
          <w:tcPr>
            <w:tcW w:w="1120" w:type="dxa"/>
            <w:vAlign w:val="bottom"/>
            <w:tcBorders>
              <w:bottom w:val="single" w:sz="8" w:color="auto"/>
              <w:right w:val="single" w:sz="8" w:color="auto"/>
            </w:tcBorders>
            <w:shd w:val="clear" w:color="auto" w:fill="E5E5E5"/>
          </w:tcPr>
          <w:p>
            <w:pPr>
              <w:jc w:val="right"/>
              <w:ind w:right="272"/>
              <w:spacing w:after="0" w:line="142" w:lineRule="exact"/>
              <w:rPr>
                <w:sz w:val="20"/>
                <w:szCs w:val="20"/>
                <w:color w:val="auto"/>
              </w:rPr>
            </w:pPr>
            <w:r>
              <w:rPr>
                <w:rFonts w:ascii="Arial" w:cs="Arial" w:eastAsia="Arial" w:hAnsi="Arial"/>
                <w:sz w:val="14"/>
                <w:szCs w:val="14"/>
                <w:b w:val="1"/>
                <w:bCs w:val="1"/>
                <w:color w:val="auto"/>
              </w:rPr>
              <w:t>1,058</w:t>
            </w:r>
          </w:p>
        </w:tc>
        <w:tc>
          <w:tcPr>
            <w:tcW w:w="160" w:type="dxa"/>
            <w:vAlign w:val="bottom"/>
            <w:tcBorders>
              <w:bottom w:val="single" w:sz="8" w:color="auto"/>
            </w:tcBorders>
            <w:shd w:val="clear" w:color="auto" w:fill="E5E5E5"/>
          </w:tcPr>
          <w:p>
            <w:pPr>
              <w:spacing w:after="0"/>
              <w:rPr>
                <w:sz w:val="12"/>
                <w:szCs w:val="12"/>
                <w:color w:val="auto"/>
              </w:rPr>
            </w:pPr>
          </w:p>
        </w:tc>
        <w:tc>
          <w:tcPr>
            <w:tcW w:w="400" w:type="dxa"/>
            <w:vAlign w:val="bottom"/>
            <w:tcBorders>
              <w:bottom w:val="single" w:sz="8" w:color="auto"/>
            </w:tcBorders>
            <w:shd w:val="clear" w:color="auto" w:fill="E5E5E5"/>
          </w:tcPr>
          <w:p>
            <w:pPr>
              <w:jc w:val="center"/>
              <w:ind w:left="52"/>
              <w:spacing w:after="0" w:line="142" w:lineRule="exact"/>
              <w:rPr>
                <w:sz w:val="20"/>
                <w:szCs w:val="20"/>
                <w:color w:val="auto"/>
              </w:rPr>
            </w:pPr>
            <w:r>
              <w:rPr>
                <w:rFonts w:ascii="Arial" w:cs="Arial" w:eastAsia="Arial" w:hAnsi="Arial"/>
                <w:sz w:val="14"/>
                <w:szCs w:val="14"/>
                <w:b w:val="1"/>
                <w:bCs w:val="1"/>
                <w:color w:val="auto"/>
                <w:w w:val="85"/>
              </w:rPr>
              <w:t>$25</w:t>
            </w:r>
          </w:p>
        </w:tc>
        <w:tc>
          <w:tcPr>
            <w:tcW w:w="420" w:type="dxa"/>
            <w:vAlign w:val="bottom"/>
            <w:tcBorders>
              <w:bottom w:val="single" w:sz="8" w:color="auto"/>
            </w:tcBorders>
            <w:shd w:val="clear" w:color="auto" w:fill="E5E5E5"/>
          </w:tcPr>
          <w:p>
            <w:pPr>
              <w:ind w:left="180"/>
              <w:spacing w:after="0" w:line="142" w:lineRule="exact"/>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auto"/>
            </w:tcBorders>
            <w:shd w:val="clear" w:color="auto" w:fill="E5E5E5"/>
          </w:tcPr>
          <w:p>
            <w:pPr>
              <w:jc w:val="right"/>
              <w:ind w:right="132"/>
              <w:spacing w:after="0" w:line="142" w:lineRule="exact"/>
              <w:rPr>
                <w:sz w:val="20"/>
                <w:szCs w:val="20"/>
                <w:color w:val="auto"/>
              </w:rPr>
            </w:pPr>
            <w:r>
              <w:rPr>
                <w:rFonts w:ascii="Arial" w:cs="Arial" w:eastAsia="Arial" w:hAnsi="Arial"/>
                <w:sz w:val="14"/>
                <w:szCs w:val="14"/>
                <w:b w:val="1"/>
                <w:bCs w:val="1"/>
                <w:color w:val="auto"/>
              </w:rPr>
              <w:t>5</w:t>
            </w:r>
          </w:p>
        </w:tc>
        <w:tc>
          <w:tcPr>
            <w:tcW w:w="340" w:type="dxa"/>
            <w:vAlign w:val="bottom"/>
            <w:tcBorders>
              <w:bottom w:val="single" w:sz="8" w:color="auto"/>
            </w:tcBorders>
            <w:shd w:val="clear" w:color="auto" w:fill="E5E5E5"/>
          </w:tcPr>
          <w:p>
            <w:pPr>
              <w:jc w:val="center"/>
              <w:spacing w:after="0" w:line="142" w:lineRule="exact"/>
              <w:rPr>
                <w:sz w:val="20"/>
                <w:szCs w:val="20"/>
                <w:color w:val="auto"/>
              </w:rPr>
            </w:pPr>
            <w:r>
              <w:rPr>
                <w:rFonts w:ascii="Arial" w:cs="Arial" w:eastAsia="Arial" w:hAnsi="Arial"/>
                <w:sz w:val="14"/>
                <w:szCs w:val="14"/>
                <w:b w:val="1"/>
                <w:bCs w:val="1"/>
                <w:color w:val="auto"/>
              </w:rPr>
              <w:t>$ —</w:t>
            </w:r>
          </w:p>
        </w:tc>
        <w:tc>
          <w:tcPr>
            <w:tcW w:w="220" w:type="dxa"/>
            <w:vAlign w:val="bottom"/>
            <w:tcBorders>
              <w:bottom w:val="single" w:sz="8" w:color="auto"/>
            </w:tcBorders>
            <w:shd w:val="clear" w:color="auto" w:fill="E5E5E5"/>
          </w:tcPr>
          <w:p>
            <w:pPr>
              <w:ind w:left="140"/>
              <w:spacing w:after="0" w:line="142" w:lineRule="exact"/>
              <w:rPr>
                <w:sz w:val="20"/>
                <w:szCs w:val="20"/>
                <w:color w:val="auto"/>
              </w:rPr>
            </w:pPr>
            <w:r>
              <w:rPr>
                <w:rFonts w:ascii="Arial" w:cs="Arial" w:eastAsia="Arial" w:hAnsi="Arial"/>
                <w:sz w:val="14"/>
                <w:szCs w:val="14"/>
                <w:b w:val="1"/>
                <w:bCs w:val="1"/>
                <w:color w:val="auto"/>
                <w:w w:val="76"/>
              </w:rPr>
              <w:t>$</w:t>
            </w:r>
          </w:p>
        </w:tc>
        <w:tc>
          <w:tcPr>
            <w:tcW w:w="640" w:type="dxa"/>
            <w:vAlign w:val="bottom"/>
            <w:tcBorders>
              <w:bottom w:val="single" w:sz="8" w:color="auto"/>
            </w:tcBorders>
            <w:shd w:val="clear" w:color="auto" w:fill="E5E5E5"/>
          </w:tcPr>
          <w:p>
            <w:pPr>
              <w:jc w:val="right"/>
              <w:ind w:right="72"/>
              <w:spacing w:after="0" w:line="142" w:lineRule="exact"/>
              <w:rPr>
                <w:sz w:val="20"/>
                <w:szCs w:val="20"/>
                <w:color w:val="auto"/>
              </w:rPr>
            </w:pPr>
            <w:r>
              <w:rPr>
                <w:rFonts w:ascii="Arial" w:cs="Arial" w:eastAsia="Arial" w:hAnsi="Arial"/>
                <w:sz w:val="14"/>
                <w:szCs w:val="14"/>
                <w:b w:val="1"/>
                <w:bCs w:val="1"/>
                <w:color w:val="auto"/>
              </w:rPr>
              <w:t>38,977</w:t>
            </w:r>
          </w:p>
        </w:tc>
        <w:tc>
          <w:tcPr>
            <w:tcW w:w="720" w:type="dxa"/>
            <w:vAlign w:val="bottom"/>
            <w:tcBorders>
              <w:bottom w:val="single" w:sz="8" w:color="auto"/>
            </w:tcBorders>
            <w:shd w:val="clear" w:color="auto" w:fill="E5E5E5"/>
          </w:tcPr>
          <w:p>
            <w:pPr>
              <w:jc w:val="right"/>
              <w:ind w:right="72"/>
              <w:spacing w:after="0" w:line="142" w:lineRule="exact"/>
              <w:rPr>
                <w:sz w:val="20"/>
                <w:szCs w:val="20"/>
                <w:color w:val="auto"/>
              </w:rPr>
            </w:pPr>
            <w:r>
              <w:rPr>
                <w:rFonts w:ascii="Arial" w:cs="Arial" w:eastAsia="Arial" w:hAnsi="Arial"/>
                <w:sz w:val="14"/>
                <w:szCs w:val="14"/>
                <w:b w:val="1"/>
                <w:bCs w:val="1"/>
                <w:color w:val="auto"/>
              </w:rPr>
              <w:t>$ 21,805</w:t>
            </w:r>
          </w:p>
        </w:tc>
        <w:tc>
          <w:tcPr>
            <w:tcW w:w="180" w:type="dxa"/>
            <w:vAlign w:val="bottom"/>
            <w:tcBorders>
              <w:bottom w:val="single" w:sz="8" w:color="auto"/>
            </w:tcBorders>
            <w:shd w:val="clear" w:color="auto" w:fill="E5E5E5"/>
          </w:tcPr>
          <w:p>
            <w:pPr>
              <w:ind w:left="100"/>
              <w:spacing w:after="0" w:line="142" w:lineRule="exact"/>
              <w:rPr>
                <w:sz w:val="20"/>
                <w:szCs w:val="20"/>
                <w:color w:val="auto"/>
              </w:rPr>
            </w:pPr>
            <w:r>
              <w:rPr>
                <w:rFonts w:ascii="Arial" w:cs="Arial" w:eastAsia="Arial" w:hAnsi="Arial"/>
                <w:sz w:val="14"/>
                <w:szCs w:val="14"/>
                <w:b w:val="1"/>
                <w:bCs w:val="1"/>
                <w:color w:val="auto"/>
                <w:w w:val="76"/>
              </w:rPr>
              <w:t>$</w:t>
            </w:r>
          </w:p>
        </w:tc>
        <w:tc>
          <w:tcPr>
            <w:tcW w:w="540" w:type="dxa"/>
            <w:vAlign w:val="bottom"/>
            <w:tcBorders>
              <w:bottom w:val="single" w:sz="8" w:color="auto"/>
            </w:tcBorders>
            <w:shd w:val="clear" w:color="auto" w:fill="E5E5E5"/>
          </w:tcPr>
          <w:p>
            <w:pPr>
              <w:jc w:val="right"/>
              <w:ind w:right="32"/>
              <w:spacing w:after="0" w:line="142" w:lineRule="exact"/>
              <w:rPr>
                <w:sz w:val="20"/>
                <w:szCs w:val="20"/>
                <w:color w:val="auto"/>
              </w:rPr>
            </w:pPr>
            <w:r>
              <w:rPr>
                <w:rFonts w:ascii="Arial" w:cs="Arial" w:eastAsia="Arial" w:hAnsi="Arial"/>
                <w:sz w:val="14"/>
                <w:szCs w:val="14"/>
                <w:b w:val="1"/>
                <w:bCs w:val="1"/>
                <w:color w:val="auto"/>
                <w:w w:val="94"/>
              </w:rPr>
              <w:t>(7,517)</w:t>
            </w:r>
          </w:p>
        </w:tc>
        <w:tc>
          <w:tcPr>
            <w:tcW w:w="160" w:type="dxa"/>
            <w:vAlign w:val="bottom"/>
            <w:tcBorders>
              <w:bottom w:val="single" w:sz="8" w:color="auto"/>
            </w:tcBorders>
            <w:shd w:val="clear" w:color="auto" w:fill="E5E5E5"/>
          </w:tcPr>
          <w:p>
            <w:pPr>
              <w:ind w:left="80"/>
              <w:spacing w:after="0" w:line="142" w:lineRule="exact"/>
              <w:rPr>
                <w:sz w:val="20"/>
                <w:szCs w:val="20"/>
                <w:color w:val="auto"/>
              </w:rPr>
            </w:pPr>
            <w:r>
              <w:rPr>
                <w:rFonts w:ascii="Arial" w:cs="Arial" w:eastAsia="Arial" w:hAnsi="Arial"/>
                <w:sz w:val="14"/>
                <w:szCs w:val="14"/>
                <w:b w:val="1"/>
                <w:bCs w:val="1"/>
                <w:color w:val="auto"/>
                <w:w w:val="76"/>
              </w:rPr>
              <w:t>$</w:t>
            </w:r>
          </w:p>
        </w:tc>
        <w:tc>
          <w:tcPr>
            <w:tcW w:w="920" w:type="dxa"/>
            <w:vAlign w:val="bottom"/>
            <w:tcBorders>
              <w:bottom w:val="single" w:sz="8" w:color="auto"/>
            </w:tcBorders>
            <w:shd w:val="clear" w:color="auto" w:fill="E5E5E5"/>
          </w:tcPr>
          <w:p>
            <w:pPr>
              <w:jc w:val="right"/>
              <w:ind w:right="72"/>
              <w:spacing w:after="0" w:line="142" w:lineRule="exact"/>
              <w:rPr>
                <w:sz w:val="20"/>
                <w:szCs w:val="20"/>
                <w:color w:val="auto"/>
              </w:rPr>
            </w:pPr>
            <w:r>
              <w:rPr>
                <w:rFonts w:ascii="Arial" w:cs="Arial" w:eastAsia="Arial" w:hAnsi="Arial"/>
                <w:sz w:val="14"/>
                <w:szCs w:val="14"/>
                <w:b w:val="1"/>
                <w:bCs w:val="1"/>
                <w:color w:val="auto"/>
              </w:rPr>
              <w:t>3</w:t>
            </w:r>
          </w:p>
        </w:tc>
        <w:tc>
          <w:tcPr>
            <w:tcW w:w="160" w:type="dxa"/>
            <w:vAlign w:val="bottom"/>
            <w:tcBorders>
              <w:bottom w:val="single" w:sz="8" w:color="auto"/>
            </w:tcBorders>
            <w:shd w:val="clear" w:color="auto" w:fill="E5E5E5"/>
          </w:tcPr>
          <w:p>
            <w:pPr>
              <w:ind w:left="100"/>
              <w:spacing w:after="0"/>
              <w:rPr>
                <w:sz w:val="20"/>
                <w:szCs w:val="20"/>
                <w:color w:val="auto"/>
              </w:rPr>
            </w:pPr>
            <w:r>
              <w:rPr>
                <w:rFonts w:ascii="Arial" w:cs="Arial" w:eastAsia="Arial" w:hAnsi="Arial"/>
                <w:sz w:val="10"/>
                <w:szCs w:val="10"/>
                <w:b w:val="1"/>
                <w:bCs w:val="1"/>
                <w:color w:val="auto"/>
                <w:w w:val="71"/>
              </w:rPr>
              <w:t>$</w:t>
            </w:r>
          </w:p>
        </w:tc>
        <w:tc>
          <w:tcPr>
            <w:tcW w:w="620" w:type="dxa"/>
            <w:vAlign w:val="bottom"/>
            <w:tcBorders>
              <w:bottom w:val="single" w:sz="8" w:color="auto"/>
            </w:tcBorders>
            <w:shd w:val="clear" w:color="auto" w:fill="E5E5E5"/>
          </w:tcPr>
          <w:p>
            <w:pPr>
              <w:jc w:val="right"/>
              <w:ind w:right="32"/>
              <w:spacing w:after="0" w:line="142" w:lineRule="exact"/>
              <w:rPr>
                <w:sz w:val="20"/>
                <w:szCs w:val="20"/>
                <w:color w:val="auto"/>
              </w:rPr>
            </w:pPr>
            <w:r>
              <w:rPr>
                <w:rFonts w:ascii="Arial" w:cs="Arial" w:eastAsia="Arial" w:hAnsi="Arial"/>
                <w:sz w:val="14"/>
                <w:szCs w:val="14"/>
                <w:b w:val="1"/>
                <w:bCs w:val="1"/>
                <w:color w:val="auto"/>
              </w:rPr>
              <w:t>355</w:t>
            </w:r>
          </w:p>
        </w:tc>
        <w:tc>
          <w:tcPr>
            <w:tcW w:w="620" w:type="dxa"/>
            <w:vAlign w:val="bottom"/>
            <w:tcBorders>
              <w:bottom w:val="single" w:sz="8" w:color="auto"/>
            </w:tcBorders>
            <w:shd w:val="clear" w:color="auto" w:fill="E5E5E5"/>
          </w:tcPr>
          <w:p>
            <w:pPr>
              <w:jc w:val="right"/>
              <w:ind w:right="32"/>
              <w:spacing w:after="0" w:line="142" w:lineRule="exact"/>
              <w:rPr>
                <w:sz w:val="20"/>
                <w:szCs w:val="20"/>
                <w:color w:val="auto"/>
              </w:rPr>
            </w:pPr>
            <w:r>
              <w:rPr>
                <w:rFonts w:ascii="Arial" w:cs="Arial" w:eastAsia="Arial" w:hAnsi="Arial"/>
                <w:sz w:val="14"/>
                <w:szCs w:val="14"/>
                <w:b w:val="1"/>
                <w:bCs w:val="1"/>
                <w:color w:val="auto"/>
                <w:w w:val="98"/>
              </w:rPr>
              <w:t>$53,653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Balance, December 31, 2014</w:t>
            </w:r>
          </w:p>
        </w:tc>
        <w:tc>
          <w:tcPr>
            <w:tcW w:w="380" w:type="dxa"/>
            <w:vAlign w:val="bottom"/>
          </w:tcPr>
          <w:p>
            <w:pPr>
              <w:ind w:left="300"/>
              <w:spacing w:after="0" w:line="149" w:lineRule="exact"/>
              <w:rPr>
                <w:sz w:val="20"/>
                <w:szCs w:val="20"/>
                <w:color w:val="auto"/>
              </w:rPr>
            </w:pPr>
            <w:r>
              <w:rPr>
                <w:rFonts w:ascii="Arial" w:cs="Arial" w:eastAsia="Arial" w:hAnsi="Arial"/>
                <w:sz w:val="14"/>
                <w:szCs w:val="14"/>
                <w:color w:val="auto"/>
                <w:w w:val="76"/>
              </w:rPr>
              <w:t>$</w:t>
            </w:r>
          </w:p>
        </w:tc>
        <w:tc>
          <w:tcPr>
            <w:tcW w:w="1120" w:type="dxa"/>
            <w:vAlign w:val="bottom"/>
            <w:tcBorders>
              <w:right w:val="single" w:sz="8" w:color="auto"/>
            </w:tcBorders>
          </w:tcPr>
          <w:p>
            <w:pPr>
              <w:jc w:val="right"/>
              <w:ind w:right="272"/>
              <w:spacing w:after="0" w:line="149" w:lineRule="exact"/>
              <w:rPr>
                <w:sz w:val="20"/>
                <w:szCs w:val="20"/>
                <w:color w:val="auto"/>
              </w:rPr>
            </w:pPr>
            <w:r>
              <w:rPr>
                <w:rFonts w:ascii="Arial" w:cs="Arial" w:eastAsia="Arial" w:hAnsi="Arial"/>
                <w:sz w:val="14"/>
                <w:szCs w:val="14"/>
                <w:color w:val="auto"/>
              </w:rPr>
              <w:t>1,066</w:t>
            </w:r>
          </w:p>
        </w:tc>
        <w:tc>
          <w:tcPr>
            <w:tcW w:w="160" w:type="dxa"/>
            <w:vAlign w:val="bottom"/>
          </w:tcPr>
          <w:p>
            <w:pPr>
              <w:spacing w:after="0"/>
              <w:rPr>
                <w:sz w:val="12"/>
                <w:szCs w:val="12"/>
                <w:color w:val="auto"/>
              </w:rPr>
            </w:pPr>
          </w:p>
        </w:tc>
        <w:tc>
          <w:tcPr>
            <w:tcW w:w="400" w:type="dxa"/>
            <w:vAlign w:val="bottom"/>
          </w:tcPr>
          <w:p>
            <w:pPr>
              <w:jc w:val="center"/>
              <w:ind w:left="52"/>
              <w:spacing w:after="0" w:line="149" w:lineRule="exact"/>
              <w:rPr>
                <w:sz w:val="20"/>
                <w:szCs w:val="20"/>
                <w:color w:val="auto"/>
              </w:rPr>
            </w:pPr>
            <w:r>
              <w:rPr>
                <w:rFonts w:ascii="Arial" w:cs="Arial" w:eastAsia="Arial" w:hAnsi="Arial"/>
                <w:sz w:val="14"/>
                <w:szCs w:val="14"/>
                <w:color w:val="auto"/>
                <w:w w:val="85"/>
              </w:rPr>
              <w:t>$25</w:t>
            </w:r>
          </w:p>
        </w:tc>
        <w:tc>
          <w:tcPr>
            <w:tcW w:w="420" w:type="dxa"/>
            <w:vAlign w:val="bottom"/>
          </w:tcPr>
          <w:p>
            <w:pPr>
              <w:ind w:left="18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5</w:t>
            </w:r>
          </w:p>
        </w:tc>
        <w:tc>
          <w:tcPr>
            <w:tcW w:w="340" w:type="dxa"/>
            <w:vAlign w:val="bottom"/>
          </w:tcPr>
          <w:p>
            <w:pPr>
              <w:jc w:val="center"/>
              <w:spacing w:after="0" w:line="149" w:lineRule="exact"/>
              <w:rPr>
                <w:sz w:val="20"/>
                <w:szCs w:val="20"/>
                <w:color w:val="auto"/>
              </w:rPr>
            </w:pPr>
            <w:r>
              <w:rPr>
                <w:rFonts w:ascii="Arial" w:cs="Arial" w:eastAsia="Arial" w:hAnsi="Arial"/>
                <w:sz w:val="14"/>
                <w:szCs w:val="14"/>
                <w:color w:val="auto"/>
              </w:rPr>
              <w:t>$ —</w:t>
            </w:r>
          </w:p>
        </w:tc>
        <w:tc>
          <w:tcPr>
            <w:tcW w:w="220" w:type="dxa"/>
            <w:vAlign w:val="bottom"/>
          </w:tcPr>
          <w:p>
            <w:pPr>
              <w:ind w:left="14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38,805</w:t>
            </w:r>
          </w:p>
        </w:tc>
        <w:tc>
          <w:tcPr>
            <w:tcW w:w="7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$ 21,539</w:t>
            </w:r>
          </w:p>
        </w:tc>
        <w:tc>
          <w:tcPr>
            <w:tcW w:w="180" w:type="dxa"/>
            <w:vAlign w:val="bottom"/>
          </w:tcPr>
          <w:p>
            <w:pPr>
              <w:ind w:left="100"/>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w w:val="94"/>
              </w:rPr>
              <w:t>(7,517)</w:t>
            </w:r>
          </w:p>
        </w:tc>
        <w:tc>
          <w:tcPr>
            <w:tcW w:w="160" w:type="dxa"/>
            <w:vAlign w:val="bottom"/>
          </w:tcPr>
          <w:p>
            <w:pPr>
              <w:ind w:left="80"/>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(146)</w:t>
            </w:r>
          </w:p>
        </w:tc>
        <w:tc>
          <w:tcPr>
            <w:tcW w:w="160" w:type="dxa"/>
            <w:vAlign w:val="bottom"/>
          </w:tcPr>
          <w:p>
            <w:pPr>
              <w:ind w:left="100"/>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357</w:t>
            </w:r>
          </w:p>
        </w:tc>
        <w:tc>
          <w:tcPr>
            <w:tcW w:w="620" w:type="dxa"/>
            <w:vAlign w:val="bottom"/>
          </w:tcPr>
          <w:p>
            <w:pPr>
              <w:jc w:val="right"/>
              <w:ind w:right="32"/>
              <w:spacing w:after="0" w:line="149" w:lineRule="exact"/>
              <w:rPr>
                <w:sz w:val="20"/>
                <w:szCs w:val="20"/>
                <w:color w:val="auto"/>
              </w:rPr>
            </w:pPr>
            <w:r>
              <w:rPr>
                <w:rFonts w:ascii="Arial" w:cs="Arial" w:eastAsia="Arial" w:hAnsi="Arial"/>
                <w:sz w:val="14"/>
                <w:szCs w:val="14"/>
                <w:color w:val="auto"/>
                <w:w w:val="98"/>
              </w:rPr>
              <w:t>$53,068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Stock compensation plans</w:t>
            </w:r>
          </w:p>
        </w:tc>
        <w:tc>
          <w:tcPr>
            <w:tcW w:w="380" w:type="dxa"/>
            <w:vAlign w:val="bottom"/>
            <w:shd w:val="clear" w:color="auto" w:fill="E5E5E5"/>
          </w:tcPr>
          <w:p>
            <w:pPr>
              <w:spacing w:after="0"/>
              <w:rPr>
                <w:sz w:val="12"/>
                <w:szCs w:val="12"/>
                <w:color w:val="auto"/>
              </w:rPr>
            </w:pPr>
          </w:p>
        </w:tc>
        <w:tc>
          <w:tcPr>
            <w:tcW w:w="1120" w:type="dxa"/>
            <w:vAlign w:val="bottom"/>
            <w:tcBorders>
              <w:right w:val="single" w:sz="8" w:color="auto"/>
            </w:tcBorders>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400" w:type="dxa"/>
            <w:vAlign w:val="bottom"/>
            <w:shd w:val="clear" w:color="auto" w:fill="E5E5E5"/>
          </w:tcPr>
          <w:p>
            <w:pPr>
              <w:spacing w:after="0"/>
              <w:rPr>
                <w:sz w:val="12"/>
                <w:szCs w:val="12"/>
                <w:color w:val="auto"/>
              </w:rPr>
            </w:pPr>
          </w:p>
        </w:tc>
        <w:tc>
          <w:tcPr>
            <w:tcW w:w="420" w:type="dxa"/>
            <w:vAlign w:val="bottom"/>
            <w:shd w:val="clear" w:color="auto" w:fill="E5E5E5"/>
          </w:tcPr>
          <w:p>
            <w:pPr>
              <w:spacing w:after="0"/>
              <w:rPr>
                <w:sz w:val="12"/>
                <w:szCs w:val="12"/>
                <w:color w:val="auto"/>
              </w:rPr>
            </w:pPr>
          </w:p>
        </w:tc>
        <w:tc>
          <w:tcPr>
            <w:tcW w:w="480" w:type="dxa"/>
            <w:vAlign w:val="bottom"/>
            <w:shd w:val="clear" w:color="auto" w:fill="E5E5E5"/>
          </w:tcPr>
          <w:p>
            <w:pPr>
              <w:spacing w:after="0"/>
              <w:rPr>
                <w:sz w:val="12"/>
                <w:szCs w:val="12"/>
                <w:color w:val="auto"/>
              </w:rPr>
            </w:pPr>
          </w:p>
        </w:tc>
        <w:tc>
          <w:tcPr>
            <w:tcW w:w="340" w:type="dxa"/>
            <w:vAlign w:val="bottom"/>
            <w:shd w:val="clear" w:color="auto" w:fill="E5E5E5"/>
          </w:tcPr>
          <w:p>
            <w:pPr>
              <w:spacing w:after="0"/>
              <w:rPr>
                <w:sz w:val="12"/>
                <w:szCs w:val="12"/>
                <w:color w:val="auto"/>
              </w:rPr>
            </w:pPr>
          </w:p>
        </w:tc>
        <w:tc>
          <w:tcPr>
            <w:tcW w:w="220" w:type="dxa"/>
            <w:vAlign w:val="bottom"/>
            <w:shd w:val="clear" w:color="auto" w:fill="E5E5E5"/>
          </w:tcPr>
          <w:p>
            <w:pPr>
              <w:spacing w:after="0"/>
              <w:rPr>
                <w:sz w:val="12"/>
                <w:szCs w:val="12"/>
                <w:color w:val="auto"/>
              </w:rPr>
            </w:pPr>
          </w:p>
        </w:tc>
        <w:tc>
          <w:tcPr>
            <w:tcW w:w="64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573</w:t>
            </w:r>
          </w:p>
        </w:tc>
        <w:tc>
          <w:tcPr>
            <w:tcW w:w="720" w:type="dxa"/>
            <w:vAlign w:val="bottom"/>
            <w:shd w:val="clear" w:color="auto" w:fill="E5E5E5"/>
          </w:tcPr>
          <w:p>
            <w:pPr>
              <w:jc w:val="right"/>
              <w:ind w:right="32"/>
              <w:spacing w:after="0" w:line="149" w:lineRule="exact"/>
              <w:rPr>
                <w:sz w:val="20"/>
                <w:szCs w:val="20"/>
                <w:color w:val="auto"/>
              </w:rPr>
            </w:pPr>
            <w:r>
              <w:rPr>
                <w:rFonts w:ascii="Arial" w:cs="Arial" w:eastAsia="Arial" w:hAnsi="Arial"/>
                <w:sz w:val="14"/>
                <w:szCs w:val="14"/>
                <w:color w:val="auto"/>
              </w:rPr>
              <w:t>(363)</w:t>
            </w:r>
          </w:p>
        </w:tc>
        <w:tc>
          <w:tcPr>
            <w:tcW w:w="180" w:type="dxa"/>
            <w:vAlign w:val="bottom"/>
            <w:shd w:val="clear" w:color="auto" w:fill="E5E5E5"/>
          </w:tcPr>
          <w:p>
            <w:pPr>
              <w:spacing w:after="0"/>
              <w:rPr>
                <w:sz w:val="12"/>
                <w:szCs w:val="12"/>
                <w:color w:val="auto"/>
              </w:rPr>
            </w:pPr>
          </w:p>
        </w:tc>
        <w:tc>
          <w:tcPr>
            <w:tcW w:w="54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92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620" w:type="dxa"/>
            <w:vAlign w:val="bottom"/>
            <w:shd w:val="clear" w:color="auto" w:fill="E5E5E5"/>
          </w:tcPr>
          <w:p>
            <w:pPr>
              <w:spacing w:after="0"/>
              <w:rPr>
                <w:sz w:val="12"/>
                <w:szCs w:val="12"/>
                <w:color w:val="auto"/>
              </w:rPr>
            </w:pPr>
          </w:p>
        </w:tc>
        <w:tc>
          <w:tcPr>
            <w:tcW w:w="620" w:type="dxa"/>
            <w:vAlign w:val="bottom"/>
            <w:shd w:val="clear" w:color="auto" w:fill="E5E5E5"/>
          </w:tcPr>
          <w:p>
            <w:pPr>
              <w:jc w:val="right"/>
              <w:ind w:right="32"/>
              <w:spacing w:after="0" w:line="149" w:lineRule="exact"/>
              <w:rPr>
                <w:sz w:val="20"/>
                <w:szCs w:val="20"/>
                <w:color w:val="auto"/>
              </w:rPr>
            </w:pPr>
            <w:r>
              <w:rPr>
                <w:rFonts w:ascii="Arial" w:cs="Arial" w:eastAsia="Arial" w:hAnsi="Arial"/>
                <w:sz w:val="14"/>
                <w:szCs w:val="14"/>
                <w:color w:val="auto"/>
              </w:rPr>
              <w:t>210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Repurchases and retirements of common stock</w:t>
            </w:r>
          </w:p>
        </w:tc>
        <w:tc>
          <w:tcPr>
            <w:tcW w:w="380" w:type="dxa"/>
            <w:vAlign w:val="bottom"/>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(1,155)</w:t>
            </w:r>
          </w:p>
        </w:tc>
        <w:tc>
          <w:tcPr>
            <w:tcW w:w="7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(4,614)</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(5,770)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Employee stock purchase plans</w:t>
            </w:r>
          </w:p>
        </w:tc>
        <w:tc>
          <w:tcPr>
            <w:tcW w:w="380" w:type="dxa"/>
            <w:vAlign w:val="bottom"/>
            <w:shd w:val="clear" w:color="auto" w:fill="E5E5E5"/>
          </w:tcPr>
          <w:p>
            <w:pPr>
              <w:spacing w:after="0"/>
              <w:rPr>
                <w:sz w:val="12"/>
                <w:szCs w:val="12"/>
                <w:color w:val="auto"/>
              </w:rPr>
            </w:pPr>
          </w:p>
        </w:tc>
        <w:tc>
          <w:tcPr>
            <w:tcW w:w="1120" w:type="dxa"/>
            <w:vAlign w:val="bottom"/>
            <w:tcBorders>
              <w:right w:val="single" w:sz="8" w:color="auto"/>
            </w:tcBorders>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400" w:type="dxa"/>
            <w:vAlign w:val="bottom"/>
            <w:shd w:val="clear" w:color="auto" w:fill="E5E5E5"/>
          </w:tcPr>
          <w:p>
            <w:pPr>
              <w:spacing w:after="0"/>
              <w:rPr>
                <w:sz w:val="12"/>
                <w:szCs w:val="12"/>
                <w:color w:val="auto"/>
              </w:rPr>
            </w:pPr>
          </w:p>
        </w:tc>
        <w:tc>
          <w:tcPr>
            <w:tcW w:w="420" w:type="dxa"/>
            <w:vAlign w:val="bottom"/>
            <w:shd w:val="clear" w:color="auto" w:fill="E5E5E5"/>
          </w:tcPr>
          <w:p>
            <w:pPr>
              <w:spacing w:after="0"/>
              <w:rPr>
                <w:sz w:val="12"/>
                <w:szCs w:val="12"/>
                <w:color w:val="auto"/>
              </w:rPr>
            </w:pPr>
          </w:p>
        </w:tc>
        <w:tc>
          <w:tcPr>
            <w:tcW w:w="480" w:type="dxa"/>
            <w:vAlign w:val="bottom"/>
            <w:shd w:val="clear" w:color="auto" w:fill="E5E5E5"/>
          </w:tcPr>
          <w:p>
            <w:pPr>
              <w:spacing w:after="0"/>
              <w:rPr>
                <w:sz w:val="12"/>
                <w:szCs w:val="12"/>
                <w:color w:val="auto"/>
              </w:rPr>
            </w:pPr>
          </w:p>
        </w:tc>
        <w:tc>
          <w:tcPr>
            <w:tcW w:w="340" w:type="dxa"/>
            <w:vAlign w:val="bottom"/>
            <w:shd w:val="clear" w:color="auto" w:fill="E5E5E5"/>
          </w:tcPr>
          <w:p>
            <w:pPr>
              <w:spacing w:after="0"/>
              <w:rPr>
                <w:sz w:val="12"/>
                <w:szCs w:val="12"/>
                <w:color w:val="auto"/>
              </w:rPr>
            </w:pPr>
          </w:p>
        </w:tc>
        <w:tc>
          <w:tcPr>
            <w:tcW w:w="220" w:type="dxa"/>
            <w:vAlign w:val="bottom"/>
            <w:shd w:val="clear" w:color="auto" w:fill="E5E5E5"/>
          </w:tcPr>
          <w:p>
            <w:pPr>
              <w:spacing w:after="0"/>
              <w:rPr>
                <w:sz w:val="12"/>
                <w:szCs w:val="12"/>
                <w:color w:val="auto"/>
              </w:rPr>
            </w:pPr>
          </w:p>
        </w:tc>
        <w:tc>
          <w:tcPr>
            <w:tcW w:w="64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106</w:t>
            </w:r>
          </w:p>
        </w:tc>
        <w:tc>
          <w:tcPr>
            <w:tcW w:w="72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54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92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620" w:type="dxa"/>
            <w:vAlign w:val="bottom"/>
            <w:shd w:val="clear" w:color="auto" w:fill="E5E5E5"/>
          </w:tcPr>
          <w:p>
            <w:pPr>
              <w:spacing w:after="0"/>
              <w:rPr>
                <w:sz w:val="12"/>
                <w:szCs w:val="12"/>
                <w:color w:val="auto"/>
              </w:rPr>
            </w:pPr>
          </w:p>
        </w:tc>
        <w:tc>
          <w:tcPr>
            <w:tcW w:w="620" w:type="dxa"/>
            <w:vAlign w:val="bottom"/>
            <w:shd w:val="clear" w:color="auto" w:fill="E5E5E5"/>
          </w:tcPr>
          <w:p>
            <w:pPr>
              <w:jc w:val="right"/>
              <w:ind w:right="32"/>
              <w:spacing w:after="0" w:line="149" w:lineRule="exact"/>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Dividends declared</w:t>
            </w:r>
          </w:p>
        </w:tc>
        <w:tc>
          <w:tcPr>
            <w:tcW w:w="380" w:type="dxa"/>
            <w:vAlign w:val="bottom"/>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(1,871)</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(1,871)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Other comprehensive income (loss)</w:t>
            </w:r>
          </w:p>
        </w:tc>
        <w:tc>
          <w:tcPr>
            <w:tcW w:w="380" w:type="dxa"/>
            <w:vAlign w:val="bottom"/>
            <w:shd w:val="clear" w:color="auto" w:fill="E5E5E5"/>
          </w:tcPr>
          <w:p>
            <w:pPr>
              <w:spacing w:after="0"/>
              <w:rPr>
                <w:sz w:val="12"/>
                <w:szCs w:val="12"/>
                <w:color w:val="auto"/>
              </w:rPr>
            </w:pPr>
          </w:p>
        </w:tc>
        <w:tc>
          <w:tcPr>
            <w:tcW w:w="1120" w:type="dxa"/>
            <w:vAlign w:val="bottom"/>
            <w:tcBorders>
              <w:right w:val="single" w:sz="8" w:color="auto"/>
            </w:tcBorders>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400" w:type="dxa"/>
            <w:vAlign w:val="bottom"/>
            <w:shd w:val="clear" w:color="auto" w:fill="E5E5E5"/>
          </w:tcPr>
          <w:p>
            <w:pPr>
              <w:spacing w:after="0"/>
              <w:rPr>
                <w:sz w:val="12"/>
                <w:szCs w:val="12"/>
                <w:color w:val="auto"/>
              </w:rPr>
            </w:pPr>
          </w:p>
        </w:tc>
        <w:tc>
          <w:tcPr>
            <w:tcW w:w="420" w:type="dxa"/>
            <w:vAlign w:val="bottom"/>
            <w:shd w:val="clear" w:color="auto" w:fill="E5E5E5"/>
          </w:tcPr>
          <w:p>
            <w:pPr>
              <w:spacing w:after="0"/>
              <w:rPr>
                <w:sz w:val="12"/>
                <w:szCs w:val="12"/>
                <w:color w:val="auto"/>
              </w:rPr>
            </w:pPr>
          </w:p>
        </w:tc>
        <w:tc>
          <w:tcPr>
            <w:tcW w:w="480" w:type="dxa"/>
            <w:vAlign w:val="bottom"/>
            <w:shd w:val="clear" w:color="auto" w:fill="E5E5E5"/>
          </w:tcPr>
          <w:p>
            <w:pPr>
              <w:spacing w:after="0"/>
              <w:rPr>
                <w:sz w:val="12"/>
                <w:szCs w:val="12"/>
                <w:color w:val="auto"/>
              </w:rPr>
            </w:pPr>
          </w:p>
        </w:tc>
        <w:tc>
          <w:tcPr>
            <w:tcW w:w="340" w:type="dxa"/>
            <w:vAlign w:val="bottom"/>
            <w:shd w:val="clear" w:color="auto" w:fill="E5E5E5"/>
          </w:tcPr>
          <w:p>
            <w:pPr>
              <w:spacing w:after="0"/>
              <w:rPr>
                <w:sz w:val="12"/>
                <w:szCs w:val="12"/>
                <w:color w:val="auto"/>
              </w:rPr>
            </w:pPr>
          </w:p>
        </w:tc>
        <w:tc>
          <w:tcPr>
            <w:tcW w:w="220" w:type="dxa"/>
            <w:vAlign w:val="bottom"/>
            <w:shd w:val="clear" w:color="auto" w:fill="E5E5E5"/>
          </w:tcPr>
          <w:p>
            <w:pPr>
              <w:spacing w:after="0"/>
              <w:rPr>
                <w:sz w:val="12"/>
                <w:szCs w:val="12"/>
                <w:color w:val="auto"/>
              </w:rPr>
            </w:pPr>
          </w:p>
        </w:tc>
        <w:tc>
          <w:tcPr>
            <w:tcW w:w="640" w:type="dxa"/>
            <w:vAlign w:val="bottom"/>
            <w:shd w:val="clear" w:color="auto" w:fill="E5E5E5"/>
          </w:tcPr>
          <w:p>
            <w:pPr>
              <w:spacing w:after="0"/>
              <w:rPr>
                <w:sz w:val="12"/>
                <w:szCs w:val="12"/>
                <w:color w:val="auto"/>
              </w:rPr>
            </w:pPr>
          </w:p>
        </w:tc>
        <w:tc>
          <w:tcPr>
            <w:tcW w:w="72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54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920" w:type="dxa"/>
            <w:vAlign w:val="bottom"/>
            <w:shd w:val="clear" w:color="auto" w:fill="E5E5E5"/>
          </w:tcPr>
          <w:p>
            <w:pPr>
              <w:jc w:val="right"/>
              <w:ind w:right="32"/>
              <w:spacing w:after="0" w:line="149" w:lineRule="exact"/>
              <w:rPr>
                <w:sz w:val="20"/>
                <w:szCs w:val="20"/>
                <w:color w:val="auto"/>
              </w:rPr>
            </w:pPr>
            <w:r>
              <w:rPr>
                <w:rFonts w:ascii="Arial" w:cs="Arial" w:eastAsia="Arial" w:hAnsi="Arial"/>
                <w:sz w:val="14"/>
                <w:szCs w:val="14"/>
                <w:color w:val="auto"/>
              </w:rPr>
              <w:t>(49)</w:t>
            </w:r>
          </w:p>
        </w:tc>
        <w:tc>
          <w:tcPr>
            <w:tcW w:w="160" w:type="dxa"/>
            <w:vAlign w:val="bottom"/>
            <w:shd w:val="clear" w:color="auto" w:fill="E5E5E5"/>
          </w:tcPr>
          <w:p>
            <w:pPr>
              <w:spacing w:after="0"/>
              <w:rPr>
                <w:sz w:val="12"/>
                <w:szCs w:val="12"/>
                <w:color w:val="auto"/>
              </w:rPr>
            </w:pPr>
          </w:p>
        </w:tc>
        <w:tc>
          <w:tcPr>
            <w:tcW w:w="620" w:type="dxa"/>
            <w:vAlign w:val="bottom"/>
            <w:shd w:val="clear" w:color="auto" w:fill="E5E5E5"/>
          </w:tcPr>
          <w:p>
            <w:pPr>
              <w:spacing w:after="0"/>
              <w:rPr>
                <w:sz w:val="12"/>
                <w:szCs w:val="12"/>
                <w:color w:val="auto"/>
              </w:rPr>
            </w:pPr>
          </w:p>
        </w:tc>
        <w:tc>
          <w:tcPr>
            <w:tcW w:w="62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320" w:type="dxa"/>
            <w:vAlign w:val="bottom"/>
          </w:tcPr>
          <w:p>
            <w:pPr>
              <w:spacing w:after="0" w:line="138" w:lineRule="exact"/>
              <w:rPr>
                <w:sz w:val="20"/>
                <w:szCs w:val="20"/>
                <w:color w:val="auto"/>
              </w:rPr>
            </w:pPr>
            <w:r>
              <w:rPr>
                <w:rFonts w:ascii="Arial" w:cs="Arial" w:eastAsia="Arial" w:hAnsi="Arial"/>
                <w:sz w:val="14"/>
                <w:szCs w:val="14"/>
                <w:color w:val="auto"/>
              </w:rPr>
              <w:t>Contributions from (distributions to)</w:t>
            </w:r>
          </w:p>
        </w:tc>
        <w:tc>
          <w:tcPr>
            <w:tcW w:w="380" w:type="dxa"/>
            <w:vAlign w:val="bottom"/>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320" w:type="dxa"/>
            <w:vAlign w:val="bottom"/>
          </w:tcPr>
          <w:p>
            <w:pPr>
              <w:ind w:left="200"/>
              <w:spacing w:after="0" w:line="159" w:lineRule="exact"/>
              <w:rPr>
                <w:sz w:val="20"/>
                <w:szCs w:val="20"/>
                <w:color w:val="auto"/>
              </w:rPr>
            </w:pPr>
            <w:r>
              <w:rPr>
                <w:rFonts w:ascii="Arial" w:cs="Arial" w:eastAsia="Arial" w:hAnsi="Arial"/>
                <w:sz w:val="14"/>
                <w:szCs w:val="14"/>
                <w:color w:val="auto"/>
              </w:rPr>
              <w:t>noncontrolling interests, net</w:t>
            </w:r>
          </w:p>
        </w:tc>
        <w:tc>
          <w:tcPr>
            <w:tcW w:w="380" w:type="dxa"/>
            <w:vAlign w:val="bottom"/>
          </w:tcPr>
          <w:p>
            <w:pPr>
              <w:spacing w:after="0"/>
              <w:rPr>
                <w:sz w:val="13"/>
                <w:szCs w:val="13"/>
                <w:color w:val="auto"/>
              </w:rPr>
            </w:pPr>
          </w:p>
        </w:tc>
        <w:tc>
          <w:tcPr>
            <w:tcW w:w="1120" w:type="dxa"/>
            <w:vAlign w:val="bottom"/>
            <w:tcBorders>
              <w:right w:val="single" w:sz="8" w:color="auto"/>
            </w:tcBorders>
          </w:tcPr>
          <w:p>
            <w:pPr>
              <w:jc w:val="right"/>
              <w:ind w:right="272"/>
              <w:spacing w:after="0" w:line="159" w:lineRule="exact"/>
              <w:rPr>
                <w:sz w:val="20"/>
                <w:szCs w:val="20"/>
                <w:color w:val="auto"/>
              </w:rPr>
            </w:pPr>
            <w:r>
              <w:rPr>
                <w:rFonts w:ascii="Arial" w:cs="Arial" w:eastAsia="Arial" w:hAnsi="Arial"/>
                <w:sz w:val="14"/>
                <w:szCs w:val="14"/>
                <w:color w:val="auto"/>
              </w:rPr>
              <w:t>12</w:t>
            </w: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(114)</w:t>
            </w: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Other</w:t>
            </w:r>
          </w:p>
        </w:tc>
        <w:tc>
          <w:tcPr>
            <w:tcW w:w="380" w:type="dxa"/>
            <w:vAlign w:val="bottom"/>
            <w:shd w:val="clear" w:color="auto" w:fill="E5E5E5"/>
          </w:tcPr>
          <w:p>
            <w:pPr>
              <w:spacing w:after="0"/>
              <w:rPr>
                <w:sz w:val="12"/>
                <w:szCs w:val="12"/>
                <w:color w:val="auto"/>
              </w:rPr>
            </w:pPr>
          </w:p>
        </w:tc>
        <w:tc>
          <w:tcPr>
            <w:tcW w:w="1120" w:type="dxa"/>
            <w:vAlign w:val="bottom"/>
            <w:tcBorders>
              <w:right w:val="single" w:sz="8" w:color="auto"/>
            </w:tcBorders>
            <w:shd w:val="clear" w:color="auto" w:fill="E5E5E5"/>
          </w:tcPr>
          <w:p>
            <w:pPr>
              <w:jc w:val="right"/>
              <w:ind w:right="272"/>
              <w:spacing w:after="0" w:line="149" w:lineRule="exact"/>
              <w:rPr>
                <w:sz w:val="20"/>
                <w:szCs w:val="20"/>
                <w:color w:val="auto"/>
              </w:rPr>
            </w:pPr>
            <w:r>
              <w:rPr>
                <w:rFonts w:ascii="Arial" w:cs="Arial" w:eastAsia="Arial" w:hAnsi="Arial"/>
                <w:sz w:val="14"/>
                <w:szCs w:val="14"/>
                <w:color w:val="auto"/>
              </w:rPr>
              <w:t>67</w:t>
            </w:r>
          </w:p>
        </w:tc>
        <w:tc>
          <w:tcPr>
            <w:tcW w:w="160" w:type="dxa"/>
            <w:vAlign w:val="bottom"/>
            <w:shd w:val="clear" w:color="auto" w:fill="E5E5E5"/>
          </w:tcPr>
          <w:p>
            <w:pPr>
              <w:spacing w:after="0"/>
              <w:rPr>
                <w:sz w:val="12"/>
                <w:szCs w:val="12"/>
                <w:color w:val="auto"/>
              </w:rPr>
            </w:pPr>
          </w:p>
        </w:tc>
        <w:tc>
          <w:tcPr>
            <w:tcW w:w="400" w:type="dxa"/>
            <w:vAlign w:val="bottom"/>
            <w:shd w:val="clear" w:color="auto" w:fill="E5E5E5"/>
          </w:tcPr>
          <w:p>
            <w:pPr>
              <w:spacing w:after="0"/>
              <w:rPr>
                <w:sz w:val="12"/>
                <w:szCs w:val="12"/>
                <w:color w:val="auto"/>
              </w:rPr>
            </w:pPr>
          </w:p>
        </w:tc>
        <w:tc>
          <w:tcPr>
            <w:tcW w:w="420" w:type="dxa"/>
            <w:vAlign w:val="bottom"/>
            <w:shd w:val="clear" w:color="auto" w:fill="E5E5E5"/>
          </w:tcPr>
          <w:p>
            <w:pPr>
              <w:spacing w:after="0"/>
              <w:rPr>
                <w:sz w:val="12"/>
                <w:szCs w:val="12"/>
                <w:color w:val="auto"/>
              </w:rPr>
            </w:pPr>
          </w:p>
        </w:tc>
        <w:tc>
          <w:tcPr>
            <w:tcW w:w="480" w:type="dxa"/>
            <w:vAlign w:val="bottom"/>
            <w:shd w:val="clear" w:color="auto" w:fill="E5E5E5"/>
          </w:tcPr>
          <w:p>
            <w:pPr>
              <w:spacing w:after="0"/>
              <w:rPr>
                <w:sz w:val="12"/>
                <w:szCs w:val="12"/>
                <w:color w:val="auto"/>
              </w:rPr>
            </w:pPr>
          </w:p>
        </w:tc>
        <w:tc>
          <w:tcPr>
            <w:tcW w:w="340" w:type="dxa"/>
            <w:vAlign w:val="bottom"/>
            <w:shd w:val="clear" w:color="auto" w:fill="E5E5E5"/>
          </w:tcPr>
          <w:p>
            <w:pPr>
              <w:spacing w:after="0"/>
              <w:rPr>
                <w:sz w:val="12"/>
                <w:szCs w:val="12"/>
                <w:color w:val="auto"/>
              </w:rPr>
            </w:pPr>
          </w:p>
        </w:tc>
        <w:tc>
          <w:tcPr>
            <w:tcW w:w="220" w:type="dxa"/>
            <w:vAlign w:val="bottom"/>
            <w:shd w:val="clear" w:color="auto" w:fill="E5E5E5"/>
          </w:tcPr>
          <w:p>
            <w:pPr>
              <w:spacing w:after="0"/>
              <w:rPr>
                <w:sz w:val="12"/>
                <w:szCs w:val="12"/>
                <w:color w:val="auto"/>
              </w:rPr>
            </w:pPr>
          </w:p>
        </w:tc>
        <w:tc>
          <w:tcPr>
            <w:tcW w:w="64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187</w:t>
            </w:r>
          </w:p>
        </w:tc>
        <w:tc>
          <w:tcPr>
            <w:tcW w:w="72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54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92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62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(100)</w:t>
            </w:r>
          </w:p>
        </w:tc>
        <w:tc>
          <w:tcPr>
            <w:tcW w:w="620" w:type="dxa"/>
            <w:vAlign w:val="bottom"/>
            <w:shd w:val="clear" w:color="auto" w:fill="E5E5E5"/>
          </w:tcPr>
          <w:p>
            <w:pPr>
              <w:jc w:val="right"/>
              <w:ind w:right="32"/>
              <w:spacing w:after="0" w:line="149" w:lineRule="exact"/>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Net income (loss)</w:t>
            </w:r>
          </w:p>
        </w:tc>
        <w:tc>
          <w:tcPr>
            <w:tcW w:w="380" w:type="dxa"/>
            <w:vAlign w:val="bottom"/>
            <w:tcBorders>
              <w:bottom w:val="single" w:sz="8" w:color="auto"/>
            </w:tcBorders>
          </w:tcPr>
          <w:p>
            <w:pPr>
              <w:spacing w:after="0"/>
              <w:rPr>
                <w:sz w:val="12"/>
                <w:szCs w:val="12"/>
                <w:color w:val="auto"/>
              </w:rPr>
            </w:pPr>
          </w:p>
        </w:tc>
        <w:tc>
          <w:tcPr>
            <w:tcW w:w="1120" w:type="dxa"/>
            <w:vAlign w:val="bottom"/>
            <w:tcBorders>
              <w:bottom w:val="single" w:sz="8" w:color="auto"/>
              <w:right w:val="single" w:sz="8" w:color="auto"/>
            </w:tcBorders>
          </w:tcPr>
          <w:p>
            <w:pPr>
              <w:jc w:val="right"/>
              <w:ind w:right="272"/>
              <w:spacing w:after="0" w:line="149" w:lineRule="exact"/>
              <w:rPr>
                <w:sz w:val="20"/>
                <w:szCs w:val="20"/>
                <w:color w:val="auto"/>
              </w:rPr>
            </w:pPr>
            <w:r>
              <w:rPr>
                <w:rFonts w:ascii="Arial" w:cs="Arial" w:eastAsia="Arial" w:hAnsi="Arial"/>
                <w:sz w:val="14"/>
                <w:szCs w:val="14"/>
                <w:color w:val="auto"/>
              </w:rPr>
              <w:t>59</w:t>
            </w:r>
          </w:p>
        </w:tc>
        <w:tc>
          <w:tcPr>
            <w:tcW w:w="1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6,192</w:t>
            </w:r>
          </w:p>
        </w:tc>
        <w:tc>
          <w:tcPr>
            <w:tcW w:w="1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106</w:t>
            </w:r>
          </w:p>
        </w:tc>
        <w:tc>
          <w:tcPr>
            <w:tcW w:w="62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6,298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Borders>
              <w:bottom w:val="single" w:sz="8" w:color="auto"/>
            </w:tcBorders>
            <w:shd w:val="clear" w:color="auto" w:fill="E5E5E5"/>
          </w:tcPr>
          <w:p>
            <w:pPr>
              <w:spacing w:after="0" w:line="142" w:lineRule="exact"/>
              <w:rPr>
                <w:sz w:val="20"/>
                <w:szCs w:val="20"/>
                <w:color w:val="auto"/>
              </w:rPr>
            </w:pPr>
            <w:r>
              <w:rPr>
                <w:rFonts w:ascii="Arial" w:cs="Arial" w:eastAsia="Arial" w:hAnsi="Arial"/>
                <w:sz w:val="14"/>
                <w:szCs w:val="14"/>
                <w:b w:val="1"/>
                <w:bCs w:val="1"/>
                <w:color w:val="auto"/>
              </w:rPr>
              <w:t>Balance, September 30, 2015</w:t>
            </w:r>
          </w:p>
        </w:tc>
        <w:tc>
          <w:tcPr>
            <w:tcW w:w="380" w:type="dxa"/>
            <w:vAlign w:val="bottom"/>
            <w:tcBorders>
              <w:bottom w:val="single" w:sz="8" w:color="auto"/>
            </w:tcBorders>
            <w:shd w:val="clear" w:color="auto" w:fill="E5E5E5"/>
          </w:tcPr>
          <w:p>
            <w:pPr>
              <w:ind w:left="300"/>
              <w:spacing w:after="0" w:line="142" w:lineRule="exact"/>
              <w:rPr>
                <w:sz w:val="20"/>
                <w:szCs w:val="20"/>
                <w:color w:val="auto"/>
              </w:rPr>
            </w:pPr>
            <w:r>
              <w:rPr>
                <w:rFonts w:ascii="Arial" w:cs="Arial" w:eastAsia="Arial" w:hAnsi="Arial"/>
                <w:sz w:val="14"/>
                <w:szCs w:val="14"/>
                <w:b w:val="1"/>
                <w:bCs w:val="1"/>
                <w:color w:val="auto"/>
                <w:w w:val="76"/>
              </w:rPr>
              <w:t>$</w:t>
            </w:r>
          </w:p>
        </w:tc>
        <w:tc>
          <w:tcPr>
            <w:tcW w:w="1120" w:type="dxa"/>
            <w:vAlign w:val="bottom"/>
            <w:tcBorders>
              <w:bottom w:val="single" w:sz="8" w:color="auto"/>
              <w:right w:val="single" w:sz="8" w:color="auto"/>
            </w:tcBorders>
            <w:shd w:val="clear" w:color="auto" w:fill="E5E5E5"/>
          </w:tcPr>
          <w:p>
            <w:pPr>
              <w:jc w:val="right"/>
              <w:ind w:right="272"/>
              <w:spacing w:after="0" w:line="142" w:lineRule="exact"/>
              <w:rPr>
                <w:sz w:val="20"/>
                <w:szCs w:val="20"/>
                <w:color w:val="auto"/>
              </w:rPr>
            </w:pPr>
            <w:r>
              <w:rPr>
                <w:rFonts w:ascii="Arial" w:cs="Arial" w:eastAsia="Arial" w:hAnsi="Arial"/>
                <w:sz w:val="14"/>
                <w:szCs w:val="14"/>
                <w:b w:val="1"/>
                <w:bCs w:val="1"/>
                <w:color w:val="auto"/>
              </w:rPr>
              <w:t>1,204</w:t>
            </w:r>
          </w:p>
        </w:tc>
        <w:tc>
          <w:tcPr>
            <w:tcW w:w="160" w:type="dxa"/>
            <w:vAlign w:val="bottom"/>
            <w:tcBorders>
              <w:bottom w:val="single" w:sz="8" w:color="auto"/>
            </w:tcBorders>
            <w:shd w:val="clear" w:color="auto" w:fill="E5E5E5"/>
          </w:tcPr>
          <w:p>
            <w:pPr>
              <w:spacing w:after="0"/>
              <w:rPr>
                <w:sz w:val="12"/>
                <w:szCs w:val="12"/>
                <w:color w:val="auto"/>
              </w:rPr>
            </w:pPr>
          </w:p>
        </w:tc>
        <w:tc>
          <w:tcPr>
            <w:tcW w:w="400" w:type="dxa"/>
            <w:vAlign w:val="bottom"/>
            <w:tcBorders>
              <w:bottom w:val="single" w:sz="8" w:color="auto"/>
            </w:tcBorders>
            <w:shd w:val="clear" w:color="auto" w:fill="E5E5E5"/>
          </w:tcPr>
          <w:p>
            <w:pPr>
              <w:jc w:val="center"/>
              <w:ind w:left="52"/>
              <w:spacing w:after="0" w:line="142" w:lineRule="exact"/>
              <w:rPr>
                <w:sz w:val="20"/>
                <w:szCs w:val="20"/>
                <w:color w:val="auto"/>
              </w:rPr>
            </w:pPr>
            <w:r>
              <w:rPr>
                <w:rFonts w:ascii="Arial" w:cs="Arial" w:eastAsia="Arial" w:hAnsi="Arial"/>
                <w:sz w:val="14"/>
                <w:szCs w:val="14"/>
                <w:b w:val="1"/>
                <w:bCs w:val="1"/>
                <w:color w:val="auto"/>
                <w:w w:val="85"/>
              </w:rPr>
              <w:t>$25</w:t>
            </w:r>
          </w:p>
        </w:tc>
        <w:tc>
          <w:tcPr>
            <w:tcW w:w="420" w:type="dxa"/>
            <w:vAlign w:val="bottom"/>
            <w:tcBorders>
              <w:bottom w:val="single" w:sz="8" w:color="auto"/>
            </w:tcBorders>
            <w:shd w:val="clear" w:color="auto" w:fill="E5E5E5"/>
          </w:tcPr>
          <w:p>
            <w:pPr>
              <w:ind w:left="180"/>
              <w:spacing w:after="0" w:line="142" w:lineRule="exact"/>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auto"/>
            </w:tcBorders>
            <w:shd w:val="clear" w:color="auto" w:fill="E5E5E5"/>
          </w:tcPr>
          <w:p>
            <w:pPr>
              <w:jc w:val="right"/>
              <w:ind w:right="132"/>
              <w:spacing w:after="0" w:line="142" w:lineRule="exact"/>
              <w:rPr>
                <w:sz w:val="20"/>
                <w:szCs w:val="20"/>
                <w:color w:val="auto"/>
              </w:rPr>
            </w:pPr>
            <w:r>
              <w:rPr>
                <w:rFonts w:ascii="Arial" w:cs="Arial" w:eastAsia="Arial" w:hAnsi="Arial"/>
                <w:sz w:val="14"/>
                <w:szCs w:val="14"/>
                <w:b w:val="1"/>
                <w:bCs w:val="1"/>
                <w:color w:val="auto"/>
              </w:rPr>
              <w:t>4</w:t>
            </w:r>
          </w:p>
        </w:tc>
        <w:tc>
          <w:tcPr>
            <w:tcW w:w="340" w:type="dxa"/>
            <w:vAlign w:val="bottom"/>
            <w:tcBorders>
              <w:bottom w:val="single" w:sz="8" w:color="auto"/>
            </w:tcBorders>
            <w:shd w:val="clear" w:color="auto" w:fill="E5E5E5"/>
          </w:tcPr>
          <w:p>
            <w:pPr>
              <w:jc w:val="center"/>
              <w:spacing w:after="0" w:line="142" w:lineRule="exact"/>
              <w:rPr>
                <w:sz w:val="20"/>
                <w:szCs w:val="20"/>
                <w:color w:val="auto"/>
              </w:rPr>
            </w:pPr>
            <w:r>
              <w:rPr>
                <w:rFonts w:ascii="Arial" w:cs="Arial" w:eastAsia="Arial" w:hAnsi="Arial"/>
                <w:sz w:val="14"/>
                <w:szCs w:val="14"/>
                <w:b w:val="1"/>
                <w:bCs w:val="1"/>
                <w:color w:val="auto"/>
              </w:rPr>
              <w:t>$ —</w:t>
            </w:r>
          </w:p>
        </w:tc>
        <w:tc>
          <w:tcPr>
            <w:tcW w:w="220" w:type="dxa"/>
            <w:vAlign w:val="bottom"/>
            <w:tcBorders>
              <w:bottom w:val="single" w:sz="8" w:color="auto"/>
            </w:tcBorders>
            <w:shd w:val="clear" w:color="auto" w:fill="E5E5E5"/>
          </w:tcPr>
          <w:p>
            <w:pPr>
              <w:ind w:left="140"/>
              <w:spacing w:after="0" w:line="142" w:lineRule="exact"/>
              <w:rPr>
                <w:sz w:val="20"/>
                <w:szCs w:val="20"/>
                <w:color w:val="auto"/>
              </w:rPr>
            </w:pPr>
            <w:r>
              <w:rPr>
                <w:rFonts w:ascii="Arial" w:cs="Arial" w:eastAsia="Arial" w:hAnsi="Arial"/>
                <w:sz w:val="14"/>
                <w:szCs w:val="14"/>
                <w:b w:val="1"/>
                <w:bCs w:val="1"/>
                <w:color w:val="auto"/>
                <w:w w:val="76"/>
              </w:rPr>
              <w:t>$</w:t>
            </w:r>
          </w:p>
        </w:tc>
        <w:tc>
          <w:tcPr>
            <w:tcW w:w="640" w:type="dxa"/>
            <w:vAlign w:val="bottom"/>
            <w:tcBorders>
              <w:bottom w:val="single" w:sz="8" w:color="auto"/>
            </w:tcBorders>
            <w:shd w:val="clear" w:color="auto" w:fill="E5E5E5"/>
          </w:tcPr>
          <w:p>
            <w:pPr>
              <w:jc w:val="right"/>
              <w:ind w:right="72"/>
              <w:spacing w:after="0" w:line="142" w:lineRule="exact"/>
              <w:rPr>
                <w:sz w:val="20"/>
                <w:szCs w:val="20"/>
                <w:color w:val="auto"/>
              </w:rPr>
            </w:pPr>
            <w:r>
              <w:rPr>
                <w:rFonts w:ascii="Arial" w:cs="Arial" w:eastAsia="Arial" w:hAnsi="Arial"/>
                <w:sz w:val="14"/>
                <w:szCs w:val="14"/>
                <w:b w:val="1"/>
                <w:bCs w:val="1"/>
                <w:color w:val="auto"/>
              </w:rPr>
              <w:t>38,516</w:t>
            </w:r>
          </w:p>
        </w:tc>
        <w:tc>
          <w:tcPr>
            <w:tcW w:w="720" w:type="dxa"/>
            <w:vAlign w:val="bottom"/>
            <w:tcBorders>
              <w:bottom w:val="single" w:sz="8" w:color="auto"/>
            </w:tcBorders>
            <w:shd w:val="clear" w:color="auto" w:fill="E5E5E5"/>
          </w:tcPr>
          <w:p>
            <w:pPr>
              <w:jc w:val="right"/>
              <w:ind w:right="72"/>
              <w:spacing w:after="0" w:line="142" w:lineRule="exact"/>
              <w:rPr>
                <w:sz w:val="20"/>
                <w:szCs w:val="20"/>
                <w:color w:val="auto"/>
              </w:rPr>
            </w:pPr>
            <w:r>
              <w:rPr>
                <w:rFonts w:ascii="Arial" w:cs="Arial" w:eastAsia="Arial" w:hAnsi="Arial"/>
                <w:sz w:val="14"/>
                <w:szCs w:val="14"/>
                <w:b w:val="1"/>
                <w:bCs w:val="1"/>
                <w:color w:val="auto"/>
              </w:rPr>
              <w:t>$ 20,883</w:t>
            </w:r>
          </w:p>
        </w:tc>
        <w:tc>
          <w:tcPr>
            <w:tcW w:w="180" w:type="dxa"/>
            <w:vAlign w:val="bottom"/>
            <w:tcBorders>
              <w:bottom w:val="single" w:sz="8" w:color="auto"/>
            </w:tcBorders>
            <w:shd w:val="clear" w:color="auto" w:fill="E5E5E5"/>
          </w:tcPr>
          <w:p>
            <w:pPr>
              <w:ind w:left="100"/>
              <w:spacing w:after="0" w:line="142" w:lineRule="exact"/>
              <w:rPr>
                <w:sz w:val="20"/>
                <w:szCs w:val="20"/>
                <w:color w:val="auto"/>
              </w:rPr>
            </w:pPr>
            <w:r>
              <w:rPr>
                <w:rFonts w:ascii="Arial" w:cs="Arial" w:eastAsia="Arial" w:hAnsi="Arial"/>
                <w:sz w:val="14"/>
                <w:szCs w:val="14"/>
                <w:b w:val="1"/>
                <w:bCs w:val="1"/>
                <w:color w:val="auto"/>
                <w:w w:val="76"/>
              </w:rPr>
              <w:t>$</w:t>
            </w:r>
          </w:p>
        </w:tc>
        <w:tc>
          <w:tcPr>
            <w:tcW w:w="540" w:type="dxa"/>
            <w:vAlign w:val="bottom"/>
            <w:tcBorders>
              <w:bottom w:val="single" w:sz="8" w:color="auto"/>
            </w:tcBorders>
            <w:shd w:val="clear" w:color="auto" w:fill="E5E5E5"/>
          </w:tcPr>
          <w:p>
            <w:pPr>
              <w:jc w:val="right"/>
              <w:ind w:right="32"/>
              <w:spacing w:after="0" w:line="142" w:lineRule="exact"/>
              <w:rPr>
                <w:sz w:val="20"/>
                <w:szCs w:val="20"/>
                <w:color w:val="auto"/>
              </w:rPr>
            </w:pPr>
            <w:r>
              <w:rPr>
                <w:rFonts w:ascii="Arial" w:cs="Arial" w:eastAsia="Arial" w:hAnsi="Arial"/>
                <w:sz w:val="14"/>
                <w:szCs w:val="14"/>
                <w:b w:val="1"/>
                <w:bCs w:val="1"/>
                <w:color w:val="auto"/>
                <w:w w:val="94"/>
              </w:rPr>
              <w:t>(7,517)</w:t>
            </w:r>
          </w:p>
        </w:tc>
        <w:tc>
          <w:tcPr>
            <w:tcW w:w="160" w:type="dxa"/>
            <w:vAlign w:val="bottom"/>
            <w:tcBorders>
              <w:bottom w:val="single" w:sz="8" w:color="auto"/>
            </w:tcBorders>
            <w:shd w:val="clear" w:color="auto" w:fill="E5E5E5"/>
          </w:tcPr>
          <w:p>
            <w:pPr>
              <w:ind w:left="80"/>
              <w:spacing w:after="0" w:line="142" w:lineRule="exact"/>
              <w:rPr>
                <w:sz w:val="20"/>
                <w:szCs w:val="20"/>
                <w:color w:val="auto"/>
              </w:rPr>
            </w:pPr>
            <w:r>
              <w:rPr>
                <w:rFonts w:ascii="Arial" w:cs="Arial" w:eastAsia="Arial" w:hAnsi="Arial"/>
                <w:sz w:val="14"/>
                <w:szCs w:val="14"/>
                <w:b w:val="1"/>
                <w:bCs w:val="1"/>
                <w:color w:val="auto"/>
                <w:w w:val="76"/>
              </w:rPr>
              <w:t>$</w:t>
            </w:r>
          </w:p>
        </w:tc>
        <w:tc>
          <w:tcPr>
            <w:tcW w:w="920" w:type="dxa"/>
            <w:vAlign w:val="bottom"/>
            <w:tcBorders>
              <w:bottom w:val="single" w:sz="8" w:color="auto"/>
            </w:tcBorders>
            <w:shd w:val="clear" w:color="auto" w:fill="E5E5E5"/>
          </w:tcPr>
          <w:p>
            <w:pPr>
              <w:jc w:val="right"/>
              <w:ind w:right="32"/>
              <w:spacing w:after="0" w:line="142" w:lineRule="exact"/>
              <w:rPr>
                <w:sz w:val="20"/>
                <w:szCs w:val="20"/>
                <w:color w:val="auto"/>
              </w:rPr>
            </w:pPr>
            <w:r>
              <w:rPr>
                <w:rFonts w:ascii="Arial" w:cs="Arial" w:eastAsia="Arial" w:hAnsi="Arial"/>
                <w:sz w:val="14"/>
                <w:szCs w:val="14"/>
                <w:b w:val="1"/>
                <w:bCs w:val="1"/>
                <w:color w:val="auto"/>
              </w:rPr>
              <w:t>(195)</w:t>
            </w:r>
          </w:p>
        </w:tc>
        <w:tc>
          <w:tcPr>
            <w:tcW w:w="160" w:type="dxa"/>
            <w:vAlign w:val="bottom"/>
            <w:tcBorders>
              <w:bottom w:val="single" w:sz="8" w:color="auto"/>
            </w:tcBorders>
            <w:shd w:val="clear" w:color="auto" w:fill="E5E5E5"/>
          </w:tcPr>
          <w:p>
            <w:pPr>
              <w:ind w:left="100"/>
              <w:spacing w:after="0"/>
              <w:rPr>
                <w:sz w:val="20"/>
                <w:szCs w:val="20"/>
                <w:color w:val="auto"/>
              </w:rPr>
            </w:pPr>
            <w:r>
              <w:rPr>
                <w:rFonts w:ascii="Arial" w:cs="Arial" w:eastAsia="Arial" w:hAnsi="Arial"/>
                <w:sz w:val="10"/>
                <w:szCs w:val="10"/>
                <w:b w:val="1"/>
                <w:bCs w:val="1"/>
                <w:color w:val="auto"/>
                <w:w w:val="71"/>
              </w:rPr>
              <w:t>$</w:t>
            </w:r>
          </w:p>
        </w:tc>
        <w:tc>
          <w:tcPr>
            <w:tcW w:w="620" w:type="dxa"/>
            <w:vAlign w:val="bottom"/>
            <w:tcBorders>
              <w:bottom w:val="single" w:sz="8" w:color="auto"/>
            </w:tcBorders>
            <w:shd w:val="clear" w:color="auto" w:fill="E5E5E5"/>
          </w:tcPr>
          <w:p>
            <w:pPr>
              <w:jc w:val="right"/>
              <w:ind w:right="32"/>
              <w:spacing w:after="0" w:line="142" w:lineRule="exact"/>
              <w:rPr>
                <w:sz w:val="20"/>
                <w:szCs w:val="20"/>
                <w:color w:val="auto"/>
              </w:rPr>
            </w:pPr>
            <w:r>
              <w:rPr>
                <w:rFonts w:ascii="Arial" w:cs="Arial" w:eastAsia="Arial" w:hAnsi="Arial"/>
                <w:sz w:val="14"/>
                <w:szCs w:val="14"/>
                <w:b w:val="1"/>
                <w:bCs w:val="1"/>
                <w:color w:val="auto"/>
              </w:rPr>
              <w:t>249</w:t>
            </w:r>
          </w:p>
        </w:tc>
        <w:tc>
          <w:tcPr>
            <w:tcW w:w="620" w:type="dxa"/>
            <w:vAlign w:val="bottom"/>
            <w:tcBorders>
              <w:bottom w:val="single" w:sz="8" w:color="auto"/>
            </w:tcBorders>
            <w:shd w:val="clear" w:color="auto" w:fill="E5E5E5"/>
          </w:tcPr>
          <w:p>
            <w:pPr>
              <w:jc w:val="right"/>
              <w:ind w:right="32"/>
              <w:spacing w:after="0" w:line="142" w:lineRule="exact"/>
              <w:rPr>
                <w:sz w:val="20"/>
                <w:szCs w:val="20"/>
                <w:color w:val="auto"/>
              </w:rPr>
            </w:pPr>
            <w:r>
              <w:rPr>
                <w:rFonts w:ascii="Arial" w:cs="Arial" w:eastAsia="Arial" w:hAnsi="Arial"/>
                <w:sz w:val="14"/>
                <w:szCs w:val="14"/>
                <w:b w:val="1"/>
                <w:bCs w:val="1"/>
                <w:color w:val="auto"/>
                <w:w w:val="98"/>
              </w:rPr>
              <w:t>$51,965</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53" w:lineRule="exact"/>
        <w:rPr>
          <w:sz w:val="20"/>
          <w:szCs w:val="20"/>
          <w:color w:val="auto"/>
        </w:rPr>
      </w:pPr>
    </w:p>
    <w:p>
      <w:pPr>
        <w:ind w:right="4380"/>
        <w:spacing w:after="0" w:line="261" w:lineRule="auto"/>
        <w:rPr>
          <w:sz w:val="20"/>
          <w:szCs w:val="20"/>
          <w:color w:val="auto"/>
        </w:rPr>
      </w:pPr>
      <w:r>
        <w:rPr>
          <w:rFonts w:ascii="Arial" w:cs="Arial" w:eastAsia="Arial" w:hAnsi="Arial"/>
          <w:sz w:val="22"/>
          <w:szCs w:val="22"/>
          <w:b w:val="1"/>
          <w:bCs w:val="1"/>
          <w:color w:val="auto"/>
        </w:rPr>
        <w:t>NOTES TO CONDENSED CONSOLIDATED FINANCIAL STATEMENTS (Unaudited)</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 Condensed Consolidated Financial Statements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prepared these unaudited condensed consolidated financial statements based on SEC rules that permit reduced disclosure for interim periods. These financial statements include all adjustments that are necessary for a fair presentation of our consolidated results of operations, financial condition and cash flows for the periods shown, including normal, recurring accruals and other items. The consolidated results of operations for the interim periods presented are not necessarily indicative of results for the full year.</w:t>
      </w:r>
    </w:p>
    <w:p>
      <w:pPr>
        <w:spacing w:after="0" w:line="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year-end condensed consolidated balance sheet was derived from audited financial statements but does not include all disclosures required by generally accepted accounting principles in the United States (“GAAP”). For a more complete discussion of our accounting policies and certain other information, refer to our consolidated financial statements included in our 2014 Annual Report on Form 10-K.</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auto"/>
        </w:rPr>
        <w:t>Reclassifications have been made to our condensed consolidated financial statements for the prior year periods to conform to classifications used in 2015.</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 Recent Accounting Pronouncements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7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May 2014, the Financial Accounting Standards Board (“FASB”) and the International Accounting Standards Board updated the accounting guidance related to revenue recognition. The updated accounting guidance provides a single, contract-based revenue recognition model to help improve financial reporting by providing clearer guidance on when an entity should recognize revenue, and by reducing the number of standards to which an entity has to refer. In July 2015, FASB voted to defer the effective date by one year to December 15, 2017 for annual reporting periods beginning after that date. The updated accounting guidance provides companies with alternative methods of adoption. We are currently in the process of determining the impact that the updated accounting guidance will have on our consolidated financial statements and our method of adoption.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Consolidations</w:t>
      </w:r>
    </w:p>
    <w:p>
      <w:pPr>
        <w:spacing w:after="0" w:line="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February 2015, FASB updated the accounting guidance related to consolidation under the variable interest entity (“VIE”) and voting interest entity models. The updated accounting guidance modifies the consolidation guidance for VIEs, limited partnerships and similar legal entities. The updated accounting guidance will be effective for us on January 1, 2016, and early adoption is permitted. The updated accounting guidance provides companies with alternative methods of adoption. We are currently in the process of determining the impact that the updated accounting guidance will have on our consolidated financial statements and our method of adoption.</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Issuance Costs</w:t>
      </w:r>
    </w:p>
    <w:p>
      <w:pPr>
        <w:spacing w:after="0" w:line="7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In April 2015, FASB updated the accounting guidance related to the balance sheet presentation of debt issuance costs. The updated accounting guidance requires that debt issuance costs be presented as a direct deduction from the associated debt liability. The updated accounting guidance will be effective for us on January 1, 2016, and early adoption is permitted. The updated accounting guidance will be applied retrospectively to all prior periods presented. The updated accounting guidance will not have a material impact on our consolidated balance sheet.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3: Earnings Per Share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Diluted EPS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color w:val="auto"/>
                <w:w w:val="96"/>
              </w:rPr>
              <w:t>Three Months Ended September 30</w:t>
            </w:r>
          </w:p>
        </w:tc>
        <w:tc>
          <w:tcPr>
            <w:tcW w:w="8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r>
      <w:tr>
        <w:trPr>
          <w:trHeight w:val="142"/>
        </w:trPr>
        <w:tc>
          <w:tcPr>
            <w:tcW w:w="544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40"/>
              <w:spacing w:after="0" w:line="142" w:lineRule="exact"/>
              <w:rPr>
                <w:sz w:val="20"/>
                <w:szCs w:val="20"/>
                <w:color w:val="auto"/>
              </w:rPr>
            </w:pPr>
            <w:r>
              <w:rPr>
                <w:rFonts w:ascii="Arial" w:cs="Arial" w:eastAsia="Arial" w:hAnsi="Arial"/>
                <w:sz w:val="14"/>
                <w:szCs w:val="14"/>
                <w:color w:val="auto"/>
              </w:rPr>
              <w:t>2015</w:t>
            </w:r>
          </w:p>
        </w:tc>
        <w:tc>
          <w:tcPr>
            <w:tcW w:w="4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60"/>
              <w:spacing w:after="0" w:line="142" w:lineRule="exact"/>
              <w:rPr>
                <w:sz w:val="20"/>
                <w:szCs w:val="20"/>
                <w:color w:val="auto"/>
              </w:rPr>
            </w:pPr>
            <w:r>
              <w:rPr>
                <w:rFonts w:ascii="Arial" w:cs="Arial" w:eastAsia="Arial" w:hAnsi="Arial"/>
                <w:sz w:val="14"/>
                <w:szCs w:val="14"/>
                <w:color w:val="auto"/>
              </w:rPr>
              <w:t>2014</w:t>
            </w:r>
          </w:p>
        </w:tc>
        <w:tc>
          <w:tcPr>
            <w:tcW w:w="3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r>
      <w:tr>
        <w:trPr>
          <w:trHeight w:val="131"/>
        </w:trPr>
        <w:tc>
          <w:tcPr>
            <w:tcW w:w="5440" w:type="dxa"/>
            <w:vAlign w:val="bottom"/>
          </w:tcPr>
          <w:p>
            <w:pPr>
              <w:spacing w:after="0"/>
              <w:rPr>
                <w:sz w:val="11"/>
                <w:szCs w:val="11"/>
                <w:color w:val="auto"/>
              </w:rPr>
            </w:pPr>
          </w:p>
        </w:tc>
        <w:tc>
          <w:tcPr>
            <w:tcW w:w="1280" w:type="dxa"/>
            <w:vAlign w:val="bottom"/>
            <w:gridSpan w:val="2"/>
          </w:tcPr>
          <w:p>
            <w:pPr>
              <w:jc w:val="center"/>
              <w:ind w:left="24"/>
              <w:spacing w:after="0" w:line="131" w:lineRule="exact"/>
              <w:rPr>
                <w:sz w:val="20"/>
                <w:szCs w:val="20"/>
                <w:color w:val="auto"/>
              </w:rPr>
            </w:pPr>
            <w:r>
              <w:rPr>
                <w:rFonts w:ascii="Arial" w:cs="Arial" w:eastAsia="Arial" w:hAnsi="Arial"/>
                <w:sz w:val="14"/>
                <w:szCs w:val="14"/>
                <w:color w:val="auto"/>
                <w:w w:val="86"/>
              </w:rPr>
              <w:t>Net Income</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gridSpan w:val="2"/>
          </w:tcPr>
          <w:p>
            <w:pPr>
              <w:jc w:val="center"/>
              <w:spacing w:after="0" w:line="131" w:lineRule="exact"/>
              <w:rPr>
                <w:sz w:val="20"/>
                <w:szCs w:val="20"/>
                <w:color w:val="auto"/>
              </w:rPr>
            </w:pPr>
            <w:r>
              <w:rPr>
                <w:rFonts w:ascii="Arial" w:cs="Arial" w:eastAsia="Arial" w:hAnsi="Arial"/>
                <w:sz w:val="14"/>
                <w:szCs w:val="14"/>
                <w:color w:val="auto"/>
                <w:w w:val="86"/>
              </w:rPr>
              <w:t>Net Income</w:t>
            </w:r>
          </w:p>
        </w:tc>
        <w:tc>
          <w:tcPr>
            <w:tcW w:w="8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r>
      <w:tr>
        <w:trPr>
          <w:trHeight w:val="149"/>
        </w:trPr>
        <w:tc>
          <w:tcPr>
            <w:tcW w:w="5440" w:type="dxa"/>
            <w:vAlign w:val="bottom"/>
          </w:tcPr>
          <w:p>
            <w:pPr>
              <w:spacing w:after="0"/>
              <w:rPr>
                <w:sz w:val="12"/>
                <w:szCs w:val="12"/>
                <w:color w:val="auto"/>
              </w:rPr>
            </w:pPr>
          </w:p>
        </w:tc>
        <w:tc>
          <w:tcPr>
            <w:tcW w:w="1280" w:type="dxa"/>
            <w:vAlign w:val="bottom"/>
            <w:gridSpan w:val="2"/>
          </w:tcPr>
          <w:p>
            <w:pPr>
              <w:jc w:val="center"/>
              <w:ind w:left="24"/>
              <w:spacing w:after="0" w:line="149" w:lineRule="exact"/>
              <w:rPr>
                <w:sz w:val="20"/>
                <w:szCs w:val="20"/>
                <w:color w:val="auto"/>
              </w:rPr>
            </w:pPr>
            <w:r>
              <w:rPr>
                <w:rFonts w:ascii="Arial" w:cs="Arial" w:eastAsia="Arial" w:hAnsi="Arial"/>
                <w:sz w:val="14"/>
                <w:szCs w:val="14"/>
                <w:color w:val="auto"/>
                <w:w w:val="90"/>
              </w:rPr>
              <w:t>Attributable to</w:t>
            </w: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0"/>
              </w:rPr>
              <w:t>Attributable to</w:t>
            </w:r>
          </w:p>
        </w:tc>
        <w:tc>
          <w:tcPr>
            <w:tcW w:w="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9"/>
        </w:trPr>
        <w:tc>
          <w:tcPr>
            <w:tcW w:w="5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tcPr>
          <w:p>
            <w:pPr>
              <w:jc w:val="center"/>
              <w:ind w:right="239"/>
              <w:spacing w:after="0" w:line="149" w:lineRule="exact"/>
              <w:rPr>
                <w:sz w:val="20"/>
                <w:szCs w:val="20"/>
                <w:color w:val="auto"/>
              </w:rPr>
            </w:pPr>
            <w:r>
              <w:rPr>
                <w:rFonts w:ascii="Arial" w:cs="Arial" w:eastAsia="Arial" w:hAnsi="Arial"/>
                <w:sz w:val="14"/>
                <w:szCs w:val="14"/>
                <w:color w:val="auto"/>
                <w:w w:val="83"/>
              </w:rPr>
              <w:t>Comcast</w:t>
            </w:r>
          </w:p>
        </w:tc>
        <w:tc>
          <w:tcPr>
            <w:tcW w:w="760" w:type="dxa"/>
            <w:vAlign w:val="bottom"/>
          </w:tcPr>
          <w:p>
            <w:pPr>
              <w:spacing w:after="0"/>
              <w:rPr>
                <w:sz w:val="12"/>
                <w:szCs w:val="12"/>
                <w:color w:val="auto"/>
              </w:rPr>
            </w:pPr>
          </w:p>
        </w:tc>
        <w:tc>
          <w:tcPr>
            <w:tcW w:w="104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Per Share</w:t>
            </w:r>
          </w:p>
        </w:tc>
        <w:tc>
          <w:tcPr>
            <w:tcW w:w="340" w:type="dxa"/>
            <w:vAlign w:val="bottom"/>
          </w:tcPr>
          <w:p>
            <w:pPr>
              <w:spacing w:after="0"/>
              <w:rPr>
                <w:sz w:val="12"/>
                <w:szCs w:val="12"/>
                <w:color w:val="auto"/>
              </w:rPr>
            </w:pPr>
          </w:p>
        </w:tc>
        <w:tc>
          <w:tcPr>
            <w:tcW w:w="860" w:type="dxa"/>
            <w:vAlign w:val="bottom"/>
          </w:tcPr>
          <w:p>
            <w:pPr>
              <w:jc w:val="center"/>
              <w:ind w:right="239"/>
              <w:spacing w:after="0" w:line="149" w:lineRule="exact"/>
              <w:rPr>
                <w:sz w:val="20"/>
                <w:szCs w:val="20"/>
                <w:color w:val="auto"/>
              </w:rPr>
            </w:pPr>
            <w:r>
              <w:rPr>
                <w:rFonts w:ascii="Arial" w:cs="Arial" w:eastAsia="Arial" w:hAnsi="Arial"/>
                <w:sz w:val="14"/>
                <w:szCs w:val="14"/>
                <w:color w:val="auto"/>
                <w:w w:val="83"/>
              </w:rPr>
              <w:t>Comcast</w:t>
            </w:r>
          </w:p>
        </w:tc>
        <w:tc>
          <w:tcPr>
            <w:tcW w:w="880" w:type="dxa"/>
            <w:vAlign w:val="bottom"/>
          </w:tcPr>
          <w:p>
            <w:pPr>
              <w:spacing w:after="0"/>
              <w:rPr>
                <w:sz w:val="12"/>
                <w:szCs w:val="12"/>
                <w:color w:val="auto"/>
              </w:rPr>
            </w:pPr>
          </w:p>
        </w:tc>
        <w:tc>
          <w:tcPr>
            <w:tcW w:w="820" w:type="dxa"/>
            <w:vAlign w:val="bottom"/>
            <w:gridSpan w:val="2"/>
          </w:tcPr>
          <w:p>
            <w:pPr>
              <w:ind w:left="200"/>
              <w:spacing w:after="0" w:line="149" w:lineRule="exact"/>
              <w:rPr>
                <w:sz w:val="20"/>
                <w:szCs w:val="20"/>
                <w:color w:val="auto"/>
              </w:rPr>
            </w:pPr>
            <w:r>
              <w:rPr>
                <w:rFonts w:ascii="Arial" w:cs="Arial" w:eastAsia="Arial" w:hAnsi="Arial"/>
                <w:sz w:val="14"/>
                <w:szCs w:val="14"/>
                <w:color w:val="auto"/>
                <w:w w:val="95"/>
              </w:rPr>
              <w:t>Per Share</w:t>
            </w:r>
          </w:p>
        </w:tc>
      </w:tr>
      <w:tr>
        <w:trPr>
          <w:trHeight w:val="159"/>
        </w:trPr>
        <w:tc>
          <w:tcPr>
            <w:tcW w:w="544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 except per share data)</w:t>
            </w:r>
          </w:p>
        </w:tc>
        <w:tc>
          <w:tcPr>
            <w:tcW w:w="1280" w:type="dxa"/>
            <w:vAlign w:val="bottom"/>
            <w:tcBorders>
              <w:bottom w:val="single" w:sz="8" w:color="auto"/>
            </w:tcBorders>
            <w:gridSpan w:val="2"/>
          </w:tcPr>
          <w:p>
            <w:pPr>
              <w:jc w:val="center"/>
              <w:ind w:left="24"/>
              <w:spacing w:after="0" w:line="159" w:lineRule="exact"/>
              <w:rPr>
                <w:sz w:val="20"/>
                <w:szCs w:val="20"/>
                <w:color w:val="auto"/>
              </w:rPr>
            </w:pPr>
            <w:r>
              <w:rPr>
                <w:rFonts w:ascii="Arial" w:cs="Arial" w:eastAsia="Arial" w:hAnsi="Arial"/>
                <w:sz w:val="14"/>
                <w:szCs w:val="14"/>
                <w:color w:val="auto"/>
                <w:w w:val="90"/>
              </w:rPr>
              <w:t>Corporation</w:t>
            </w:r>
          </w:p>
        </w:tc>
        <w:tc>
          <w:tcPr>
            <w:tcW w:w="760" w:type="dxa"/>
            <w:vAlign w:val="bottom"/>
            <w:tcBorders>
              <w:bottom w:val="single" w:sz="8" w:color="auto"/>
            </w:tcBorders>
          </w:tcPr>
          <w:p>
            <w:pPr>
              <w:jc w:val="right"/>
              <w:ind w:right="60"/>
              <w:spacing w:after="0" w:line="159" w:lineRule="exact"/>
              <w:rPr>
                <w:sz w:val="20"/>
                <w:szCs w:val="20"/>
                <w:color w:val="auto"/>
              </w:rPr>
            </w:pPr>
            <w:r>
              <w:rPr>
                <w:rFonts w:ascii="Arial" w:cs="Arial" w:eastAsia="Arial" w:hAnsi="Arial"/>
                <w:sz w:val="14"/>
                <w:szCs w:val="14"/>
                <w:color w:val="auto"/>
              </w:rPr>
              <w:t>Shares</w:t>
            </w:r>
          </w:p>
        </w:tc>
        <w:tc>
          <w:tcPr>
            <w:tcW w:w="1040" w:type="dxa"/>
            <w:vAlign w:val="bottom"/>
            <w:tcBorders>
              <w:bottom w:val="single" w:sz="8" w:color="auto"/>
            </w:tcBorders>
            <w:gridSpan w:val="2"/>
          </w:tcPr>
          <w:p>
            <w:pPr>
              <w:ind w:left="360"/>
              <w:spacing w:after="0" w:line="159" w:lineRule="exact"/>
              <w:rPr>
                <w:sz w:val="20"/>
                <w:szCs w:val="20"/>
                <w:color w:val="auto"/>
              </w:rPr>
            </w:pPr>
            <w:r>
              <w:rPr>
                <w:rFonts w:ascii="Arial" w:cs="Arial" w:eastAsia="Arial" w:hAnsi="Arial"/>
                <w:sz w:val="14"/>
                <w:szCs w:val="14"/>
                <w:color w:val="auto"/>
              </w:rPr>
              <w:t>Amount</w:t>
            </w:r>
          </w:p>
        </w:tc>
        <w:tc>
          <w:tcPr>
            <w:tcW w:w="1200" w:type="dxa"/>
            <w:vAlign w:val="bottom"/>
            <w:tcBorders>
              <w:bottom w:val="single" w:sz="8" w:color="auto"/>
            </w:tcBorders>
            <w:gridSpan w:val="2"/>
          </w:tcPr>
          <w:p>
            <w:pPr>
              <w:jc w:val="center"/>
              <w:spacing w:after="0" w:line="159" w:lineRule="exact"/>
              <w:rPr>
                <w:sz w:val="20"/>
                <w:szCs w:val="20"/>
                <w:color w:val="auto"/>
              </w:rPr>
            </w:pPr>
            <w:r>
              <w:rPr>
                <w:rFonts w:ascii="Arial" w:cs="Arial" w:eastAsia="Arial" w:hAnsi="Arial"/>
                <w:sz w:val="14"/>
                <w:szCs w:val="14"/>
                <w:color w:val="auto"/>
                <w:w w:val="90"/>
              </w:rPr>
              <w:t>Corporation</w:t>
            </w:r>
          </w:p>
        </w:tc>
        <w:tc>
          <w:tcPr>
            <w:tcW w:w="880" w:type="dxa"/>
            <w:vAlign w:val="bottom"/>
            <w:tcBorders>
              <w:bottom w:val="single" w:sz="8" w:color="auto"/>
            </w:tcBorders>
          </w:tcPr>
          <w:p>
            <w:pPr>
              <w:jc w:val="right"/>
              <w:ind w:right="180"/>
              <w:spacing w:after="0" w:line="159" w:lineRule="exact"/>
              <w:rPr>
                <w:sz w:val="20"/>
                <w:szCs w:val="20"/>
                <w:color w:val="auto"/>
              </w:rPr>
            </w:pPr>
            <w:r>
              <w:rPr>
                <w:rFonts w:ascii="Arial" w:cs="Arial" w:eastAsia="Arial" w:hAnsi="Arial"/>
                <w:sz w:val="14"/>
                <w:szCs w:val="14"/>
                <w:color w:val="auto"/>
              </w:rPr>
              <w:t>Shares</w:t>
            </w:r>
          </w:p>
        </w:tc>
        <w:tc>
          <w:tcPr>
            <w:tcW w:w="820" w:type="dxa"/>
            <w:vAlign w:val="bottom"/>
            <w:tcBorders>
              <w:bottom w:val="single" w:sz="8" w:color="auto"/>
            </w:tcBorders>
            <w:gridSpan w:val="2"/>
          </w:tcPr>
          <w:p>
            <w:pPr>
              <w:ind w:left="240"/>
              <w:spacing w:after="0" w:line="159" w:lineRule="exact"/>
              <w:rPr>
                <w:sz w:val="20"/>
                <w:szCs w:val="20"/>
                <w:color w:val="auto"/>
              </w:rPr>
            </w:pPr>
            <w:r>
              <w:rPr>
                <w:rFonts w:ascii="Arial" w:cs="Arial" w:eastAsia="Arial" w:hAnsi="Arial"/>
                <w:sz w:val="14"/>
                <w:szCs w:val="14"/>
                <w:color w:val="auto"/>
              </w:rPr>
              <w:t>Amount</w:t>
            </w:r>
          </w:p>
        </w:tc>
      </w:tr>
      <w:tr>
        <w:trPr>
          <w:trHeight w:val="210"/>
        </w:trPr>
        <w:tc>
          <w:tcPr>
            <w:tcW w:w="5440" w:type="dxa"/>
            <w:vAlign w:val="bottom"/>
            <w:shd w:val="clear" w:color="auto" w:fill="E5E5E5"/>
          </w:tcPr>
          <w:p>
            <w:pPr>
              <w:spacing w:after="0"/>
              <w:rPr>
                <w:sz w:val="20"/>
                <w:szCs w:val="20"/>
                <w:color w:val="auto"/>
              </w:rPr>
            </w:pPr>
            <w:r>
              <w:rPr>
                <w:rFonts w:ascii="Arial" w:cs="Arial" w:eastAsia="Arial" w:hAnsi="Arial"/>
                <w:sz w:val="18"/>
                <w:szCs w:val="18"/>
                <w:color w:val="auto"/>
              </w:rPr>
              <w:t>Basic EPS attributable to Comcast Corporation shareholders</w:t>
            </w:r>
          </w:p>
        </w:tc>
        <w:tc>
          <w:tcPr>
            <w:tcW w:w="4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E5E5E5"/>
          </w:tcPr>
          <w:p>
            <w:pPr>
              <w:jc w:val="right"/>
              <w:ind w:right="99"/>
              <w:spacing w:after="0"/>
              <w:rPr>
                <w:sz w:val="20"/>
                <w:szCs w:val="20"/>
                <w:color w:val="auto"/>
              </w:rPr>
            </w:pPr>
            <w:r>
              <w:rPr>
                <w:rFonts w:ascii="Arial" w:cs="Arial" w:eastAsia="Arial" w:hAnsi="Arial"/>
                <w:sz w:val="18"/>
                <w:szCs w:val="18"/>
                <w:color w:val="auto"/>
              </w:rPr>
              <w:t>1,996</w:t>
            </w:r>
          </w:p>
        </w:tc>
        <w:tc>
          <w:tcPr>
            <w:tcW w:w="7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2,472</w:t>
            </w:r>
          </w:p>
        </w:tc>
        <w:tc>
          <w:tcPr>
            <w:tcW w:w="480" w:type="dxa"/>
            <w:vAlign w:val="bottom"/>
            <w:shd w:val="clear" w:color="auto" w:fill="E5E5E5"/>
          </w:tcPr>
          <w:p>
            <w:pPr>
              <w:ind w:left="320"/>
              <w:spacing w:after="0"/>
              <w:rPr>
                <w:sz w:val="20"/>
                <w:szCs w:val="20"/>
                <w:color w:val="auto"/>
              </w:rPr>
            </w:pPr>
            <w:r>
              <w:rPr>
                <w:rFonts w:ascii="Arial" w:cs="Arial" w:eastAsia="Arial" w:hAnsi="Arial"/>
                <w:sz w:val="18"/>
                <w:szCs w:val="18"/>
                <w:color w:val="auto"/>
              </w:rPr>
              <w:t>$</w:t>
            </w:r>
          </w:p>
        </w:tc>
        <w:tc>
          <w:tcPr>
            <w:tcW w:w="56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w w:val="96"/>
              </w:rPr>
              <w:t>0.81</w:t>
            </w:r>
          </w:p>
        </w:tc>
        <w:tc>
          <w:tcPr>
            <w:tcW w:w="3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E5E5E5"/>
          </w:tcPr>
          <w:p>
            <w:pPr>
              <w:jc w:val="right"/>
              <w:ind w:right="119"/>
              <w:spacing w:after="0"/>
              <w:rPr>
                <w:sz w:val="20"/>
                <w:szCs w:val="20"/>
                <w:color w:val="auto"/>
              </w:rPr>
            </w:pPr>
            <w:r>
              <w:rPr>
                <w:rFonts w:ascii="Arial" w:cs="Arial" w:eastAsia="Arial" w:hAnsi="Arial"/>
                <w:sz w:val="18"/>
                <w:szCs w:val="18"/>
                <w:color w:val="auto"/>
              </w:rPr>
              <w:t>2,592</w:t>
            </w:r>
          </w:p>
        </w:tc>
        <w:tc>
          <w:tcPr>
            <w:tcW w:w="880" w:type="dxa"/>
            <w:vAlign w:val="bottom"/>
            <w:shd w:val="clear" w:color="auto" w:fill="E5E5E5"/>
          </w:tcPr>
          <w:p>
            <w:pPr>
              <w:jc w:val="right"/>
              <w:ind w:right="120"/>
              <w:spacing w:after="0"/>
              <w:rPr>
                <w:sz w:val="20"/>
                <w:szCs w:val="20"/>
                <w:color w:val="auto"/>
              </w:rPr>
            </w:pPr>
            <w:r>
              <w:rPr>
                <w:rFonts w:ascii="Arial" w:cs="Arial" w:eastAsia="Arial" w:hAnsi="Arial"/>
                <w:sz w:val="18"/>
                <w:szCs w:val="18"/>
                <w:color w:val="auto"/>
              </w:rPr>
              <w:t>2,580</w:t>
            </w:r>
          </w:p>
        </w:tc>
        <w:tc>
          <w:tcPr>
            <w:tcW w:w="3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w w:val="96"/>
              </w:rPr>
              <w:t>1.00</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16"/>
        </w:trPr>
        <w:tc>
          <w:tcPr>
            <w:tcW w:w="5440" w:type="dxa"/>
            <w:vAlign w:val="bottom"/>
            <w:tcBorders>
              <w:bottom w:val="single" w:sz="8" w:color="auto"/>
            </w:tcBorders>
            <w:shd w:val="clear" w:color="auto" w:fill="E5E5E5"/>
          </w:tcPr>
          <w:p>
            <w:pPr>
              <w:ind w:left="440"/>
              <w:spacing w:after="0"/>
              <w:rPr>
                <w:sz w:val="20"/>
                <w:szCs w:val="20"/>
                <w:color w:val="auto"/>
              </w:rPr>
            </w:pPr>
            <w:r>
              <w:rPr>
                <w:rFonts w:ascii="Arial" w:cs="Arial" w:eastAsia="Arial" w:hAnsi="Arial"/>
                <w:sz w:val="18"/>
                <w:szCs w:val="18"/>
                <w:color w:val="auto"/>
                <w:w w:val="99"/>
              </w:rPr>
              <w:t>Assumed exercise or issuance of shares relating to stock plans</w:t>
            </w:r>
          </w:p>
        </w:tc>
        <w:tc>
          <w:tcPr>
            <w:tcW w:w="42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30</w:t>
            </w:r>
          </w:p>
        </w:tc>
        <w:tc>
          <w:tcPr>
            <w:tcW w:w="48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spacing w:after="0"/>
              <w:rPr>
                <w:sz w:val="18"/>
                <w:szCs w:val="18"/>
                <w:color w:val="auto"/>
              </w:rPr>
            </w:pPr>
          </w:p>
        </w:tc>
        <w:tc>
          <w:tcPr>
            <w:tcW w:w="34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spacing w:after="0"/>
              <w:rPr>
                <w:sz w:val="18"/>
                <w:szCs w:val="18"/>
                <w:color w:val="auto"/>
              </w:rPr>
            </w:pPr>
          </w:p>
        </w:tc>
        <w:tc>
          <w:tcPr>
            <w:tcW w:w="880" w:type="dxa"/>
            <w:vAlign w:val="bottom"/>
            <w:tcBorders>
              <w:bottom w:val="single" w:sz="8" w:color="auto"/>
            </w:tcBorders>
            <w:shd w:val="clear" w:color="auto" w:fill="E5E5E5"/>
          </w:tcPr>
          <w:p>
            <w:pPr>
              <w:jc w:val="right"/>
              <w:ind w:right="120"/>
              <w:spacing w:after="0"/>
              <w:rPr>
                <w:sz w:val="20"/>
                <w:szCs w:val="20"/>
                <w:color w:val="auto"/>
              </w:rPr>
            </w:pPr>
            <w:r>
              <w:rPr>
                <w:rFonts w:ascii="Arial" w:cs="Arial" w:eastAsia="Arial" w:hAnsi="Arial"/>
                <w:sz w:val="18"/>
                <w:szCs w:val="18"/>
                <w:color w:val="auto"/>
              </w:rPr>
              <w:t>36</w:t>
            </w:r>
          </w:p>
        </w:tc>
        <w:tc>
          <w:tcPr>
            <w:tcW w:w="360" w:type="dxa"/>
            <w:vAlign w:val="bottom"/>
            <w:tcBorders>
              <w:bottom w:val="single" w:sz="8" w:color="auto"/>
            </w:tcBorders>
            <w:shd w:val="clear" w:color="auto" w:fill="E5E5E5"/>
          </w:tcPr>
          <w:p>
            <w:pPr>
              <w:spacing w:after="0"/>
              <w:rPr>
                <w:sz w:val="18"/>
                <w:szCs w:val="18"/>
                <w:color w:val="auto"/>
              </w:rPr>
            </w:pPr>
          </w:p>
        </w:tc>
        <w:tc>
          <w:tcPr>
            <w:tcW w:w="460" w:type="dxa"/>
            <w:vAlign w:val="bottom"/>
            <w:tcBorders>
              <w:bottom w:val="single" w:sz="8" w:color="auto"/>
            </w:tcBorders>
            <w:shd w:val="clear" w:color="auto" w:fill="E5E5E5"/>
          </w:tcPr>
          <w:p>
            <w:pPr>
              <w:spacing w:after="0"/>
              <w:rPr>
                <w:sz w:val="18"/>
                <w:szCs w:val="18"/>
                <w:color w:val="auto"/>
              </w:rPr>
            </w:pPr>
          </w:p>
        </w:tc>
      </w:tr>
      <w:tr>
        <w:trPr>
          <w:trHeight w:val="217"/>
        </w:trPr>
        <w:tc>
          <w:tcPr>
            <w:tcW w:w="5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Diluted EPS attributable to Comcast Corporation shareholders</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right"/>
              <w:ind w:right="99"/>
              <w:spacing w:after="0"/>
              <w:rPr>
                <w:sz w:val="20"/>
                <w:szCs w:val="20"/>
                <w:color w:val="auto"/>
              </w:rPr>
            </w:pPr>
            <w:r>
              <w:rPr>
                <w:rFonts w:ascii="Arial" w:cs="Arial" w:eastAsia="Arial" w:hAnsi="Arial"/>
                <w:sz w:val="18"/>
                <w:szCs w:val="18"/>
                <w:b w:val="1"/>
                <w:bCs w:val="1"/>
                <w:color w:val="auto"/>
              </w:rPr>
              <w:t>1,996</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2,502</w:t>
            </w:r>
          </w:p>
        </w:tc>
        <w:tc>
          <w:tcPr>
            <w:tcW w:w="48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96"/>
              </w:rPr>
              <w:t>0.80</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right"/>
              <w:ind w:right="119"/>
              <w:spacing w:after="0"/>
              <w:rPr>
                <w:sz w:val="20"/>
                <w:szCs w:val="20"/>
                <w:color w:val="auto"/>
              </w:rPr>
            </w:pPr>
            <w:r>
              <w:rPr>
                <w:rFonts w:ascii="Arial" w:cs="Arial" w:eastAsia="Arial" w:hAnsi="Arial"/>
                <w:sz w:val="18"/>
                <w:szCs w:val="18"/>
                <w:b w:val="1"/>
                <w:bCs w:val="1"/>
                <w:color w:val="auto"/>
              </w:rPr>
              <w:t>2,592</w:t>
            </w:r>
          </w:p>
        </w:tc>
        <w:tc>
          <w:tcPr>
            <w:tcW w:w="880" w:type="dxa"/>
            <w:vAlign w:val="bottom"/>
            <w:tcBorders>
              <w:bottom w:val="single" w:sz="8" w:color="auto"/>
            </w:tcBorders>
          </w:tcPr>
          <w:p>
            <w:pPr>
              <w:jc w:val="right"/>
              <w:ind w:right="120"/>
              <w:spacing w:after="0"/>
              <w:rPr>
                <w:sz w:val="20"/>
                <w:szCs w:val="20"/>
                <w:color w:val="auto"/>
              </w:rPr>
            </w:pPr>
            <w:r>
              <w:rPr>
                <w:rFonts w:ascii="Arial" w:cs="Arial" w:eastAsia="Arial" w:hAnsi="Arial"/>
                <w:sz w:val="18"/>
                <w:szCs w:val="18"/>
                <w:b w:val="1"/>
                <w:bCs w:val="1"/>
                <w:color w:val="auto"/>
              </w:rPr>
              <w:t>2,616</w:t>
            </w:r>
          </w:p>
        </w:tc>
        <w:tc>
          <w:tcPr>
            <w:tcW w:w="36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w:t>
            </w:r>
          </w:p>
        </w:tc>
        <w:tc>
          <w:tcPr>
            <w:tcW w:w="4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96"/>
              </w:rPr>
              <w:t>0.99</w:t>
            </w:r>
          </w:p>
        </w:tc>
      </w:tr>
      <w:tr>
        <w:trPr>
          <w:trHeight w:val="284"/>
        </w:trPr>
        <w:tc>
          <w:tcPr>
            <w:tcW w:w="544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color w:val="auto"/>
                <w:w w:val="97"/>
              </w:rPr>
              <w:t>Nine Months Ended September 30</w:t>
            </w:r>
          </w:p>
        </w:tc>
        <w:tc>
          <w:tcPr>
            <w:tcW w:w="8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r>
      <w:tr>
        <w:trPr>
          <w:trHeight w:val="142"/>
        </w:trPr>
        <w:tc>
          <w:tcPr>
            <w:tcW w:w="544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40"/>
              <w:spacing w:after="0" w:line="142" w:lineRule="exact"/>
              <w:rPr>
                <w:sz w:val="20"/>
                <w:szCs w:val="20"/>
                <w:color w:val="auto"/>
              </w:rPr>
            </w:pPr>
            <w:r>
              <w:rPr>
                <w:rFonts w:ascii="Arial" w:cs="Arial" w:eastAsia="Arial" w:hAnsi="Arial"/>
                <w:sz w:val="14"/>
                <w:szCs w:val="14"/>
                <w:color w:val="auto"/>
              </w:rPr>
              <w:t>2015</w:t>
            </w:r>
          </w:p>
        </w:tc>
        <w:tc>
          <w:tcPr>
            <w:tcW w:w="4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60"/>
              <w:spacing w:after="0" w:line="142" w:lineRule="exact"/>
              <w:rPr>
                <w:sz w:val="20"/>
                <w:szCs w:val="20"/>
                <w:color w:val="auto"/>
              </w:rPr>
            </w:pPr>
            <w:r>
              <w:rPr>
                <w:rFonts w:ascii="Arial" w:cs="Arial" w:eastAsia="Arial" w:hAnsi="Arial"/>
                <w:sz w:val="14"/>
                <w:szCs w:val="14"/>
                <w:color w:val="auto"/>
              </w:rPr>
              <w:t>2014</w:t>
            </w:r>
          </w:p>
        </w:tc>
        <w:tc>
          <w:tcPr>
            <w:tcW w:w="3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r>
      <w:tr>
        <w:trPr>
          <w:trHeight w:val="131"/>
        </w:trPr>
        <w:tc>
          <w:tcPr>
            <w:tcW w:w="5440" w:type="dxa"/>
            <w:vAlign w:val="bottom"/>
          </w:tcPr>
          <w:p>
            <w:pPr>
              <w:spacing w:after="0"/>
              <w:rPr>
                <w:sz w:val="11"/>
                <w:szCs w:val="11"/>
                <w:color w:val="auto"/>
              </w:rPr>
            </w:pPr>
          </w:p>
        </w:tc>
        <w:tc>
          <w:tcPr>
            <w:tcW w:w="1280" w:type="dxa"/>
            <w:vAlign w:val="bottom"/>
            <w:gridSpan w:val="2"/>
          </w:tcPr>
          <w:p>
            <w:pPr>
              <w:jc w:val="center"/>
              <w:ind w:left="24"/>
              <w:spacing w:after="0" w:line="131" w:lineRule="exact"/>
              <w:rPr>
                <w:sz w:val="20"/>
                <w:szCs w:val="20"/>
                <w:color w:val="auto"/>
              </w:rPr>
            </w:pPr>
            <w:r>
              <w:rPr>
                <w:rFonts w:ascii="Arial" w:cs="Arial" w:eastAsia="Arial" w:hAnsi="Arial"/>
                <w:sz w:val="14"/>
                <w:szCs w:val="14"/>
                <w:color w:val="auto"/>
                <w:w w:val="86"/>
              </w:rPr>
              <w:t>Net Income</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gridSpan w:val="2"/>
          </w:tcPr>
          <w:p>
            <w:pPr>
              <w:jc w:val="center"/>
              <w:spacing w:after="0" w:line="131" w:lineRule="exact"/>
              <w:rPr>
                <w:sz w:val="20"/>
                <w:szCs w:val="20"/>
                <w:color w:val="auto"/>
              </w:rPr>
            </w:pPr>
            <w:r>
              <w:rPr>
                <w:rFonts w:ascii="Arial" w:cs="Arial" w:eastAsia="Arial" w:hAnsi="Arial"/>
                <w:sz w:val="14"/>
                <w:szCs w:val="14"/>
                <w:color w:val="auto"/>
                <w:w w:val="86"/>
              </w:rPr>
              <w:t>Net Income</w:t>
            </w:r>
          </w:p>
        </w:tc>
        <w:tc>
          <w:tcPr>
            <w:tcW w:w="8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r>
      <w:tr>
        <w:trPr>
          <w:trHeight w:val="149"/>
        </w:trPr>
        <w:tc>
          <w:tcPr>
            <w:tcW w:w="5440" w:type="dxa"/>
            <w:vAlign w:val="bottom"/>
          </w:tcPr>
          <w:p>
            <w:pPr>
              <w:spacing w:after="0"/>
              <w:rPr>
                <w:sz w:val="12"/>
                <w:szCs w:val="12"/>
                <w:color w:val="auto"/>
              </w:rPr>
            </w:pPr>
          </w:p>
        </w:tc>
        <w:tc>
          <w:tcPr>
            <w:tcW w:w="1280" w:type="dxa"/>
            <w:vAlign w:val="bottom"/>
            <w:gridSpan w:val="2"/>
          </w:tcPr>
          <w:p>
            <w:pPr>
              <w:jc w:val="center"/>
              <w:ind w:left="24"/>
              <w:spacing w:after="0" w:line="149" w:lineRule="exact"/>
              <w:rPr>
                <w:sz w:val="20"/>
                <w:szCs w:val="20"/>
                <w:color w:val="auto"/>
              </w:rPr>
            </w:pPr>
            <w:r>
              <w:rPr>
                <w:rFonts w:ascii="Arial" w:cs="Arial" w:eastAsia="Arial" w:hAnsi="Arial"/>
                <w:sz w:val="14"/>
                <w:szCs w:val="14"/>
                <w:color w:val="auto"/>
                <w:w w:val="90"/>
              </w:rPr>
              <w:t>Attributable to</w:t>
            </w: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0"/>
              </w:rPr>
              <w:t>Attributable to</w:t>
            </w:r>
          </w:p>
        </w:tc>
        <w:tc>
          <w:tcPr>
            <w:tcW w:w="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9"/>
        </w:trPr>
        <w:tc>
          <w:tcPr>
            <w:tcW w:w="5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tcPr>
          <w:p>
            <w:pPr>
              <w:jc w:val="center"/>
              <w:ind w:right="239"/>
              <w:spacing w:after="0" w:line="149" w:lineRule="exact"/>
              <w:rPr>
                <w:sz w:val="20"/>
                <w:szCs w:val="20"/>
                <w:color w:val="auto"/>
              </w:rPr>
            </w:pPr>
            <w:r>
              <w:rPr>
                <w:rFonts w:ascii="Arial" w:cs="Arial" w:eastAsia="Arial" w:hAnsi="Arial"/>
                <w:sz w:val="14"/>
                <w:szCs w:val="14"/>
                <w:color w:val="auto"/>
                <w:w w:val="83"/>
              </w:rPr>
              <w:t>Comcast</w:t>
            </w:r>
          </w:p>
        </w:tc>
        <w:tc>
          <w:tcPr>
            <w:tcW w:w="760" w:type="dxa"/>
            <w:vAlign w:val="bottom"/>
          </w:tcPr>
          <w:p>
            <w:pPr>
              <w:spacing w:after="0"/>
              <w:rPr>
                <w:sz w:val="12"/>
                <w:szCs w:val="12"/>
                <w:color w:val="auto"/>
              </w:rPr>
            </w:pPr>
          </w:p>
        </w:tc>
        <w:tc>
          <w:tcPr>
            <w:tcW w:w="104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Per Share</w:t>
            </w:r>
          </w:p>
        </w:tc>
        <w:tc>
          <w:tcPr>
            <w:tcW w:w="340" w:type="dxa"/>
            <w:vAlign w:val="bottom"/>
          </w:tcPr>
          <w:p>
            <w:pPr>
              <w:spacing w:after="0"/>
              <w:rPr>
                <w:sz w:val="12"/>
                <w:szCs w:val="12"/>
                <w:color w:val="auto"/>
              </w:rPr>
            </w:pPr>
          </w:p>
        </w:tc>
        <w:tc>
          <w:tcPr>
            <w:tcW w:w="860" w:type="dxa"/>
            <w:vAlign w:val="bottom"/>
          </w:tcPr>
          <w:p>
            <w:pPr>
              <w:jc w:val="center"/>
              <w:ind w:right="239"/>
              <w:spacing w:after="0" w:line="149" w:lineRule="exact"/>
              <w:rPr>
                <w:sz w:val="20"/>
                <w:szCs w:val="20"/>
                <w:color w:val="auto"/>
              </w:rPr>
            </w:pPr>
            <w:r>
              <w:rPr>
                <w:rFonts w:ascii="Arial" w:cs="Arial" w:eastAsia="Arial" w:hAnsi="Arial"/>
                <w:sz w:val="14"/>
                <w:szCs w:val="14"/>
                <w:color w:val="auto"/>
                <w:w w:val="83"/>
              </w:rPr>
              <w:t>Comcast</w:t>
            </w:r>
          </w:p>
        </w:tc>
        <w:tc>
          <w:tcPr>
            <w:tcW w:w="880" w:type="dxa"/>
            <w:vAlign w:val="bottom"/>
          </w:tcPr>
          <w:p>
            <w:pPr>
              <w:spacing w:after="0"/>
              <w:rPr>
                <w:sz w:val="12"/>
                <w:szCs w:val="12"/>
                <w:color w:val="auto"/>
              </w:rPr>
            </w:pPr>
          </w:p>
        </w:tc>
        <w:tc>
          <w:tcPr>
            <w:tcW w:w="820" w:type="dxa"/>
            <w:vAlign w:val="bottom"/>
            <w:gridSpan w:val="2"/>
          </w:tcPr>
          <w:p>
            <w:pPr>
              <w:ind w:left="200"/>
              <w:spacing w:after="0" w:line="149" w:lineRule="exact"/>
              <w:rPr>
                <w:sz w:val="20"/>
                <w:szCs w:val="20"/>
                <w:color w:val="auto"/>
              </w:rPr>
            </w:pPr>
            <w:r>
              <w:rPr>
                <w:rFonts w:ascii="Arial" w:cs="Arial" w:eastAsia="Arial" w:hAnsi="Arial"/>
                <w:sz w:val="14"/>
                <w:szCs w:val="14"/>
                <w:color w:val="auto"/>
                <w:w w:val="95"/>
              </w:rPr>
              <w:t>Per Share</w:t>
            </w:r>
          </w:p>
        </w:tc>
      </w:tr>
      <w:tr>
        <w:trPr>
          <w:trHeight w:val="159"/>
        </w:trPr>
        <w:tc>
          <w:tcPr>
            <w:tcW w:w="544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 except per share data)</w:t>
            </w:r>
          </w:p>
        </w:tc>
        <w:tc>
          <w:tcPr>
            <w:tcW w:w="1280" w:type="dxa"/>
            <w:vAlign w:val="bottom"/>
            <w:tcBorders>
              <w:bottom w:val="single" w:sz="8" w:color="auto"/>
            </w:tcBorders>
            <w:gridSpan w:val="2"/>
          </w:tcPr>
          <w:p>
            <w:pPr>
              <w:jc w:val="center"/>
              <w:ind w:left="24"/>
              <w:spacing w:after="0" w:line="159" w:lineRule="exact"/>
              <w:rPr>
                <w:sz w:val="20"/>
                <w:szCs w:val="20"/>
                <w:color w:val="auto"/>
              </w:rPr>
            </w:pPr>
            <w:r>
              <w:rPr>
                <w:rFonts w:ascii="Arial" w:cs="Arial" w:eastAsia="Arial" w:hAnsi="Arial"/>
                <w:sz w:val="14"/>
                <w:szCs w:val="14"/>
                <w:color w:val="auto"/>
                <w:w w:val="90"/>
              </w:rPr>
              <w:t>Corporation</w:t>
            </w:r>
          </w:p>
        </w:tc>
        <w:tc>
          <w:tcPr>
            <w:tcW w:w="760" w:type="dxa"/>
            <w:vAlign w:val="bottom"/>
            <w:tcBorders>
              <w:bottom w:val="single" w:sz="8" w:color="auto"/>
            </w:tcBorders>
          </w:tcPr>
          <w:p>
            <w:pPr>
              <w:jc w:val="right"/>
              <w:ind w:right="60"/>
              <w:spacing w:after="0" w:line="159" w:lineRule="exact"/>
              <w:rPr>
                <w:sz w:val="20"/>
                <w:szCs w:val="20"/>
                <w:color w:val="auto"/>
              </w:rPr>
            </w:pPr>
            <w:r>
              <w:rPr>
                <w:rFonts w:ascii="Arial" w:cs="Arial" w:eastAsia="Arial" w:hAnsi="Arial"/>
                <w:sz w:val="14"/>
                <w:szCs w:val="14"/>
                <w:color w:val="auto"/>
              </w:rPr>
              <w:t>Shares</w:t>
            </w:r>
          </w:p>
        </w:tc>
        <w:tc>
          <w:tcPr>
            <w:tcW w:w="1040" w:type="dxa"/>
            <w:vAlign w:val="bottom"/>
            <w:tcBorders>
              <w:bottom w:val="single" w:sz="8" w:color="auto"/>
            </w:tcBorders>
            <w:gridSpan w:val="2"/>
          </w:tcPr>
          <w:p>
            <w:pPr>
              <w:ind w:left="360"/>
              <w:spacing w:after="0" w:line="159" w:lineRule="exact"/>
              <w:rPr>
                <w:sz w:val="20"/>
                <w:szCs w:val="20"/>
                <w:color w:val="auto"/>
              </w:rPr>
            </w:pPr>
            <w:r>
              <w:rPr>
                <w:rFonts w:ascii="Arial" w:cs="Arial" w:eastAsia="Arial" w:hAnsi="Arial"/>
                <w:sz w:val="14"/>
                <w:szCs w:val="14"/>
                <w:color w:val="auto"/>
              </w:rPr>
              <w:t>Amount</w:t>
            </w:r>
          </w:p>
        </w:tc>
        <w:tc>
          <w:tcPr>
            <w:tcW w:w="1200" w:type="dxa"/>
            <w:vAlign w:val="bottom"/>
            <w:tcBorders>
              <w:bottom w:val="single" w:sz="8" w:color="auto"/>
            </w:tcBorders>
            <w:gridSpan w:val="2"/>
          </w:tcPr>
          <w:p>
            <w:pPr>
              <w:jc w:val="center"/>
              <w:spacing w:after="0" w:line="159" w:lineRule="exact"/>
              <w:rPr>
                <w:sz w:val="20"/>
                <w:szCs w:val="20"/>
                <w:color w:val="auto"/>
              </w:rPr>
            </w:pPr>
            <w:r>
              <w:rPr>
                <w:rFonts w:ascii="Arial" w:cs="Arial" w:eastAsia="Arial" w:hAnsi="Arial"/>
                <w:sz w:val="14"/>
                <w:szCs w:val="14"/>
                <w:color w:val="auto"/>
                <w:w w:val="90"/>
              </w:rPr>
              <w:t>Corporation</w:t>
            </w:r>
          </w:p>
        </w:tc>
        <w:tc>
          <w:tcPr>
            <w:tcW w:w="880" w:type="dxa"/>
            <w:vAlign w:val="bottom"/>
            <w:tcBorders>
              <w:bottom w:val="single" w:sz="8" w:color="auto"/>
            </w:tcBorders>
          </w:tcPr>
          <w:p>
            <w:pPr>
              <w:jc w:val="right"/>
              <w:ind w:right="180"/>
              <w:spacing w:after="0" w:line="159" w:lineRule="exact"/>
              <w:rPr>
                <w:sz w:val="20"/>
                <w:szCs w:val="20"/>
                <w:color w:val="auto"/>
              </w:rPr>
            </w:pPr>
            <w:r>
              <w:rPr>
                <w:rFonts w:ascii="Arial" w:cs="Arial" w:eastAsia="Arial" w:hAnsi="Arial"/>
                <w:sz w:val="14"/>
                <w:szCs w:val="14"/>
                <w:color w:val="auto"/>
              </w:rPr>
              <w:t>Shares</w:t>
            </w:r>
          </w:p>
        </w:tc>
        <w:tc>
          <w:tcPr>
            <w:tcW w:w="820" w:type="dxa"/>
            <w:vAlign w:val="bottom"/>
            <w:tcBorders>
              <w:bottom w:val="single" w:sz="8" w:color="auto"/>
            </w:tcBorders>
            <w:gridSpan w:val="2"/>
          </w:tcPr>
          <w:p>
            <w:pPr>
              <w:ind w:left="240"/>
              <w:spacing w:after="0" w:line="159" w:lineRule="exact"/>
              <w:rPr>
                <w:sz w:val="20"/>
                <w:szCs w:val="20"/>
                <w:color w:val="auto"/>
              </w:rPr>
            </w:pPr>
            <w:r>
              <w:rPr>
                <w:rFonts w:ascii="Arial" w:cs="Arial" w:eastAsia="Arial" w:hAnsi="Arial"/>
                <w:sz w:val="14"/>
                <w:szCs w:val="14"/>
                <w:color w:val="auto"/>
              </w:rPr>
              <w:t>Amount</w:t>
            </w:r>
          </w:p>
        </w:tc>
      </w:tr>
      <w:tr>
        <w:trPr>
          <w:trHeight w:val="210"/>
        </w:trPr>
        <w:tc>
          <w:tcPr>
            <w:tcW w:w="5440" w:type="dxa"/>
            <w:vAlign w:val="bottom"/>
            <w:shd w:val="clear" w:color="auto" w:fill="E5E5E5"/>
          </w:tcPr>
          <w:p>
            <w:pPr>
              <w:spacing w:after="0"/>
              <w:rPr>
                <w:sz w:val="20"/>
                <w:szCs w:val="20"/>
                <w:color w:val="auto"/>
              </w:rPr>
            </w:pPr>
            <w:r>
              <w:rPr>
                <w:rFonts w:ascii="Arial" w:cs="Arial" w:eastAsia="Arial" w:hAnsi="Arial"/>
                <w:sz w:val="18"/>
                <w:szCs w:val="18"/>
                <w:color w:val="auto"/>
              </w:rPr>
              <w:t>Basic EPS attributable to Comcast Corporation shareholders</w:t>
            </w:r>
          </w:p>
        </w:tc>
        <w:tc>
          <w:tcPr>
            <w:tcW w:w="4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E5E5E5"/>
          </w:tcPr>
          <w:p>
            <w:pPr>
              <w:jc w:val="right"/>
              <w:ind w:right="99"/>
              <w:spacing w:after="0"/>
              <w:rPr>
                <w:sz w:val="20"/>
                <w:szCs w:val="20"/>
                <w:color w:val="auto"/>
              </w:rPr>
            </w:pPr>
            <w:r>
              <w:rPr>
                <w:rFonts w:ascii="Arial" w:cs="Arial" w:eastAsia="Arial" w:hAnsi="Arial"/>
                <w:sz w:val="18"/>
                <w:szCs w:val="18"/>
                <w:color w:val="auto"/>
              </w:rPr>
              <w:t>6,192</w:t>
            </w:r>
          </w:p>
        </w:tc>
        <w:tc>
          <w:tcPr>
            <w:tcW w:w="7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2,498</w:t>
            </w:r>
          </w:p>
        </w:tc>
        <w:tc>
          <w:tcPr>
            <w:tcW w:w="480" w:type="dxa"/>
            <w:vAlign w:val="bottom"/>
            <w:shd w:val="clear" w:color="auto" w:fill="E5E5E5"/>
          </w:tcPr>
          <w:p>
            <w:pPr>
              <w:ind w:left="320"/>
              <w:spacing w:after="0"/>
              <w:rPr>
                <w:sz w:val="20"/>
                <w:szCs w:val="20"/>
                <w:color w:val="auto"/>
              </w:rPr>
            </w:pPr>
            <w:r>
              <w:rPr>
                <w:rFonts w:ascii="Arial" w:cs="Arial" w:eastAsia="Arial" w:hAnsi="Arial"/>
                <w:sz w:val="18"/>
                <w:szCs w:val="18"/>
                <w:color w:val="auto"/>
              </w:rPr>
              <w:t>$</w:t>
            </w:r>
          </w:p>
        </w:tc>
        <w:tc>
          <w:tcPr>
            <w:tcW w:w="56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w w:val="96"/>
              </w:rPr>
              <w:t>2.48</w:t>
            </w:r>
          </w:p>
        </w:tc>
        <w:tc>
          <w:tcPr>
            <w:tcW w:w="3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E5E5E5"/>
          </w:tcPr>
          <w:p>
            <w:pPr>
              <w:jc w:val="right"/>
              <w:ind w:right="119"/>
              <w:spacing w:after="0"/>
              <w:rPr>
                <w:sz w:val="20"/>
                <w:szCs w:val="20"/>
                <w:color w:val="auto"/>
              </w:rPr>
            </w:pPr>
            <w:r>
              <w:rPr>
                <w:rFonts w:ascii="Arial" w:cs="Arial" w:eastAsia="Arial" w:hAnsi="Arial"/>
                <w:sz w:val="18"/>
                <w:szCs w:val="18"/>
                <w:color w:val="auto"/>
              </w:rPr>
              <w:t>6,455</w:t>
            </w:r>
          </w:p>
        </w:tc>
        <w:tc>
          <w:tcPr>
            <w:tcW w:w="880" w:type="dxa"/>
            <w:vAlign w:val="bottom"/>
            <w:shd w:val="clear" w:color="auto" w:fill="E5E5E5"/>
          </w:tcPr>
          <w:p>
            <w:pPr>
              <w:jc w:val="right"/>
              <w:ind w:right="120"/>
              <w:spacing w:after="0"/>
              <w:rPr>
                <w:sz w:val="20"/>
                <w:szCs w:val="20"/>
                <w:color w:val="auto"/>
              </w:rPr>
            </w:pPr>
            <w:r>
              <w:rPr>
                <w:rFonts w:ascii="Arial" w:cs="Arial" w:eastAsia="Arial" w:hAnsi="Arial"/>
                <w:sz w:val="18"/>
                <w:szCs w:val="18"/>
                <w:color w:val="auto"/>
              </w:rPr>
              <w:t>2,592</w:t>
            </w:r>
          </w:p>
        </w:tc>
        <w:tc>
          <w:tcPr>
            <w:tcW w:w="3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w w:val="96"/>
              </w:rPr>
              <w:t>2.49</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16"/>
        </w:trPr>
        <w:tc>
          <w:tcPr>
            <w:tcW w:w="5440" w:type="dxa"/>
            <w:vAlign w:val="bottom"/>
            <w:tcBorders>
              <w:bottom w:val="single" w:sz="8" w:color="auto"/>
            </w:tcBorders>
            <w:shd w:val="clear" w:color="auto" w:fill="E5E5E5"/>
          </w:tcPr>
          <w:p>
            <w:pPr>
              <w:ind w:left="440"/>
              <w:spacing w:after="0"/>
              <w:rPr>
                <w:sz w:val="20"/>
                <w:szCs w:val="20"/>
                <w:color w:val="auto"/>
              </w:rPr>
            </w:pPr>
            <w:r>
              <w:rPr>
                <w:rFonts w:ascii="Arial" w:cs="Arial" w:eastAsia="Arial" w:hAnsi="Arial"/>
                <w:sz w:val="18"/>
                <w:szCs w:val="18"/>
                <w:color w:val="auto"/>
                <w:w w:val="99"/>
              </w:rPr>
              <w:t>Assumed exercise or issuance of shares relating to stock plans</w:t>
            </w:r>
          </w:p>
        </w:tc>
        <w:tc>
          <w:tcPr>
            <w:tcW w:w="42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32</w:t>
            </w:r>
          </w:p>
        </w:tc>
        <w:tc>
          <w:tcPr>
            <w:tcW w:w="48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spacing w:after="0"/>
              <w:rPr>
                <w:sz w:val="18"/>
                <w:szCs w:val="18"/>
                <w:color w:val="auto"/>
              </w:rPr>
            </w:pPr>
          </w:p>
        </w:tc>
        <w:tc>
          <w:tcPr>
            <w:tcW w:w="34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spacing w:after="0"/>
              <w:rPr>
                <w:sz w:val="18"/>
                <w:szCs w:val="18"/>
                <w:color w:val="auto"/>
              </w:rPr>
            </w:pPr>
          </w:p>
        </w:tc>
        <w:tc>
          <w:tcPr>
            <w:tcW w:w="880" w:type="dxa"/>
            <w:vAlign w:val="bottom"/>
            <w:tcBorders>
              <w:bottom w:val="single" w:sz="8" w:color="auto"/>
            </w:tcBorders>
            <w:shd w:val="clear" w:color="auto" w:fill="E5E5E5"/>
          </w:tcPr>
          <w:p>
            <w:pPr>
              <w:jc w:val="right"/>
              <w:ind w:right="120"/>
              <w:spacing w:after="0"/>
              <w:rPr>
                <w:sz w:val="20"/>
                <w:szCs w:val="20"/>
                <w:color w:val="auto"/>
              </w:rPr>
            </w:pPr>
            <w:r>
              <w:rPr>
                <w:rFonts w:ascii="Arial" w:cs="Arial" w:eastAsia="Arial" w:hAnsi="Arial"/>
                <w:sz w:val="18"/>
                <w:szCs w:val="18"/>
                <w:color w:val="auto"/>
              </w:rPr>
              <w:t>37</w:t>
            </w:r>
          </w:p>
        </w:tc>
        <w:tc>
          <w:tcPr>
            <w:tcW w:w="360" w:type="dxa"/>
            <w:vAlign w:val="bottom"/>
            <w:tcBorders>
              <w:bottom w:val="single" w:sz="8" w:color="auto"/>
            </w:tcBorders>
            <w:shd w:val="clear" w:color="auto" w:fill="E5E5E5"/>
          </w:tcPr>
          <w:p>
            <w:pPr>
              <w:spacing w:after="0"/>
              <w:rPr>
                <w:sz w:val="18"/>
                <w:szCs w:val="18"/>
                <w:color w:val="auto"/>
              </w:rPr>
            </w:pPr>
          </w:p>
        </w:tc>
        <w:tc>
          <w:tcPr>
            <w:tcW w:w="460" w:type="dxa"/>
            <w:vAlign w:val="bottom"/>
            <w:tcBorders>
              <w:bottom w:val="single" w:sz="8" w:color="auto"/>
            </w:tcBorders>
            <w:shd w:val="clear" w:color="auto" w:fill="E5E5E5"/>
          </w:tcPr>
          <w:p>
            <w:pPr>
              <w:spacing w:after="0"/>
              <w:rPr>
                <w:sz w:val="18"/>
                <w:szCs w:val="18"/>
                <w:color w:val="auto"/>
              </w:rPr>
            </w:pPr>
          </w:p>
        </w:tc>
      </w:tr>
      <w:tr>
        <w:trPr>
          <w:trHeight w:val="217"/>
        </w:trPr>
        <w:tc>
          <w:tcPr>
            <w:tcW w:w="5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Diluted EPS attributable to Comcast Corporation shareholders</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right"/>
              <w:ind w:right="99"/>
              <w:spacing w:after="0"/>
              <w:rPr>
                <w:sz w:val="20"/>
                <w:szCs w:val="20"/>
                <w:color w:val="auto"/>
              </w:rPr>
            </w:pPr>
            <w:r>
              <w:rPr>
                <w:rFonts w:ascii="Arial" w:cs="Arial" w:eastAsia="Arial" w:hAnsi="Arial"/>
                <w:sz w:val="18"/>
                <w:szCs w:val="18"/>
                <w:b w:val="1"/>
                <w:bCs w:val="1"/>
                <w:color w:val="auto"/>
              </w:rPr>
              <w:t>6,192</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2,530</w:t>
            </w:r>
          </w:p>
        </w:tc>
        <w:tc>
          <w:tcPr>
            <w:tcW w:w="48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96"/>
              </w:rPr>
              <w:t>2.45</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right"/>
              <w:ind w:right="119"/>
              <w:spacing w:after="0"/>
              <w:rPr>
                <w:sz w:val="20"/>
                <w:szCs w:val="20"/>
                <w:color w:val="auto"/>
              </w:rPr>
            </w:pPr>
            <w:r>
              <w:rPr>
                <w:rFonts w:ascii="Arial" w:cs="Arial" w:eastAsia="Arial" w:hAnsi="Arial"/>
                <w:sz w:val="18"/>
                <w:szCs w:val="18"/>
                <w:b w:val="1"/>
                <w:bCs w:val="1"/>
                <w:color w:val="auto"/>
              </w:rPr>
              <w:t>6,455</w:t>
            </w:r>
          </w:p>
        </w:tc>
        <w:tc>
          <w:tcPr>
            <w:tcW w:w="880" w:type="dxa"/>
            <w:vAlign w:val="bottom"/>
            <w:tcBorders>
              <w:bottom w:val="single" w:sz="8" w:color="auto"/>
            </w:tcBorders>
          </w:tcPr>
          <w:p>
            <w:pPr>
              <w:jc w:val="right"/>
              <w:ind w:right="120"/>
              <w:spacing w:after="0"/>
              <w:rPr>
                <w:sz w:val="20"/>
                <w:szCs w:val="20"/>
                <w:color w:val="auto"/>
              </w:rPr>
            </w:pPr>
            <w:r>
              <w:rPr>
                <w:rFonts w:ascii="Arial" w:cs="Arial" w:eastAsia="Arial" w:hAnsi="Arial"/>
                <w:sz w:val="18"/>
                <w:szCs w:val="18"/>
                <w:b w:val="1"/>
                <w:bCs w:val="1"/>
                <w:color w:val="auto"/>
              </w:rPr>
              <w:t>2,629</w:t>
            </w:r>
          </w:p>
        </w:tc>
        <w:tc>
          <w:tcPr>
            <w:tcW w:w="36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w:t>
            </w:r>
          </w:p>
        </w:tc>
        <w:tc>
          <w:tcPr>
            <w:tcW w:w="4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96"/>
              </w:rPr>
              <w:t>2.46</w:t>
            </w:r>
          </w:p>
        </w:tc>
      </w:tr>
    </w:tbl>
    <w:p>
      <w:pPr>
        <w:spacing w:after="0" w:line="59"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Diluted earnings per common share attributable to Comcast Corporation shareholders (“diluted EPS”) considers the impact of potentially dilutive securities using the treasury stock method. Our potentially dilutive securities include potential common shares related to our stock options and our restricted share units (“RSUs”). The amount of potential common shares related to our share-based compensation plans that were excluded from diluted EPS because their effect would have been antidilutive was not material for the three and nine months ended September 30, 2015 and 2014.</w:t>
      </w:r>
    </w:p>
    <w:p>
      <w:pPr>
        <w:spacing w:after="0" w:line="1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4: Significant Transactions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Time Warner Cable Merger and Related Divestiture Transactions</w:t>
      </w:r>
    </w:p>
    <w:p>
      <w:pPr>
        <w:spacing w:after="0" w:line="7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On April 24, 2015, we and Time Warner Cable Inc. terminated our planned merger, and we terminated our related agreement with Charter Communications, Inc. to spin off, exchange and sell certain cable systems. In connection with these proposed transactions, we incurred incremental transaction-related expenses of $198 million for the nine months ended September 30, 2015 and $77 million and $138 million for the three and nine months ended September 30, 2014, respectively. The transaction-related expenses are reflected primarily in other operating and administrative expenses, with $20 million recorded in depreciation and amortization expenses associated with the write-off of certain capitalized costs in the nine months ended September 30, 2015.</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5: Film and Television Costs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4100" w:type="dxa"/>
            <w:vAlign w:val="bottom"/>
            <w:gridSpan w:val="2"/>
          </w:tcPr>
          <w:p>
            <w:pPr>
              <w:ind w:left="2920"/>
              <w:spacing w:after="0"/>
              <w:rPr>
                <w:sz w:val="20"/>
                <w:szCs w:val="20"/>
                <w:color w:val="auto"/>
              </w:rPr>
            </w:pPr>
            <w:r>
              <w:rPr>
                <w:rFonts w:ascii="Arial" w:cs="Arial" w:eastAsia="Arial" w:hAnsi="Arial"/>
                <w:sz w:val="14"/>
                <w:szCs w:val="14"/>
                <w:color w:val="auto"/>
              </w:rPr>
              <w:t>September 30,</w:t>
            </w:r>
          </w:p>
        </w:tc>
        <w:tc>
          <w:tcPr>
            <w:tcW w:w="1280" w:type="dxa"/>
            <w:vAlign w:val="bottom"/>
            <w:gridSpan w:val="2"/>
          </w:tcPr>
          <w:p>
            <w:pPr>
              <w:ind w:left="420"/>
              <w:spacing w:after="0"/>
              <w:rPr>
                <w:sz w:val="20"/>
                <w:szCs w:val="20"/>
                <w:color w:val="auto"/>
              </w:rPr>
            </w:pPr>
            <w:r>
              <w:rPr>
                <w:rFonts w:ascii="Arial" w:cs="Arial" w:eastAsia="Arial" w:hAnsi="Arial"/>
                <w:sz w:val="14"/>
                <w:szCs w:val="14"/>
                <w:color w:val="auto"/>
                <w:w w:val="95"/>
              </w:rPr>
              <w:t>December 31,</w:t>
            </w:r>
          </w:p>
        </w:tc>
      </w:tr>
      <w:tr>
        <w:trPr>
          <w:trHeight w:val="159"/>
        </w:trPr>
        <w:tc>
          <w:tcPr>
            <w:tcW w:w="604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30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74"/>
              <w:spacing w:after="0" w:line="159" w:lineRule="exact"/>
              <w:rPr>
                <w:sz w:val="20"/>
                <w:szCs w:val="20"/>
                <w:color w:val="auto"/>
              </w:rPr>
            </w:pPr>
            <w:r>
              <w:rPr>
                <w:rFonts w:ascii="Arial" w:cs="Arial" w:eastAsia="Arial" w:hAnsi="Arial"/>
                <w:sz w:val="14"/>
                <w:szCs w:val="14"/>
                <w:color w:val="auto"/>
              </w:rPr>
              <w:t>2015</w:t>
            </w:r>
          </w:p>
        </w:tc>
        <w:tc>
          <w:tcPr>
            <w:tcW w:w="5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54"/>
              <w:spacing w:after="0" w:line="159" w:lineRule="exact"/>
              <w:rPr>
                <w:sz w:val="20"/>
                <w:szCs w:val="20"/>
                <w:color w:val="auto"/>
              </w:rPr>
            </w:pPr>
            <w:r>
              <w:rPr>
                <w:rFonts w:ascii="Arial" w:cs="Arial" w:eastAsia="Arial" w:hAnsi="Arial"/>
                <w:sz w:val="14"/>
                <w:szCs w:val="14"/>
                <w:color w:val="auto"/>
              </w:rPr>
              <w:t>2014</w:t>
            </w:r>
          </w:p>
        </w:tc>
      </w:tr>
      <w:tr>
        <w:trPr>
          <w:trHeight w:val="210"/>
        </w:trPr>
        <w:tc>
          <w:tcPr>
            <w:tcW w:w="6040" w:type="dxa"/>
            <w:vAlign w:val="bottom"/>
            <w:shd w:val="clear" w:color="auto" w:fill="E5E5E5"/>
          </w:tcPr>
          <w:p>
            <w:pPr>
              <w:spacing w:after="0"/>
              <w:rPr>
                <w:sz w:val="20"/>
                <w:szCs w:val="20"/>
                <w:color w:val="auto"/>
              </w:rPr>
            </w:pPr>
            <w:r>
              <w:rPr>
                <w:rFonts w:ascii="Arial" w:cs="Arial" w:eastAsia="Arial" w:hAnsi="Arial"/>
                <w:sz w:val="18"/>
                <w:szCs w:val="18"/>
                <w:color w:val="auto"/>
              </w:rPr>
              <w:t>Film Costs:</w:t>
            </w:r>
          </w:p>
        </w:tc>
        <w:tc>
          <w:tcPr>
            <w:tcW w:w="3080" w:type="dxa"/>
            <w:vAlign w:val="bottom"/>
            <w:shd w:val="clear" w:color="auto" w:fill="E5E5E5"/>
          </w:tcPr>
          <w:p>
            <w:pPr>
              <w:spacing w:after="0"/>
              <w:rPr>
                <w:sz w:val="18"/>
                <w:szCs w:val="18"/>
                <w:color w:val="auto"/>
              </w:rPr>
            </w:pPr>
          </w:p>
        </w:tc>
        <w:tc>
          <w:tcPr>
            <w:tcW w:w="102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r>
      <w:tr>
        <w:trPr>
          <w:trHeight w:val="216"/>
        </w:trPr>
        <w:tc>
          <w:tcPr>
            <w:tcW w:w="6040" w:type="dxa"/>
            <w:vAlign w:val="bottom"/>
          </w:tcPr>
          <w:p>
            <w:pPr>
              <w:ind w:left="440"/>
              <w:spacing w:after="0"/>
              <w:rPr>
                <w:sz w:val="20"/>
                <w:szCs w:val="20"/>
                <w:color w:val="auto"/>
              </w:rPr>
            </w:pPr>
            <w:r>
              <w:rPr>
                <w:rFonts w:ascii="Arial" w:cs="Arial" w:eastAsia="Arial" w:hAnsi="Arial"/>
                <w:sz w:val="18"/>
                <w:szCs w:val="18"/>
                <w:color w:val="auto"/>
              </w:rPr>
              <w:t>Released, less amortization</w:t>
            </w:r>
          </w:p>
        </w:tc>
        <w:tc>
          <w:tcPr>
            <w:tcW w:w="3080" w:type="dxa"/>
            <w:vAlign w:val="bottom"/>
          </w:tcPr>
          <w:p>
            <w:pPr>
              <w:ind w:left="29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14"/>
              <w:spacing w:after="0"/>
              <w:rPr>
                <w:sz w:val="20"/>
                <w:szCs w:val="20"/>
                <w:color w:val="auto"/>
              </w:rPr>
            </w:pPr>
            <w:r>
              <w:rPr>
                <w:rFonts w:ascii="Arial" w:cs="Arial" w:eastAsia="Arial" w:hAnsi="Arial"/>
                <w:sz w:val="18"/>
                <w:szCs w:val="18"/>
                <w:color w:val="auto"/>
              </w:rPr>
              <w:t>1,365</w:t>
            </w:r>
          </w:p>
        </w:tc>
        <w:tc>
          <w:tcPr>
            <w:tcW w:w="580" w:type="dxa"/>
            <w:vAlign w:val="bottom"/>
          </w:tcPr>
          <w:p>
            <w:pPr>
              <w:ind w:left="42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1,371</w:t>
            </w:r>
          </w:p>
        </w:tc>
      </w:tr>
      <w:tr>
        <w:trPr>
          <w:trHeight w:val="216"/>
        </w:trPr>
        <w:tc>
          <w:tcPr>
            <w:tcW w:w="604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Completed, not released</w:t>
            </w:r>
          </w:p>
        </w:tc>
        <w:tc>
          <w:tcPr>
            <w:tcW w:w="3080" w:type="dxa"/>
            <w:vAlign w:val="bottom"/>
            <w:shd w:val="clear" w:color="auto" w:fill="E5E5E5"/>
          </w:tcPr>
          <w:p>
            <w:pPr>
              <w:spacing w:after="0"/>
              <w:rPr>
                <w:sz w:val="18"/>
                <w:szCs w:val="18"/>
                <w:color w:val="auto"/>
              </w:rPr>
            </w:pPr>
          </w:p>
        </w:tc>
        <w:tc>
          <w:tcPr>
            <w:tcW w:w="1020" w:type="dxa"/>
            <w:vAlign w:val="bottom"/>
            <w:shd w:val="clear" w:color="auto" w:fill="E5E5E5"/>
          </w:tcPr>
          <w:p>
            <w:pPr>
              <w:jc w:val="right"/>
              <w:ind w:right="314"/>
              <w:spacing w:after="0"/>
              <w:rPr>
                <w:sz w:val="20"/>
                <w:szCs w:val="20"/>
                <w:color w:val="auto"/>
              </w:rPr>
            </w:pPr>
            <w:r>
              <w:rPr>
                <w:rFonts w:ascii="Arial" w:cs="Arial" w:eastAsia="Arial" w:hAnsi="Arial"/>
                <w:sz w:val="18"/>
                <w:szCs w:val="18"/>
                <w:color w:val="auto"/>
              </w:rPr>
              <w:t>208</w:t>
            </w:r>
          </w:p>
        </w:tc>
        <w:tc>
          <w:tcPr>
            <w:tcW w:w="5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71</w:t>
            </w:r>
          </w:p>
        </w:tc>
      </w:tr>
      <w:tr>
        <w:trPr>
          <w:trHeight w:val="216"/>
        </w:trPr>
        <w:tc>
          <w:tcPr>
            <w:tcW w:w="604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In production and in development</w:t>
            </w:r>
          </w:p>
        </w:tc>
        <w:tc>
          <w:tcPr>
            <w:tcW w:w="30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14"/>
              <w:spacing w:after="0"/>
              <w:rPr>
                <w:sz w:val="20"/>
                <w:szCs w:val="20"/>
                <w:color w:val="auto"/>
              </w:rPr>
            </w:pPr>
            <w:r>
              <w:rPr>
                <w:rFonts w:ascii="Arial" w:cs="Arial" w:eastAsia="Arial" w:hAnsi="Arial"/>
                <w:sz w:val="18"/>
                <w:szCs w:val="18"/>
                <w:color w:val="auto"/>
              </w:rPr>
              <w:t>768</w:t>
            </w:r>
          </w:p>
        </w:tc>
        <w:tc>
          <w:tcPr>
            <w:tcW w:w="5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1,189</w:t>
            </w:r>
          </w:p>
        </w:tc>
      </w:tr>
      <w:tr>
        <w:trPr>
          <w:trHeight w:val="210"/>
        </w:trPr>
        <w:tc>
          <w:tcPr>
            <w:tcW w:w="6040" w:type="dxa"/>
            <w:vAlign w:val="bottom"/>
            <w:shd w:val="clear" w:color="auto" w:fill="E5E5E5"/>
          </w:tcPr>
          <w:p>
            <w:pPr>
              <w:spacing w:after="0"/>
              <w:rPr>
                <w:sz w:val="18"/>
                <w:szCs w:val="18"/>
                <w:color w:val="auto"/>
              </w:rPr>
            </w:pPr>
          </w:p>
        </w:tc>
        <w:tc>
          <w:tcPr>
            <w:tcW w:w="3080" w:type="dxa"/>
            <w:vAlign w:val="bottom"/>
            <w:shd w:val="clear" w:color="auto" w:fill="E5E5E5"/>
          </w:tcPr>
          <w:p>
            <w:pPr>
              <w:spacing w:after="0"/>
              <w:rPr>
                <w:sz w:val="18"/>
                <w:szCs w:val="18"/>
                <w:color w:val="auto"/>
              </w:rPr>
            </w:pPr>
          </w:p>
        </w:tc>
        <w:tc>
          <w:tcPr>
            <w:tcW w:w="1020" w:type="dxa"/>
            <w:vAlign w:val="bottom"/>
            <w:shd w:val="clear" w:color="auto" w:fill="E5E5E5"/>
          </w:tcPr>
          <w:p>
            <w:pPr>
              <w:jc w:val="right"/>
              <w:ind w:right="314"/>
              <w:spacing w:after="0"/>
              <w:rPr>
                <w:sz w:val="20"/>
                <w:szCs w:val="20"/>
                <w:color w:val="auto"/>
              </w:rPr>
            </w:pPr>
            <w:r>
              <w:rPr>
                <w:rFonts w:ascii="Arial" w:cs="Arial" w:eastAsia="Arial" w:hAnsi="Arial"/>
                <w:sz w:val="18"/>
                <w:szCs w:val="18"/>
                <w:color w:val="auto"/>
              </w:rPr>
              <w:t>2,341</w:t>
            </w:r>
          </w:p>
        </w:tc>
        <w:tc>
          <w:tcPr>
            <w:tcW w:w="5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2,631</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Television Costs:</w:t>
            </w:r>
          </w:p>
        </w:tc>
        <w:tc>
          <w:tcPr>
            <w:tcW w:w="30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6040" w:type="dxa"/>
            <w:vAlign w:val="bottom"/>
            <w:shd w:val="clear" w:color="auto" w:fill="E5E5E5"/>
          </w:tcPr>
          <w:p>
            <w:pPr>
              <w:ind w:left="440"/>
              <w:spacing w:after="0"/>
              <w:rPr>
                <w:sz w:val="20"/>
                <w:szCs w:val="20"/>
                <w:color w:val="auto"/>
              </w:rPr>
            </w:pPr>
            <w:r>
              <w:rPr>
                <w:rFonts w:ascii="Arial" w:cs="Arial" w:eastAsia="Arial" w:hAnsi="Arial"/>
                <w:sz w:val="18"/>
                <w:szCs w:val="18"/>
                <w:color w:val="auto"/>
              </w:rPr>
              <w:t>Released, less amortization</w:t>
            </w:r>
          </w:p>
        </w:tc>
        <w:tc>
          <w:tcPr>
            <w:tcW w:w="3080" w:type="dxa"/>
            <w:vAlign w:val="bottom"/>
            <w:shd w:val="clear" w:color="auto" w:fill="E5E5E5"/>
          </w:tcPr>
          <w:p>
            <w:pPr>
              <w:spacing w:after="0"/>
              <w:rPr>
                <w:sz w:val="18"/>
                <w:szCs w:val="18"/>
                <w:color w:val="auto"/>
              </w:rPr>
            </w:pPr>
          </w:p>
        </w:tc>
        <w:tc>
          <w:tcPr>
            <w:tcW w:w="1020" w:type="dxa"/>
            <w:vAlign w:val="bottom"/>
            <w:shd w:val="clear" w:color="auto" w:fill="E5E5E5"/>
          </w:tcPr>
          <w:p>
            <w:pPr>
              <w:jc w:val="right"/>
              <w:ind w:right="314"/>
              <w:spacing w:after="0"/>
              <w:rPr>
                <w:sz w:val="20"/>
                <w:szCs w:val="20"/>
                <w:color w:val="auto"/>
              </w:rPr>
            </w:pPr>
            <w:r>
              <w:rPr>
                <w:rFonts w:ascii="Arial" w:cs="Arial" w:eastAsia="Arial" w:hAnsi="Arial"/>
                <w:sz w:val="18"/>
                <w:szCs w:val="18"/>
                <w:color w:val="auto"/>
              </w:rPr>
              <w:t>1,505</w:t>
            </w:r>
          </w:p>
        </w:tc>
        <w:tc>
          <w:tcPr>
            <w:tcW w:w="5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1,273</w:t>
            </w:r>
          </w:p>
        </w:tc>
      </w:tr>
      <w:tr>
        <w:trPr>
          <w:trHeight w:val="216"/>
        </w:trPr>
        <w:tc>
          <w:tcPr>
            <w:tcW w:w="604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In production and in development</w:t>
            </w:r>
          </w:p>
        </w:tc>
        <w:tc>
          <w:tcPr>
            <w:tcW w:w="30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14"/>
              <w:spacing w:after="0"/>
              <w:rPr>
                <w:sz w:val="20"/>
                <w:szCs w:val="20"/>
                <w:color w:val="auto"/>
              </w:rPr>
            </w:pPr>
            <w:r>
              <w:rPr>
                <w:rFonts w:ascii="Arial" w:cs="Arial" w:eastAsia="Arial" w:hAnsi="Arial"/>
                <w:sz w:val="18"/>
                <w:szCs w:val="18"/>
                <w:color w:val="auto"/>
              </w:rPr>
              <w:t>699</w:t>
            </w:r>
          </w:p>
        </w:tc>
        <w:tc>
          <w:tcPr>
            <w:tcW w:w="5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505</w:t>
            </w:r>
          </w:p>
        </w:tc>
      </w:tr>
      <w:tr>
        <w:trPr>
          <w:trHeight w:val="210"/>
        </w:trPr>
        <w:tc>
          <w:tcPr>
            <w:tcW w:w="6040" w:type="dxa"/>
            <w:vAlign w:val="bottom"/>
            <w:shd w:val="clear" w:color="auto" w:fill="E5E5E5"/>
          </w:tcPr>
          <w:p>
            <w:pPr>
              <w:spacing w:after="0"/>
              <w:rPr>
                <w:sz w:val="18"/>
                <w:szCs w:val="18"/>
                <w:color w:val="auto"/>
              </w:rPr>
            </w:pPr>
          </w:p>
        </w:tc>
        <w:tc>
          <w:tcPr>
            <w:tcW w:w="3080" w:type="dxa"/>
            <w:vAlign w:val="bottom"/>
            <w:shd w:val="clear" w:color="auto" w:fill="E5E5E5"/>
          </w:tcPr>
          <w:p>
            <w:pPr>
              <w:spacing w:after="0"/>
              <w:rPr>
                <w:sz w:val="18"/>
                <w:szCs w:val="18"/>
                <w:color w:val="auto"/>
              </w:rPr>
            </w:pPr>
          </w:p>
        </w:tc>
        <w:tc>
          <w:tcPr>
            <w:tcW w:w="1020" w:type="dxa"/>
            <w:vAlign w:val="bottom"/>
            <w:shd w:val="clear" w:color="auto" w:fill="E5E5E5"/>
          </w:tcPr>
          <w:p>
            <w:pPr>
              <w:jc w:val="right"/>
              <w:ind w:right="314"/>
              <w:spacing w:after="0"/>
              <w:rPr>
                <w:sz w:val="20"/>
                <w:szCs w:val="20"/>
                <w:color w:val="auto"/>
              </w:rPr>
            </w:pPr>
            <w:r>
              <w:rPr>
                <w:rFonts w:ascii="Arial" w:cs="Arial" w:eastAsia="Arial" w:hAnsi="Arial"/>
                <w:sz w:val="18"/>
                <w:szCs w:val="18"/>
                <w:color w:val="auto"/>
              </w:rPr>
              <w:t>2,204</w:t>
            </w:r>
          </w:p>
        </w:tc>
        <w:tc>
          <w:tcPr>
            <w:tcW w:w="5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1,778</w:t>
            </w:r>
          </w:p>
        </w:tc>
      </w:tr>
      <w:tr>
        <w:trPr>
          <w:trHeight w:val="216"/>
        </w:trPr>
        <w:tc>
          <w:tcPr>
            <w:tcW w:w="6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Programming rights, less amortization</w:t>
            </w:r>
          </w:p>
        </w:tc>
        <w:tc>
          <w:tcPr>
            <w:tcW w:w="30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14"/>
              <w:spacing w:after="0"/>
              <w:rPr>
                <w:sz w:val="20"/>
                <w:szCs w:val="20"/>
                <w:color w:val="auto"/>
              </w:rPr>
            </w:pPr>
            <w:r>
              <w:rPr>
                <w:rFonts w:ascii="Arial" w:cs="Arial" w:eastAsia="Arial" w:hAnsi="Arial"/>
                <w:sz w:val="18"/>
                <w:szCs w:val="18"/>
                <w:color w:val="auto"/>
              </w:rPr>
              <w:t>2,297</w:t>
            </w:r>
          </w:p>
        </w:tc>
        <w:tc>
          <w:tcPr>
            <w:tcW w:w="5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2,157</w:t>
            </w:r>
          </w:p>
        </w:tc>
      </w:tr>
      <w:tr>
        <w:trPr>
          <w:trHeight w:val="210"/>
        </w:trPr>
        <w:tc>
          <w:tcPr>
            <w:tcW w:w="6040" w:type="dxa"/>
            <w:vAlign w:val="bottom"/>
            <w:shd w:val="clear" w:color="auto" w:fill="E5E5E5"/>
          </w:tcPr>
          <w:p>
            <w:pPr>
              <w:spacing w:after="0"/>
              <w:rPr>
                <w:sz w:val="18"/>
                <w:szCs w:val="18"/>
                <w:color w:val="auto"/>
              </w:rPr>
            </w:pPr>
          </w:p>
        </w:tc>
        <w:tc>
          <w:tcPr>
            <w:tcW w:w="3080" w:type="dxa"/>
            <w:vAlign w:val="bottom"/>
            <w:shd w:val="clear" w:color="auto" w:fill="E5E5E5"/>
          </w:tcPr>
          <w:p>
            <w:pPr>
              <w:spacing w:after="0"/>
              <w:rPr>
                <w:sz w:val="18"/>
                <w:szCs w:val="18"/>
                <w:color w:val="auto"/>
              </w:rPr>
            </w:pPr>
          </w:p>
        </w:tc>
        <w:tc>
          <w:tcPr>
            <w:tcW w:w="1020" w:type="dxa"/>
            <w:vAlign w:val="bottom"/>
            <w:shd w:val="clear" w:color="auto" w:fill="E5E5E5"/>
          </w:tcPr>
          <w:p>
            <w:pPr>
              <w:jc w:val="right"/>
              <w:ind w:right="314"/>
              <w:spacing w:after="0"/>
              <w:rPr>
                <w:sz w:val="20"/>
                <w:szCs w:val="20"/>
                <w:color w:val="auto"/>
              </w:rPr>
            </w:pPr>
            <w:r>
              <w:rPr>
                <w:rFonts w:ascii="Arial" w:cs="Arial" w:eastAsia="Arial" w:hAnsi="Arial"/>
                <w:sz w:val="18"/>
                <w:szCs w:val="18"/>
                <w:color w:val="auto"/>
              </w:rPr>
              <w:t>6,842</w:t>
            </w:r>
          </w:p>
        </w:tc>
        <w:tc>
          <w:tcPr>
            <w:tcW w:w="5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6,566</w:t>
            </w:r>
          </w:p>
        </w:tc>
      </w:tr>
      <w:tr>
        <w:trPr>
          <w:trHeight w:val="216"/>
        </w:trPr>
        <w:tc>
          <w:tcPr>
            <w:tcW w:w="6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Current portion of programming rights</w:t>
            </w:r>
          </w:p>
        </w:tc>
        <w:tc>
          <w:tcPr>
            <w:tcW w:w="30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14"/>
              <w:spacing w:after="0"/>
              <w:rPr>
                <w:sz w:val="20"/>
                <w:szCs w:val="20"/>
                <w:color w:val="auto"/>
              </w:rPr>
            </w:pPr>
            <w:r>
              <w:rPr>
                <w:rFonts w:ascii="Arial" w:cs="Arial" w:eastAsia="Arial" w:hAnsi="Arial"/>
                <w:sz w:val="18"/>
                <w:szCs w:val="18"/>
                <w:color w:val="auto"/>
              </w:rPr>
              <w:t>1,130</w:t>
            </w:r>
          </w:p>
        </w:tc>
        <w:tc>
          <w:tcPr>
            <w:tcW w:w="5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839</w:t>
            </w:r>
          </w:p>
        </w:tc>
      </w:tr>
      <w:tr>
        <w:trPr>
          <w:trHeight w:val="217"/>
        </w:trPr>
        <w:tc>
          <w:tcPr>
            <w:tcW w:w="60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Film and television costs</w:t>
            </w:r>
          </w:p>
        </w:tc>
        <w:tc>
          <w:tcPr>
            <w:tcW w:w="3080" w:type="dxa"/>
            <w:vAlign w:val="bottom"/>
            <w:tcBorders>
              <w:bottom w:val="single" w:sz="8" w:color="auto"/>
            </w:tcBorders>
            <w:shd w:val="clear" w:color="auto" w:fill="E5E5E5"/>
          </w:tcPr>
          <w:p>
            <w:pPr>
              <w:ind w:left="290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shd w:val="clear" w:color="auto" w:fill="E5E5E5"/>
          </w:tcPr>
          <w:p>
            <w:pPr>
              <w:jc w:val="right"/>
              <w:ind w:right="314"/>
              <w:spacing w:after="0"/>
              <w:rPr>
                <w:sz w:val="20"/>
                <w:szCs w:val="20"/>
                <w:color w:val="auto"/>
              </w:rPr>
            </w:pPr>
            <w:r>
              <w:rPr>
                <w:rFonts w:ascii="Arial" w:cs="Arial" w:eastAsia="Arial" w:hAnsi="Arial"/>
                <w:sz w:val="18"/>
                <w:szCs w:val="18"/>
                <w:b w:val="1"/>
                <w:bCs w:val="1"/>
                <w:color w:val="auto"/>
              </w:rPr>
              <w:t>5,712</w:t>
            </w:r>
          </w:p>
        </w:tc>
        <w:tc>
          <w:tcPr>
            <w:tcW w:w="58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b w:val="1"/>
                <w:bCs w:val="1"/>
                <w:color w:val="auto"/>
              </w:rPr>
              <w:t>5,727</w:t>
            </w:r>
          </w:p>
        </w:tc>
      </w:tr>
    </w:tbl>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6: Investments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gridSpan w:val="2"/>
          </w:tcPr>
          <w:p>
            <w:pPr>
              <w:ind w:left="240"/>
              <w:spacing w:after="0"/>
              <w:rPr>
                <w:sz w:val="20"/>
                <w:szCs w:val="20"/>
                <w:color w:val="auto"/>
              </w:rPr>
            </w:pPr>
            <w:r>
              <w:rPr>
                <w:rFonts w:ascii="Arial" w:cs="Arial" w:eastAsia="Arial" w:hAnsi="Arial"/>
                <w:sz w:val="14"/>
                <w:szCs w:val="14"/>
                <w:color w:val="auto"/>
                <w:w w:val="82"/>
              </w:rPr>
              <w:t>September 30,</w:t>
            </w:r>
          </w:p>
        </w:tc>
        <w:tc>
          <w:tcPr>
            <w:tcW w:w="120" w:type="dxa"/>
            <w:vAlign w:val="bottom"/>
          </w:tcPr>
          <w:p>
            <w:pPr>
              <w:spacing w:after="0"/>
              <w:rPr>
                <w:sz w:val="14"/>
                <w:szCs w:val="14"/>
                <w:color w:val="auto"/>
              </w:rPr>
            </w:pPr>
          </w:p>
        </w:tc>
        <w:tc>
          <w:tcPr>
            <w:tcW w:w="1580" w:type="dxa"/>
            <w:vAlign w:val="bottom"/>
            <w:gridSpan w:val="3"/>
          </w:tcPr>
          <w:p>
            <w:pPr>
              <w:ind w:left="720"/>
              <w:spacing w:after="0"/>
              <w:rPr>
                <w:sz w:val="20"/>
                <w:szCs w:val="20"/>
                <w:color w:val="auto"/>
              </w:rPr>
            </w:pPr>
            <w:r>
              <w:rPr>
                <w:rFonts w:ascii="Arial" w:cs="Arial" w:eastAsia="Arial" w:hAnsi="Arial"/>
                <w:sz w:val="14"/>
                <w:szCs w:val="14"/>
                <w:color w:val="auto"/>
                <w:w w:val="95"/>
              </w:rPr>
              <w:t>December 31,</w:t>
            </w:r>
          </w:p>
        </w:tc>
      </w:tr>
      <w:tr>
        <w:trPr>
          <w:trHeight w:val="159"/>
        </w:trPr>
        <w:tc>
          <w:tcPr>
            <w:tcW w:w="7220" w:type="dxa"/>
            <w:vAlign w:val="bottom"/>
            <w:tcBorders>
              <w:bottom w:val="single" w:sz="8" w:color="auto"/>
            </w:tcBorders>
            <w:gridSpan w:val="2"/>
          </w:tcPr>
          <w:p>
            <w:pPr>
              <w:spacing w:after="0" w:line="159" w:lineRule="exact"/>
              <w:rPr>
                <w:sz w:val="20"/>
                <w:szCs w:val="20"/>
                <w:color w:val="auto"/>
              </w:rPr>
            </w:pPr>
            <w:r>
              <w:rPr>
                <w:rFonts w:ascii="Arial" w:cs="Arial" w:eastAsia="Arial" w:hAnsi="Arial"/>
                <w:sz w:val="14"/>
                <w:szCs w:val="14"/>
                <w:color w:val="auto"/>
              </w:rPr>
              <w:t>(in millions)</w:t>
            </w:r>
          </w:p>
        </w:tc>
        <w:tc>
          <w:tcPr>
            <w:tcW w:w="3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74"/>
              <w:spacing w:after="0" w:line="159" w:lineRule="exact"/>
              <w:rPr>
                <w:sz w:val="20"/>
                <w:szCs w:val="20"/>
                <w:color w:val="auto"/>
              </w:rPr>
            </w:pPr>
            <w:r>
              <w:rPr>
                <w:rFonts w:ascii="Arial" w:cs="Arial" w:eastAsia="Arial" w:hAnsi="Arial"/>
                <w:sz w:val="14"/>
                <w:szCs w:val="14"/>
                <w:color w:val="auto"/>
                <w:w w:val="83"/>
              </w:rPr>
              <w:t>2015</w:t>
            </w: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54"/>
              <w:spacing w:after="0" w:line="159" w:lineRule="exact"/>
              <w:rPr>
                <w:sz w:val="20"/>
                <w:szCs w:val="20"/>
                <w:color w:val="auto"/>
              </w:rPr>
            </w:pPr>
            <w:r>
              <w:rPr>
                <w:rFonts w:ascii="Arial" w:cs="Arial" w:eastAsia="Arial" w:hAnsi="Arial"/>
                <w:sz w:val="14"/>
                <w:szCs w:val="14"/>
                <w:color w:val="auto"/>
                <w:w w:val="89"/>
              </w:rPr>
              <w:t>2014</w:t>
            </w:r>
          </w:p>
        </w:tc>
      </w:tr>
      <w:tr>
        <w:trPr>
          <w:trHeight w:val="210"/>
        </w:trPr>
        <w:tc>
          <w:tcPr>
            <w:tcW w:w="722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Fair Value Method</w:t>
            </w: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480" w:type="dxa"/>
            <w:vAlign w:val="bottom"/>
            <w:shd w:val="clear" w:color="auto" w:fill="E5E5E5"/>
          </w:tcPr>
          <w:p>
            <w:pPr>
              <w:ind w:left="240"/>
              <w:spacing w:after="0"/>
              <w:rPr>
                <w:sz w:val="20"/>
                <w:szCs w:val="20"/>
                <w:color w:val="auto"/>
              </w:rPr>
            </w:pPr>
            <w:r>
              <w:rPr>
                <w:rFonts w:ascii="Arial" w:cs="Arial" w:eastAsia="Arial" w:hAnsi="Arial"/>
                <w:sz w:val="18"/>
                <w:szCs w:val="18"/>
                <w:color w:val="auto"/>
              </w:rPr>
              <w:t>$</w:t>
            </w:r>
          </w:p>
        </w:tc>
        <w:tc>
          <w:tcPr>
            <w:tcW w:w="5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167</w:t>
            </w:r>
          </w:p>
        </w:tc>
        <w:tc>
          <w:tcPr>
            <w:tcW w:w="120" w:type="dxa"/>
            <w:vAlign w:val="bottom"/>
            <w:shd w:val="clear" w:color="auto" w:fill="E5E5E5"/>
          </w:tcPr>
          <w:p>
            <w:pPr>
              <w:spacing w:after="0"/>
              <w:rPr>
                <w:sz w:val="18"/>
                <w:szCs w:val="18"/>
                <w:color w:val="auto"/>
              </w:rPr>
            </w:pPr>
          </w:p>
        </w:tc>
        <w:tc>
          <w:tcPr>
            <w:tcW w:w="820" w:type="dxa"/>
            <w:vAlign w:val="bottom"/>
            <w:shd w:val="clear" w:color="auto" w:fill="E5E5E5"/>
          </w:tcPr>
          <w:p>
            <w:pPr>
              <w:ind w:left="720"/>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662</w:t>
            </w:r>
          </w:p>
        </w:tc>
      </w:tr>
      <w:tr>
        <w:trPr>
          <w:trHeight w:val="216"/>
        </w:trPr>
        <w:tc>
          <w:tcPr>
            <w:tcW w:w="7220" w:type="dxa"/>
            <w:vAlign w:val="bottom"/>
            <w:gridSpan w:val="2"/>
          </w:tcPr>
          <w:p>
            <w:pPr>
              <w:spacing w:after="0"/>
              <w:rPr>
                <w:sz w:val="20"/>
                <w:szCs w:val="20"/>
                <w:color w:val="auto"/>
              </w:rPr>
            </w:pPr>
            <w:r>
              <w:rPr>
                <w:rFonts w:ascii="Arial" w:cs="Arial" w:eastAsia="Arial" w:hAnsi="Arial"/>
                <w:sz w:val="18"/>
                <w:szCs w:val="18"/>
                <w:color w:val="auto"/>
              </w:rPr>
              <w:t>Equity Method:</w:t>
            </w: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7220" w:type="dxa"/>
            <w:vAlign w:val="bottom"/>
            <w:gridSpan w:val="2"/>
            <w:shd w:val="clear" w:color="auto" w:fill="E5E5E5"/>
          </w:tcPr>
          <w:p>
            <w:pPr>
              <w:ind w:left="440"/>
              <w:spacing w:after="0"/>
              <w:rPr>
                <w:sz w:val="20"/>
                <w:szCs w:val="20"/>
                <w:color w:val="auto"/>
              </w:rPr>
            </w:pPr>
            <w:r>
              <w:rPr>
                <w:rFonts w:ascii="Arial" w:cs="Arial" w:eastAsia="Arial" w:hAnsi="Arial"/>
                <w:sz w:val="18"/>
                <w:szCs w:val="18"/>
                <w:color w:val="auto"/>
              </w:rPr>
              <w:t>The Weather Channel</w:t>
            </w: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5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81</w:t>
            </w:r>
          </w:p>
        </w:tc>
        <w:tc>
          <w:tcPr>
            <w:tcW w:w="12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335</w:t>
            </w:r>
          </w:p>
        </w:tc>
      </w:tr>
      <w:tr>
        <w:trPr>
          <w:trHeight w:val="216"/>
        </w:trPr>
        <w:tc>
          <w:tcPr>
            <w:tcW w:w="7220" w:type="dxa"/>
            <w:vAlign w:val="bottom"/>
            <w:gridSpan w:val="2"/>
          </w:tcPr>
          <w:p>
            <w:pPr>
              <w:ind w:left="440"/>
              <w:spacing w:after="0"/>
              <w:rPr>
                <w:sz w:val="20"/>
                <w:szCs w:val="20"/>
                <w:color w:val="auto"/>
              </w:rPr>
            </w:pPr>
            <w:r>
              <w:rPr>
                <w:rFonts w:ascii="Arial" w:cs="Arial" w:eastAsia="Arial" w:hAnsi="Arial"/>
                <w:sz w:val="18"/>
                <w:szCs w:val="18"/>
                <w:color w:val="auto"/>
              </w:rPr>
              <w:t>Hulu</w:t>
            </w: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247</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167</w:t>
            </w:r>
          </w:p>
        </w:tc>
      </w:tr>
      <w:tr>
        <w:trPr>
          <w:trHeight w:val="216"/>
        </w:trPr>
        <w:tc>
          <w:tcPr>
            <w:tcW w:w="7220" w:type="dxa"/>
            <w:vAlign w:val="bottom"/>
            <w:tcBorders>
              <w:bottom w:val="single" w:sz="8" w:color="auto"/>
            </w:tcBorders>
            <w:gridSpan w:val="2"/>
            <w:shd w:val="clear" w:color="auto" w:fill="E5E5E5"/>
          </w:tcPr>
          <w:p>
            <w:pPr>
              <w:ind w:left="4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spacing w:after="0"/>
              <w:rPr>
                <w:sz w:val="18"/>
                <w:szCs w:val="18"/>
                <w:color w:val="auto"/>
              </w:rPr>
            </w:pPr>
          </w:p>
        </w:tc>
        <w:tc>
          <w:tcPr>
            <w:tcW w:w="40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473</w:t>
            </w:r>
          </w:p>
        </w:tc>
        <w:tc>
          <w:tcPr>
            <w:tcW w:w="120" w:type="dxa"/>
            <w:vAlign w:val="bottom"/>
            <w:tcBorders>
              <w:bottom w:val="single" w:sz="8" w:color="auto"/>
            </w:tcBorders>
            <w:shd w:val="clear" w:color="auto" w:fill="E5E5E5"/>
          </w:tcPr>
          <w:p>
            <w:pPr>
              <w:spacing w:after="0"/>
              <w:rPr>
                <w:sz w:val="18"/>
                <w:szCs w:val="18"/>
                <w:color w:val="auto"/>
              </w:rPr>
            </w:pPr>
          </w:p>
        </w:tc>
        <w:tc>
          <w:tcPr>
            <w:tcW w:w="820" w:type="dxa"/>
            <w:vAlign w:val="bottom"/>
            <w:tcBorders>
              <w:bottom w:val="single" w:sz="8" w:color="auto"/>
            </w:tcBorders>
            <w:shd w:val="clear" w:color="auto" w:fill="E5E5E5"/>
          </w:tcPr>
          <w:p>
            <w:pPr>
              <w:spacing w:after="0"/>
              <w:rPr>
                <w:sz w:val="18"/>
                <w:szCs w:val="18"/>
                <w:color w:val="auto"/>
              </w:rPr>
            </w:pPr>
          </w:p>
        </w:tc>
        <w:tc>
          <w:tcPr>
            <w:tcW w:w="12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517</w:t>
            </w:r>
          </w:p>
        </w:tc>
      </w:tr>
      <w:tr>
        <w:trPr>
          <w:trHeight w:val="210"/>
        </w:trPr>
        <w:tc>
          <w:tcPr>
            <w:tcW w:w="6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801</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1,019</w:t>
            </w:r>
          </w:p>
        </w:tc>
      </w:tr>
      <w:tr>
        <w:trPr>
          <w:trHeight w:val="216"/>
        </w:trPr>
        <w:tc>
          <w:tcPr>
            <w:tcW w:w="722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Cost Method:</w:t>
            </w: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r>
      <w:tr>
        <w:trPr>
          <w:trHeight w:val="216"/>
        </w:trPr>
        <w:tc>
          <w:tcPr>
            <w:tcW w:w="7220" w:type="dxa"/>
            <w:vAlign w:val="bottom"/>
            <w:gridSpan w:val="2"/>
          </w:tcPr>
          <w:p>
            <w:pPr>
              <w:ind w:left="440"/>
              <w:spacing w:after="0"/>
              <w:rPr>
                <w:sz w:val="20"/>
                <w:szCs w:val="20"/>
                <w:color w:val="auto"/>
              </w:rPr>
            </w:pPr>
            <w:r>
              <w:rPr>
                <w:rFonts w:ascii="Arial" w:cs="Arial" w:eastAsia="Arial" w:hAnsi="Arial"/>
                <w:sz w:val="18"/>
                <w:szCs w:val="18"/>
                <w:color w:val="auto"/>
              </w:rPr>
              <w:t>AirTouch</w:t>
            </w: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1,579</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1,568</w:t>
            </w:r>
          </w:p>
        </w:tc>
      </w:tr>
      <w:tr>
        <w:trPr>
          <w:trHeight w:val="216"/>
        </w:trPr>
        <w:tc>
          <w:tcPr>
            <w:tcW w:w="7220" w:type="dxa"/>
            <w:vAlign w:val="bottom"/>
            <w:tcBorders>
              <w:bottom w:val="single" w:sz="8" w:color="auto"/>
            </w:tcBorders>
            <w:gridSpan w:val="2"/>
            <w:shd w:val="clear" w:color="auto" w:fill="E5E5E5"/>
          </w:tcPr>
          <w:p>
            <w:pPr>
              <w:ind w:left="4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spacing w:after="0"/>
              <w:rPr>
                <w:sz w:val="18"/>
                <w:szCs w:val="18"/>
                <w:color w:val="auto"/>
              </w:rPr>
            </w:pPr>
          </w:p>
        </w:tc>
        <w:tc>
          <w:tcPr>
            <w:tcW w:w="40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913</w:t>
            </w:r>
          </w:p>
        </w:tc>
        <w:tc>
          <w:tcPr>
            <w:tcW w:w="120" w:type="dxa"/>
            <w:vAlign w:val="bottom"/>
            <w:tcBorders>
              <w:bottom w:val="single" w:sz="8" w:color="auto"/>
            </w:tcBorders>
            <w:shd w:val="clear" w:color="auto" w:fill="E5E5E5"/>
          </w:tcPr>
          <w:p>
            <w:pPr>
              <w:spacing w:after="0"/>
              <w:rPr>
                <w:sz w:val="18"/>
                <w:szCs w:val="18"/>
                <w:color w:val="auto"/>
              </w:rPr>
            </w:pPr>
          </w:p>
        </w:tc>
        <w:tc>
          <w:tcPr>
            <w:tcW w:w="820" w:type="dxa"/>
            <w:vAlign w:val="bottom"/>
            <w:tcBorders>
              <w:bottom w:val="single" w:sz="8" w:color="auto"/>
            </w:tcBorders>
            <w:shd w:val="clear" w:color="auto" w:fill="E5E5E5"/>
          </w:tcPr>
          <w:p>
            <w:pPr>
              <w:spacing w:after="0"/>
              <w:rPr>
                <w:sz w:val="18"/>
                <w:szCs w:val="18"/>
                <w:color w:val="auto"/>
              </w:rPr>
            </w:pPr>
          </w:p>
        </w:tc>
        <w:tc>
          <w:tcPr>
            <w:tcW w:w="12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488</w:t>
            </w:r>
          </w:p>
        </w:tc>
      </w:tr>
      <w:tr>
        <w:trPr>
          <w:trHeight w:val="210"/>
        </w:trPr>
        <w:tc>
          <w:tcPr>
            <w:tcW w:w="69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2,492</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2,056</w:t>
            </w:r>
          </w:p>
        </w:tc>
      </w:tr>
      <w:tr>
        <w:trPr>
          <w:trHeight w:val="210"/>
        </w:trPr>
        <w:tc>
          <w:tcPr>
            <w:tcW w:w="722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Total investments</w:t>
            </w: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5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3,460</w:t>
            </w:r>
          </w:p>
        </w:tc>
        <w:tc>
          <w:tcPr>
            <w:tcW w:w="12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3,737</w:t>
            </w:r>
          </w:p>
        </w:tc>
      </w:tr>
      <w:tr>
        <w:trPr>
          <w:trHeight w:val="216"/>
        </w:trPr>
        <w:tc>
          <w:tcPr>
            <w:tcW w:w="7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Less: Current investments</w:t>
            </w: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602</w:t>
            </w:r>
          </w:p>
        </w:tc>
      </w:tr>
      <w:tr>
        <w:trPr>
          <w:trHeight w:val="217"/>
        </w:trPr>
        <w:tc>
          <w:tcPr>
            <w:tcW w:w="7220" w:type="dxa"/>
            <w:vAlign w:val="bottom"/>
            <w:tcBorders>
              <w:bottom w:val="single" w:sz="8" w:color="auto"/>
            </w:tcBorders>
            <w:gridSpan w:val="2"/>
            <w:shd w:val="clear" w:color="auto" w:fill="E5E5E5"/>
          </w:tcPr>
          <w:p>
            <w:pPr>
              <w:spacing w:after="0"/>
              <w:rPr>
                <w:sz w:val="20"/>
                <w:szCs w:val="20"/>
                <w:color w:val="auto"/>
              </w:rPr>
            </w:pPr>
            <w:r>
              <w:rPr>
                <w:rFonts w:ascii="Arial" w:cs="Arial" w:eastAsia="Arial" w:hAnsi="Arial"/>
                <w:sz w:val="18"/>
                <w:szCs w:val="18"/>
                <w:b w:val="1"/>
                <w:bCs w:val="1"/>
                <w:color w:val="auto"/>
              </w:rPr>
              <w:t>Noncurrent investments</w:t>
            </w:r>
          </w:p>
        </w:tc>
        <w:tc>
          <w:tcPr>
            <w:tcW w:w="32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spacing w:after="0"/>
              <w:rPr>
                <w:sz w:val="18"/>
                <w:szCs w:val="18"/>
                <w:color w:val="auto"/>
              </w:rPr>
            </w:pPr>
          </w:p>
        </w:tc>
        <w:tc>
          <w:tcPr>
            <w:tcW w:w="40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ind w:left="240"/>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3,323</w:t>
            </w:r>
          </w:p>
        </w:tc>
        <w:tc>
          <w:tcPr>
            <w:tcW w:w="120" w:type="dxa"/>
            <w:vAlign w:val="bottom"/>
            <w:tcBorders>
              <w:bottom w:val="single" w:sz="8" w:color="auto"/>
            </w:tcBorders>
            <w:shd w:val="clear" w:color="auto" w:fill="E5E5E5"/>
          </w:tcPr>
          <w:p>
            <w:pPr>
              <w:spacing w:after="0"/>
              <w:rPr>
                <w:sz w:val="18"/>
                <w:szCs w:val="18"/>
                <w:color w:val="auto"/>
              </w:rPr>
            </w:pPr>
          </w:p>
        </w:tc>
        <w:tc>
          <w:tcPr>
            <w:tcW w:w="820" w:type="dxa"/>
            <w:vAlign w:val="bottom"/>
            <w:tcBorders>
              <w:bottom w:val="single" w:sz="8" w:color="auto"/>
            </w:tcBorders>
            <w:shd w:val="clear" w:color="auto" w:fill="E5E5E5"/>
          </w:tcPr>
          <w:p>
            <w:pPr>
              <w:ind w:left="720"/>
              <w:spacing w:after="0"/>
              <w:rPr>
                <w:sz w:val="20"/>
                <w:szCs w:val="20"/>
                <w:color w:val="auto"/>
              </w:rPr>
            </w:pPr>
            <w:r>
              <w:rPr>
                <w:rFonts w:ascii="Arial" w:cs="Arial" w:eastAsia="Arial" w:hAnsi="Arial"/>
                <w:sz w:val="18"/>
                <w:szCs w:val="18"/>
                <w:b w:val="1"/>
                <w:bCs w:val="1"/>
                <w:color w:val="auto"/>
                <w:w w:val="79"/>
              </w:rPr>
              <w:t>$</w:t>
            </w:r>
          </w:p>
        </w:tc>
        <w:tc>
          <w:tcPr>
            <w:tcW w:w="12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b w:val="1"/>
                <w:bCs w:val="1"/>
                <w:color w:val="auto"/>
              </w:rPr>
              <w:t>3,135</w:t>
            </w:r>
          </w:p>
        </w:tc>
      </w:tr>
      <w:tr>
        <w:trPr>
          <w:trHeight w:val="403"/>
        </w:trPr>
        <w:tc>
          <w:tcPr>
            <w:tcW w:w="7220" w:type="dxa"/>
            <w:vAlign w:val="bottom"/>
            <w:gridSpan w:val="2"/>
          </w:tcPr>
          <w:p>
            <w:pPr>
              <w:ind w:left="4440"/>
              <w:spacing w:after="0"/>
              <w:rPr>
                <w:sz w:val="20"/>
                <w:szCs w:val="20"/>
                <w:color w:val="auto"/>
              </w:rPr>
            </w:pPr>
            <w:r>
              <w:rPr>
                <w:rFonts w:ascii="Arial" w:cs="Arial" w:eastAsia="Arial" w:hAnsi="Arial"/>
                <w:sz w:val="18"/>
                <w:szCs w:val="18"/>
                <w:b w:val="1"/>
                <w:bCs w:val="1"/>
                <w:color w:val="auto"/>
              </w:rPr>
              <w:t>Investment Income (Loss), Net</w:t>
            </w: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61"/>
        </w:trPr>
        <w:tc>
          <w:tcPr>
            <w:tcW w:w="69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40" w:type="dxa"/>
            <w:vAlign w:val="bottom"/>
            <w:gridSpan w:val="3"/>
          </w:tcPr>
          <w:p>
            <w:pPr>
              <w:jc w:val="right"/>
              <w:ind w:right="236"/>
              <w:spacing w:after="0"/>
              <w:rPr>
                <w:sz w:val="20"/>
                <w:szCs w:val="20"/>
                <w:color w:val="auto"/>
              </w:rPr>
            </w:pPr>
            <w:r>
              <w:rPr>
                <w:rFonts w:ascii="Arial" w:cs="Arial" w:eastAsia="Arial" w:hAnsi="Arial"/>
                <w:sz w:val="14"/>
                <w:szCs w:val="14"/>
                <w:color w:val="auto"/>
                <w:w w:val="99"/>
              </w:rPr>
              <w:t>Three Months Ended</w:t>
            </w: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gridSpan w:val="3"/>
          </w:tcPr>
          <w:p>
            <w:pPr>
              <w:jc w:val="right"/>
              <w:ind w:right="314"/>
              <w:spacing w:after="0"/>
              <w:rPr>
                <w:sz w:val="20"/>
                <w:szCs w:val="20"/>
                <w:color w:val="auto"/>
              </w:rPr>
            </w:pPr>
            <w:r>
              <w:rPr>
                <w:rFonts w:ascii="Arial" w:cs="Arial" w:eastAsia="Arial" w:hAnsi="Arial"/>
                <w:sz w:val="14"/>
                <w:szCs w:val="14"/>
                <w:color w:val="auto"/>
                <w:w w:val="94"/>
              </w:rPr>
              <w:t>Nine Months Ended</w:t>
            </w:r>
          </w:p>
        </w:tc>
      </w:tr>
      <w:tr>
        <w:trPr>
          <w:trHeight w:val="159"/>
        </w:trPr>
        <w:tc>
          <w:tcPr>
            <w:tcW w:w="69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September 30</w:t>
            </w:r>
          </w:p>
        </w:tc>
        <w:tc>
          <w:tcPr>
            <w:tcW w:w="4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3"/>
          </w:tcPr>
          <w:p>
            <w:pPr>
              <w:jc w:val="right"/>
              <w:ind w:right="494"/>
              <w:spacing w:after="0" w:line="159" w:lineRule="exact"/>
              <w:rPr>
                <w:sz w:val="20"/>
                <w:szCs w:val="20"/>
                <w:color w:val="auto"/>
              </w:rPr>
            </w:pPr>
            <w:r>
              <w:rPr>
                <w:rFonts w:ascii="Arial" w:cs="Arial" w:eastAsia="Arial" w:hAnsi="Arial"/>
                <w:sz w:val="14"/>
                <w:szCs w:val="14"/>
                <w:color w:val="auto"/>
              </w:rPr>
              <w:t>September 30</w:t>
            </w:r>
          </w:p>
        </w:tc>
      </w:tr>
      <w:tr>
        <w:trPr>
          <w:trHeight w:val="142"/>
        </w:trPr>
        <w:tc>
          <w:tcPr>
            <w:tcW w:w="694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78"/>
              <w:spacing w:after="0" w:line="142" w:lineRule="exact"/>
              <w:rPr>
                <w:sz w:val="20"/>
                <w:szCs w:val="20"/>
                <w:color w:val="auto"/>
              </w:rPr>
            </w:pPr>
            <w:r>
              <w:rPr>
                <w:rFonts w:ascii="Arial" w:cs="Arial" w:eastAsia="Arial" w:hAnsi="Arial"/>
                <w:sz w:val="14"/>
                <w:szCs w:val="14"/>
                <w:color w:val="auto"/>
                <w:w w:val="89"/>
              </w:rPr>
              <w:t>2015</w:t>
            </w:r>
          </w:p>
        </w:tc>
        <w:tc>
          <w:tcPr>
            <w:tcW w:w="4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color w:val="auto"/>
                <w:w w:val="83"/>
              </w:rPr>
              <w:t>2014</w:t>
            </w:r>
          </w:p>
        </w:tc>
        <w:tc>
          <w:tcPr>
            <w:tcW w:w="5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438"/>
              <w:spacing w:after="0" w:line="142" w:lineRule="exact"/>
              <w:rPr>
                <w:sz w:val="20"/>
                <w:szCs w:val="20"/>
                <w:color w:val="auto"/>
              </w:rPr>
            </w:pPr>
            <w:r>
              <w:rPr>
                <w:rFonts w:ascii="Arial" w:cs="Arial" w:eastAsia="Arial" w:hAnsi="Arial"/>
                <w:sz w:val="14"/>
                <w:szCs w:val="14"/>
                <w:color w:val="auto"/>
                <w:w w:val="89"/>
              </w:rPr>
              <w:t>2015</w:t>
            </w: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color w:val="auto"/>
                <w:w w:val="89"/>
              </w:rPr>
              <w:t>2014</w:t>
            </w:r>
          </w:p>
        </w:tc>
      </w:tr>
      <w:tr>
        <w:trPr>
          <w:trHeight w:val="210"/>
        </w:trPr>
        <w:tc>
          <w:tcPr>
            <w:tcW w:w="722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Gains on sales and exchanges of investments, net</w:t>
            </w:r>
          </w:p>
        </w:tc>
        <w:tc>
          <w:tcPr>
            <w:tcW w:w="3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E5E5E5"/>
          </w:tcPr>
          <w:p>
            <w:pPr>
              <w:jc w:val="right"/>
              <w:ind w:right="238"/>
              <w:spacing w:after="0"/>
              <w:rPr>
                <w:sz w:val="20"/>
                <w:szCs w:val="20"/>
                <w:color w:val="auto"/>
              </w:rPr>
            </w:pPr>
            <w:r>
              <w:rPr>
                <w:rFonts w:ascii="Arial" w:cs="Arial" w:eastAsia="Arial" w:hAnsi="Arial"/>
                <w:sz w:val="18"/>
                <w:szCs w:val="18"/>
                <w:color w:val="auto"/>
              </w:rPr>
              <w:t>3</w:t>
            </w:r>
          </w:p>
        </w:tc>
        <w:tc>
          <w:tcPr>
            <w:tcW w:w="4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w:t>
            </w:r>
          </w:p>
        </w:tc>
        <w:tc>
          <w:tcPr>
            <w:tcW w:w="540" w:type="dxa"/>
            <w:vAlign w:val="bottom"/>
            <w:shd w:val="clear" w:color="auto" w:fill="E5E5E5"/>
          </w:tcPr>
          <w:p>
            <w:pPr>
              <w:spacing w:after="0"/>
              <w:rPr>
                <w:sz w:val="18"/>
                <w:szCs w:val="18"/>
                <w:color w:val="auto"/>
              </w:rPr>
            </w:pPr>
          </w:p>
        </w:tc>
        <w:tc>
          <w:tcPr>
            <w:tcW w:w="120" w:type="dxa"/>
            <w:vAlign w:val="bottom"/>
            <w:shd w:val="clear" w:color="auto" w:fill="E5E5E5"/>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E5E5E5"/>
          </w:tcPr>
          <w:p>
            <w:pPr>
              <w:jc w:val="right"/>
              <w:ind w:right="298"/>
              <w:spacing w:after="0"/>
              <w:rPr>
                <w:sz w:val="20"/>
                <w:szCs w:val="20"/>
                <w:color w:val="auto"/>
              </w:rPr>
            </w:pPr>
            <w:r>
              <w:rPr>
                <w:rFonts w:ascii="Arial" w:cs="Arial" w:eastAsia="Arial" w:hAnsi="Arial"/>
                <w:sz w:val="18"/>
                <w:szCs w:val="18"/>
                <w:color w:val="auto"/>
              </w:rPr>
              <w:t>7</w:t>
            </w:r>
          </w:p>
        </w:tc>
        <w:tc>
          <w:tcPr>
            <w:tcW w:w="120" w:type="dxa"/>
            <w:vAlign w:val="bottom"/>
            <w:shd w:val="clear" w:color="auto" w:fill="E5E5E5"/>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E5E5E5"/>
          </w:tcPr>
          <w:p>
            <w:pPr>
              <w:jc w:val="right"/>
              <w:ind w:right="114"/>
              <w:spacing w:after="0"/>
              <w:rPr>
                <w:sz w:val="20"/>
                <w:szCs w:val="20"/>
                <w:color w:val="auto"/>
              </w:rPr>
            </w:pPr>
            <w:r>
              <w:rPr>
                <w:rFonts w:ascii="Arial" w:cs="Arial" w:eastAsia="Arial" w:hAnsi="Arial"/>
                <w:sz w:val="18"/>
                <w:szCs w:val="18"/>
                <w:color w:val="auto"/>
              </w:rPr>
              <w:t>176</w:t>
            </w:r>
          </w:p>
        </w:tc>
      </w:tr>
      <w:tr>
        <w:trPr>
          <w:trHeight w:val="216"/>
        </w:trPr>
        <w:tc>
          <w:tcPr>
            <w:tcW w:w="7220" w:type="dxa"/>
            <w:vAlign w:val="bottom"/>
            <w:gridSpan w:val="2"/>
          </w:tcPr>
          <w:p>
            <w:pPr>
              <w:spacing w:after="0"/>
              <w:rPr>
                <w:sz w:val="20"/>
                <w:szCs w:val="20"/>
                <w:color w:val="auto"/>
              </w:rPr>
            </w:pPr>
            <w:r>
              <w:rPr>
                <w:rFonts w:ascii="Arial" w:cs="Arial" w:eastAsia="Arial" w:hAnsi="Arial"/>
                <w:sz w:val="18"/>
                <w:szCs w:val="18"/>
                <w:color w:val="auto"/>
              </w:rPr>
              <w:t>Investment impairment losses</w:t>
            </w:r>
          </w:p>
        </w:tc>
        <w:tc>
          <w:tcPr>
            <w:tcW w:w="320" w:type="dxa"/>
            <w:vAlign w:val="bottom"/>
          </w:tcPr>
          <w:p>
            <w:pPr>
              <w:spacing w:after="0"/>
              <w:rPr>
                <w:sz w:val="18"/>
                <w:szCs w:val="18"/>
                <w:color w:val="auto"/>
              </w:rPr>
            </w:pPr>
          </w:p>
        </w:tc>
        <w:tc>
          <w:tcPr>
            <w:tcW w:w="760" w:type="dxa"/>
            <w:vAlign w:val="bottom"/>
          </w:tcPr>
          <w:p>
            <w:pPr>
              <w:jc w:val="right"/>
              <w:ind w:right="178"/>
              <w:spacing w:after="0"/>
              <w:rPr>
                <w:sz w:val="20"/>
                <w:szCs w:val="20"/>
                <w:color w:val="auto"/>
              </w:rPr>
            </w:pPr>
            <w:r>
              <w:rPr>
                <w:rFonts w:ascii="Arial" w:cs="Arial" w:eastAsia="Arial" w:hAnsi="Arial"/>
                <w:sz w:val="18"/>
                <w:szCs w:val="18"/>
                <w:color w:val="auto"/>
              </w:rPr>
              <w:t>(15)</w:t>
            </w:r>
          </w:p>
        </w:tc>
        <w:tc>
          <w:tcPr>
            <w:tcW w:w="4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ind w:right="238"/>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8"/>
                <w:szCs w:val="18"/>
                <w:color w:val="auto"/>
              </w:rPr>
            </w:pPr>
          </w:p>
        </w:tc>
        <w:tc>
          <w:tcPr>
            <w:tcW w:w="640" w:type="dxa"/>
            <w:vAlign w:val="bottom"/>
          </w:tcPr>
          <w:p>
            <w:pPr>
              <w:jc w:val="right"/>
              <w:ind w:right="54"/>
              <w:spacing w:after="0"/>
              <w:rPr>
                <w:sz w:val="20"/>
                <w:szCs w:val="20"/>
                <w:color w:val="auto"/>
              </w:rPr>
            </w:pPr>
            <w:r>
              <w:rPr>
                <w:rFonts w:ascii="Arial" w:cs="Arial" w:eastAsia="Arial" w:hAnsi="Arial"/>
                <w:sz w:val="18"/>
                <w:szCs w:val="18"/>
                <w:color w:val="auto"/>
              </w:rPr>
              <w:t>(30)</w:t>
            </w:r>
          </w:p>
        </w:tc>
      </w:tr>
      <w:tr>
        <w:trPr>
          <w:trHeight w:val="216"/>
        </w:trPr>
        <w:tc>
          <w:tcPr>
            <w:tcW w:w="722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Unrealized gains (losses) on securities underlying prepaid forward sale agreements</w:t>
            </w: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238"/>
              <w:spacing w:after="0"/>
              <w:rPr>
                <w:sz w:val="20"/>
                <w:szCs w:val="20"/>
                <w:color w:val="auto"/>
              </w:rPr>
            </w:pPr>
            <w:r>
              <w:rPr>
                <w:rFonts w:ascii="Arial" w:cs="Arial" w:eastAsia="Arial" w:hAnsi="Arial"/>
                <w:sz w:val="18"/>
                <w:szCs w:val="18"/>
                <w:color w:val="auto"/>
              </w:rPr>
              <w:t>—</w:t>
            </w:r>
          </w:p>
        </w:tc>
        <w:tc>
          <w:tcPr>
            <w:tcW w:w="40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15</w:t>
            </w:r>
          </w:p>
        </w:tc>
        <w:tc>
          <w:tcPr>
            <w:tcW w:w="54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298"/>
              <w:spacing w:after="0"/>
              <w:rPr>
                <w:sz w:val="20"/>
                <w:szCs w:val="20"/>
                <w:color w:val="auto"/>
              </w:rPr>
            </w:pPr>
            <w:r>
              <w:rPr>
                <w:rFonts w:ascii="Arial" w:cs="Arial" w:eastAsia="Arial" w:hAnsi="Arial"/>
                <w:sz w:val="18"/>
                <w:szCs w:val="18"/>
                <w:color w:val="auto"/>
              </w:rPr>
              <w:t>42</w:t>
            </w:r>
          </w:p>
        </w:tc>
        <w:tc>
          <w:tcPr>
            <w:tcW w:w="1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54"/>
              <w:spacing w:after="0"/>
              <w:rPr>
                <w:sz w:val="20"/>
                <w:szCs w:val="20"/>
                <w:color w:val="auto"/>
              </w:rPr>
            </w:pPr>
            <w:r>
              <w:rPr>
                <w:rFonts w:ascii="Arial" w:cs="Arial" w:eastAsia="Arial" w:hAnsi="Arial"/>
                <w:sz w:val="18"/>
                <w:szCs w:val="18"/>
                <w:color w:val="auto"/>
              </w:rPr>
              <w:t>(13)</w:t>
            </w:r>
          </w:p>
        </w:tc>
      </w:tr>
      <w:tr>
        <w:trPr>
          <w:trHeight w:val="208"/>
        </w:trPr>
        <w:tc>
          <w:tcPr>
            <w:tcW w:w="7220" w:type="dxa"/>
            <w:vAlign w:val="bottom"/>
            <w:gridSpan w:val="2"/>
          </w:tcPr>
          <w:p>
            <w:pPr>
              <w:spacing w:after="0"/>
              <w:rPr>
                <w:sz w:val="20"/>
                <w:szCs w:val="20"/>
                <w:color w:val="auto"/>
              </w:rPr>
            </w:pPr>
            <w:r>
              <w:rPr>
                <w:rFonts w:ascii="Arial" w:cs="Arial" w:eastAsia="Arial" w:hAnsi="Arial"/>
                <w:sz w:val="18"/>
                <w:szCs w:val="18"/>
                <w:color w:val="auto"/>
                <w:w w:val="96"/>
              </w:rPr>
              <w:t>Mark to market adjustments on derivative component of prepaid forward sale agreements and</w:t>
            </w: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22"/>
        </w:trPr>
        <w:tc>
          <w:tcPr>
            <w:tcW w:w="7220" w:type="dxa"/>
            <w:vAlign w:val="bottom"/>
            <w:gridSpan w:val="2"/>
          </w:tcPr>
          <w:p>
            <w:pPr>
              <w:ind w:left="220"/>
              <w:spacing w:after="0"/>
              <w:rPr>
                <w:sz w:val="20"/>
                <w:szCs w:val="20"/>
                <w:color w:val="auto"/>
              </w:rPr>
            </w:pPr>
            <w:r>
              <w:rPr>
                <w:rFonts w:ascii="Arial" w:cs="Arial" w:eastAsia="Arial" w:hAnsi="Arial"/>
                <w:sz w:val="18"/>
                <w:szCs w:val="18"/>
                <w:color w:val="auto"/>
              </w:rPr>
              <w:t>indexed debt instruments</w:t>
            </w:r>
          </w:p>
        </w:tc>
        <w:tc>
          <w:tcPr>
            <w:tcW w:w="320" w:type="dxa"/>
            <w:vAlign w:val="bottom"/>
          </w:tcPr>
          <w:p>
            <w:pPr>
              <w:spacing w:after="0"/>
              <w:rPr>
                <w:sz w:val="19"/>
                <w:szCs w:val="19"/>
                <w:color w:val="auto"/>
              </w:rPr>
            </w:pPr>
          </w:p>
        </w:tc>
        <w:tc>
          <w:tcPr>
            <w:tcW w:w="760" w:type="dxa"/>
            <w:vAlign w:val="bottom"/>
          </w:tcPr>
          <w:p>
            <w:pPr>
              <w:jc w:val="right"/>
              <w:ind w:right="178"/>
              <w:spacing w:after="0"/>
              <w:rPr>
                <w:sz w:val="20"/>
                <w:szCs w:val="20"/>
                <w:color w:val="auto"/>
              </w:rPr>
            </w:pPr>
            <w:r>
              <w:rPr>
                <w:rFonts w:ascii="Arial" w:cs="Arial" w:eastAsia="Arial" w:hAnsi="Arial"/>
                <w:sz w:val="18"/>
                <w:szCs w:val="18"/>
                <w:color w:val="auto"/>
              </w:rPr>
              <w:t>(5)</w:t>
            </w:r>
          </w:p>
        </w:tc>
        <w:tc>
          <w:tcPr>
            <w:tcW w:w="4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ind w:right="238"/>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9"/>
                <w:szCs w:val="19"/>
                <w:color w:val="auto"/>
              </w:rPr>
            </w:pPr>
          </w:p>
        </w:tc>
        <w:tc>
          <w:tcPr>
            <w:tcW w:w="640" w:type="dxa"/>
            <w:vAlign w:val="bottom"/>
          </w:tcPr>
          <w:p>
            <w:pPr>
              <w:jc w:val="right"/>
              <w:ind w:right="114"/>
              <w:spacing w:after="0"/>
              <w:rPr>
                <w:sz w:val="20"/>
                <w:szCs w:val="20"/>
                <w:color w:val="auto"/>
              </w:rPr>
            </w:pPr>
            <w:r>
              <w:rPr>
                <w:rFonts w:ascii="Arial" w:cs="Arial" w:eastAsia="Arial" w:hAnsi="Arial"/>
                <w:sz w:val="18"/>
                <w:szCs w:val="18"/>
                <w:color w:val="auto"/>
              </w:rPr>
              <w:t>19</w:t>
            </w:r>
          </w:p>
        </w:tc>
      </w:tr>
      <w:tr>
        <w:trPr>
          <w:trHeight w:val="218"/>
        </w:trPr>
        <w:tc>
          <w:tcPr>
            <w:tcW w:w="722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Interest and dividend income</w:t>
            </w: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238"/>
              <w:spacing w:after="0"/>
              <w:rPr>
                <w:sz w:val="20"/>
                <w:szCs w:val="20"/>
                <w:color w:val="auto"/>
              </w:rPr>
            </w:pPr>
            <w:r>
              <w:rPr>
                <w:rFonts w:ascii="Arial" w:cs="Arial" w:eastAsia="Arial" w:hAnsi="Arial"/>
                <w:sz w:val="18"/>
                <w:szCs w:val="18"/>
                <w:color w:val="auto"/>
              </w:rPr>
              <w:t>27</w:t>
            </w:r>
          </w:p>
        </w:tc>
        <w:tc>
          <w:tcPr>
            <w:tcW w:w="40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29</w:t>
            </w:r>
          </w:p>
        </w:tc>
        <w:tc>
          <w:tcPr>
            <w:tcW w:w="54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298"/>
              <w:spacing w:after="0"/>
              <w:rPr>
                <w:sz w:val="20"/>
                <w:szCs w:val="20"/>
                <w:color w:val="auto"/>
              </w:rPr>
            </w:pPr>
            <w:r>
              <w:rPr>
                <w:rFonts w:ascii="Arial" w:cs="Arial" w:eastAsia="Arial" w:hAnsi="Arial"/>
                <w:sz w:val="18"/>
                <w:szCs w:val="18"/>
                <w:color w:val="auto"/>
              </w:rPr>
              <w:t>83</w:t>
            </w:r>
          </w:p>
        </w:tc>
        <w:tc>
          <w:tcPr>
            <w:tcW w:w="1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14"/>
              <w:spacing w:after="0"/>
              <w:rPr>
                <w:sz w:val="20"/>
                <w:szCs w:val="20"/>
                <w:color w:val="auto"/>
              </w:rPr>
            </w:pPr>
            <w:r>
              <w:rPr>
                <w:rFonts w:ascii="Arial" w:cs="Arial" w:eastAsia="Arial" w:hAnsi="Arial"/>
                <w:sz w:val="18"/>
                <w:szCs w:val="18"/>
                <w:color w:val="auto"/>
              </w:rPr>
              <w:t>85</w:t>
            </w:r>
          </w:p>
        </w:tc>
      </w:tr>
      <w:tr>
        <w:trPr>
          <w:trHeight w:val="216"/>
        </w:trPr>
        <w:tc>
          <w:tcPr>
            <w:tcW w:w="7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Other, net</w:t>
            </w: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78"/>
              <w:spacing w:after="0"/>
              <w:rPr>
                <w:sz w:val="20"/>
                <w:szCs w:val="20"/>
                <w:color w:val="auto"/>
              </w:rPr>
            </w:pPr>
            <w:r>
              <w:rPr>
                <w:rFonts w:ascii="Arial" w:cs="Arial" w:eastAsia="Arial" w:hAnsi="Arial"/>
                <w:sz w:val="18"/>
                <w:szCs w:val="18"/>
                <w:color w:val="auto"/>
              </w:rPr>
              <w:t>(36)</w:t>
            </w:r>
          </w:p>
        </w:tc>
        <w:tc>
          <w:tcPr>
            <w:tcW w:w="4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5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38"/>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17</w:t>
            </w:r>
          </w:p>
        </w:tc>
      </w:tr>
      <w:tr>
        <w:trPr>
          <w:trHeight w:val="217"/>
        </w:trPr>
        <w:tc>
          <w:tcPr>
            <w:tcW w:w="7220" w:type="dxa"/>
            <w:vAlign w:val="bottom"/>
            <w:tcBorders>
              <w:bottom w:val="single" w:sz="8" w:color="auto"/>
            </w:tcBorders>
            <w:gridSpan w:val="2"/>
            <w:shd w:val="clear" w:color="auto" w:fill="E5E5E5"/>
          </w:tcPr>
          <w:p>
            <w:pPr>
              <w:spacing w:after="0"/>
              <w:rPr>
                <w:sz w:val="20"/>
                <w:szCs w:val="20"/>
                <w:color w:val="auto"/>
              </w:rPr>
            </w:pPr>
            <w:r>
              <w:rPr>
                <w:rFonts w:ascii="Arial" w:cs="Arial" w:eastAsia="Arial" w:hAnsi="Arial"/>
                <w:sz w:val="18"/>
                <w:szCs w:val="18"/>
                <w:b w:val="1"/>
                <w:bCs w:val="1"/>
                <w:color w:val="auto"/>
              </w:rPr>
              <w:t>Investment income (loss), net</w:t>
            </w:r>
          </w:p>
        </w:tc>
        <w:tc>
          <w:tcPr>
            <w:tcW w:w="3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shd w:val="clear" w:color="auto" w:fill="E5E5E5"/>
          </w:tcPr>
          <w:p>
            <w:pPr>
              <w:jc w:val="right"/>
              <w:ind w:right="178"/>
              <w:spacing w:after="0"/>
              <w:rPr>
                <w:sz w:val="20"/>
                <w:szCs w:val="20"/>
                <w:color w:val="auto"/>
              </w:rPr>
            </w:pPr>
            <w:r>
              <w:rPr>
                <w:rFonts w:ascii="Arial" w:cs="Arial" w:eastAsia="Arial" w:hAnsi="Arial"/>
                <w:sz w:val="18"/>
                <w:szCs w:val="18"/>
                <w:b w:val="1"/>
                <w:bCs w:val="1"/>
                <w:color w:val="auto"/>
              </w:rPr>
              <w:t>(26)</w:t>
            </w:r>
          </w:p>
        </w:tc>
        <w:tc>
          <w:tcPr>
            <w:tcW w:w="4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21</w:t>
            </w:r>
          </w:p>
        </w:tc>
        <w:tc>
          <w:tcPr>
            <w:tcW w:w="540" w:type="dxa"/>
            <w:vAlign w:val="bottom"/>
            <w:tcBorders>
              <w:bottom w:val="single" w:sz="8" w:color="auto"/>
            </w:tcBorders>
            <w:shd w:val="clear" w:color="auto" w:fill="E5E5E5"/>
          </w:tcPr>
          <w:p>
            <w:pPr>
              <w:spacing w:after="0"/>
              <w:rPr>
                <w:sz w:val="18"/>
                <w:szCs w:val="18"/>
                <w:color w:val="auto"/>
              </w:rPr>
            </w:pPr>
          </w:p>
        </w:tc>
        <w:tc>
          <w:tcPr>
            <w:tcW w:w="1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auto"/>
            </w:tcBorders>
            <w:shd w:val="clear" w:color="auto" w:fill="E5E5E5"/>
          </w:tcPr>
          <w:p>
            <w:pPr>
              <w:jc w:val="right"/>
              <w:ind w:right="298"/>
              <w:spacing w:after="0"/>
              <w:rPr>
                <w:sz w:val="20"/>
                <w:szCs w:val="20"/>
                <w:color w:val="auto"/>
              </w:rPr>
            </w:pPr>
            <w:r>
              <w:rPr>
                <w:rFonts w:ascii="Arial" w:cs="Arial" w:eastAsia="Arial" w:hAnsi="Arial"/>
                <w:sz w:val="18"/>
                <w:szCs w:val="18"/>
                <w:b w:val="1"/>
                <w:bCs w:val="1"/>
                <w:color w:val="auto"/>
              </w:rPr>
              <w:t>24</w:t>
            </w:r>
          </w:p>
        </w:tc>
        <w:tc>
          <w:tcPr>
            <w:tcW w:w="1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bottom w:val="single" w:sz="8" w:color="auto"/>
            </w:tcBorders>
            <w:shd w:val="clear" w:color="auto" w:fill="E5E5E5"/>
          </w:tcPr>
          <w:p>
            <w:pPr>
              <w:jc w:val="right"/>
              <w:ind w:right="114"/>
              <w:spacing w:after="0"/>
              <w:rPr>
                <w:sz w:val="20"/>
                <w:szCs w:val="20"/>
                <w:color w:val="auto"/>
              </w:rPr>
            </w:pPr>
            <w:r>
              <w:rPr>
                <w:rFonts w:ascii="Arial" w:cs="Arial" w:eastAsia="Arial" w:hAnsi="Arial"/>
                <w:sz w:val="18"/>
                <w:szCs w:val="18"/>
                <w:b w:val="1"/>
                <w:bCs w:val="1"/>
                <w:color w:val="auto"/>
              </w:rPr>
              <w:t>254</w:t>
            </w:r>
          </w:p>
        </w:tc>
      </w:tr>
      <w:tr>
        <w:trPr>
          <w:trHeight w:val="363"/>
        </w:trPr>
        <w:tc>
          <w:tcPr>
            <w:tcW w:w="6940" w:type="dxa"/>
            <w:vAlign w:val="bottom"/>
          </w:tcPr>
          <w:p>
            <w:pPr>
              <w:ind w:left="5660"/>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Method</w:t>
      </w:r>
    </w:p>
    <w:p>
      <w:pPr>
        <w:spacing w:after="0" w:line="74"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During the nine months ended September 30, 2015, we settled $517 million of our obligations under prepaid forward sale agreements by delivering equity securities. As of September 30, 2015, we have no remaining liabilities related to obligations under prepaid forward sale agreements.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Method</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nine months ended September 30, 2015, The Weather Channel Holding Corp. (“The Weather Channel”) recorded an impairment charge related to goodwill. We recorded an expense of $252 million representing NBCUniversal’s proportionate share of this impairment charge in equity in net income (losses) of investees, net in our condensed consolidated statement of income.</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Method</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September 2015, NBCUniversal made an additional investment in Vox Media, Inc. (“Vox Media”) and acquired an interest in BuzzFeed, Inc. (“BuzzFeed”) for $200 million each in cash. Vox Media is a digital media company comprised of eight distinct brands. BuzzFeed is a global media company that produces and distributes original news, entertainment and videos.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AirTouch</w:t>
      </w:r>
    </w:p>
    <w:p>
      <w:pPr>
        <w:spacing w:after="0" w:line="7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hold two series of preferred stock of AirTouch Communications, Inc. (“AirTouch”), a subsidiary of Verizon Communications Inc., which are redeemable in April 2020. As of September 30, 2015, the estimated fair value of the AirTouch preferred stock and the estimated fair value of the associated liability related to the redeemable subsidiary preferred shares issued by one of our consolidated subsidiaries were each $1.7 billion. The estimated fair values are based on Level 2 inputs that use pricing models whose inputs are derived primarily from or corroborated by observable market data through correlation or other means for substantially the full term of the financial instrument.</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7: Long-Term Debt</w:t>
      </w:r>
    </w:p>
    <w:p>
      <w:pPr>
        <w:spacing w:after="0" w:line="8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As of September 30, 2015, our debt had a carrying value of $47.8 billion and an estimated fair value of $53.2 billion. The estimated fair value of our publicly traded debt is primarily based on Level 1 inputs that use quoted market values for the debt. The estimated fair value of debt for which there are no quoted market prices is based on Level 2 inputs that use interest rates available to us for debt with similar terms and remaining maturities.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Borrowings, Redemptions and Repayments</w:t>
      </w:r>
    </w:p>
    <w:p>
      <w:pPr>
        <w:spacing w:after="0" w:line="7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In May 2015, we issued $1.5 billion aggregate principal amount of 3.375% senior notes due 2025, $800 million aggregate principal amount of 4.400% senior notes due 2035 and $1.7 billion aggregate principal amount of 4.600% senior notes due 2045. The proceeds from this offering were used for working capital and general corporate purposes, including the redemption in June 2015 of our $750 million aggregate principal amount of 5.85% senior notes due November 2015 and our $1.0 billion aggregate principal amount of 5.90% senior notes due March 2016. The early redemption resulted in $47 million of additional interest expense during the nine months ended September 30, 2015 in our condensed consolidated statement of income.</w:t>
      </w:r>
    </w:p>
    <w:p>
      <w:pPr>
        <w:spacing w:after="0" w:line="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January 2015, we repaid at maturity $900 million aggregate principal amount of 6.50% senior notes due 2015. In April 2015, we repaid at maturity $1 billion aggregate principal amount of 3.65% senior notes due 2015. In August 2015, we repaid at maturity $673 million aggregate principal amount of 8.75% senior notes due 2015.</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Revolving Credit Facilities</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September 30, 2015, amounts available under our consolidated revolving credit facilities, net of amounts outstanding under our commercial paper programs and outstanding letters of credit, totaled $6.7 billion, which included $715 million available under NBCUniversal Enterprise Inc.’s (“NBCUniversal Enterprise”) revolving credit facility.</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Paper Programs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2015, NBCUniversal Enterprise had $635 million face amount of commercial paper outstanding.</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8: Fair Value Measurements</w:t>
      </w:r>
    </w:p>
    <w:p>
      <w:pPr>
        <w:spacing w:after="0" w:line="8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accounting guidance related to financial assets and financial liabilities (“financial instruments”) establishes a hierarchy that prioritizes fair value measurements based on the types of inputs used for the various valuation techniques (market approach, income approach and cost approach). Level 1 consists of financial instruments whose values are based on quoted market prices for identical financial instruments in an active market. Level 2 consists of financial instruments that are valued using models or other valuation methodologies. These models use inputs that are observable either directly or indirectly. Level 3 consists of financial instruments whose values are determined using pricing models that use significant inputs that are primarily unobservable, discounted cash flow methodologies or similar techniques, as well as instruments for which the determination of fair value requires significant management judgment or estimation. Our financial instruments that are accounted for at fair value on a recurring basis are presented in the table below.</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Recurring Fair Value Measurements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ind w:left="440"/>
              <w:spacing w:after="0"/>
              <w:rPr>
                <w:sz w:val="20"/>
                <w:szCs w:val="20"/>
                <w:color w:val="auto"/>
              </w:rPr>
            </w:pPr>
            <w:r>
              <w:rPr>
                <w:rFonts w:ascii="Arial" w:cs="Arial" w:eastAsia="Arial" w:hAnsi="Arial"/>
                <w:sz w:val="14"/>
                <w:szCs w:val="14"/>
                <w:color w:val="auto"/>
                <w:w w:val="89"/>
              </w:rPr>
              <w:t>Fair Value as of</w:t>
            </w: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3"/>
          </w:tcPr>
          <w:p>
            <w:pPr>
              <w:jc w:val="right"/>
              <w:ind w:right="632"/>
              <w:spacing w:after="0" w:line="131" w:lineRule="exact"/>
              <w:rPr>
                <w:sz w:val="20"/>
                <w:szCs w:val="20"/>
                <w:color w:val="auto"/>
              </w:rPr>
            </w:pPr>
            <w:r>
              <w:rPr>
                <w:rFonts w:ascii="Arial" w:cs="Arial" w:eastAsia="Arial" w:hAnsi="Arial"/>
                <w:sz w:val="14"/>
                <w:szCs w:val="14"/>
                <w:color w:val="auto"/>
              </w:rPr>
              <w:t>September 30,</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gridSpan w:val="2"/>
          </w:tcPr>
          <w:p>
            <w:pPr>
              <w:ind w:left="260"/>
              <w:spacing w:after="0" w:line="131" w:lineRule="exact"/>
              <w:rPr>
                <w:sz w:val="20"/>
                <w:szCs w:val="20"/>
                <w:color w:val="auto"/>
              </w:rPr>
            </w:pPr>
            <w:r>
              <w:rPr>
                <w:rFonts w:ascii="Arial" w:cs="Arial" w:eastAsia="Arial" w:hAnsi="Arial"/>
                <w:sz w:val="14"/>
                <w:szCs w:val="14"/>
                <w:color w:val="auto"/>
                <w:w w:val="95"/>
              </w:rPr>
              <w:t>December 31,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color w:val="auto"/>
              </w:rPr>
              <w:t>2015</w:t>
            </w:r>
          </w:p>
        </w:tc>
        <w:tc>
          <w:tcPr>
            <w:tcW w:w="8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143"/>
        </w:trPr>
        <w:tc>
          <w:tcPr>
            <w:tcW w:w="6320" w:type="dxa"/>
            <w:vAlign w:val="bottom"/>
            <w:gridSpan w:val="2"/>
          </w:tcPr>
          <w:p>
            <w:pPr>
              <w:spacing w:after="0" w:line="143" w:lineRule="exact"/>
              <w:rPr>
                <w:sz w:val="20"/>
                <w:szCs w:val="20"/>
                <w:color w:val="auto"/>
              </w:rPr>
            </w:pPr>
            <w:r>
              <w:rPr>
                <w:rFonts w:ascii="Arial" w:cs="Arial" w:eastAsia="Arial" w:hAnsi="Arial"/>
                <w:sz w:val="14"/>
                <w:szCs w:val="14"/>
                <w:color w:val="auto"/>
              </w:rPr>
              <w:t>(in millions)</w:t>
            </w:r>
          </w:p>
        </w:tc>
        <w:tc>
          <w:tcPr>
            <w:tcW w:w="1060" w:type="dxa"/>
            <w:vAlign w:val="bottom"/>
            <w:gridSpan w:val="2"/>
          </w:tcPr>
          <w:p>
            <w:pPr>
              <w:ind w:left="400"/>
              <w:spacing w:after="0" w:line="143" w:lineRule="exact"/>
              <w:rPr>
                <w:sz w:val="20"/>
                <w:szCs w:val="20"/>
                <w:color w:val="auto"/>
              </w:rPr>
            </w:pPr>
            <w:r>
              <w:rPr>
                <w:rFonts w:ascii="Arial" w:cs="Arial" w:eastAsia="Arial" w:hAnsi="Arial"/>
                <w:sz w:val="14"/>
                <w:szCs w:val="14"/>
                <w:color w:val="auto"/>
              </w:rPr>
              <w:t>Level 1</w:t>
            </w:r>
          </w:p>
        </w:tc>
        <w:tc>
          <w:tcPr>
            <w:tcW w:w="780" w:type="dxa"/>
            <w:vAlign w:val="bottom"/>
            <w:gridSpan w:val="2"/>
          </w:tcPr>
          <w:p>
            <w:pPr>
              <w:ind w:left="260"/>
              <w:spacing w:after="0" w:line="143" w:lineRule="exact"/>
              <w:rPr>
                <w:sz w:val="20"/>
                <w:szCs w:val="20"/>
                <w:color w:val="auto"/>
              </w:rPr>
            </w:pPr>
            <w:r>
              <w:rPr>
                <w:rFonts w:ascii="Arial" w:cs="Arial" w:eastAsia="Arial" w:hAnsi="Arial"/>
                <w:sz w:val="14"/>
                <w:szCs w:val="14"/>
                <w:color w:val="auto"/>
              </w:rPr>
              <w:t>Level 2</w:t>
            </w:r>
          </w:p>
        </w:tc>
        <w:tc>
          <w:tcPr>
            <w:tcW w:w="1340" w:type="dxa"/>
            <w:vAlign w:val="bottom"/>
            <w:gridSpan w:val="2"/>
          </w:tcPr>
          <w:p>
            <w:pPr>
              <w:ind w:left="440"/>
              <w:spacing w:after="0" w:line="143" w:lineRule="exact"/>
              <w:rPr>
                <w:sz w:val="20"/>
                <w:szCs w:val="20"/>
                <w:color w:val="auto"/>
              </w:rPr>
            </w:pPr>
            <w:r>
              <w:rPr>
                <w:rFonts w:ascii="Arial" w:cs="Arial" w:eastAsia="Arial" w:hAnsi="Arial"/>
                <w:sz w:val="14"/>
                <w:szCs w:val="14"/>
                <w:color w:val="auto"/>
              </w:rPr>
              <w:t>Level 3</w:t>
            </w:r>
          </w:p>
        </w:tc>
        <w:tc>
          <w:tcPr>
            <w:tcW w:w="160" w:type="dxa"/>
            <w:vAlign w:val="bottom"/>
          </w:tcPr>
          <w:p>
            <w:pPr>
              <w:spacing w:after="0"/>
              <w:rPr>
                <w:sz w:val="12"/>
                <w:szCs w:val="12"/>
                <w:color w:val="auto"/>
              </w:rPr>
            </w:pPr>
          </w:p>
        </w:tc>
        <w:tc>
          <w:tcPr>
            <w:tcW w:w="640" w:type="dxa"/>
            <w:vAlign w:val="bottom"/>
          </w:tcPr>
          <w:p>
            <w:pPr>
              <w:jc w:val="right"/>
              <w:ind w:right="274"/>
              <w:spacing w:after="0" w:line="143" w:lineRule="exact"/>
              <w:rPr>
                <w:sz w:val="20"/>
                <w:szCs w:val="20"/>
                <w:color w:val="auto"/>
              </w:rPr>
            </w:pPr>
            <w:r>
              <w:rPr>
                <w:rFonts w:ascii="Arial" w:cs="Arial" w:eastAsia="Arial" w:hAnsi="Arial"/>
                <w:sz w:val="14"/>
                <w:szCs w:val="14"/>
                <w:color w:val="auto"/>
                <w:w w:val="83"/>
              </w:rPr>
              <w:t>Total</w:t>
            </w:r>
          </w:p>
        </w:tc>
        <w:tc>
          <w:tcPr>
            <w:tcW w:w="420" w:type="dxa"/>
            <w:vAlign w:val="bottom"/>
          </w:tcPr>
          <w:p>
            <w:pPr>
              <w:spacing w:after="0"/>
              <w:rPr>
                <w:sz w:val="12"/>
                <w:szCs w:val="12"/>
                <w:color w:val="auto"/>
              </w:rPr>
            </w:pPr>
          </w:p>
        </w:tc>
        <w:tc>
          <w:tcPr>
            <w:tcW w:w="700" w:type="dxa"/>
            <w:vAlign w:val="bottom"/>
          </w:tcPr>
          <w:p>
            <w:pPr>
              <w:jc w:val="right"/>
              <w:ind w:right="256"/>
              <w:spacing w:after="0" w:line="143"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Assets</w:t>
            </w:r>
          </w:p>
        </w:tc>
        <w:tc>
          <w:tcPr>
            <w:tcW w:w="560" w:type="dxa"/>
            <w:vAlign w:val="bottom"/>
            <w:tcBorders>
              <w:top w:val="single" w:sz="8" w:color="auto"/>
            </w:tcBorders>
            <w:shd w:val="clear" w:color="auto" w:fill="E5E5E5"/>
          </w:tcPr>
          <w:p>
            <w:pPr>
              <w:spacing w:after="0"/>
              <w:rPr>
                <w:sz w:val="18"/>
                <w:szCs w:val="18"/>
                <w:color w:val="auto"/>
              </w:rPr>
            </w:pPr>
          </w:p>
        </w:tc>
        <w:tc>
          <w:tcPr>
            <w:tcW w:w="500" w:type="dxa"/>
            <w:vAlign w:val="bottom"/>
            <w:tcBorders>
              <w:top w:val="single" w:sz="8" w:color="auto"/>
            </w:tcBorders>
            <w:shd w:val="clear" w:color="auto" w:fill="E5E5E5"/>
          </w:tcPr>
          <w:p>
            <w:pPr>
              <w:spacing w:after="0"/>
              <w:rPr>
                <w:sz w:val="18"/>
                <w:szCs w:val="18"/>
                <w:color w:val="auto"/>
              </w:rPr>
            </w:pPr>
          </w:p>
        </w:tc>
        <w:tc>
          <w:tcPr>
            <w:tcW w:w="380" w:type="dxa"/>
            <w:vAlign w:val="bottom"/>
            <w:tcBorders>
              <w:top w:val="single" w:sz="8" w:color="auto"/>
            </w:tcBorders>
            <w:shd w:val="clear" w:color="auto" w:fill="E5E5E5"/>
          </w:tcPr>
          <w:p>
            <w:pPr>
              <w:spacing w:after="0"/>
              <w:rPr>
                <w:sz w:val="18"/>
                <w:szCs w:val="18"/>
                <w:color w:val="auto"/>
              </w:rPr>
            </w:pPr>
          </w:p>
        </w:tc>
        <w:tc>
          <w:tcPr>
            <w:tcW w:w="400" w:type="dxa"/>
            <w:vAlign w:val="bottom"/>
            <w:tcBorders>
              <w:top w:val="single" w:sz="8" w:color="auto"/>
            </w:tcBorders>
            <w:shd w:val="clear" w:color="auto" w:fill="E5E5E5"/>
          </w:tcPr>
          <w:p>
            <w:pPr>
              <w:spacing w:after="0"/>
              <w:rPr>
                <w:sz w:val="18"/>
                <w:szCs w:val="18"/>
                <w:color w:val="auto"/>
              </w:rPr>
            </w:pPr>
          </w:p>
        </w:tc>
        <w:tc>
          <w:tcPr>
            <w:tcW w:w="500" w:type="dxa"/>
            <w:vAlign w:val="bottom"/>
            <w:tcBorders>
              <w:top w:val="single" w:sz="8" w:color="auto"/>
            </w:tcBorders>
            <w:shd w:val="clear" w:color="auto" w:fill="E5E5E5"/>
          </w:tcPr>
          <w:p>
            <w:pPr>
              <w:spacing w:after="0"/>
              <w:rPr>
                <w:sz w:val="18"/>
                <w:szCs w:val="18"/>
                <w:color w:val="auto"/>
              </w:rPr>
            </w:pPr>
          </w:p>
        </w:tc>
        <w:tc>
          <w:tcPr>
            <w:tcW w:w="840" w:type="dxa"/>
            <w:vAlign w:val="bottom"/>
            <w:tcBorders>
              <w:top w:val="single" w:sz="8" w:color="auto"/>
            </w:tcBorders>
            <w:shd w:val="clear" w:color="auto" w:fill="E5E5E5"/>
          </w:tcPr>
          <w:p>
            <w:pPr>
              <w:spacing w:after="0"/>
              <w:rPr>
                <w:sz w:val="18"/>
                <w:szCs w:val="18"/>
                <w:color w:val="auto"/>
              </w:rPr>
            </w:pPr>
          </w:p>
        </w:tc>
        <w:tc>
          <w:tcPr>
            <w:tcW w:w="160" w:type="dxa"/>
            <w:vAlign w:val="bottom"/>
            <w:tcBorders>
              <w:top w:val="single" w:sz="8" w:color="auto"/>
            </w:tcBorders>
            <w:shd w:val="clear" w:color="auto" w:fill="E5E5E5"/>
          </w:tcPr>
          <w:p>
            <w:pPr>
              <w:spacing w:after="0"/>
              <w:rPr>
                <w:sz w:val="18"/>
                <w:szCs w:val="18"/>
                <w:color w:val="auto"/>
              </w:rPr>
            </w:pPr>
          </w:p>
        </w:tc>
        <w:tc>
          <w:tcPr>
            <w:tcW w:w="640" w:type="dxa"/>
            <w:vAlign w:val="bottom"/>
            <w:tcBorders>
              <w:top w:val="single" w:sz="8" w:color="auto"/>
            </w:tcBorders>
            <w:shd w:val="clear" w:color="auto" w:fill="E5E5E5"/>
          </w:tcPr>
          <w:p>
            <w:pPr>
              <w:spacing w:after="0"/>
              <w:rPr>
                <w:sz w:val="18"/>
                <w:szCs w:val="18"/>
                <w:color w:val="auto"/>
              </w:rPr>
            </w:pPr>
          </w:p>
        </w:tc>
        <w:tc>
          <w:tcPr>
            <w:tcW w:w="420" w:type="dxa"/>
            <w:vAlign w:val="bottom"/>
            <w:tcBorders>
              <w:top w:val="single" w:sz="8" w:color="auto"/>
            </w:tcBorders>
            <w:shd w:val="clear" w:color="auto" w:fill="E5E5E5"/>
          </w:tcPr>
          <w:p>
            <w:pPr>
              <w:spacing w:after="0"/>
              <w:rPr>
                <w:sz w:val="18"/>
                <w:szCs w:val="18"/>
                <w:color w:val="auto"/>
              </w:rPr>
            </w:pPr>
          </w:p>
        </w:tc>
        <w:tc>
          <w:tcPr>
            <w:tcW w:w="70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Trading securities</w:t>
            </w:r>
          </w:p>
        </w:tc>
        <w:tc>
          <w:tcPr>
            <w:tcW w:w="560" w:type="dxa"/>
            <w:vAlign w:val="bottom"/>
          </w:tcPr>
          <w:p>
            <w:pPr>
              <w:ind w:left="40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152"/>
              <w:spacing w:after="0"/>
              <w:rPr>
                <w:sz w:val="20"/>
                <w:szCs w:val="20"/>
                <w:color w:val="auto"/>
              </w:rPr>
            </w:pPr>
            <w:r>
              <w:rPr>
                <w:rFonts w:ascii="Arial" w:cs="Arial" w:eastAsia="Arial" w:hAnsi="Arial"/>
                <w:sz w:val="18"/>
                <w:szCs w:val="18"/>
                <w:color w:val="auto"/>
              </w:rPr>
              <w:t>27</w:t>
            </w:r>
          </w:p>
        </w:tc>
        <w:tc>
          <w:tcPr>
            <w:tcW w:w="380" w:type="dxa"/>
            <w:vAlign w:val="bottom"/>
          </w:tcPr>
          <w:p>
            <w:pPr>
              <w:ind w:left="260"/>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52"/>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54"/>
              <w:spacing w:after="0"/>
              <w:rPr>
                <w:sz w:val="20"/>
                <w:szCs w:val="20"/>
                <w:color w:val="auto"/>
              </w:rPr>
            </w:pPr>
            <w:r>
              <w:rPr>
                <w:rFonts w:ascii="Arial" w:cs="Arial" w:eastAsia="Arial" w:hAnsi="Arial"/>
                <w:sz w:val="18"/>
                <w:szCs w:val="18"/>
                <w:color w:val="auto"/>
              </w:rPr>
              <w:t>27</w:t>
            </w:r>
          </w:p>
        </w:tc>
        <w:tc>
          <w:tcPr>
            <w:tcW w:w="420" w:type="dxa"/>
            <w:vAlign w:val="bottom"/>
          </w:tcPr>
          <w:p>
            <w:pPr>
              <w:ind w:left="26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6"/>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E5E5E5"/>
          </w:tcPr>
          <w:p>
            <w:pPr>
              <w:spacing w:after="0"/>
              <w:rPr>
                <w:sz w:val="20"/>
                <w:szCs w:val="20"/>
                <w:color w:val="auto"/>
              </w:rPr>
            </w:pPr>
            <w:r>
              <w:rPr>
                <w:rFonts w:ascii="Arial" w:cs="Arial" w:eastAsia="Arial" w:hAnsi="Arial"/>
                <w:sz w:val="18"/>
                <w:szCs w:val="18"/>
                <w:color w:val="auto"/>
              </w:rPr>
              <w:t>Available-for-sale securities</w:t>
            </w:r>
          </w:p>
        </w:tc>
        <w:tc>
          <w:tcPr>
            <w:tcW w:w="56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4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w w:val="93"/>
              </w:rPr>
              <w:t>122</w:t>
            </w:r>
          </w:p>
        </w:tc>
        <w:tc>
          <w:tcPr>
            <w:tcW w:w="50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352"/>
              <w:spacing w:after="0"/>
              <w:rPr>
                <w:sz w:val="20"/>
                <w:szCs w:val="20"/>
                <w:color w:val="auto"/>
              </w:rPr>
            </w:pPr>
            <w:r>
              <w:rPr>
                <w:rFonts w:ascii="Arial" w:cs="Arial" w:eastAsia="Arial" w:hAnsi="Arial"/>
                <w:sz w:val="18"/>
                <w:szCs w:val="18"/>
                <w:color w:val="auto"/>
              </w:rPr>
              <w:t>10</w:t>
            </w:r>
          </w:p>
        </w:tc>
        <w:tc>
          <w:tcPr>
            <w:tcW w:w="16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132</w:t>
            </w:r>
          </w:p>
        </w:tc>
        <w:tc>
          <w:tcPr>
            <w:tcW w:w="4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Interest rate swap agreements</w:t>
            </w:r>
          </w:p>
        </w:tc>
        <w:tc>
          <w:tcPr>
            <w:tcW w:w="560" w:type="dxa"/>
            <w:vAlign w:val="bottom"/>
          </w:tcPr>
          <w:p>
            <w:pPr>
              <w:spacing w:after="0"/>
              <w:rPr>
                <w:sz w:val="18"/>
                <w:szCs w:val="18"/>
                <w:color w:val="auto"/>
              </w:rPr>
            </w:pPr>
          </w:p>
        </w:tc>
        <w:tc>
          <w:tcPr>
            <w:tcW w:w="5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400" w:type="dxa"/>
            <w:vAlign w:val="bottom"/>
          </w:tcPr>
          <w:p>
            <w:pPr>
              <w:jc w:val="right"/>
              <w:ind w:right="14"/>
              <w:spacing w:after="0"/>
              <w:rPr>
                <w:sz w:val="20"/>
                <w:szCs w:val="20"/>
                <w:color w:val="auto"/>
              </w:rPr>
            </w:pPr>
            <w:r>
              <w:rPr>
                <w:rFonts w:ascii="Arial" w:cs="Arial" w:eastAsia="Arial" w:hAnsi="Arial"/>
                <w:sz w:val="18"/>
                <w:szCs w:val="18"/>
                <w:color w:val="auto"/>
              </w:rPr>
              <w:t>80</w:t>
            </w:r>
          </w:p>
        </w:tc>
        <w:tc>
          <w:tcPr>
            <w:tcW w:w="500" w:type="dxa"/>
            <w:vAlign w:val="bottom"/>
          </w:tcPr>
          <w:p>
            <w:pPr>
              <w:spacing w:after="0"/>
              <w:rPr>
                <w:sz w:val="18"/>
                <w:szCs w:val="18"/>
                <w:color w:val="auto"/>
              </w:rPr>
            </w:pPr>
          </w:p>
        </w:tc>
        <w:tc>
          <w:tcPr>
            <w:tcW w:w="840" w:type="dxa"/>
            <w:vAlign w:val="bottom"/>
          </w:tcPr>
          <w:p>
            <w:pPr>
              <w:jc w:val="right"/>
              <w:ind w:right="35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40" w:type="dxa"/>
            <w:vAlign w:val="bottom"/>
          </w:tcPr>
          <w:p>
            <w:pPr>
              <w:jc w:val="right"/>
              <w:ind w:right="154"/>
              <w:spacing w:after="0"/>
              <w:rPr>
                <w:sz w:val="20"/>
                <w:szCs w:val="20"/>
                <w:color w:val="auto"/>
              </w:rPr>
            </w:pPr>
            <w:r>
              <w:rPr>
                <w:rFonts w:ascii="Arial" w:cs="Arial" w:eastAsia="Arial" w:hAnsi="Arial"/>
                <w:sz w:val="18"/>
                <w:szCs w:val="18"/>
                <w:color w:val="auto"/>
              </w:rPr>
              <w:t>80</w:t>
            </w:r>
          </w:p>
        </w:tc>
        <w:tc>
          <w:tcPr>
            <w:tcW w:w="420" w:type="dxa"/>
            <w:vAlign w:val="bottom"/>
          </w:tcPr>
          <w:p>
            <w:pPr>
              <w:spacing w:after="0"/>
              <w:rPr>
                <w:sz w:val="18"/>
                <w:szCs w:val="18"/>
                <w:color w:val="auto"/>
              </w:rPr>
            </w:pPr>
          </w:p>
        </w:tc>
        <w:tc>
          <w:tcPr>
            <w:tcW w:w="700" w:type="dxa"/>
            <w:vAlign w:val="bottom"/>
          </w:tcPr>
          <w:p>
            <w:pPr>
              <w:jc w:val="right"/>
              <w:ind w:right="16"/>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Other</w:t>
            </w:r>
          </w:p>
        </w:tc>
        <w:tc>
          <w:tcPr>
            <w:tcW w:w="56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E5E5E5"/>
          </w:tcPr>
          <w:p>
            <w:pPr>
              <w:spacing w:after="0"/>
              <w:rPr>
                <w:sz w:val="18"/>
                <w:szCs w:val="18"/>
                <w:color w:val="auto"/>
              </w:rPr>
            </w:pPr>
          </w:p>
        </w:tc>
        <w:tc>
          <w:tcPr>
            <w:tcW w:w="40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21</w:t>
            </w:r>
          </w:p>
        </w:tc>
        <w:tc>
          <w:tcPr>
            <w:tcW w:w="50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352"/>
              <w:spacing w:after="0"/>
              <w:rPr>
                <w:sz w:val="20"/>
                <w:szCs w:val="20"/>
                <w:color w:val="auto"/>
              </w:rPr>
            </w:pPr>
            <w:r>
              <w:rPr>
                <w:rFonts w:ascii="Arial" w:cs="Arial" w:eastAsia="Arial" w:hAnsi="Arial"/>
                <w:sz w:val="18"/>
                <w:szCs w:val="18"/>
                <w:color w:val="auto"/>
              </w:rPr>
              <w:t>8</w:t>
            </w:r>
          </w:p>
        </w:tc>
        <w:tc>
          <w:tcPr>
            <w:tcW w:w="16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54"/>
              <w:spacing w:after="0"/>
              <w:rPr>
                <w:sz w:val="20"/>
                <w:szCs w:val="20"/>
                <w:color w:val="auto"/>
              </w:rPr>
            </w:pPr>
            <w:r>
              <w:rPr>
                <w:rFonts w:ascii="Arial" w:cs="Arial" w:eastAsia="Arial" w:hAnsi="Arial"/>
                <w:sz w:val="18"/>
                <w:szCs w:val="18"/>
                <w:color w:val="auto"/>
              </w:rPr>
              <w:t>29</w:t>
            </w:r>
          </w:p>
        </w:tc>
        <w:tc>
          <w:tcPr>
            <w:tcW w:w="4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6"/>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3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w:t>
            </w:r>
          </w:p>
        </w:tc>
        <w:tc>
          <w:tcPr>
            <w:tcW w:w="56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w:t>
            </w:r>
          </w:p>
        </w:tc>
        <w:tc>
          <w:tcPr>
            <w:tcW w:w="5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27</w:t>
            </w:r>
          </w:p>
        </w:tc>
        <w:tc>
          <w:tcPr>
            <w:tcW w:w="38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w w:val="99"/>
              </w:rPr>
              <w:t>$</w:t>
            </w:r>
          </w:p>
        </w:tc>
        <w:tc>
          <w:tcPr>
            <w:tcW w:w="4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w w:val="93"/>
              </w:rPr>
              <w:t>223</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18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b w:val="1"/>
                <w:bCs w:val="1"/>
                <w:color w:val="auto"/>
              </w:rPr>
              <w:t>268</w:t>
            </w:r>
          </w:p>
        </w:tc>
        <w:tc>
          <w:tcPr>
            <w:tcW w:w="42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810</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6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Liabilities</w:t>
            </w:r>
          </w:p>
        </w:tc>
        <w:tc>
          <w:tcPr>
            <w:tcW w:w="56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w w:val="89"/>
              </w:rPr>
              <w:t>Derivative component of prepaid forward sale agreements and indexed debt instruments</w:t>
            </w:r>
          </w:p>
        </w:tc>
        <w:tc>
          <w:tcPr>
            <w:tcW w:w="560" w:type="dxa"/>
            <w:vAlign w:val="bottom"/>
          </w:tcPr>
          <w:p>
            <w:pPr>
              <w:ind w:left="40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80" w:type="dxa"/>
            <w:vAlign w:val="bottom"/>
          </w:tcPr>
          <w:p>
            <w:pPr>
              <w:ind w:left="260"/>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ind w:right="14"/>
              <w:spacing w:after="0"/>
              <w:rPr>
                <w:sz w:val="20"/>
                <w:szCs w:val="20"/>
                <w:color w:val="auto"/>
              </w:rPr>
            </w:pPr>
            <w:r>
              <w:rPr>
                <w:rFonts w:ascii="Arial" w:cs="Arial" w:eastAsia="Arial" w:hAnsi="Arial"/>
                <w:sz w:val="18"/>
                <w:szCs w:val="18"/>
                <w:color w:val="auto"/>
              </w:rPr>
              <w:t>7</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52"/>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54"/>
              <w:spacing w:after="0"/>
              <w:rPr>
                <w:sz w:val="20"/>
                <w:szCs w:val="20"/>
                <w:color w:val="auto"/>
              </w:rPr>
            </w:pPr>
            <w:r>
              <w:rPr>
                <w:rFonts w:ascii="Arial" w:cs="Arial" w:eastAsia="Arial" w:hAnsi="Arial"/>
                <w:sz w:val="18"/>
                <w:szCs w:val="18"/>
                <w:color w:val="auto"/>
              </w:rPr>
              <w:t>7</w:t>
            </w:r>
          </w:p>
        </w:tc>
        <w:tc>
          <w:tcPr>
            <w:tcW w:w="420" w:type="dxa"/>
            <w:vAlign w:val="bottom"/>
          </w:tcPr>
          <w:p>
            <w:pPr>
              <w:ind w:left="26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6"/>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E5E5E5"/>
          </w:tcPr>
          <w:p>
            <w:pPr>
              <w:spacing w:after="0"/>
              <w:rPr>
                <w:sz w:val="20"/>
                <w:szCs w:val="20"/>
                <w:color w:val="auto"/>
              </w:rPr>
            </w:pPr>
            <w:r>
              <w:rPr>
                <w:rFonts w:ascii="Arial" w:cs="Arial" w:eastAsia="Arial" w:hAnsi="Arial"/>
                <w:sz w:val="18"/>
                <w:szCs w:val="18"/>
                <w:color w:val="auto"/>
              </w:rPr>
              <w:t>Contractual obligations</w:t>
            </w:r>
          </w:p>
        </w:tc>
        <w:tc>
          <w:tcPr>
            <w:tcW w:w="56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4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w:t>
            </w:r>
          </w:p>
        </w:tc>
        <w:tc>
          <w:tcPr>
            <w:tcW w:w="50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352"/>
              <w:spacing w:after="0"/>
              <w:rPr>
                <w:sz w:val="20"/>
                <w:szCs w:val="20"/>
                <w:color w:val="auto"/>
              </w:rPr>
            </w:pPr>
            <w:r>
              <w:rPr>
                <w:rFonts w:ascii="Arial" w:cs="Arial" w:eastAsia="Arial" w:hAnsi="Arial"/>
                <w:sz w:val="18"/>
                <w:szCs w:val="18"/>
                <w:color w:val="auto"/>
                <w:w w:val="84"/>
              </w:rPr>
              <w:t>1,056</w:t>
            </w:r>
          </w:p>
        </w:tc>
        <w:tc>
          <w:tcPr>
            <w:tcW w:w="16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w w:val="84"/>
              </w:rPr>
              <w:t>1,056</w:t>
            </w:r>
          </w:p>
        </w:tc>
        <w:tc>
          <w:tcPr>
            <w:tcW w:w="4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883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Contingent consideration</w:t>
            </w:r>
          </w:p>
        </w:tc>
        <w:tc>
          <w:tcPr>
            <w:tcW w:w="560" w:type="dxa"/>
            <w:vAlign w:val="bottom"/>
          </w:tcPr>
          <w:p>
            <w:pPr>
              <w:spacing w:after="0"/>
              <w:rPr>
                <w:sz w:val="18"/>
                <w:szCs w:val="18"/>
                <w:color w:val="auto"/>
              </w:rPr>
            </w:pPr>
          </w:p>
        </w:tc>
        <w:tc>
          <w:tcPr>
            <w:tcW w:w="5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4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840" w:type="dxa"/>
            <w:vAlign w:val="bottom"/>
          </w:tcPr>
          <w:p>
            <w:pPr>
              <w:jc w:val="right"/>
              <w:ind w:right="35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4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700" w:type="dxa"/>
            <w:vAlign w:val="bottom"/>
          </w:tcPr>
          <w:p>
            <w:pPr>
              <w:jc w:val="right"/>
              <w:ind w:right="16"/>
              <w:spacing w:after="0"/>
              <w:rPr>
                <w:sz w:val="20"/>
                <w:szCs w:val="20"/>
                <w:color w:val="auto"/>
              </w:rPr>
            </w:pPr>
            <w:r>
              <w:rPr>
                <w:rFonts w:ascii="Arial" w:cs="Arial" w:eastAsia="Arial" w:hAnsi="Arial"/>
                <w:sz w:val="18"/>
                <w:szCs w:val="18"/>
                <w:color w:val="auto"/>
              </w:rPr>
              <w:t>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Other</w:t>
            </w:r>
          </w:p>
        </w:tc>
        <w:tc>
          <w:tcPr>
            <w:tcW w:w="56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E5E5E5"/>
          </w:tcPr>
          <w:p>
            <w:pPr>
              <w:spacing w:after="0"/>
              <w:rPr>
                <w:sz w:val="18"/>
                <w:szCs w:val="18"/>
                <w:color w:val="auto"/>
              </w:rPr>
            </w:pPr>
          </w:p>
        </w:tc>
        <w:tc>
          <w:tcPr>
            <w:tcW w:w="40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41</w:t>
            </w:r>
          </w:p>
        </w:tc>
        <w:tc>
          <w:tcPr>
            <w:tcW w:w="50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352"/>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54"/>
              <w:spacing w:after="0"/>
              <w:rPr>
                <w:sz w:val="20"/>
                <w:szCs w:val="20"/>
                <w:color w:val="auto"/>
              </w:rPr>
            </w:pPr>
            <w:r>
              <w:rPr>
                <w:rFonts w:ascii="Arial" w:cs="Arial" w:eastAsia="Arial" w:hAnsi="Arial"/>
                <w:sz w:val="18"/>
                <w:szCs w:val="18"/>
                <w:color w:val="auto"/>
              </w:rPr>
              <w:t>41</w:t>
            </w:r>
          </w:p>
        </w:tc>
        <w:tc>
          <w:tcPr>
            <w:tcW w:w="4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6"/>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4"/>
        </w:trPr>
        <w:tc>
          <w:tcPr>
            <w:tcW w:w="20" w:type="dxa"/>
            <w:vAlign w:val="bottom"/>
            <w:tcBorders>
              <w:bottom w:val="single" w:sz="8" w:color="auto"/>
            </w:tcBorders>
          </w:tcPr>
          <w:p>
            <w:pPr>
              <w:spacing w:after="0"/>
              <w:rPr>
                <w:sz w:val="21"/>
                <w:szCs w:val="21"/>
                <w:color w:val="auto"/>
              </w:rPr>
            </w:pPr>
          </w:p>
        </w:tc>
        <w:tc>
          <w:tcPr>
            <w:tcW w:w="63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w:t>
            </w:r>
          </w:p>
        </w:tc>
        <w:tc>
          <w:tcPr>
            <w:tcW w:w="56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w:t>
            </w:r>
          </w:p>
        </w:tc>
        <w:tc>
          <w:tcPr>
            <w:tcW w:w="5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w w:val="99"/>
              </w:rPr>
              <w:t>$</w:t>
            </w:r>
          </w:p>
        </w:tc>
        <w:tc>
          <w:tcPr>
            <w:tcW w:w="4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48</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w w:val="84"/>
              </w:rPr>
              <w:t>1,056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b w:val="1"/>
                <w:bCs w:val="1"/>
                <w:color w:val="auto"/>
                <w:w w:val="84"/>
              </w:rPr>
              <w:t>1,104</w:t>
            </w:r>
          </w:p>
        </w:tc>
        <w:tc>
          <w:tcPr>
            <w:tcW w:w="42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1,896</w:t>
            </w: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Contingent Consideration</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June 2015, we settled a contingent consideration liability related to the acquisition of NBCUniversal, which was based upon future net tax benefits realized by us that would affect future payments to General Electric Company, for a payment of $450 million, which is included as a financing activity in our condensed consolidated statement of cash flows. The settlement resulted in a gain for the nine months ended September 30, 2015 of $240 million, which was recorded to other income (expense), net in our condensed consolidated statement of income.</w:t>
      </w:r>
    </w:p>
    <w:p>
      <w:pPr>
        <w:spacing w:after="0" w:line="49"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estimated fair values of the contractual obligations in the table below are primarily based on certain expected future discounted cash flows, the determination of which involves the use of significant unobservable inputs. The contractual obligations involve financial interests held by a third party in certain NBCUniversal businesses and are based on a percentage of future revenue of the specified businesses. The most significant unobservable inputs we use include our estimates of the future revenue we expect to generate from certain NBCUniversal businesses. The discount rates used in the measurements of fair value as of September 30, 2015 were between 12% and 13% and are based on the underlying risk associated with our estimate of future revenue and the terms of the respective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4"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contracts. The fair value adjustments to the contractual obligations are sensitive to the assumptions related to future revenue, as well as to current interest rates, and therefore the adjustments are recorded to other income (expense), net in our condensed consolidated statement of income.</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180" w:type="dxa"/>
            <w:vAlign w:val="bottom"/>
          </w:tcPr>
          <w:p>
            <w:pPr>
              <w:spacing w:after="0"/>
              <w:rPr>
                <w:sz w:val="20"/>
                <w:szCs w:val="20"/>
                <w:color w:val="auto"/>
              </w:rPr>
            </w:pPr>
          </w:p>
        </w:tc>
        <w:tc>
          <w:tcPr>
            <w:tcW w:w="6980" w:type="dxa"/>
            <w:vAlign w:val="bottom"/>
          </w:tcPr>
          <w:p>
            <w:pPr>
              <w:ind w:left="1040"/>
              <w:spacing w:after="0"/>
              <w:rPr>
                <w:sz w:val="20"/>
                <w:szCs w:val="20"/>
                <w:color w:val="auto"/>
              </w:rPr>
            </w:pPr>
            <w:r>
              <w:rPr>
                <w:rFonts w:ascii="Arial" w:cs="Arial" w:eastAsia="Arial" w:hAnsi="Arial"/>
                <w:sz w:val="18"/>
                <w:szCs w:val="18"/>
                <w:b w:val="1"/>
                <w:bCs w:val="1"/>
                <w:color w:val="auto"/>
              </w:rPr>
              <w:t>Changes in Contractual Obligations</w:t>
            </w:r>
          </w:p>
        </w:tc>
        <w:tc>
          <w:tcPr>
            <w:tcW w:w="1260" w:type="dxa"/>
            <w:vAlign w:val="bottom"/>
          </w:tcPr>
          <w:p>
            <w:pPr>
              <w:spacing w:after="0"/>
              <w:rPr>
                <w:sz w:val="20"/>
                <w:szCs w:val="20"/>
                <w:color w:val="auto"/>
              </w:rPr>
            </w:pPr>
          </w:p>
        </w:tc>
      </w:tr>
      <w:tr>
        <w:trPr>
          <w:trHeight w:val="261"/>
        </w:trPr>
        <w:tc>
          <w:tcPr>
            <w:tcW w:w="3180" w:type="dxa"/>
            <w:vAlign w:val="bottom"/>
          </w:tcPr>
          <w:p>
            <w:pPr>
              <w:spacing w:after="0"/>
              <w:rPr>
                <w:sz w:val="22"/>
                <w:szCs w:val="22"/>
                <w:color w:val="auto"/>
              </w:rPr>
            </w:pPr>
          </w:p>
        </w:tc>
        <w:tc>
          <w:tcPr>
            <w:tcW w:w="8240" w:type="dxa"/>
            <w:vAlign w:val="bottom"/>
            <w:gridSpan w:val="2"/>
          </w:tcPr>
          <w:p>
            <w:pPr>
              <w:ind w:left="6820"/>
              <w:spacing w:after="0"/>
              <w:rPr>
                <w:sz w:val="20"/>
                <w:szCs w:val="20"/>
                <w:color w:val="auto"/>
              </w:rPr>
            </w:pPr>
            <w:r>
              <w:rPr>
                <w:rFonts w:ascii="Arial" w:cs="Arial" w:eastAsia="Arial" w:hAnsi="Arial"/>
                <w:sz w:val="14"/>
                <w:szCs w:val="14"/>
                <w:color w:val="auto"/>
              </w:rPr>
              <w:t>Contractual</w:t>
            </w:r>
          </w:p>
        </w:tc>
      </w:tr>
      <w:tr>
        <w:trPr>
          <w:trHeight w:val="159"/>
        </w:trPr>
        <w:tc>
          <w:tcPr>
            <w:tcW w:w="318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8240" w:type="dxa"/>
            <w:vAlign w:val="bottom"/>
            <w:tcBorders>
              <w:bottom w:val="single" w:sz="8" w:color="auto"/>
            </w:tcBorders>
            <w:gridSpan w:val="2"/>
          </w:tcPr>
          <w:p>
            <w:pPr>
              <w:ind w:left="6820"/>
              <w:spacing w:after="0" w:line="159" w:lineRule="exact"/>
              <w:rPr>
                <w:sz w:val="20"/>
                <w:szCs w:val="20"/>
                <w:color w:val="auto"/>
              </w:rPr>
            </w:pPr>
            <w:r>
              <w:rPr>
                <w:rFonts w:ascii="Arial" w:cs="Arial" w:eastAsia="Arial" w:hAnsi="Arial"/>
                <w:sz w:val="14"/>
                <w:szCs w:val="14"/>
                <w:color w:val="auto"/>
              </w:rPr>
              <w:t>Obligations</w:t>
            </w:r>
          </w:p>
        </w:tc>
      </w:tr>
      <w:tr>
        <w:trPr>
          <w:trHeight w:val="210"/>
        </w:trPr>
        <w:tc>
          <w:tcPr>
            <w:tcW w:w="3180" w:type="dxa"/>
            <w:vAlign w:val="bottom"/>
            <w:shd w:val="clear" w:color="auto" w:fill="E5E5E5"/>
          </w:tcPr>
          <w:p>
            <w:pPr>
              <w:spacing w:after="0"/>
              <w:rPr>
                <w:sz w:val="20"/>
                <w:szCs w:val="20"/>
                <w:color w:val="auto"/>
              </w:rPr>
            </w:pPr>
            <w:r>
              <w:rPr>
                <w:rFonts w:ascii="Arial" w:cs="Arial" w:eastAsia="Arial" w:hAnsi="Arial"/>
                <w:sz w:val="18"/>
                <w:szCs w:val="18"/>
                <w:color w:val="auto"/>
              </w:rPr>
              <w:t>Balance, December 31, 2014</w:t>
            </w:r>
          </w:p>
        </w:tc>
        <w:tc>
          <w:tcPr>
            <w:tcW w:w="6980" w:type="dxa"/>
            <w:vAlign w:val="bottom"/>
            <w:shd w:val="clear" w:color="auto" w:fill="E5E5E5"/>
          </w:tcPr>
          <w:p>
            <w:pPr>
              <w:ind w:left="68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E5E5E5"/>
          </w:tcPr>
          <w:p>
            <w:pPr>
              <w:jc w:val="right"/>
              <w:ind w:right="692"/>
              <w:spacing w:after="0"/>
              <w:rPr>
                <w:sz w:val="20"/>
                <w:szCs w:val="20"/>
                <w:color w:val="auto"/>
              </w:rPr>
            </w:pPr>
            <w:r>
              <w:rPr>
                <w:rFonts w:ascii="Arial" w:cs="Arial" w:eastAsia="Arial" w:hAnsi="Arial"/>
                <w:sz w:val="18"/>
                <w:szCs w:val="18"/>
                <w:color w:val="auto"/>
              </w:rPr>
              <w:t>883</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Fair value adjustments</w:t>
            </w:r>
          </w:p>
        </w:tc>
        <w:tc>
          <w:tcPr>
            <w:tcW w:w="6980" w:type="dxa"/>
            <w:vAlign w:val="bottom"/>
          </w:tcPr>
          <w:p>
            <w:pPr>
              <w:spacing w:after="0"/>
              <w:rPr>
                <w:sz w:val="18"/>
                <w:szCs w:val="18"/>
                <w:color w:val="auto"/>
              </w:rPr>
            </w:pPr>
          </w:p>
        </w:tc>
        <w:tc>
          <w:tcPr>
            <w:tcW w:w="1260" w:type="dxa"/>
            <w:vAlign w:val="bottom"/>
          </w:tcPr>
          <w:p>
            <w:pPr>
              <w:jc w:val="right"/>
              <w:ind w:right="692"/>
              <w:spacing w:after="0"/>
              <w:rPr>
                <w:sz w:val="20"/>
                <w:szCs w:val="20"/>
                <w:color w:val="auto"/>
              </w:rPr>
            </w:pPr>
            <w:r>
              <w:rPr>
                <w:rFonts w:ascii="Arial" w:cs="Arial" w:eastAsia="Arial" w:hAnsi="Arial"/>
                <w:sz w:val="18"/>
                <w:szCs w:val="18"/>
                <w:color w:val="auto"/>
              </w:rPr>
              <w:t>236</w:t>
            </w:r>
          </w:p>
        </w:tc>
      </w:tr>
      <w:tr>
        <w:trPr>
          <w:trHeight w:val="216"/>
        </w:trPr>
        <w:tc>
          <w:tcPr>
            <w:tcW w:w="31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Payments</w:t>
            </w:r>
          </w:p>
        </w:tc>
        <w:tc>
          <w:tcPr>
            <w:tcW w:w="6980" w:type="dxa"/>
            <w:vAlign w:val="bottom"/>
            <w:tcBorders>
              <w:bottom w:val="single" w:sz="8" w:color="auto"/>
            </w:tcBorders>
            <w:shd w:val="clear" w:color="auto" w:fill="E5E5E5"/>
          </w:tcPr>
          <w:p>
            <w:pPr>
              <w:spacing w:after="0"/>
              <w:rPr>
                <w:sz w:val="18"/>
                <w:szCs w:val="18"/>
                <w:color w:val="auto"/>
              </w:rPr>
            </w:pPr>
          </w:p>
        </w:tc>
        <w:tc>
          <w:tcPr>
            <w:tcW w:w="1260" w:type="dxa"/>
            <w:vAlign w:val="bottom"/>
            <w:tcBorders>
              <w:bottom w:val="single" w:sz="8" w:color="auto"/>
            </w:tcBorders>
            <w:shd w:val="clear" w:color="auto" w:fill="E5E5E5"/>
          </w:tcPr>
          <w:p>
            <w:pPr>
              <w:jc w:val="right"/>
              <w:ind w:right="632"/>
              <w:spacing w:after="0"/>
              <w:rPr>
                <w:sz w:val="20"/>
                <w:szCs w:val="20"/>
                <w:color w:val="auto"/>
              </w:rPr>
            </w:pPr>
            <w:r>
              <w:rPr>
                <w:rFonts w:ascii="Arial" w:cs="Arial" w:eastAsia="Arial" w:hAnsi="Arial"/>
                <w:sz w:val="18"/>
                <w:szCs w:val="18"/>
                <w:color w:val="auto"/>
              </w:rPr>
              <w:t>(63)</w:t>
            </w:r>
          </w:p>
        </w:tc>
      </w:tr>
      <w:tr>
        <w:trPr>
          <w:trHeight w:val="217"/>
        </w:trPr>
        <w:tc>
          <w:tcPr>
            <w:tcW w:w="3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Balance, September 30, 2015</w:t>
            </w:r>
          </w:p>
        </w:tc>
        <w:tc>
          <w:tcPr>
            <w:tcW w:w="6980" w:type="dxa"/>
            <w:vAlign w:val="bottom"/>
            <w:tcBorders>
              <w:bottom w:val="single" w:sz="8" w:color="auto"/>
            </w:tcBorders>
          </w:tcPr>
          <w:p>
            <w:pPr>
              <w:ind w:left="682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auto"/>
            </w:tcBorders>
          </w:tcPr>
          <w:p>
            <w:pPr>
              <w:jc w:val="right"/>
              <w:ind w:right="692"/>
              <w:spacing w:after="0"/>
              <w:rPr>
                <w:sz w:val="20"/>
                <w:szCs w:val="20"/>
                <w:color w:val="auto"/>
              </w:rPr>
            </w:pPr>
            <w:r>
              <w:rPr>
                <w:rFonts w:ascii="Arial" w:cs="Arial" w:eastAsia="Arial" w:hAnsi="Arial"/>
                <w:sz w:val="18"/>
                <w:szCs w:val="18"/>
                <w:b w:val="1"/>
                <w:bCs w:val="1"/>
                <w:color w:val="auto"/>
              </w:rPr>
              <w:t>1,056</w:t>
            </w: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Redeemable Subsidiary Preferred Stock</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September 30, 2015, the fair value of the NBCUniversal Enterprise redeemable subsidiary preferred stock was $762 million. The estimated fair value is based on Level 2 inputs that use pricing models whose inputs are derived primarily from or corroborated by observable market data through correlation or other means for substantially the full term of the financial instrument.</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9: Share-Based Compensation</w:t>
      </w:r>
    </w:p>
    <w:p>
      <w:pPr>
        <w:spacing w:after="0" w:line="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share-based compensation primarily consists of awards of stock options and RSUs to certain employees and directors as part of our approach to long-term incentive compensation. Additionally, through our employee stock purchase plans, employees are able to purchase shares of Comcast Class A common stock at a discount through payroll deductions.</w:t>
      </w:r>
    </w:p>
    <w:p>
      <w:pPr>
        <w:spacing w:after="0" w:line="4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March 2015, we granted 17.6 million stock options and 5.1 million RSUs related to our annual management awards. The weighted-average fair values associated with these grants were $11.79 per stock option and $59.50 per RSU.</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Recognized Share-Based Compensation Expense</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60" w:type="dxa"/>
            <w:vAlign w:val="bottom"/>
            <w:gridSpan w:val="3"/>
          </w:tcPr>
          <w:p>
            <w:pPr>
              <w:jc w:val="right"/>
              <w:ind w:right="496"/>
              <w:spacing w:after="0"/>
              <w:rPr>
                <w:sz w:val="20"/>
                <w:szCs w:val="20"/>
                <w:color w:val="auto"/>
              </w:rPr>
            </w:pPr>
            <w:r>
              <w:rPr>
                <w:rFonts w:ascii="Arial" w:cs="Arial" w:eastAsia="Arial" w:hAnsi="Arial"/>
                <w:sz w:val="14"/>
                <w:szCs w:val="14"/>
                <w:color w:val="auto"/>
                <w:w w:val="96"/>
              </w:rPr>
              <w:t>Three Months Ended</w:t>
            </w:r>
          </w:p>
        </w:tc>
        <w:tc>
          <w:tcPr>
            <w:tcW w:w="400" w:type="dxa"/>
            <w:vAlign w:val="bottom"/>
          </w:tcPr>
          <w:p>
            <w:pPr>
              <w:spacing w:after="0"/>
              <w:rPr>
                <w:sz w:val="14"/>
                <w:szCs w:val="14"/>
                <w:color w:val="auto"/>
              </w:rPr>
            </w:pPr>
          </w:p>
        </w:tc>
        <w:tc>
          <w:tcPr>
            <w:tcW w:w="1660" w:type="dxa"/>
            <w:vAlign w:val="bottom"/>
            <w:gridSpan w:val="3"/>
          </w:tcPr>
          <w:p>
            <w:pPr>
              <w:jc w:val="right"/>
              <w:ind w:right="296"/>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59"/>
        </w:trPr>
        <w:tc>
          <w:tcPr>
            <w:tcW w:w="688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6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September 30</w:t>
            </w:r>
          </w:p>
        </w:tc>
        <w:tc>
          <w:tcPr>
            <w:tcW w:w="7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September 30</w:t>
            </w:r>
          </w:p>
        </w:tc>
        <w:tc>
          <w:tcPr>
            <w:tcW w:w="5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880" w:type="dxa"/>
            <w:vAlign w:val="bottom"/>
            <w:tcBorders>
              <w:bottom w:val="single" w:sz="8" w:color="auto"/>
            </w:tcBorders>
            <w:vMerge w:val="continue"/>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61"/>
              <w:spacing w:after="0" w:line="142" w:lineRule="exact"/>
              <w:rPr>
                <w:sz w:val="20"/>
                <w:szCs w:val="20"/>
                <w:color w:val="auto"/>
              </w:rPr>
            </w:pPr>
            <w:r>
              <w:rPr>
                <w:rFonts w:ascii="Arial" w:cs="Arial" w:eastAsia="Arial" w:hAnsi="Arial"/>
                <w:sz w:val="14"/>
                <w:szCs w:val="14"/>
                <w:color w:val="auto"/>
                <w:w w:val="83"/>
              </w:rPr>
              <w:t>2015</w:t>
            </w:r>
          </w:p>
        </w:tc>
        <w:tc>
          <w:tcPr>
            <w:tcW w:w="4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56"/>
              <w:spacing w:after="0" w:line="142" w:lineRule="exact"/>
              <w:rPr>
                <w:sz w:val="20"/>
                <w:szCs w:val="20"/>
                <w:color w:val="auto"/>
              </w:rPr>
            </w:pPr>
            <w:r>
              <w:rPr>
                <w:rFonts w:ascii="Arial" w:cs="Arial" w:eastAsia="Arial" w:hAnsi="Arial"/>
                <w:sz w:val="14"/>
                <w:szCs w:val="14"/>
                <w:color w:val="auto"/>
                <w:w w:val="89"/>
              </w:rPr>
              <w:t>2014</w:t>
            </w:r>
          </w:p>
        </w:tc>
        <w:tc>
          <w:tcPr>
            <w:tcW w:w="4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41"/>
              <w:spacing w:after="0" w:line="142" w:lineRule="exact"/>
              <w:rPr>
                <w:sz w:val="20"/>
                <w:szCs w:val="20"/>
                <w:color w:val="auto"/>
              </w:rPr>
            </w:pPr>
            <w:r>
              <w:rPr>
                <w:rFonts w:ascii="Arial" w:cs="Arial" w:eastAsia="Arial" w:hAnsi="Arial"/>
                <w:sz w:val="14"/>
                <w:szCs w:val="14"/>
                <w:color w:val="auto"/>
                <w:w w:val="89"/>
              </w:rPr>
              <w:t>2015</w:t>
            </w:r>
          </w:p>
        </w:tc>
        <w:tc>
          <w:tcPr>
            <w:tcW w:w="4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color w:val="auto"/>
                <w:w w:val="89"/>
              </w:rPr>
              <w:t>2014</w:t>
            </w:r>
          </w:p>
        </w:tc>
        <w:tc>
          <w:tcPr>
            <w:tcW w:w="0" w:type="dxa"/>
            <w:vAlign w:val="bottom"/>
          </w:tcPr>
          <w:p>
            <w:pPr>
              <w:spacing w:after="0"/>
              <w:rPr>
                <w:sz w:val="1"/>
                <w:szCs w:val="1"/>
                <w:color w:val="auto"/>
              </w:rPr>
            </w:pPr>
          </w:p>
        </w:tc>
      </w:tr>
      <w:tr>
        <w:trPr>
          <w:trHeight w:val="210"/>
        </w:trPr>
        <w:tc>
          <w:tcPr>
            <w:tcW w:w="6880" w:type="dxa"/>
            <w:vAlign w:val="bottom"/>
            <w:shd w:val="clear" w:color="auto" w:fill="E5E5E5"/>
          </w:tcPr>
          <w:p>
            <w:pPr>
              <w:spacing w:after="0"/>
              <w:rPr>
                <w:sz w:val="20"/>
                <w:szCs w:val="20"/>
                <w:color w:val="auto"/>
              </w:rPr>
            </w:pPr>
            <w:r>
              <w:rPr>
                <w:rFonts w:ascii="Arial" w:cs="Arial" w:eastAsia="Arial" w:hAnsi="Arial"/>
                <w:sz w:val="18"/>
                <w:szCs w:val="18"/>
                <w:color w:val="auto"/>
              </w:rPr>
              <w:t>Stock options</w:t>
            </w:r>
          </w:p>
        </w:tc>
        <w:tc>
          <w:tcPr>
            <w:tcW w:w="6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5E5E5"/>
          </w:tcPr>
          <w:p>
            <w:pPr>
              <w:jc w:val="right"/>
              <w:ind w:right="221"/>
              <w:spacing w:after="0"/>
              <w:rPr>
                <w:sz w:val="20"/>
                <w:szCs w:val="20"/>
                <w:color w:val="auto"/>
              </w:rPr>
            </w:pPr>
            <w:r>
              <w:rPr>
                <w:rFonts w:ascii="Arial" w:cs="Arial" w:eastAsia="Arial" w:hAnsi="Arial"/>
                <w:sz w:val="18"/>
                <w:szCs w:val="18"/>
                <w:color w:val="auto"/>
              </w:rPr>
              <w:t>40</w:t>
            </w:r>
          </w:p>
        </w:tc>
        <w:tc>
          <w:tcPr>
            <w:tcW w:w="4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E5E5E5"/>
          </w:tcPr>
          <w:p>
            <w:pPr>
              <w:jc w:val="right"/>
              <w:ind w:right="216"/>
              <w:spacing w:after="0"/>
              <w:rPr>
                <w:sz w:val="20"/>
                <w:szCs w:val="20"/>
                <w:color w:val="auto"/>
              </w:rPr>
            </w:pPr>
            <w:r>
              <w:rPr>
                <w:rFonts w:ascii="Arial" w:cs="Arial" w:eastAsia="Arial" w:hAnsi="Arial"/>
                <w:sz w:val="18"/>
                <w:szCs w:val="18"/>
                <w:color w:val="auto"/>
              </w:rPr>
              <w:t>38</w:t>
            </w:r>
          </w:p>
        </w:tc>
        <w:tc>
          <w:tcPr>
            <w:tcW w:w="4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5E5E5"/>
          </w:tcPr>
          <w:p>
            <w:pPr>
              <w:jc w:val="right"/>
              <w:ind w:right="201"/>
              <w:spacing w:after="0"/>
              <w:rPr>
                <w:sz w:val="20"/>
                <w:szCs w:val="20"/>
                <w:color w:val="auto"/>
              </w:rPr>
            </w:pPr>
            <w:r>
              <w:rPr>
                <w:rFonts w:ascii="Arial" w:cs="Arial" w:eastAsia="Arial" w:hAnsi="Arial"/>
                <w:sz w:val="18"/>
                <w:szCs w:val="18"/>
                <w:color w:val="auto"/>
              </w:rPr>
              <w:t>118</w:t>
            </w:r>
          </w:p>
        </w:tc>
        <w:tc>
          <w:tcPr>
            <w:tcW w:w="4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Restricted share units</w:t>
            </w:r>
          </w:p>
        </w:tc>
        <w:tc>
          <w:tcPr>
            <w:tcW w:w="620" w:type="dxa"/>
            <w:vAlign w:val="bottom"/>
          </w:tcPr>
          <w:p>
            <w:pPr>
              <w:spacing w:after="0"/>
              <w:rPr>
                <w:sz w:val="18"/>
                <w:szCs w:val="18"/>
                <w:color w:val="auto"/>
              </w:rPr>
            </w:pPr>
          </w:p>
        </w:tc>
        <w:tc>
          <w:tcPr>
            <w:tcW w:w="720" w:type="dxa"/>
            <w:vAlign w:val="bottom"/>
          </w:tcPr>
          <w:p>
            <w:pPr>
              <w:jc w:val="right"/>
              <w:ind w:right="221"/>
              <w:spacing w:after="0"/>
              <w:rPr>
                <w:sz w:val="20"/>
                <w:szCs w:val="20"/>
                <w:color w:val="auto"/>
              </w:rPr>
            </w:pPr>
            <w:r>
              <w:rPr>
                <w:rFonts w:ascii="Arial" w:cs="Arial" w:eastAsia="Arial" w:hAnsi="Arial"/>
                <w:sz w:val="18"/>
                <w:szCs w:val="18"/>
                <w:color w:val="auto"/>
              </w:rPr>
              <w:t>67</w:t>
            </w:r>
          </w:p>
        </w:tc>
        <w:tc>
          <w:tcPr>
            <w:tcW w:w="400" w:type="dxa"/>
            <w:vAlign w:val="bottom"/>
          </w:tcPr>
          <w:p>
            <w:pPr>
              <w:spacing w:after="0"/>
              <w:rPr>
                <w:sz w:val="18"/>
                <w:szCs w:val="18"/>
                <w:color w:val="auto"/>
              </w:rPr>
            </w:pPr>
          </w:p>
        </w:tc>
        <w:tc>
          <w:tcPr>
            <w:tcW w:w="740" w:type="dxa"/>
            <w:vAlign w:val="bottom"/>
          </w:tcPr>
          <w:p>
            <w:pPr>
              <w:jc w:val="right"/>
              <w:ind w:right="216"/>
              <w:spacing w:after="0"/>
              <w:rPr>
                <w:sz w:val="20"/>
                <w:szCs w:val="20"/>
                <w:color w:val="auto"/>
              </w:rPr>
            </w:pPr>
            <w:r>
              <w:rPr>
                <w:rFonts w:ascii="Arial" w:cs="Arial" w:eastAsia="Arial" w:hAnsi="Arial"/>
                <w:sz w:val="18"/>
                <w:szCs w:val="18"/>
                <w:color w:val="auto"/>
              </w:rPr>
              <w:t>55</w:t>
            </w:r>
          </w:p>
        </w:tc>
        <w:tc>
          <w:tcPr>
            <w:tcW w:w="400" w:type="dxa"/>
            <w:vAlign w:val="bottom"/>
          </w:tcPr>
          <w:p>
            <w:pPr>
              <w:spacing w:after="0"/>
              <w:rPr>
                <w:sz w:val="18"/>
                <w:szCs w:val="18"/>
                <w:color w:val="auto"/>
              </w:rPr>
            </w:pPr>
          </w:p>
        </w:tc>
        <w:tc>
          <w:tcPr>
            <w:tcW w:w="720" w:type="dxa"/>
            <w:vAlign w:val="bottom"/>
          </w:tcPr>
          <w:p>
            <w:pPr>
              <w:jc w:val="right"/>
              <w:ind w:right="201"/>
              <w:spacing w:after="0"/>
              <w:rPr>
                <w:sz w:val="20"/>
                <w:szCs w:val="20"/>
                <w:color w:val="auto"/>
              </w:rPr>
            </w:pPr>
            <w:r>
              <w:rPr>
                <w:rFonts w:ascii="Arial" w:cs="Arial" w:eastAsia="Arial" w:hAnsi="Arial"/>
                <w:sz w:val="18"/>
                <w:szCs w:val="18"/>
                <w:color w:val="auto"/>
              </w:rPr>
              <w:t>205</w:t>
            </w:r>
          </w:p>
        </w:tc>
        <w:tc>
          <w:tcPr>
            <w:tcW w:w="420" w:type="dxa"/>
            <w:vAlign w:val="bottom"/>
          </w:tcPr>
          <w:p>
            <w:pPr>
              <w:spacing w:after="0"/>
              <w:rPr>
                <w:sz w:val="18"/>
                <w:szCs w:val="18"/>
                <w:color w:val="auto"/>
              </w:rPr>
            </w:pPr>
          </w:p>
        </w:tc>
        <w:tc>
          <w:tcPr>
            <w:tcW w:w="520" w:type="dxa"/>
            <w:vAlign w:val="bottom"/>
          </w:tcPr>
          <w:p>
            <w:pPr>
              <w:jc w:val="right"/>
              <w:ind w:right="16"/>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6"/>
        </w:trPr>
        <w:tc>
          <w:tcPr>
            <w:tcW w:w="68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Employee stock purchase plans</w:t>
            </w:r>
          </w:p>
        </w:tc>
        <w:tc>
          <w:tcPr>
            <w:tcW w:w="6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221"/>
              <w:spacing w:after="0"/>
              <w:rPr>
                <w:sz w:val="20"/>
                <w:szCs w:val="20"/>
                <w:color w:val="auto"/>
              </w:rPr>
            </w:pPr>
            <w:r>
              <w:rPr>
                <w:rFonts w:ascii="Arial" w:cs="Arial" w:eastAsia="Arial" w:hAnsi="Arial"/>
                <w:sz w:val="18"/>
                <w:szCs w:val="18"/>
                <w:color w:val="auto"/>
              </w:rPr>
              <w:t>6</w:t>
            </w:r>
          </w:p>
        </w:tc>
        <w:tc>
          <w:tcPr>
            <w:tcW w:w="40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216"/>
              <w:spacing w:after="0"/>
              <w:rPr>
                <w:sz w:val="20"/>
                <w:szCs w:val="20"/>
                <w:color w:val="auto"/>
              </w:rPr>
            </w:pPr>
            <w:r>
              <w:rPr>
                <w:rFonts w:ascii="Arial" w:cs="Arial" w:eastAsia="Arial" w:hAnsi="Arial"/>
                <w:sz w:val="18"/>
                <w:szCs w:val="18"/>
                <w:color w:val="auto"/>
              </w:rPr>
              <w:t>5</w:t>
            </w:r>
          </w:p>
        </w:tc>
        <w:tc>
          <w:tcPr>
            <w:tcW w:w="40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201"/>
              <w:spacing w:after="0"/>
              <w:rPr>
                <w:sz w:val="20"/>
                <w:szCs w:val="20"/>
                <w:color w:val="auto"/>
              </w:rPr>
            </w:pPr>
            <w:r>
              <w:rPr>
                <w:rFonts w:ascii="Arial" w:cs="Arial" w:eastAsia="Arial" w:hAnsi="Arial"/>
                <w:sz w:val="18"/>
                <w:szCs w:val="18"/>
                <w:color w:val="auto"/>
              </w:rPr>
              <w:t>20</w:t>
            </w:r>
          </w:p>
        </w:tc>
        <w:tc>
          <w:tcPr>
            <w:tcW w:w="42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16"/>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7"/>
        </w:trPr>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221"/>
              <w:spacing w:after="0"/>
              <w:rPr>
                <w:sz w:val="20"/>
                <w:szCs w:val="20"/>
                <w:color w:val="auto"/>
              </w:rPr>
            </w:pPr>
            <w:r>
              <w:rPr>
                <w:rFonts w:ascii="Arial" w:cs="Arial" w:eastAsia="Arial" w:hAnsi="Arial"/>
                <w:sz w:val="18"/>
                <w:szCs w:val="18"/>
                <w:b w:val="1"/>
                <w:bCs w:val="1"/>
                <w:color w:val="auto"/>
              </w:rPr>
              <w:t>113</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216"/>
              <w:spacing w:after="0"/>
              <w:rPr>
                <w:sz w:val="20"/>
                <w:szCs w:val="20"/>
                <w:color w:val="auto"/>
              </w:rPr>
            </w:pPr>
            <w:r>
              <w:rPr>
                <w:rFonts w:ascii="Arial" w:cs="Arial" w:eastAsia="Arial" w:hAnsi="Arial"/>
                <w:sz w:val="18"/>
                <w:szCs w:val="18"/>
                <w:b w:val="1"/>
                <w:bCs w:val="1"/>
                <w:color w:val="auto"/>
              </w:rPr>
              <w:t>98</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201"/>
              <w:spacing w:after="0"/>
              <w:rPr>
                <w:sz w:val="20"/>
                <w:szCs w:val="20"/>
                <w:color w:val="auto"/>
              </w:rPr>
            </w:pPr>
            <w:r>
              <w:rPr>
                <w:rFonts w:ascii="Arial" w:cs="Arial" w:eastAsia="Arial" w:hAnsi="Arial"/>
                <w:sz w:val="18"/>
                <w:szCs w:val="18"/>
                <w:b w:val="1"/>
                <w:bCs w:val="1"/>
                <w:color w:val="auto"/>
              </w:rPr>
              <w:t>343</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310</w:t>
            </w:r>
          </w:p>
        </w:tc>
        <w:tc>
          <w:tcPr>
            <w:tcW w:w="0" w:type="dxa"/>
            <w:vAlign w:val="bottom"/>
          </w:tcPr>
          <w:p>
            <w:pPr>
              <w:spacing w:after="0"/>
              <w:rPr>
                <w:sz w:val="1"/>
                <w:szCs w:val="1"/>
                <w:color w:val="auto"/>
              </w:rPr>
            </w:pPr>
          </w:p>
        </w:tc>
      </w:tr>
    </w:tbl>
    <w:p>
      <w:pPr>
        <w:spacing w:after="0" w:line="5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September 30, 2015, we had unrecognized pretax compensation expense of $385 million and $681 million related to nonvested stock options and nonvested RSUs, respectively.</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10: Supplemental Financial Information</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Receivables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5480" w:type="dxa"/>
            <w:vAlign w:val="bottom"/>
            <w:gridSpan w:val="2"/>
          </w:tcPr>
          <w:p>
            <w:pPr>
              <w:ind w:left="4280"/>
              <w:spacing w:after="0"/>
              <w:rPr>
                <w:sz w:val="20"/>
                <w:szCs w:val="20"/>
                <w:color w:val="auto"/>
              </w:rPr>
            </w:pPr>
            <w:r>
              <w:rPr>
                <w:rFonts w:ascii="Arial" w:cs="Arial" w:eastAsia="Arial" w:hAnsi="Arial"/>
                <w:sz w:val="14"/>
                <w:szCs w:val="14"/>
                <w:color w:val="auto"/>
              </w:rPr>
              <w:t>September 30,</w:t>
            </w:r>
          </w:p>
        </w:tc>
        <w:tc>
          <w:tcPr>
            <w:tcW w:w="1280" w:type="dxa"/>
            <w:vAlign w:val="bottom"/>
            <w:gridSpan w:val="2"/>
          </w:tcPr>
          <w:p>
            <w:pPr>
              <w:ind w:left="420"/>
              <w:spacing w:after="0"/>
              <w:rPr>
                <w:sz w:val="20"/>
                <w:szCs w:val="20"/>
                <w:color w:val="auto"/>
              </w:rPr>
            </w:pPr>
            <w:r>
              <w:rPr>
                <w:rFonts w:ascii="Arial" w:cs="Arial" w:eastAsia="Arial" w:hAnsi="Arial"/>
                <w:sz w:val="14"/>
                <w:szCs w:val="14"/>
                <w:color w:val="auto"/>
                <w:w w:val="95"/>
              </w:rPr>
              <w:t>December 31,</w:t>
            </w:r>
          </w:p>
        </w:tc>
      </w:tr>
      <w:tr>
        <w:trPr>
          <w:trHeight w:val="159"/>
        </w:trPr>
        <w:tc>
          <w:tcPr>
            <w:tcW w:w="466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44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96"/>
              <w:spacing w:after="0" w:line="159" w:lineRule="exact"/>
              <w:rPr>
                <w:sz w:val="20"/>
                <w:szCs w:val="20"/>
                <w:color w:val="auto"/>
              </w:rPr>
            </w:pPr>
            <w:r>
              <w:rPr>
                <w:rFonts w:ascii="Arial" w:cs="Arial" w:eastAsia="Arial" w:hAnsi="Arial"/>
                <w:sz w:val="14"/>
                <w:szCs w:val="14"/>
                <w:color w:val="auto"/>
              </w:rPr>
              <w:t>2015</w:t>
            </w:r>
          </w:p>
        </w:tc>
        <w:tc>
          <w:tcPr>
            <w:tcW w:w="5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56"/>
              <w:spacing w:after="0" w:line="159" w:lineRule="exact"/>
              <w:rPr>
                <w:sz w:val="20"/>
                <w:szCs w:val="20"/>
                <w:color w:val="auto"/>
              </w:rPr>
            </w:pPr>
            <w:r>
              <w:rPr>
                <w:rFonts w:ascii="Arial" w:cs="Arial" w:eastAsia="Arial" w:hAnsi="Arial"/>
                <w:sz w:val="14"/>
                <w:szCs w:val="14"/>
                <w:color w:val="auto"/>
              </w:rPr>
              <w:t>2014</w:t>
            </w:r>
          </w:p>
        </w:tc>
      </w:tr>
      <w:tr>
        <w:trPr>
          <w:trHeight w:val="210"/>
        </w:trPr>
        <w:tc>
          <w:tcPr>
            <w:tcW w:w="4660" w:type="dxa"/>
            <w:vAlign w:val="bottom"/>
            <w:shd w:val="clear" w:color="auto" w:fill="E5E5E5"/>
          </w:tcPr>
          <w:p>
            <w:pPr>
              <w:spacing w:after="0"/>
              <w:rPr>
                <w:sz w:val="20"/>
                <w:szCs w:val="20"/>
                <w:color w:val="auto"/>
              </w:rPr>
            </w:pPr>
            <w:r>
              <w:rPr>
                <w:rFonts w:ascii="Arial" w:cs="Arial" w:eastAsia="Arial" w:hAnsi="Arial"/>
                <w:sz w:val="18"/>
                <w:szCs w:val="18"/>
                <w:color w:val="auto"/>
              </w:rPr>
              <w:t>Receivables, gross</w:t>
            </w:r>
          </w:p>
        </w:tc>
        <w:tc>
          <w:tcPr>
            <w:tcW w:w="4440" w:type="dxa"/>
            <w:vAlign w:val="bottom"/>
            <w:shd w:val="clear" w:color="auto" w:fill="E5E5E5"/>
          </w:tcPr>
          <w:p>
            <w:pPr>
              <w:ind w:left="42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E5E5E5"/>
          </w:tcPr>
          <w:p>
            <w:pPr>
              <w:jc w:val="right"/>
              <w:ind w:right="336"/>
              <w:spacing w:after="0"/>
              <w:rPr>
                <w:sz w:val="20"/>
                <w:szCs w:val="20"/>
                <w:color w:val="auto"/>
              </w:rPr>
            </w:pPr>
            <w:r>
              <w:rPr>
                <w:rFonts w:ascii="Arial" w:cs="Arial" w:eastAsia="Arial" w:hAnsi="Arial"/>
                <w:sz w:val="18"/>
                <w:szCs w:val="18"/>
                <w:color w:val="auto"/>
              </w:rPr>
              <w:t>7,052</w:t>
            </w:r>
          </w:p>
        </w:tc>
        <w:tc>
          <w:tcPr>
            <w:tcW w:w="5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w:t>
            </w:r>
          </w:p>
        </w:tc>
        <w:tc>
          <w:tcPr>
            <w:tcW w:w="70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6,885</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Less: Allowance for returns and customer incentives</w:t>
            </w:r>
          </w:p>
        </w:tc>
        <w:tc>
          <w:tcPr>
            <w:tcW w:w="4440" w:type="dxa"/>
            <w:vAlign w:val="bottom"/>
          </w:tcPr>
          <w:p>
            <w:pPr>
              <w:spacing w:after="0"/>
              <w:rPr>
                <w:sz w:val="18"/>
                <w:szCs w:val="18"/>
                <w:color w:val="auto"/>
              </w:rPr>
            </w:pPr>
          </w:p>
        </w:tc>
        <w:tc>
          <w:tcPr>
            <w:tcW w:w="1040" w:type="dxa"/>
            <w:vAlign w:val="bottom"/>
          </w:tcPr>
          <w:p>
            <w:pPr>
              <w:jc w:val="right"/>
              <w:ind w:right="336"/>
              <w:spacing w:after="0"/>
              <w:rPr>
                <w:sz w:val="20"/>
                <w:szCs w:val="20"/>
                <w:color w:val="auto"/>
              </w:rPr>
            </w:pPr>
            <w:r>
              <w:rPr>
                <w:rFonts w:ascii="Arial" w:cs="Arial" w:eastAsia="Arial" w:hAnsi="Arial"/>
                <w:sz w:val="18"/>
                <w:szCs w:val="18"/>
                <w:color w:val="auto"/>
              </w:rPr>
              <w:t>289</w:t>
            </w:r>
          </w:p>
        </w:tc>
        <w:tc>
          <w:tcPr>
            <w:tcW w:w="580" w:type="dxa"/>
            <w:vAlign w:val="bottom"/>
          </w:tcPr>
          <w:p>
            <w:pPr>
              <w:spacing w:after="0"/>
              <w:rPr>
                <w:sz w:val="18"/>
                <w:szCs w:val="18"/>
                <w:color w:val="auto"/>
              </w:rPr>
            </w:pPr>
          </w:p>
        </w:tc>
        <w:tc>
          <w:tcPr>
            <w:tcW w:w="700" w:type="dxa"/>
            <w:vAlign w:val="bottom"/>
          </w:tcPr>
          <w:p>
            <w:pPr>
              <w:jc w:val="right"/>
              <w:ind w:right="16"/>
              <w:spacing w:after="0"/>
              <w:rPr>
                <w:sz w:val="20"/>
                <w:szCs w:val="20"/>
                <w:color w:val="auto"/>
              </w:rPr>
            </w:pPr>
            <w:r>
              <w:rPr>
                <w:rFonts w:ascii="Arial" w:cs="Arial" w:eastAsia="Arial" w:hAnsi="Arial"/>
                <w:sz w:val="18"/>
                <w:szCs w:val="18"/>
                <w:color w:val="auto"/>
              </w:rPr>
              <w:t>359</w:t>
            </w:r>
          </w:p>
        </w:tc>
      </w:tr>
      <w:tr>
        <w:trPr>
          <w:trHeight w:val="216"/>
        </w:trPr>
        <w:tc>
          <w:tcPr>
            <w:tcW w:w="46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Less: Allowance for doubtful accounts</w:t>
            </w:r>
          </w:p>
        </w:tc>
        <w:tc>
          <w:tcPr>
            <w:tcW w:w="4440" w:type="dxa"/>
            <w:vAlign w:val="bottom"/>
            <w:tcBorders>
              <w:bottom w:val="single" w:sz="8" w:color="auto"/>
            </w:tcBorders>
            <w:shd w:val="clear" w:color="auto" w:fill="E5E5E5"/>
          </w:tcPr>
          <w:p>
            <w:pPr>
              <w:spacing w:after="0"/>
              <w:rPr>
                <w:sz w:val="18"/>
                <w:szCs w:val="18"/>
                <w:color w:val="auto"/>
              </w:rPr>
            </w:pPr>
          </w:p>
        </w:tc>
        <w:tc>
          <w:tcPr>
            <w:tcW w:w="1040" w:type="dxa"/>
            <w:vAlign w:val="bottom"/>
            <w:tcBorders>
              <w:bottom w:val="single" w:sz="8" w:color="auto"/>
            </w:tcBorders>
            <w:shd w:val="clear" w:color="auto" w:fill="E5E5E5"/>
          </w:tcPr>
          <w:p>
            <w:pPr>
              <w:jc w:val="right"/>
              <w:ind w:right="336"/>
              <w:spacing w:after="0"/>
              <w:rPr>
                <w:sz w:val="20"/>
                <w:szCs w:val="20"/>
                <w:color w:val="auto"/>
              </w:rPr>
            </w:pPr>
            <w:r>
              <w:rPr>
                <w:rFonts w:ascii="Arial" w:cs="Arial" w:eastAsia="Arial" w:hAnsi="Arial"/>
                <w:sz w:val="18"/>
                <w:szCs w:val="18"/>
                <w:color w:val="auto"/>
              </w:rPr>
              <w:t>236</w:t>
            </w:r>
          </w:p>
        </w:tc>
        <w:tc>
          <w:tcPr>
            <w:tcW w:w="58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6"/>
              <w:spacing w:after="0"/>
              <w:rPr>
                <w:sz w:val="20"/>
                <w:szCs w:val="20"/>
                <w:color w:val="auto"/>
              </w:rPr>
            </w:pPr>
            <w:r>
              <w:rPr>
                <w:rFonts w:ascii="Arial" w:cs="Arial" w:eastAsia="Arial" w:hAnsi="Arial"/>
                <w:sz w:val="18"/>
                <w:szCs w:val="18"/>
                <w:color w:val="auto"/>
              </w:rPr>
              <w:t>205</w:t>
            </w:r>
          </w:p>
        </w:tc>
      </w:tr>
      <w:tr>
        <w:trPr>
          <w:trHeight w:val="217"/>
        </w:trPr>
        <w:tc>
          <w:tcPr>
            <w:tcW w:w="4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Receivables, net</w:t>
            </w:r>
          </w:p>
        </w:tc>
        <w:tc>
          <w:tcPr>
            <w:tcW w:w="4440" w:type="dxa"/>
            <w:vAlign w:val="bottom"/>
            <w:tcBorders>
              <w:bottom w:val="single" w:sz="8" w:color="auto"/>
            </w:tcBorders>
          </w:tcPr>
          <w:p>
            <w:pPr>
              <w:ind w:left="428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tcPr>
          <w:p>
            <w:pPr>
              <w:jc w:val="right"/>
              <w:ind w:right="336"/>
              <w:spacing w:after="0"/>
              <w:rPr>
                <w:sz w:val="20"/>
                <w:szCs w:val="20"/>
                <w:color w:val="auto"/>
              </w:rPr>
            </w:pPr>
            <w:r>
              <w:rPr>
                <w:rFonts w:ascii="Arial" w:cs="Arial" w:eastAsia="Arial" w:hAnsi="Arial"/>
                <w:sz w:val="18"/>
                <w:szCs w:val="18"/>
                <w:b w:val="1"/>
                <w:bCs w:val="1"/>
                <w:color w:val="auto"/>
              </w:rPr>
              <w:t>6,527</w:t>
            </w:r>
          </w:p>
        </w:tc>
        <w:tc>
          <w:tcPr>
            <w:tcW w:w="58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6,321</w:t>
            </w:r>
          </w:p>
        </w:tc>
      </w:tr>
      <w:tr>
        <w:trPr>
          <w:trHeight w:val="363"/>
        </w:trPr>
        <w:tc>
          <w:tcPr>
            <w:tcW w:w="4660" w:type="dxa"/>
            <w:vAlign w:val="bottom"/>
          </w:tcPr>
          <w:p>
            <w:pPr>
              <w:spacing w:after="0"/>
              <w:rPr>
                <w:sz w:val="24"/>
                <w:szCs w:val="24"/>
                <w:color w:val="auto"/>
              </w:rPr>
            </w:pPr>
          </w:p>
        </w:tc>
        <w:tc>
          <w:tcPr>
            <w:tcW w:w="4440" w:type="dxa"/>
            <w:vAlign w:val="bottom"/>
          </w:tcPr>
          <w:p>
            <w:pPr>
              <w:jc w:val="right"/>
              <w:ind w:right="3197"/>
              <w:spacing w:after="0"/>
              <w:rPr>
                <w:sz w:val="20"/>
                <w:szCs w:val="20"/>
                <w:color w:val="auto"/>
              </w:rPr>
            </w:pPr>
            <w:r>
              <w:rPr>
                <w:rFonts w:ascii="Arial" w:cs="Arial" w:eastAsia="Arial" w:hAnsi="Arial"/>
                <w:sz w:val="18"/>
                <w:szCs w:val="18"/>
                <w:color w:val="auto"/>
              </w:rPr>
              <w:t>11</w:t>
            </w: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Accumulated Other Comprehensive Income (Loss)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60" w:type="dxa"/>
            <w:vAlign w:val="bottom"/>
            <w:gridSpan w:val="3"/>
          </w:tcPr>
          <w:p>
            <w:pPr>
              <w:ind w:left="400"/>
              <w:spacing w:after="0"/>
              <w:rPr>
                <w:sz w:val="20"/>
                <w:szCs w:val="20"/>
                <w:color w:val="auto"/>
              </w:rPr>
            </w:pPr>
            <w:r>
              <w:rPr>
                <w:rFonts w:ascii="Arial" w:cs="Arial" w:eastAsia="Arial" w:hAnsi="Arial"/>
                <w:sz w:val="14"/>
                <w:szCs w:val="14"/>
                <w:color w:val="auto"/>
                <w:w w:val="91"/>
              </w:rPr>
              <w:t>September 30,</w:t>
            </w:r>
          </w:p>
        </w:tc>
        <w:tc>
          <w:tcPr>
            <w:tcW w:w="1740" w:type="dxa"/>
            <w:vAlign w:val="bottom"/>
            <w:gridSpan w:val="3"/>
          </w:tcPr>
          <w:p>
            <w:pPr>
              <w:ind w:left="860"/>
              <w:spacing w:after="0"/>
              <w:rPr>
                <w:sz w:val="20"/>
                <w:szCs w:val="20"/>
                <w:color w:val="auto"/>
              </w:rPr>
            </w:pPr>
            <w:r>
              <w:rPr>
                <w:rFonts w:ascii="Arial" w:cs="Arial" w:eastAsia="Arial" w:hAnsi="Arial"/>
                <w:sz w:val="14"/>
                <w:szCs w:val="14"/>
                <w:color w:val="auto"/>
                <w:w w:val="93"/>
              </w:rPr>
              <w:t>September 30,</w:t>
            </w:r>
          </w:p>
        </w:tc>
      </w:tr>
      <w:tr>
        <w:trPr>
          <w:trHeight w:val="159"/>
        </w:trPr>
        <w:tc>
          <w:tcPr>
            <w:tcW w:w="7560" w:type="dxa"/>
            <w:vAlign w:val="bottom"/>
            <w:tcBorders>
              <w:bottom w:val="single" w:sz="8" w:color="auto"/>
            </w:tcBorders>
            <w:gridSpan w:val="2"/>
          </w:tcPr>
          <w:p>
            <w:pPr>
              <w:spacing w:after="0" w:line="159" w:lineRule="exact"/>
              <w:rPr>
                <w:sz w:val="20"/>
                <w:szCs w:val="20"/>
                <w:color w:val="auto"/>
              </w:rPr>
            </w:pPr>
            <w:r>
              <w:rPr>
                <w:rFonts w:ascii="Arial" w:cs="Arial" w:eastAsia="Arial" w:hAnsi="Arial"/>
                <w:sz w:val="14"/>
                <w:szCs w:val="14"/>
                <w:color w:val="auto"/>
              </w:rPr>
              <w:t>(in millions)</w:t>
            </w:r>
          </w:p>
        </w:tc>
        <w:tc>
          <w:tcPr>
            <w:tcW w:w="8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2015</w:t>
            </w:r>
          </w:p>
        </w:tc>
        <w:tc>
          <w:tcPr>
            <w:tcW w:w="3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ind w:left="20"/>
              <w:spacing w:after="0" w:line="159" w:lineRule="exact"/>
              <w:rPr>
                <w:sz w:val="20"/>
                <w:szCs w:val="20"/>
                <w:color w:val="auto"/>
              </w:rPr>
            </w:pPr>
            <w:r>
              <w:rPr>
                <w:rFonts w:ascii="Arial" w:cs="Arial" w:eastAsia="Arial" w:hAnsi="Arial"/>
                <w:sz w:val="14"/>
                <w:szCs w:val="14"/>
                <w:color w:val="auto"/>
              </w:rPr>
              <w:t>2014</w:t>
            </w:r>
          </w:p>
        </w:tc>
      </w:tr>
      <w:tr>
        <w:trPr>
          <w:trHeight w:val="210"/>
        </w:trPr>
        <w:tc>
          <w:tcPr>
            <w:tcW w:w="756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Unrealized gains (losses) on marketable securities</w:t>
            </w:r>
          </w:p>
        </w:tc>
        <w:tc>
          <w:tcPr>
            <w:tcW w:w="860" w:type="dxa"/>
            <w:vAlign w:val="bottom"/>
            <w:shd w:val="clear" w:color="auto" w:fill="E5E5E5"/>
          </w:tcPr>
          <w:p>
            <w:pPr>
              <w:spacing w:after="0"/>
              <w:rPr>
                <w:sz w:val="18"/>
                <w:szCs w:val="18"/>
                <w:color w:val="auto"/>
              </w:rPr>
            </w:pPr>
          </w:p>
        </w:tc>
        <w:tc>
          <w:tcPr>
            <w:tcW w:w="520" w:type="dxa"/>
            <w:vAlign w:val="bottom"/>
            <w:shd w:val="clear" w:color="auto" w:fill="E5E5E5"/>
          </w:tcPr>
          <w:p>
            <w:pPr>
              <w:ind w:left="40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E5E5E5"/>
          </w:tcPr>
          <w:p>
            <w:pPr>
              <w:jc w:val="right"/>
              <w:ind w:right="60"/>
              <w:spacing w:after="0"/>
              <w:rPr>
                <w:sz w:val="20"/>
                <w:szCs w:val="20"/>
                <w:color w:val="auto"/>
              </w:rPr>
            </w:pPr>
            <w:r>
              <w:rPr>
                <w:rFonts w:ascii="Arial" w:cs="Arial" w:eastAsia="Arial" w:hAnsi="Arial"/>
                <w:sz w:val="18"/>
                <w:szCs w:val="18"/>
                <w:color w:val="auto"/>
              </w:rPr>
              <w:t>1</w:t>
            </w:r>
          </w:p>
        </w:tc>
        <w:tc>
          <w:tcPr>
            <w:tcW w:w="960" w:type="dxa"/>
            <w:vAlign w:val="bottom"/>
            <w:shd w:val="clear" w:color="auto" w:fill="E5E5E5"/>
          </w:tcPr>
          <w:p>
            <w:pPr>
              <w:ind w:left="84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3</w:t>
            </w:r>
          </w:p>
        </w:tc>
      </w:tr>
      <w:tr>
        <w:trPr>
          <w:trHeight w:val="216"/>
        </w:trPr>
        <w:tc>
          <w:tcPr>
            <w:tcW w:w="7560" w:type="dxa"/>
            <w:vAlign w:val="bottom"/>
            <w:gridSpan w:val="2"/>
          </w:tcPr>
          <w:p>
            <w:pPr>
              <w:spacing w:after="0"/>
              <w:rPr>
                <w:sz w:val="20"/>
                <w:szCs w:val="20"/>
                <w:color w:val="auto"/>
              </w:rPr>
            </w:pPr>
            <w:r>
              <w:rPr>
                <w:rFonts w:ascii="Arial" w:cs="Arial" w:eastAsia="Arial" w:hAnsi="Arial"/>
                <w:sz w:val="18"/>
                <w:szCs w:val="18"/>
                <w:color w:val="auto"/>
              </w:rPr>
              <w:t>Deferred gains (losses) on cash flow hedges</w:t>
            </w: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756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Unrecognized gains (losses) on employee benefit obligations</w:t>
            </w:r>
          </w:p>
        </w:tc>
        <w:tc>
          <w:tcPr>
            <w:tcW w:w="86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740" w:type="dxa"/>
            <w:vAlign w:val="bottom"/>
            <w:gridSpan w:val="2"/>
            <w:shd w:val="clear" w:color="auto" w:fill="E5E5E5"/>
          </w:tcPr>
          <w:p>
            <w:pPr>
              <w:jc w:val="right"/>
              <w:ind w:right="20"/>
              <w:spacing w:after="0"/>
              <w:rPr>
                <w:sz w:val="20"/>
                <w:szCs w:val="20"/>
                <w:color w:val="auto"/>
              </w:rPr>
            </w:pPr>
            <w:r>
              <w:rPr>
                <w:rFonts w:ascii="Arial" w:cs="Arial" w:eastAsia="Arial" w:hAnsi="Arial"/>
                <w:sz w:val="18"/>
                <w:szCs w:val="18"/>
                <w:color w:val="auto"/>
              </w:rPr>
              <w:t>(54)</w:t>
            </w:r>
          </w:p>
        </w:tc>
        <w:tc>
          <w:tcPr>
            <w:tcW w:w="96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70</w:t>
            </w:r>
          </w:p>
        </w:tc>
      </w:tr>
      <w:tr>
        <w:trPr>
          <w:trHeight w:val="216"/>
        </w:trPr>
        <w:tc>
          <w:tcPr>
            <w:tcW w:w="75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Cumulative translation adjustments</w:t>
            </w:r>
          </w:p>
        </w:tc>
        <w:tc>
          <w:tcPr>
            <w:tcW w:w="8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(113)</w:t>
            </w: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r>
      <w:tr>
        <w:trPr>
          <w:trHeight w:val="217"/>
        </w:trPr>
        <w:tc>
          <w:tcPr>
            <w:tcW w:w="7560" w:type="dxa"/>
            <w:vAlign w:val="bottom"/>
            <w:tcBorders>
              <w:bottom w:val="single" w:sz="8" w:color="auto"/>
            </w:tcBorders>
            <w:gridSpan w:val="2"/>
            <w:shd w:val="clear" w:color="auto" w:fill="E5E5E5"/>
          </w:tcPr>
          <w:p>
            <w:pPr>
              <w:spacing w:after="0"/>
              <w:rPr>
                <w:sz w:val="20"/>
                <w:szCs w:val="20"/>
                <w:color w:val="auto"/>
              </w:rPr>
            </w:pPr>
            <w:r>
              <w:rPr>
                <w:rFonts w:ascii="Arial" w:cs="Arial" w:eastAsia="Arial" w:hAnsi="Arial"/>
                <w:sz w:val="18"/>
                <w:szCs w:val="18"/>
                <w:b w:val="1"/>
                <w:bCs w:val="1"/>
                <w:color w:val="auto"/>
              </w:rPr>
              <w:t>Accumulated other comprehensive income (loss), net of deferred taxes</w:t>
            </w:r>
          </w:p>
        </w:tc>
        <w:tc>
          <w:tcPr>
            <w:tcW w:w="86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ind w:left="400"/>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bottom w:val="single" w:sz="8" w:color="auto"/>
            </w:tcBorders>
            <w:gridSpan w:val="2"/>
            <w:shd w:val="clear" w:color="auto" w:fill="E5E5E5"/>
          </w:tcPr>
          <w:p>
            <w:pPr>
              <w:jc w:val="right"/>
              <w:ind w:right="20"/>
              <w:spacing w:after="0"/>
              <w:rPr>
                <w:sz w:val="20"/>
                <w:szCs w:val="20"/>
                <w:color w:val="auto"/>
              </w:rPr>
            </w:pPr>
            <w:r>
              <w:rPr>
                <w:rFonts w:ascii="Arial" w:cs="Arial" w:eastAsia="Arial" w:hAnsi="Arial"/>
                <w:sz w:val="18"/>
                <w:szCs w:val="18"/>
                <w:b w:val="1"/>
                <w:bCs w:val="1"/>
                <w:color w:val="auto"/>
              </w:rPr>
              <w:t>(195)</w:t>
            </w:r>
          </w:p>
        </w:tc>
        <w:tc>
          <w:tcPr>
            <w:tcW w:w="960" w:type="dxa"/>
            <w:vAlign w:val="bottom"/>
            <w:tcBorders>
              <w:bottom w:val="single" w:sz="8" w:color="auto"/>
            </w:tcBorders>
            <w:shd w:val="clear" w:color="auto" w:fill="E5E5E5"/>
          </w:tcPr>
          <w:p>
            <w:pPr>
              <w:ind w:left="840"/>
              <w:spacing w:after="0"/>
              <w:rPr>
                <w:sz w:val="20"/>
                <w:szCs w:val="20"/>
                <w:color w:val="auto"/>
              </w:rPr>
            </w:pPr>
            <w:r>
              <w:rPr>
                <w:rFonts w:ascii="Arial" w:cs="Arial" w:eastAsia="Arial" w:hAnsi="Arial"/>
                <w:sz w:val="18"/>
                <w:szCs w:val="18"/>
                <w:b w:val="1"/>
                <w:bCs w:val="1"/>
                <w:color w:val="auto"/>
                <w:w w:val="99"/>
              </w:rPr>
              <w:t>$</w:t>
            </w:r>
          </w:p>
        </w:tc>
        <w:tc>
          <w:tcPr>
            <w:tcW w:w="12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b w:val="1"/>
                <w:bCs w:val="1"/>
                <w:color w:val="auto"/>
              </w:rPr>
              <w:t>3</w:t>
            </w:r>
          </w:p>
        </w:tc>
      </w:tr>
      <w:tr>
        <w:trPr>
          <w:trHeight w:val="403"/>
        </w:trPr>
        <w:tc>
          <w:tcPr>
            <w:tcW w:w="7560" w:type="dxa"/>
            <w:vAlign w:val="bottom"/>
            <w:gridSpan w:val="2"/>
          </w:tcPr>
          <w:p>
            <w:pPr>
              <w:ind w:left="3960"/>
              <w:spacing w:after="0"/>
              <w:rPr>
                <w:sz w:val="20"/>
                <w:szCs w:val="20"/>
                <w:color w:val="auto"/>
              </w:rPr>
            </w:pPr>
            <w:r>
              <w:rPr>
                <w:rFonts w:ascii="Arial" w:cs="Arial" w:eastAsia="Arial" w:hAnsi="Arial"/>
                <w:sz w:val="18"/>
                <w:szCs w:val="18"/>
                <w:b w:val="1"/>
                <w:bCs w:val="1"/>
                <w:color w:val="auto"/>
                <w:w w:val="99"/>
              </w:rPr>
              <w:t>Net Cash Provided by Operating Activities</w:t>
            </w: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61"/>
        </w:trPr>
        <w:tc>
          <w:tcPr>
            <w:tcW w:w="7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740" w:type="dxa"/>
            <w:vAlign w:val="bottom"/>
            <w:gridSpan w:val="3"/>
          </w:tcPr>
          <w:p>
            <w:pPr>
              <w:jc w:val="right"/>
              <w:ind w:right="295"/>
              <w:spacing w:after="0"/>
              <w:rPr>
                <w:sz w:val="20"/>
                <w:szCs w:val="20"/>
                <w:color w:val="auto"/>
              </w:rPr>
            </w:pPr>
            <w:r>
              <w:rPr>
                <w:rFonts w:ascii="Arial" w:cs="Arial" w:eastAsia="Arial" w:hAnsi="Arial"/>
                <w:sz w:val="14"/>
                <w:szCs w:val="14"/>
                <w:color w:val="auto"/>
              </w:rPr>
              <w:t>Nine Months Ended</w:t>
            </w:r>
          </w:p>
        </w:tc>
      </w:tr>
      <w:tr>
        <w:trPr>
          <w:trHeight w:val="172"/>
        </w:trPr>
        <w:tc>
          <w:tcPr>
            <w:tcW w:w="7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ind w:right="455"/>
              <w:spacing w:after="0"/>
              <w:rPr>
                <w:sz w:val="20"/>
                <w:szCs w:val="20"/>
                <w:color w:val="auto"/>
              </w:rPr>
            </w:pPr>
            <w:r>
              <w:rPr>
                <w:rFonts w:ascii="Arial" w:cs="Arial" w:eastAsia="Arial" w:hAnsi="Arial"/>
                <w:sz w:val="14"/>
                <w:szCs w:val="14"/>
                <w:color w:val="auto"/>
              </w:rPr>
              <w:t>September 30</w:t>
            </w:r>
          </w:p>
        </w:tc>
      </w:tr>
      <w:tr>
        <w:trPr>
          <w:trHeight w:val="143"/>
        </w:trPr>
        <w:tc>
          <w:tcPr>
            <w:tcW w:w="7560" w:type="dxa"/>
            <w:vAlign w:val="bottom"/>
            <w:tcBorders>
              <w:bottom w:val="single" w:sz="8" w:color="auto"/>
            </w:tcBorders>
            <w:gridSpan w:val="2"/>
          </w:tcPr>
          <w:p>
            <w:pPr>
              <w:spacing w:after="0" w:line="143" w:lineRule="exact"/>
              <w:rPr>
                <w:sz w:val="20"/>
                <w:szCs w:val="20"/>
                <w:color w:val="auto"/>
              </w:rPr>
            </w:pPr>
            <w:r>
              <w:rPr>
                <w:rFonts w:ascii="Arial" w:cs="Arial" w:eastAsia="Arial" w:hAnsi="Arial"/>
                <w:sz w:val="14"/>
                <w:szCs w:val="14"/>
                <w:color w:val="auto"/>
              </w:rPr>
              <w:t>(in millions)</w:t>
            </w:r>
          </w:p>
        </w:tc>
        <w:tc>
          <w:tcPr>
            <w:tcW w:w="8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center"/>
              <w:ind w:right="218"/>
              <w:spacing w:after="0" w:line="143" w:lineRule="exact"/>
              <w:rPr>
                <w:sz w:val="20"/>
                <w:szCs w:val="20"/>
                <w:color w:val="auto"/>
              </w:rPr>
            </w:pPr>
            <w:r>
              <w:rPr>
                <w:rFonts w:ascii="Arial" w:cs="Arial" w:eastAsia="Arial" w:hAnsi="Arial"/>
                <w:sz w:val="14"/>
                <w:szCs w:val="14"/>
                <w:color w:val="auto"/>
                <w:w w:val="83"/>
              </w:rPr>
              <w:t>2015</w:t>
            </w: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15"/>
              <w:spacing w:after="0" w:line="143" w:lineRule="exact"/>
              <w:rPr>
                <w:sz w:val="20"/>
                <w:szCs w:val="20"/>
                <w:color w:val="auto"/>
              </w:rPr>
            </w:pPr>
            <w:r>
              <w:rPr>
                <w:rFonts w:ascii="Arial" w:cs="Arial" w:eastAsia="Arial" w:hAnsi="Arial"/>
                <w:sz w:val="14"/>
                <w:szCs w:val="14"/>
                <w:color w:val="auto"/>
              </w:rPr>
              <w:t>2014</w:t>
            </w:r>
          </w:p>
        </w:tc>
      </w:tr>
      <w:tr>
        <w:trPr>
          <w:trHeight w:val="210"/>
        </w:trPr>
        <w:tc>
          <w:tcPr>
            <w:tcW w:w="756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Net income</w:t>
            </w:r>
          </w:p>
        </w:tc>
        <w:tc>
          <w:tcPr>
            <w:tcW w:w="86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960" w:type="dxa"/>
            <w:vAlign w:val="bottom"/>
            <w:shd w:val="clear" w:color="auto" w:fill="E5E5E5"/>
          </w:tcPr>
          <w:p>
            <w:pPr>
              <w:jc w:val="right"/>
              <w:ind w:right="238"/>
              <w:spacing w:after="0"/>
              <w:rPr>
                <w:sz w:val="20"/>
                <w:szCs w:val="20"/>
                <w:color w:val="auto"/>
              </w:rPr>
            </w:pPr>
            <w:r>
              <w:rPr>
                <w:rFonts w:ascii="Arial" w:cs="Arial" w:eastAsia="Arial" w:hAnsi="Arial"/>
                <w:sz w:val="18"/>
                <w:szCs w:val="18"/>
                <w:color w:val="auto"/>
                <w:w w:val="95"/>
              </w:rPr>
              <w:t>$  6,357</w:t>
            </w:r>
          </w:p>
        </w:tc>
        <w:tc>
          <w:tcPr>
            <w:tcW w:w="120" w:type="dxa"/>
            <w:vAlign w:val="bottom"/>
            <w:shd w:val="clear" w:color="auto" w:fill="E5E5E5"/>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6,596</w:t>
            </w:r>
          </w:p>
        </w:tc>
      </w:tr>
      <w:tr>
        <w:trPr>
          <w:trHeight w:val="216"/>
        </w:trPr>
        <w:tc>
          <w:tcPr>
            <w:tcW w:w="7560" w:type="dxa"/>
            <w:vAlign w:val="bottom"/>
            <w:gridSpan w:val="2"/>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7560" w:type="dxa"/>
            <w:vAlign w:val="bottom"/>
            <w:gridSpan w:val="2"/>
            <w:shd w:val="clear" w:color="auto" w:fill="E5E5E5"/>
          </w:tcPr>
          <w:p>
            <w:pPr>
              <w:ind w:left="440"/>
              <w:spacing w:after="0"/>
              <w:rPr>
                <w:sz w:val="20"/>
                <w:szCs w:val="20"/>
                <w:color w:val="auto"/>
              </w:rPr>
            </w:pPr>
            <w:r>
              <w:rPr>
                <w:rFonts w:ascii="Arial" w:cs="Arial" w:eastAsia="Arial" w:hAnsi="Arial"/>
                <w:sz w:val="18"/>
                <w:szCs w:val="18"/>
                <w:color w:val="auto"/>
              </w:rPr>
              <w:t>Depreciation and amortization</w:t>
            </w:r>
          </w:p>
        </w:tc>
        <w:tc>
          <w:tcPr>
            <w:tcW w:w="86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960" w:type="dxa"/>
            <w:vAlign w:val="bottom"/>
            <w:shd w:val="clear" w:color="auto" w:fill="E5E5E5"/>
          </w:tcPr>
          <w:p>
            <w:pPr>
              <w:jc w:val="right"/>
              <w:ind w:right="238"/>
              <w:spacing w:after="0"/>
              <w:rPr>
                <w:sz w:val="20"/>
                <w:szCs w:val="20"/>
                <w:color w:val="auto"/>
              </w:rPr>
            </w:pPr>
            <w:r>
              <w:rPr>
                <w:rFonts w:ascii="Arial" w:cs="Arial" w:eastAsia="Arial" w:hAnsi="Arial"/>
                <w:sz w:val="18"/>
                <w:szCs w:val="18"/>
                <w:color w:val="auto"/>
              </w:rPr>
              <w:t>6,410</w:t>
            </w:r>
          </w:p>
        </w:tc>
        <w:tc>
          <w:tcPr>
            <w:tcW w:w="12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5,929</w:t>
            </w:r>
          </w:p>
        </w:tc>
      </w:tr>
      <w:tr>
        <w:trPr>
          <w:trHeight w:val="216"/>
        </w:trPr>
        <w:tc>
          <w:tcPr>
            <w:tcW w:w="7560" w:type="dxa"/>
            <w:vAlign w:val="bottom"/>
            <w:gridSpan w:val="2"/>
          </w:tcPr>
          <w:p>
            <w:pPr>
              <w:ind w:left="440"/>
              <w:spacing w:after="0"/>
              <w:rPr>
                <w:sz w:val="20"/>
                <w:szCs w:val="20"/>
                <w:color w:val="auto"/>
              </w:rPr>
            </w:pPr>
            <w:r>
              <w:rPr>
                <w:rFonts w:ascii="Arial" w:cs="Arial" w:eastAsia="Arial" w:hAnsi="Arial"/>
                <w:sz w:val="18"/>
                <w:szCs w:val="18"/>
                <w:color w:val="auto"/>
              </w:rPr>
              <w:t>Share-based compensation</w:t>
            </w: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jc w:val="right"/>
              <w:ind w:right="238"/>
              <w:spacing w:after="0"/>
              <w:rPr>
                <w:sz w:val="20"/>
                <w:szCs w:val="20"/>
                <w:color w:val="auto"/>
              </w:rPr>
            </w:pPr>
            <w:r>
              <w:rPr>
                <w:rFonts w:ascii="Arial" w:cs="Arial" w:eastAsia="Arial" w:hAnsi="Arial"/>
                <w:sz w:val="18"/>
                <w:szCs w:val="18"/>
                <w:color w:val="auto"/>
              </w:rPr>
              <w:t>430</w:t>
            </w:r>
          </w:p>
        </w:tc>
        <w:tc>
          <w:tcPr>
            <w:tcW w:w="120" w:type="dxa"/>
            <w:vAlign w:val="bottom"/>
          </w:tcPr>
          <w:p>
            <w:pPr>
              <w:spacing w:after="0"/>
              <w:rPr>
                <w:sz w:val="18"/>
                <w:szCs w:val="18"/>
                <w:color w:val="auto"/>
              </w:rPr>
            </w:pPr>
          </w:p>
        </w:tc>
        <w:tc>
          <w:tcPr>
            <w:tcW w:w="660" w:type="dxa"/>
            <w:vAlign w:val="bottom"/>
          </w:tcPr>
          <w:p>
            <w:pPr>
              <w:jc w:val="right"/>
              <w:ind w:right="15"/>
              <w:spacing w:after="0"/>
              <w:rPr>
                <w:sz w:val="20"/>
                <w:szCs w:val="20"/>
                <w:color w:val="auto"/>
              </w:rPr>
            </w:pPr>
            <w:r>
              <w:rPr>
                <w:rFonts w:ascii="Arial" w:cs="Arial" w:eastAsia="Arial" w:hAnsi="Arial"/>
                <w:sz w:val="18"/>
                <w:szCs w:val="18"/>
                <w:color w:val="auto"/>
              </w:rPr>
              <w:t>386</w:t>
            </w:r>
          </w:p>
        </w:tc>
      </w:tr>
      <w:tr>
        <w:trPr>
          <w:trHeight w:val="216"/>
        </w:trPr>
        <w:tc>
          <w:tcPr>
            <w:tcW w:w="7560" w:type="dxa"/>
            <w:vAlign w:val="bottom"/>
            <w:gridSpan w:val="2"/>
            <w:shd w:val="clear" w:color="auto" w:fill="E5E5E5"/>
          </w:tcPr>
          <w:p>
            <w:pPr>
              <w:ind w:left="440"/>
              <w:spacing w:after="0"/>
              <w:rPr>
                <w:sz w:val="20"/>
                <w:szCs w:val="20"/>
                <w:color w:val="auto"/>
              </w:rPr>
            </w:pPr>
            <w:r>
              <w:rPr>
                <w:rFonts w:ascii="Arial" w:cs="Arial" w:eastAsia="Arial" w:hAnsi="Arial"/>
                <w:sz w:val="18"/>
                <w:szCs w:val="18"/>
                <w:color w:val="auto"/>
              </w:rPr>
              <w:t>Noncash interest expense (income), net</w:t>
            </w:r>
          </w:p>
        </w:tc>
        <w:tc>
          <w:tcPr>
            <w:tcW w:w="86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960" w:type="dxa"/>
            <w:vAlign w:val="bottom"/>
            <w:shd w:val="clear" w:color="auto" w:fill="E5E5E5"/>
          </w:tcPr>
          <w:p>
            <w:pPr>
              <w:jc w:val="right"/>
              <w:ind w:right="238"/>
              <w:spacing w:after="0"/>
              <w:rPr>
                <w:sz w:val="20"/>
                <w:szCs w:val="20"/>
                <w:color w:val="auto"/>
              </w:rPr>
            </w:pPr>
            <w:r>
              <w:rPr>
                <w:rFonts w:ascii="Arial" w:cs="Arial" w:eastAsia="Arial" w:hAnsi="Arial"/>
                <w:sz w:val="18"/>
                <w:szCs w:val="18"/>
                <w:color w:val="auto"/>
              </w:rPr>
              <w:t>147</w:t>
            </w:r>
          </w:p>
        </w:tc>
        <w:tc>
          <w:tcPr>
            <w:tcW w:w="12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132</w:t>
            </w:r>
          </w:p>
        </w:tc>
      </w:tr>
      <w:tr>
        <w:trPr>
          <w:trHeight w:val="216"/>
        </w:trPr>
        <w:tc>
          <w:tcPr>
            <w:tcW w:w="7560" w:type="dxa"/>
            <w:vAlign w:val="bottom"/>
            <w:gridSpan w:val="2"/>
          </w:tcPr>
          <w:p>
            <w:pPr>
              <w:ind w:left="440"/>
              <w:spacing w:after="0"/>
              <w:rPr>
                <w:sz w:val="20"/>
                <w:szCs w:val="20"/>
                <w:color w:val="auto"/>
              </w:rPr>
            </w:pPr>
            <w:r>
              <w:rPr>
                <w:rFonts w:ascii="Arial" w:cs="Arial" w:eastAsia="Arial" w:hAnsi="Arial"/>
                <w:sz w:val="18"/>
                <w:szCs w:val="18"/>
                <w:color w:val="auto"/>
              </w:rPr>
              <w:t>Equity in net (income) losses of investees, net</w:t>
            </w: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jc w:val="right"/>
              <w:ind w:right="238"/>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7560" w:type="dxa"/>
            <w:vAlign w:val="bottom"/>
            <w:gridSpan w:val="2"/>
            <w:shd w:val="clear" w:color="auto" w:fill="E5E5E5"/>
          </w:tcPr>
          <w:p>
            <w:pPr>
              <w:ind w:left="440"/>
              <w:spacing w:after="0"/>
              <w:rPr>
                <w:sz w:val="20"/>
                <w:szCs w:val="20"/>
                <w:color w:val="auto"/>
              </w:rPr>
            </w:pPr>
            <w:r>
              <w:rPr>
                <w:rFonts w:ascii="Arial" w:cs="Arial" w:eastAsia="Arial" w:hAnsi="Arial"/>
                <w:sz w:val="18"/>
                <w:szCs w:val="18"/>
                <w:color w:val="auto"/>
              </w:rPr>
              <w:t>Cash received from investees</w:t>
            </w:r>
          </w:p>
        </w:tc>
        <w:tc>
          <w:tcPr>
            <w:tcW w:w="86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960" w:type="dxa"/>
            <w:vAlign w:val="bottom"/>
            <w:shd w:val="clear" w:color="auto" w:fill="E5E5E5"/>
          </w:tcPr>
          <w:p>
            <w:pPr>
              <w:jc w:val="right"/>
              <w:ind w:right="238"/>
              <w:spacing w:after="0"/>
              <w:rPr>
                <w:sz w:val="20"/>
                <w:szCs w:val="20"/>
                <w:color w:val="auto"/>
              </w:rPr>
            </w:pPr>
            <w:r>
              <w:rPr>
                <w:rFonts w:ascii="Arial" w:cs="Arial" w:eastAsia="Arial" w:hAnsi="Arial"/>
                <w:sz w:val="18"/>
                <w:szCs w:val="18"/>
                <w:color w:val="auto"/>
              </w:rPr>
              <w:t>139</w:t>
            </w:r>
          </w:p>
        </w:tc>
        <w:tc>
          <w:tcPr>
            <w:tcW w:w="12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71</w:t>
            </w:r>
          </w:p>
        </w:tc>
      </w:tr>
      <w:tr>
        <w:trPr>
          <w:trHeight w:val="216"/>
        </w:trPr>
        <w:tc>
          <w:tcPr>
            <w:tcW w:w="7560" w:type="dxa"/>
            <w:vAlign w:val="bottom"/>
            <w:gridSpan w:val="2"/>
          </w:tcPr>
          <w:p>
            <w:pPr>
              <w:ind w:left="440"/>
              <w:spacing w:after="0"/>
              <w:rPr>
                <w:sz w:val="20"/>
                <w:szCs w:val="20"/>
                <w:color w:val="auto"/>
              </w:rPr>
            </w:pPr>
            <w:r>
              <w:rPr>
                <w:rFonts w:ascii="Arial" w:cs="Arial" w:eastAsia="Arial" w:hAnsi="Arial"/>
                <w:sz w:val="18"/>
                <w:szCs w:val="18"/>
                <w:color w:val="auto"/>
              </w:rPr>
              <w:t>Net (gain) loss on investment activity and other</w:t>
            </w: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jc w:val="right"/>
              <w:ind w:right="178"/>
              <w:spacing w:after="0"/>
              <w:rPr>
                <w:sz w:val="20"/>
                <w:szCs w:val="20"/>
                <w:color w:val="auto"/>
              </w:rPr>
            </w:pPr>
            <w:r>
              <w:rPr>
                <w:rFonts w:ascii="Arial" w:cs="Arial" w:eastAsia="Arial" w:hAnsi="Arial"/>
                <w:sz w:val="18"/>
                <w:szCs w:val="18"/>
                <w:color w:val="auto"/>
              </w:rPr>
              <w:t>(344)</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7560" w:type="dxa"/>
            <w:vAlign w:val="bottom"/>
            <w:gridSpan w:val="2"/>
            <w:shd w:val="clear" w:color="auto" w:fill="E5E5E5"/>
          </w:tcPr>
          <w:p>
            <w:pPr>
              <w:ind w:left="440"/>
              <w:spacing w:after="0"/>
              <w:rPr>
                <w:sz w:val="20"/>
                <w:szCs w:val="20"/>
                <w:color w:val="auto"/>
              </w:rPr>
            </w:pPr>
            <w:r>
              <w:rPr>
                <w:rFonts w:ascii="Arial" w:cs="Arial" w:eastAsia="Arial" w:hAnsi="Arial"/>
                <w:sz w:val="18"/>
                <w:szCs w:val="18"/>
                <w:color w:val="auto"/>
              </w:rPr>
              <w:t>Deferred income taxes</w:t>
            </w:r>
          </w:p>
        </w:tc>
        <w:tc>
          <w:tcPr>
            <w:tcW w:w="86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960" w:type="dxa"/>
            <w:vAlign w:val="bottom"/>
            <w:shd w:val="clear" w:color="auto" w:fill="E5E5E5"/>
          </w:tcPr>
          <w:p>
            <w:pPr>
              <w:jc w:val="right"/>
              <w:ind w:right="238"/>
              <w:spacing w:after="0"/>
              <w:rPr>
                <w:sz w:val="20"/>
                <w:szCs w:val="20"/>
                <w:color w:val="auto"/>
              </w:rPr>
            </w:pPr>
            <w:r>
              <w:rPr>
                <w:rFonts w:ascii="Arial" w:cs="Arial" w:eastAsia="Arial" w:hAnsi="Arial"/>
                <w:sz w:val="18"/>
                <w:szCs w:val="18"/>
                <w:color w:val="auto"/>
              </w:rPr>
              <w:t>67</w:t>
            </w:r>
          </w:p>
        </w:tc>
        <w:tc>
          <w:tcPr>
            <w:tcW w:w="12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358</w:t>
            </w:r>
          </w:p>
        </w:tc>
      </w:tr>
      <w:tr>
        <w:trPr>
          <w:trHeight w:val="216"/>
        </w:trPr>
        <w:tc>
          <w:tcPr>
            <w:tcW w:w="7560" w:type="dxa"/>
            <w:vAlign w:val="bottom"/>
            <w:gridSpan w:val="2"/>
          </w:tcPr>
          <w:p>
            <w:pPr>
              <w:spacing w:after="0"/>
              <w:rPr>
                <w:sz w:val="20"/>
                <w:szCs w:val="20"/>
                <w:color w:val="auto"/>
              </w:rPr>
            </w:pPr>
            <w:r>
              <w:rPr>
                <w:rFonts w:ascii="Arial" w:cs="Arial" w:eastAsia="Arial" w:hAnsi="Arial"/>
                <w:sz w:val="18"/>
                <w:szCs w:val="18"/>
                <w:color w:val="auto"/>
              </w:rPr>
              <w:t>Changes in operating assets and liabilities, net of effects of acquisitions and divestitures:</w:t>
            </w: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7560" w:type="dxa"/>
            <w:vAlign w:val="bottom"/>
            <w:gridSpan w:val="2"/>
            <w:shd w:val="clear" w:color="auto" w:fill="E5E5E5"/>
          </w:tcPr>
          <w:p>
            <w:pPr>
              <w:ind w:left="440"/>
              <w:spacing w:after="0"/>
              <w:rPr>
                <w:sz w:val="20"/>
                <w:szCs w:val="20"/>
                <w:color w:val="auto"/>
              </w:rPr>
            </w:pPr>
            <w:r>
              <w:rPr>
                <w:rFonts w:ascii="Arial" w:cs="Arial" w:eastAsia="Arial" w:hAnsi="Arial"/>
                <w:sz w:val="18"/>
                <w:szCs w:val="18"/>
                <w:color w:val="auto"/>
              </w:rPr>
              <w:t>Current and noncurrent receivables, net</w:t>
            </w:r>
          </w:p>
        </w:tc>
        <w:tc>
          <w:tcPr>
            <w:tcW w:w="86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960" w:type="dxa"/>
            <w:vAlign w:val="bottom"/>
            <w:shd w:val="clear" w:color="auto" w:fill="E5E5E5"/>
          </w:tcPr>
          <w:p>
            <w:pPr>
              <w:jc w:val="right"/>
              <w:ind w:right="178"/>
              <w:spacing w:after="0"/>
              <w:rPr>
                <w:sz w:val="20"/>
                <w:szCs w:val="20"/>
                <w:color w:val="auto"/>
              </w:rPr>
            </w:pPr>
            <w:r>
              <w:rPr>
                <w:rFonts w:ascii="Arial" w:cs="Arial" w:eastAsia="Arial" w:hAnsi="Arial"/>
                <w:sz w:val="18"/>
                <w:szCs w:val="18"/>
                <w:color w:val="auto"/>
              </w:rPr>
              <w:t>(322)</w:t>
            </w:r>
          </w:p>
        </w:tc>
        <w:tc>
          <w:tcPr>
            <w:tcW w:w="12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89</w:t>
            </w:r>
          </w:p>
        </w:tc>
      </w:tr>
      <w:tr>
        <w:trPr>
          <w:trHeight w:val="216"/>
        </w:trPr>
        <w:tc>
          <w:tcPr>
            <w:tcW w:w="7560" w:type="dxa"/>
            <w:vAlign w:val="bottom"/>
            <w:gridSpan w:val="2"/>
          </w:tcPr>
          <w:p>
            <w:pPr>
              <w:ind w:left="440"/>
              <w:spacing w:after="0"/>
              <w:rPr>
                <w:sz w:val="20"/>
                <w:szCs w:val="20"/>
                <w:color w:val="auto"/>
              </w:rPr>
            </w:pPr>
            <w:r>
              <w:rPr>
                <w:rFonts w:ascii="Arial" w:cs="Arial" w:eastAsia="Arial" w:hAnsi="Arial"/>
                <w:sz w:val="18"/>
                <w:szCs w:val="18"/>
                <w:color w:val="auto"/>
              </w:rPr>
              <w:t>Film and television costs, net</w:t>
            </w: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jc w:val="right"/>
              <w:ind w:right="178"/>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(471)</w:t>
            </w:r>
          </w:p>
        </w:tc>
      </w:tr>
      <w:tr>
        <w:trPr>
          <w:trHeight w:val="216"/>
        </w:trPr>
        <w:tc>
          <w:tcPr>
            <w:tcW w:w="7560" w:type="dxa"/>
            <w:vAlign w:val="bottom"/>
            <w:gridSpan w:val="2"/>
            <w:shd w:val="clear" w:color="auto" w:fill="E5E5E5"/>
          </w:tcPr>
          <w:p>
            <w:pPr>
              <w:ind w:left="440"/>
              <w:spacing w:after="0"/>
              <w:rPr>
                <w:sz w:val="20"/>
                <w:szCs w:val="20"/>
                <w:color w:val="auto"/>
              </w:rPr>
            </w:pPr>
            <w:r>
              <w:rPr>
                <w:rFonts w:ascii="Arial" w:cs="Arial" w:eastAsia="Arial" w:hAnsi="Arial"/>
                <w:sz w:val="18"/>
                <w:szCs w:val="18"/>
                <w:color w:val="auto"/>
              </w:rPr>
              <w:t>Accounts payable and accrued expenses related to trade creditors</w:t>
            </w:r>
          </w:p>
        </w:tc>
        <w:tc>
          <w:tcPr>
            <w:tcW w:w="86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960" w:type="dxa"/>
            <w:vAlign w:val="bottom"/>
            <w:shd w:val="clear" w:color="auto" w:fill="E5E5E5"/>
          </w:tcPr>
          <w:p>
            <w:pPr>
              <w:jc w:val="right"/>
              <w:ind w:right="238"/>
              <w:spacing w:after="0"/>
              <w:rPr>
                <w:sz w:val="20"/>
                <w:szCs w:val="20"/>
                <w:color w:val="auto"/>
              </w:rPr>
            </w:pPr>
            <w:r>
              <w:rPr>
                <w:rFonts w:ascii="Arial" w:cs="Arial" w:eastAsia="Arial" w:hAnsi="Arial"/>
                <w:sz w:val="18"/>
                <w:szCs w:val="18"/>
                <w:color w:val="auto"/>
              </w:rPr>
              <w:t>169</w:t>
            </w:r>
          </w:p>
        </w:tc>
        <w:tc>
          <w:tcPr>
            <w:tcW w:w="12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119</w:t>
            </w:r>
          </w:p>
        </w:tc>
      </w:tr>
      <w:tr>
        <w:trPr>
          <w:trHeight w:val="216"/>
        </w:trPr>
        <w:tc>
          <w:tcPr>
            <w:tcW w:w="7560" w:type="dxa"/>
            <w:vAlign w:val="bottom"/>
            <w:tcBorders>
              <w:bottom w:val="single" w:sz="8" w:color="auto"/>
            </w:tcBorders>
            <w:gridSpan w:val="2"/>
          </w:tcPr>
          <w:p>
            <w:pPr>
              <w:ind w:left="440"/>
              <w:spacing w:after="0"/>
              <w:rPr>
                <w:sz w:val="20"/>
                <w:szCs w:val="20"/>
                <w:color w:val="auto"/>
              </w:rPr>
            </w:pPr>
            <w:r>
              <w:rPr>
                <w:rFonts w:ascii="Arial" w:cs="Arial" w:eastAsia="Arial" w:hAnsi="Arial"/>
                <w:sz w:val="18"/>
                <w:szCs w:val="18"/>
                <w:color w:val="auto"/>
              </w:rPr>
              <w:t>Other operating assets and liabilities</w:t>
            </w:r>
          </w:p>
        </w:tc>
        <w:tc>
          <w:tcPr>
            <w:tcW w:w="8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38"/>
              <w:spacing w:after="0"/>
              <w:rPr>
                <w:sz w:val="20"/>
                <w:szCs w:val="20"/>
                <w:color w:val="auto"/>
              </w:rPr>
            </w:pPr>
            <w:r>
              <w:rPr>
                <w:rFonts w:ascii="Arial" w:cs="Arial" w:eastAsia="Arial" w:hAnsi="Arial"/>
                <w:sz w:val="18"/>
                <w:szCs w:val="18"/>
                <w:color w:val="auto"/>
              </w:rPr>
              <w:t>623</w:t>
            </w: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w:t>
            </w:r>
          </w:p>
        </w:tc>
      </w:tr>
      <w:tr>
        <w:trPr>
          <w:trHeight w:val="217"/>
        </w:trPr>
        <w:tc>
          <w:tcPr>
            <w:tcW w:w="7560" w:type="dxa"/>
            <w:vAlign w:val="bottom"/>
            <w:tcBorders>
              <w:bottom w:val="single" w:sz="8" w:color="auto"/>
            </w:tcBorders>
            <w:gridSpan w:val="2"/>
            <w:shd w:val="clear" w:color="auto" w:fill="E5E5E5"/>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86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spacing w:after="0"/>
              <w:rPr>
                <w:sz w:val="18"/>
                <w:szCs w:val="18"/>
                <w:color w:val="auto"/>
              </w:rPr>
            </w:pPr>
          </w:p>
        </w:tc>
        <w:tc>
          <w:tcPr>
            <w:tcW w:w="420" w:type="dxa"/>
            <w:vAlign w:val="bottom"/>
            <w:tcBorders>
              <w:bottom w:val="single" w:sz="8" w:color="auto"/>
            </w:tcBorders>
            <w:shd w:val="clear" w:color="auto" w:fill="E5E5E5"/>
          </w:tcPr>
          <w:p>
            <w:pPr>
              <w:spacing w:after="0"/>
              <w:rPr>
                <w:sz w:val="18"/>
                <w:szCs w:val="18"/>
                <w:color w:val="auto"/>
              </w:rPr>
            </w:pPr>
          </w:p>
        </w:tc>
        <w:tc>
          <w:tcPr>
            <w:tcW w:w="320" w:type="dxa"/>
            <w:vAlign w:val="bottom"/>
            <w:tcBorders>
              <w:bottom w:val="single" w:sz="8" w:color="auto"/>
            </w:tcBorders>
            <w:shd w:val="clear" w:color="auto" w:fill="E5E5E5"/>
          </w:tcPr>
          <w:p>
            <w:pPr>
              <w:spacing w:after="0"/>
              <w:rPr>
                <w:sz w:val="18"/>
                <w:szCs w:val="18"/>
                <w:color w:val="auto"/>
              </w:rPr>
            </w:pPr>
          </w:p>
        </w:tc>
        <w:tc>
          <w:tcPr>
            <w:tcW w:w="960" w:type="dxa"/>
            <w:vAlign w:val="bottom"/>
            <w:tcBorders>
              <w:bottom w:val="single" w:sz="8" w:color="auto"/>
            </w:tcBorders>
            <w:shd w:val="clear" w:color="auto" w:fill="E5E5E5"/>
          </w:tcPr>
          <w:p>
            <w:pPr>
              <w:jc w:val="right"/>
              <w:ind w:right="238"/>
              <w:spacing w:after="0"/>
              <w:rPr>
                <w:sz w:val="20"/>
                <w:szCs w:val="20"/>
                <w:color w:val="auto"/>
              </w:rPr>
            </w:pPr>
            <w:r>
              <w:rPr>
                <w:rFonts w:ascii="Arial" w:cs="Arial" w:eastAsia="Arial" w:hAnsi="Arial"/>
                <w:sz w:val="18"/>
                <w:szCs w:val="18"/>
                <w:b w:val="1"/>
                <w:bCs w:val="1"/>
                <w:color w:val="auto"/>
                <w:w w:val="88"/>
              </w:rPr>
              <w:t>$ 13,813</w:t>
            </w:r>
          </w:p>
        </w:tc>
        <w:tc>
          <w:tcPr>
            <w:tcW w:w="1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bottom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b w:val="1"/>
                <w:bCs w:val="1"/>
                <w:color w:val="auto"/>
                <w:w w:val="98"/>
              </w:rPr>
              <w:t>12,302</w:t>
            </w:r>
          </w:p>
        </w:tc>
      </w:tr>
      <w:tr>
        <w:trPr>
          <w:trHeight w:val="403"/>
        </w:trPr>
        <w:tc>
          <w:tcPr>
            <w:tcW w:w="8420" w:type="dxa"/>
            <w:vAlign w:val="bottom"/>
            <w:gridSpan w:val="3"/>
          </w:tcPr>
          <w:p>
            <w:pPr>
              <w:ind w:left="3800"/>
              <w:spacing w:after="0"/>
              <w:rPr>
                <w:sz w:val="20"/>
                <w:szCs w:val="20"/>
                <w:color w:val="auto"/>
              </w:rPr>
            </w:pPr>
            <w:r>
              <w:rPr>
                <w:rFonts w:ascii="Arial" w:cs="Arial" w:eastAsia="Arial" w:hAnsi="Arial"/>
                <w:sz w:val="18"/>
                <w:szCs w:val="18"/>
                <w:b w:val="1"/>
                <w:bCs w:val="1"/>
                <w:color w:val="auto"/>
              </w:rPr>
              <w:t>Cash Payments for Interest and Income Taxes</w:t>
            </w: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61"/>
        </w:trPr>
        <w:tc>
          <w:tcPr>
            <w:tcW w:w="7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120" w:type="dxa"/>
            <w:vAlign w:val="bottom"/>
            <w:gridSpan w:val="4"/>
          </w:tcPr>
          <w:p>
            <w:pPr>
              <w:jc w:val="center"/>
              <w:ind w:right="380"/>
              <w:spacing w:after="0"/>
              <w:rPr>
                <w:sz w:val="20"/>
                <w:szCs w:val="20"/>
                <w:color w:val="auto"/>
              </w:rPr>
            </w:pPr>
            <w:r>
              <w:rPr>
                <w:rFonts w:ascii="Arial" w:cs="Arial" w:eastAsia="Arial" w:hAnsi="Arial"/>
                <w:sz w:val="14"/>
                <w:szCs w:val="14"/>
                <w:color w:val="auto"/>
                <w:w w:val="87"/>
              </w:rPr>
              <w:t>Three Months Ended</w:t>
            </w:r>
          </w:p>
        </w:tc>
        <w:tc>
          <w:tcPr>
            <w:tcW w:w="1740" w:type="dxa"/>
            <w:vAlign w:val="bottom"/>
            <w:gridSpan w:val="3"/>
          </w:tcPr>
          <w:p>
            <w:pPr>
              <w:jc w:val="right"/>
              <w:ind w:right="255"/>
              <w:spacing w:after="0"/>
              <w:rPr>
                <w:sz w:val="20"/>
                <w:szCs w:val="20"/>
                <w:color w:val="auto"/>
              </w:rPr>
            </w:pPr>
            <w:r>
              <w:rPr>
                <w:rFonts w:ascii="Arial" w:cs="Arial" w:eastAsia="Arial" w:hAnsi="Arial"/>
                <w:sz w:val="14"/>
                <w:szCs w:val="14"/>
                <w:color w:val="auto"/>
              </w:rPr>
              <w:t>Nine Months Ended</w:t>
            </w:r>
          </w:p>
        </w:tc>
      </w:tr>
      <w:tr>
        <w:trPr>
          <w:trHeight w:val="159"/>
        </w:trPr>
        <w:tc>
          <w:tcPr>
            <w:tcW w:w="72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2"/>
          </w:tcPr>
          <w:p>
            <w:pPr>
              <w:jc w:val="center"/>
              <w:ind w:left="264"/>
              <w:spacing w:after="0" w:line="159" w:lineRule="exact"/>
              <w:rPr>
                <w:sz w:val="20"/>
                <w:szCs w:val="20"/>
                <w:color w:val="auto"/>
              </w:rPr>
            </w:pPr>
            <w:r>
              <w:rPr>
                <w:rFonts w:ascii="Arial" w:cs="Arial" w:eastAsia="Arial" w:hAnsi="Arial"/>
                <w:sz w:val="14"/>
                <w:szCs w:val="14"/>
                <w:color w:val="auto"/>
                <w:w w:val="86"/>
              </w:rPr>
              <w:t>September 30</w:t>
            </w:r>
          </w:p>
        </w:tc>
        <w:tc>
          <w:tcPr>
            <w:tcW w:w="4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3"/>
          </w:tcPr>
          <w:p>
            <w:pPr>
              <w:jc w:val="right"/>
              <w:ind w:right="435"/>
              <w:spacing w:after="0" w:line="159" w:lineRule="exact"/>
              <w:rPr>
                <w:sz w:val="20"/>
                <w:szCs w:val="20"/>
                <w:color w:val="auto"/>
              </w:rPr>
            </w:pPr>
            <w:r>
              <w:rPr>
                <w:rFonts w:ascii="Arial" w:cs="Arial" w:eastAsia="Arial" w:hAnsi="Arial"/>
                <w:sz w:val="14"/>
                <w:szCs w:val="14"/>
                <w:color w:val="auto"/>
              </w:rPr>
              <w:t>September 30</w:t>
            </w:r>
          </w:p>
        </w:tc>
      </w:tr>
      <w:tr>
        <w:trPr>
          <w:trHeight w:val="142"/>
        </w:trPr>
        <w:tc>
          <w:tcPr>
            <w:tcW w:w="720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center"/>
              <w:ind w:right="104"/>
              <w:spacing w:after="0" w:line="142" w:lineRule="exact"/>
              <w:rPr>
                <w:sz w:val="20"/>
                <w:szCs w:val="20"/>
                <w:color w:val="auto"/>
              </w:rPr>
            </w:pPr>
            <w:r>
              <w:rPr>
                <w:rFonts w:ascii="Arial" w:cs="Arial" w:eastAsia="Arial" w:hAnsi="Arial"/>
                <w:sz w:val="14"/>
                <w:szCs w:val="14"/>
                <w:color w:val="auto"/>
                <w:w w:val="89"/>
              </w:rPr>
              <w:t>2015</w:t>
            </w:r>
          </w:p>
        </w:tc>
        <w:tc>
          <w:tcPr>
            <w:tcW w:w="940" w:type="dxa"/>
            <w:vAlign w:val="bottom"/>
            <w:tcBorders>
              <w:bottom w:val="single" w:sz="8" w:color="auto"/>
            </w:tcBorders>
            <w:gridSpan w:val="2"/>
          </w:tcPr>
          <w:p>
            <w:pPr>
              <w:ind w:left="400"/>
              <w:spacing w:after="0" w:line="142" w:lineRule="exact"/>
              <w:rPr>
                <w:sz w:val="20"/>
                <w:szCs w:val="20"/>
                <w:color w:val="auto"/>
              </w:rPr>
            </w:pPr>
            <w:r>
              <w:rPr>
                <w:rFonts w:ascii="Arial" w:cs="Arial" w:eastAsia="Arial" w:hAnsi="Arial"/>
                <w:sz w:val="14"/>
                <w:szCs w:val="14"/>
                <w:color w:val="auto"/>
              </w:rPr>
              <w:t>2014</w:t>
            </w:r>
          </w:p>
        </w:tc>
        <w:tc>
          <w:tcPr>
            <w:tcW w:w="3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center"/>
              <w:ind w:right="238"/>
              <w:spacing w:after="0" w:line="142" w:lineRule="exact"/>
              <w:rPr>
                <w:sz w:val="20"/>
                <w:szCs w:val="20"/>
                <w:color w:val="auto"/>
              </w:rPr>
            </w:pPr>
            <w:r>
              <w:rPr>
                <w:rFonts w:ascii="Arial" w:cs="Arial" w:eastAsia="Arial" w:hAnsi="Arial"/>
                <w:sz w:val="14"/>
                <w:szCs w:val="14"/>
                <w:color w:val="auto"/>
                <w:w w:val="89"/>
              </w:rPr>
              <w:t>2015</w:t>
            </w: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color w:val="auto"/>
              </w:rPr>
              <w:t>2014</w:t>
            </w:r>
          </w:p>
        </w:tc>
      </w:tr>
      <w:tr>
        <w:trPr>
          <w:trHeight w:val="210"/>
        </w:trPr>
        <w:tc>
          <w:tcPr>
            <w:tcW w:w="756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Interest</w:t>
            </w:r>
          </w:p>
        </w:tc>
        <w:tc>
          <w:tcPr>
            <w:tcW w:w="860" w:type="dxa"/>
            <w:vAlign w:val="bottom"/>
            <w:shd w:val="clear" w:color="auto" w:fill="E5E5E5"/>
          </w:tcPr>
          <w:p>
            <w:pPr>
              <w:jc w:val="center"/>
              <w:ind w:right="124"/>
              <w:spacing w:after="0"/>
              <w:rPr>
                <w:sz w:val="20"/>
                <w:szCs w:val="20"/>
                <w:color w:val="auto"/>
              </w:rPr>
            </w:pPr>
            <w:r>
              <w:rPr>
                <w:rFonts w:ascii="Arial" w:cs="Arial" w:eastAsia="Arial" w:hAnsi="Arial"/>
                <w:sz w:val="18"/>
                <w:szCs w:val="18"/>
                <w:color w:val="auto"/>
              </w:rPr>
              <w:t>$  673</w:t>
            </w:r>
          </w:p>
        </w:tc>
        <w:tc>
          <w:tcPr>
            <w:tcW w:w="520" w:type="dxa"/>
            <w:vAlign w:val="bottom"/>
            <w:shd w:val="clear" w:color="auto" w:fill="E5E5E5"/>
          </w:tcPr>
          <w:p>
            <w:pPr>
              <w:ind w:left="260"/>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jc w:val="right"/>
              <w:ind w:right="55"/>
              <w:spacing w:after="0"/>
              <w:rPr>
                <w:sz w:val="20"/>
                <w:szCs w:val="20"/>
                <w:color w:val="auto"/>
              </w:rPr>
            </w:pPr>
            <w:r>
              <w:rPr>
                <w:rFonts w:ascii="Arial" w:cs="Arial" w:eastAsia="Arial" w:hAnsi="Arial"/>
                <w:sz w:val="18"/>
                <w:szCs w:val="18"/>
                <w:color w:val="auto"/>
                <w:w w:val="86"/>
              </w:rPr>
              <w:t>656</w:t>
            </w:r>
          </w:p>
        </w:tc>
        <w:tc>
          <w:tcPr>
            <w:tcW w:w="320" w:type="dxa"/>
            <w:vAlign w:val="bottom"/>
            <w:shd w:val="clear" w:color="auto" w:fill="E5E5E5"/>
          </w:tcPr>
          <w:p>
            <w:pPr>
              <w:spacing w:after="0"/>
              <w:rPr>
                <w:sz w:val="18"/>
                <w:szCs w:val="18"/>
                <w:color w:val="auto"/>
              </w:rPr>
            </w:pPr>
          </w:p>
        </w:tc>
        <w:tc>
          <w:tcPr>
            <w:tcW w:w="960" w:type="dxa"/>
            <w:vAlign w:val="bottom"/>
            <w:shd w:val="clear" w:color="auto" w:fill="E5E5E5"/>
          </w:tcPr>
          <w:p>
            <w:pPr>
              <w:jc w:val="center"/>
              <w:ind w:right="218"/>
              <w:spacing w:after="0"/>
              <w:rPr>
                <w:sz w:val="20"/>
                <w:szCs w:val="20"/>
                <w:color w:val="auto"/>
              </w:rPr>
            </w:pPr>
            <w:r>
              <w:rPr>
                <w:rFonts w:ascii="Arial" w:cs="Arial" w:eastAsia="Arial" w:hAnsi="Arial"/>
                <w:sz w:val="18"/>
                <w:szCs w:val="18"/>
                <w:color w:val="auto"/>
                <w:w w:val="89"/>
              </w:rPr>
              <w:t>$ 1,914</w:t>
            </w:r>
          </w:p>
        </w:tc>
        <w:tc>
          <w:tcPr>
            <w:tcW w:w="120" w:type="dxa"/>
            <w:vAlign w:val="bottom"/>
            <w:shd w:val="clear" w:color="auto" w:fill="E5E5E5"/>
          </w:tcPr>
          <w:p>
            <w:pPr>
              <w:spacing w:after="0"/>
              <w:rPr>
                <w:sz w:val="18"/>
                <w:szCs w:val="18"/>
                <w:color w:val="auto"/>
              </w:rPr>
            </w:pPr>
          </w:p>
        </w:tc>
        <w:tc>
          <w:tcPr>
            <w:tcW w:w="660" w:type="dxa"/>
            <w:vAlign w:val="bottom"/>
            <w:shd w:val="clear" w:color="auto" w:fill="E5E5E5"/>
          </w:tcPr>
          <w:p>
            <w:pPr>
              <w:ind w:left="20"/>
              <w:spacing w:after="0"/>
              <w:rPr>
                <w:sz w:val="20"/>
                <w:szCs w:val="20"/>
                <w:color w:val="auto"/>
              </w:rPr>
            </w:pPr>
            <w:r>
              <w:rPr>
                <w:rFonts w:ascii="Arial" w:cs="Arial" w:eastAsia="Arial" w:hAnsi="Arial"/>
                <w:sz w:val="18"/>
                <w:szCs w:val="18"/>
                <w:color w:val="auto"/>
              </w:rPr>
              <w:t>$ 1,820</w:t>
            </w:r>
          </w:p>
        </w:tc>
      </w:tr>
      <w:tr>
        <w:trPr>
          <w:trHeight w:val="216"/>
        </w:trPr>
        <w:tc>
          <w:tcPr>
            <w:tcW w:w="75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Income taxes</w:t>
            </w:r>
          </w:p>
        </w:tc>
        <w:tc>
          <w:tcPr>
            <w:tcW w:w="860" w:type="dxa"/>
            <w:vAlign w:val="bottom"/>
            <w:tcBorders>
              <w:bottom w:val="single" w:sz="8" w:color="auto"/>
            </w:tcBorders>
          </w:tcPr>
          <w:p>
            <w:pPr>
              <w:jc w:val="center"/>
              <w:ind w:right="124"/>
              <w:spacing w:after="0"/>
              <w:rPr>
                <w:sz w:val="20"/>
                <w:szCs w:val="20"/>
                <w:color w:val="auto"/>
              </w:rPr>
            </w:pPr>
            <w:r>
              <w:rPr>
                <w:rFonts w:ascii="Arial" w:cs="Arial" w:eastAsia="Arial" w:hAnsi="Arial"/>
                <w:sz w:val="18"/>
                <w:szCs w:val="18"/>
                <w:color w:val="auto"/>
                <w:w w:val="89"/>
              </w:rPr>
              <w:t>$ 1,146</w:t>
            </w:r>
          </w:p>
        </w:tc>
        <w:tc>
          <w:tcPr>
            <w:tcW w:w="5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w w:val="86"/>
              </w:rPr>
              <w:t>974</w:t>
            </w: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218"/>
              <w:spacing w:after="0"/>
              <w:rPr>
                <w:sz w:val="20"/>
                <w:szCs w:val="20"/>
                <w:color w:val="auto"/>
              </w:rPr>
            </w:pPr>
            <w:r>
              <w:rPr>
                <w:rFonts w:ascii="Arial" w:cs="Arial" w:eastAsia="Arial" w:hAnsi="Arial"/>
                <w:sz w:val="18"/>
                <w:szCs w:val="18"/>
                <w:color w:val="auto"/>
                <w:w w:val="89"/>
              </w:rPr>
              <w:t>$ 3,145</w:t>
            </w: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$ 2,878</w:t>
            </w: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Noncash Investing and Financing Activities</w:t>
      </w:r>
    </w:p>
    <w:p>
      <w:pPr>
        <w:spacing w:after="0" w:line="74" w:lineRule="exact"/>
        <w:rPr>
          <w:sz w:val="20"/>
          <w:szCs w:val="20"/>
          <w:color w:val="auto"/>
        </w:rPr>
      </w:pPr>
    </w:p>
    <w:p>
      <w:pPr>
        <w:ind w:left="20"/>
        <w:spacing w:after="0"/>
        <w:rPr>
          <w:sz w:val="20"/>
          <w:szCs w:val="20"/>
          <w:color w:val="auto"/>
        </w:rPr>
      </w:pPr>
      <w:r>
        <w:rPr>
          <w:rFonts w:ascii="Arial" w:cs="Arial" w:eastAsia="Arial" w:hAnsi="Arial"/>
          <w:sz w:val="18"/>
          <w:szCs w:val="18"/>
          <w:color w:val="auto"/>
        </w:rPr>
        <w:t>During the nine months ended September 30, 2015:</w:t>
      </w:r>
    </w:p>
    <w:p>
      <w:pPr>
        <w:spacing w:after="0" w:line="77" w:lineRule="exact"/>
        <w:rPr>
          <w:sz w:val="20"/>
          <w:szCs w:val="20"/>
          <w:color w:val="auto"/>
        </w:rPr>
      </w:pPr>
    </w:p>
    <w:p>
      <w:pPr>
        <w:ind w:left="1020" w:hanging="215"/>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acquired $1.2 billion of property and equipment and intangible assets that were accrued but unpaid</w:t>
      </w:r>
    </w:p>
    <w:p>
      <w:pPr>
        <w:spacing w:after="0" w:line="76" w:lineRule="exact"/>
        <w:rPr>
          <w:rFonts w:ascii="Arial" w:cs="Arial" w:eastAsia="Arial" w:hAnsi="Arial"/>
          <w:sz w:val="18"/>
          <w:szCs w:val="18"/>
          <w:color w:val="auto"/>
        </w:rPr>
      </w:pPr>
    </w:p>
    <w:p>
      <w:pPr>
        <w:ind w:left="1020" w:hanging="215"/>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recorded a liability of $617 million for a quarterly cash dividend of $0.25 per common share paid in October 2015</w:t>
      </w:r>
    </w:p>
    <w:p>
      <w:pPr>
        <w:spacing w:after="0" w:line="76" w:lineRule="exact"/>
        <w:rPr>
          <w:rFonts w:ascii="Arial" w:cs="Arial" w:eastAsia="Arial" w:hAnsi="Arial"/>
          <w:sz w:val="18"/>
          <w:szCs w:val="18"/>
          <w:color w:val="auto"/>
        </w:rPr>
      </w:pPr>
    </w:p>
    <w:p>
      <w:pPr>
        <w:ind w:left="1020" w:hanging="215"/>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used $517 million of equity securities to settle our obligations under prepaid forward sale agreements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11: Commitments and Contingencies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 defendant in several unrelated lawsuits claiming infringement of various patents relating to various aspects of our businesses. In certain of these cases other industry participants are also defendants, and also in certain of these cases we expect that any potential liability would be in part or in whole the responsibility of our equipment and technology vendors under applicable contractual indemnification provisions.</w:t>
      </w:r>
    </w:p>
    <w:p>
      <w:pPr>
        <w:spacing w:after="0" w:line="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also subject to other legal proceedings and claims that arise in the ordinary course of our business. While the amount of ultimate liability with respect to such actions is not expected to materially affect our results of operations, cash flows or financial position, any litigation resulting from any such legal proceedings or claims could be time-consuming and injure our reputation.</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12: Financial Data by Business Segment</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We present our operations in five reportable business segments:</w:t>
      </w:r>
    </w:p>
    <w:p>
      <w:pPr>
        <w:spacing w:after="0" w:line="71" w:lineRule="exact"/>
        <w:rPr>
          <w:sz w:val="20"/>
          <w:szCs w:val="20"/>
          <w:color w:val="auto"/>
        </w:rPr>
      </w:pPr>
    </w:p>
    <w:p>
      <w:pPr>
        <w:jc w:val="both"/>
        <w:ind w:left="1020" w:right="1260" w:hanging="215"/>
        <w:spacing w:after="0" w:line="262"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Cable Communications: </w:t>
      </w:r>
      <w:r>
        <w:rPr>
          <w:rFonts w:ascii="Arial" w:cs="Arial" w:eastAsia="Arial" w:hAnsi="Arial"/>
          <w:sz w:val="18"/>
          <w:szCs w:val="18"/>
          <w:color w:val="auto"/>
        </w:rPr>
        <w:t>Consists of the operations of Comcast Cable, which is one of the nation’s largest providers of video,</w:t>
      </w:r>
      <w:r>
        <w:rPr>
          <w:rFonts w:ascii="Arial" w:cs="Arial" w:eastAsia="Arial" w:hAnsi="Arial"/>
          <w:sz w:val="18"/>
          <w:szCs w:val="18"/>
          <w:b w:val="1"/>
          <w:bCs w:val="1"/>
          <w:color w:val="auto"/>
        </w:rPr>
        <w:t xml:space="preserve"> </w:t>
      </w:r>
      <w:r>
        <w:rPr>
          <w:rFonts w:ascii="Arial" w:cs="Arial" w:eastAsia="Arial" w:hAnsi="Arial"/>
          <w:sz w:val="18"/>
          <w:szCs w:val="18"/>
          <w:color w:val="auto"/>
        </w:rPr>
        <w:t>high-speed Internet and voice services (“cable services”) to residential customers under the XFINITY brand; we also provide these and other services to businesses and sell advertising.</w:t>
      </w:r>
    </w:p>
    <w:p>
      <w:pPr>
        <w:spacing w:after="0" w:line="37" w:lineRule="exact"/>
        <w:rPr>
          <w:rFonts w:ascii="Arial" w:cs="Arial" w:eastAsia="Arial" w:hAnsi="Arial"/>
          <w:sz w:val="18"/>
          <w:szCs w:val="18"/>
          <w:color w:val="auto"/>
        </w:rPr>
      </w:pPr>
    </w:p>
    <w:p>
      <w:pPr>
        <w:ind w:left="1020" w:right="1240" w:hanging="215"/>
        <w:spacing w:after="0" w:line="275"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Cable Networks: </w:t>
      </w:r>
      <w:r>
        <w:rPr>
          <w:rFonts w:ascii="Arial" w:cs="Arial" w:eastAsia="Arial" w:hAnsi="Arial"/>
          <w:sz w:val="18"/>
          <w:szCs w:val="18"/>
          <w:color w:val="auto"/>
        </w:rPr>
        <w:t>Consists primarily of our national cable networks, our regional sports and news networks, our international</w:t>
      </w:r>
      <w:r>
        <w:rPr>
          <w:rFonts w:ascii="Arial" w:cs="Arial" w:eastAsia="Arial" w:hAnsi="Arial"/>
          <w:sz w:val="18"/>
          <w:szCs w:val="18"/>
          <w:b w:val="1"/>
          <w:bCs w:val="1"/>
          <w:color w:val="auto"/>
        </w:rPr>
        <w:t xml:space="preserve"> </w:t>
      </w:r>
      <w:r>
        <w:rPr>
          <w:rFonts w:ascii="Arial" w:cs="Arial" w:eastAsia="Arial" w:hAnsi="Arial"/>
          <w:sz w:val="18"/>
          <w:szCs w:val="18"/>
          <w:color w:val="auto"/>
        </w:rPr>
        <w:t>cable networks and our cable television production operations.</w:t>
      </w:r>
    </w:p>
    <w:p>
      <w:pPr>
        <w:spacing w:after="0" w:line="25" w:lineRule="exact"/>
        <w:rPr>
          <w:rFonts w:ascii="Arial" w:cs="Arial" w:eastAsia="Arial" w:hAnsi="Arial"/>
          <w:sz w:val="18"/>
          <w:szCs w:val="18"/>
          <w:color w:val="auto"/>
        </w:rPr>
      </w:pPr>
    </w:p>
    <w:p>
      <w:pPr>
        <w:ind w:left="1020" w:right="1260" w:hanging="215"/>
        <w:spacing w:after="0" w:line="325" w:lineRule="auto"/>
        <w:tabs>
          <w:tab w:leader="none" w:pos="102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Broadcast Television: </w:t>
      </w:r>
      <w:r>
        <w:rPr>
          <w:rFonts w:ascii="Arial" w:cs="Arial" w:eastAsia="Arial" w:hAnsi="Arial"/>
          <w:sz w:val="16"/>
          <w:szCs w:val="16"/>
          <w:color w:val="auto"/>
        </w:rPr>
        <w:t>Consists primarily of the NBC and Telemundo broadcast networks, our NBC and Telemundo owned local</w:t>
      </w:r>
      <w:r>
        <w:rPr>
          <w:rFonts w:ascii="Arial" w:cs="Arial" w:eastAsia="Arial" w:hAnsi="Arial"/>
          <w:sz w:val="16"/>
          <w:szCs w:val="16"/>
          <w:b w:val="1"/>
          <w:bCs w:val="1"/>
          <w:color w:val="auto"/>
        </w:rPr>
        <w:t xml:space="preserve"> </w:t>
      </w:r>
      <w:r>
        <w:rPr>
          <w:rFonts w:ascii="Arial" w:cs="Arial" w:eastAsia="Arial" w:hAnsi="Arial"/>
          <w:sz w:val="16"/>
          <w:szCs w:val="16"/>
          <w:color w:val="auto"/>
        </w:rPr>
        <w:t>broadcast television stations, the NBC Universo national cable network, and our broadcast television production operations.</w:t>
      </w:r>
    </w:p>
    <w:p>
      <w:pPr>
        <w:spacing w:after="0" w:line="1" w:lineRule="exact"/>
        <w:rPr>
          <w:rFonts w:ascii="Arial" w:cs="Arial" w:eastAsia="Arial" w:hAnsi="Arial"/>
          <w:sz w:val="16"/>
          <w:szCs w:val="16"/>
          <w:color w:val="auto"/>
        </w:rPr>
      </w:pPr>
    </w:p>
    <w:p>
      <w:pPr>
        <w:ind w:left="1020" w:right="1240" w:hanging="215"/>
        <w:spacing w:after="0" w:line="275"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Filmed Entertainment: </w:t>
      </w:r>
      <w:r>
        <w:rPr>
          <w:rFonts w:ascii="Arial" w:cs="Arial" w:eastAsia="Arial" w:hAnsi="Arial"/>
          <w:sz w:val="18"/>
          <w:szCs w:val="18"/>
          <w:color w:val="auto"/>
        </w:rPr>
        <w:t>Consists primarily of the studio operations of Universal Pictures, which produces, acquires, markets and</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distributes filmed entertainment worldwide.</w:t>
      </w:r>
    </w:p>
    <w:p>
      <w:pPr>
        <w:spacing w:after="0" w:line="25" w:lineRule="exact"/>
        <w:rPr>
          <w:rFonts w:ascii="Arial" w:cs="Arial" w:eastAsia="Arial" w:hAnsi="Arial"/>
          <w:sz w:val="18"/>
          <w:szCs w:val="18"/>
          <w:color w:val="auto"/>
        </w:rPr>
      </w:pPr>
    </w:p>
    <w:p>
      <w:pPr>
        <w:ind w:left="1020" w:hanging="215"/>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Theme Parks: </w:t>
      </w:r>
      <w:r>
        <w:rPr>
          <w:rFonts w:ascii="Arial" w:cs="Arial" w:eastAsia="Arial" w:hAnsi="Arial"/>
          <w:sz w:val="18"/>
          <w:szCs w:val="18"/>
          <w:color w:val="auto"/>
        </w:rPr>
        <w:t>Consists primarily of our Universal theme parks in Orlando, Florida and Hollywood, California.</w:t>
      </w:r>
    </w:p>
    <w:p>
      <w:pPr>
        <w:spacing w:after="0" w:line="8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evaluating the profitability of our operating segments, the components of net income (loss) below operating income (loss) before depreciation and amortization are not separately evaluated by our management. Our financial data by business segment is presented in the tables below.</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gridSpan w:val="3"/>
          </w:tcPr>
          <w:p>
            <w:pPr>
              <w:jc w:val="right"/>
              <w:ind w:right="54"/>
              <w:spacing w:after="0"/>
              <w:rPr>
                <w:sz w:val="20"/>
                <w:szCs w:val="20"/>
                <w:color w:val="auto"/>
              </w:rPr>
            </w:pPr>
            <w:r>
              <w:rPr>
                <w:rFonts w:ascii="Arial" w:cs="Arial" w:eastAsia="Arial" w:hAnsi="Arial"/>
                <w:sz w:val="14"/>
                <w:szCs w:val="14"/>
                <w:color w:val="auto"/>
              </w:rPr>
              <w:t>Three Months Ended September 30, 2015</w:t>
            </w:r>
          </w:p>
        </w:tc>
        <w:tc>
          <w:tcPr>
            <w:tcW w:w="10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39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200" w:type="dxa"/>
            <w:vAlign w:val="bottom"/>
            <w:gridSpan w:val="2"/>
          </w:tcPr>
          <w:p>
            <w:pPr>
              <w:ind w:left="460"/>
              <w:spacing w:after="0" w:line="131" w:lineRule="exact"/>
              <w:rPr>
                <w:sz w:val="20"/>
                <w:szCs w:val="20"/>
                <w:color w:val="auto"/>
              </w:rPr>
            </w:pPr>
            <w:r>
              <w:rPr>
                <w:rFonts w:ascii="Arial" w:cs="Arial" w:eastAsia="Arial" w:hAnsi="Arial"/>
                <w:sz w:val="14"/>
                <w:szCs w:val="14"/>
                <w:color w:val="auto"/>
              </w:rPr>
              <w:t>Operating Income (Loss)</w:t>
            </w:r>
          </w:p>
        </w:tc>
        <w:tc>
          <w:tcPr>
            <w:tcW w:w="1600" w:type="dxa"/>
            <w:vAlign w:val="bottom"/>
            <w:gridSpan w:val="2"/>
          </w:tcPr>
          <w:p>
            <w:pPr>
              <w:ind w:left="340"/>
              <w:spacing w:after="0" w:line="131" w:lineRule="exact"/>
              <w:rPr>
                <w:sz w:val="20"/>
                <w:szCs w:val="20"/>
                <w:color w:val="auto"/>
              </w:rPr>
            </w:pPr>
            <w:r>
              <w:rPr>
                <w:rFonts w:ascii="Arial" w:cs="Arial" w:eastAsia="Arial" w:hAnsi="Arial"/>
                <w:sz w:val="14"/>
                <w:szCs w:val="14"/>
                <w:color w:val="auto"/>
              </w:rPr>
              <w:t>Depreciation</w:t>
            </w:r>
          </w:p>
        </w:tc>
        <w:tc>
          <w:tcPr>
            <w:tcW w:w="1060" w:type="dxa"/>
            <w:vAlign w:val="bottom"/>
          </w:tcPr>
          <w:p>
            <w:pPr>
              <w:jc w:val="center"/>
              <w:ind w:right="157"/>
              <w:spacing w:after="0" w:line="131" w:lineRule="exact"/>
              <w:rPr>
                <w:sz w:val="20"/>
                <w:szCs w:val="20"/>
                <w:color w:val="auto"/>
              </w:rPr>
            </w:pPr>
            <w:r>
              <w:rPr>
                <w:rFonts w:ascii="Arial" w:cs="Arial" w:eastAsia="Arial" w:hAnsi="Arial"/>
                <w:sz w:val="14"/>
                <w:szCs w:val="14"/>
                <w:color w:val="auto"/>
                <w:w w:val="87"/>
              </w:rPr>
              <w:t>Operating</w:t>
            </w: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3980" w:type="dxa"/>
            <w:vAlign w:val="bottom"/>
          </w:tcPr>
          <w:p>
            <w:pPr>
              <w:spacing w:after="0"/>
              <w:rPr>
                <w:sz w:val="11"/>
                <w:szCs w:val="11"/>
                <w:color w:val="auto"/>
              </w:rPr>
            </w:pPr>
          </w:p>
        </w:tc>
        <w:tc>
          <w:tcPr>
            <w:tcW w:w="1440" w:type="dxa"/>
            <w:vAlign w:val="bottom"/>
            <w:vMerge w:val="restart"/>
          </w:tcPr>
          <w:p>
            <w:pPr>
              <w:jc w:val="right"/>
              <w:ind w:right="154"/>
              <w:spacing w:after="0"/>
              <w:rPr>
                <w:sz w:val="20"/>
                <w:szCs w:val="20"/>
                <w:color w:val="auto"/>
              </w:rPr>
            </w:pPr>
            <w:r>
              <w:rPr>
                <w:rFonts w:ascii="Arial" w:cs="Arial" w:eastAsia="Arial" w:hAnsi="Arial"/>
                <w:sz w:val="14"/>
                <w:szCs w:val="14"/>
                <w:color w:val="auto"/>
              </w:rPr>
              <w:t>Revenue</w:t>
            </w:r>
            <w:r>
              <w:rPr>
                <w:rFonts w:ascii="Arial" w:cs="Arial" w:eastAsia="Arial" w:hAnsi="Arial"/>
                <w:sz w:val="22"/>
                <w:szCs w:val="22"/>
                <w:color w:val="auto"/>
                <w:vertAlign w:val="superscript"/>
              </w:rPr>
              <w:t>(d)</w:t>
            </w:r>
          </w:p>
        </w:tc>
        <w:tc>
          <w:tcPr>
            <w:tcW w:w="2200" w:type="dxa"/>
            <w:vAlign w:val="bottom"/>
            <w:gridSpan w:val="2"/>
          </w:tcPr>
          <w:p>
            <w:pPr>
              <w:ind w:left="480"/>
              <w:spacing w:after="0" w:line="133" w:lineRule="exact"/>
              <w:rPr>
                <w:sz w:val="20"/>
                <w:szCs w:val="20"/>
                <w:color w:val="auto"/>
              </w:rPr>
            </w:pPr>
            <w:r>
              <w:rPr>
                <w:rFonts w:ascii="Arial" w:cs="Arial" w:eastAsia="Arial" w:hAnsi="Arial"/>
                <w:sz w:val="14"/>
                <w:szCs w:val="14"/>
                <w:color w:val="auto"/>
              </w:rPr>
              <w:t>Before Depreciation and</w:t>
            </w:r>
          </w:p>
        </w:tc>
        <w:tc>
          <w:tcPr>
            <w:tcW w:w="500" w:type="dxa"/>
            <w:vAlign w:val="bottom"/>
          </w:tcPr>
          <w:p>
            <w:pPr>
              <w:spacing w:after="0"/>
              <w:rPr>
                <w:sz w:val="11"/>
                <w:szCs w:val="11"/>
                <w:color w:val="auto"/>
              </w:rPr>
            </w:pPr>
          </w:p>
        </w:tc>
        <w:tc>
          <w:tcPr>
            <w:tcW w:w="1100" w:type="dxa"/>
            <w:vAlign w:val="bottom"/>
          </w:tcPr>
          <w:p>
            <w:pPr>
              <w:jc w:val="right"/>
              <w:ind w:right="714"/>
              <w:spacing w:after="0" w:line="133" w:lineRule="exact"/>
              <w:rPr>
                <w:sz w:val="20"/>
                <w:szCs w:val="20"/>
                <w:color w:val="auto"/>
              </w:rPr>
            </w:pPr>
            <w:r>
              <w:rPr>
                <w:rFonts w:ascii="Arial" w:cs="Arial" w:eastAsia="Arial" w:hAnsi="Arial"/>
                <w:sz w:val="14"/>
                <w:szCs w:val="14"/>
                <w:color w:val="auto"/>
              </w:rPr>
              <w:t>and</w:t>
            </w:r>
          </w:p>
        </w:tc>
        <w:tc>
          <w:tcPr>
            <w:tcW w:w="1060" w:type="dxa"/>
            <w:vAlign w:val="bottom"/>
          </w:tcPr>
          <w:p>
            <w:pPr>
              <w:jc w:val="center"/>
              <w:ind w:right="137"/>
              <w:spacing w:after="0" w:line="133" w:lineRule="exact"/>
              <w:rPr>
                <w:sz w:val="20"/>
                <w:szCs w:val="20"/>
                <w:color w:val="auto"/>
              </w:rPr>
            </w:pPr>
            <w:r>
              <w:rPr>
                <w:rFonts w:ascii="Arial" w:cs="Arial" w:eastAsia="Arial" w:hAnsi="Arial"/>
                <w:sz w:val="14"/>
                <w:szCs w:val="14"/>
                <w:color w:val="auto"/>
                <w:w w:val="87"/>
              </w:rPr>
              <w:t>Income</w:t>
            </w:r>
          </w:p>
        </w:tc>
        <w:tc>
          <w:tcPr>
            <w:tcW w:w="460" w:type="dxa"/>
            <w:vAlign w:val="bottom"/>
          </w:tcPr>
          <w:p>
            <w:pPr>
              <w:spacing w:after="0"/>
              <w:rPr>
                <w:sz w:val="11"/>
                <w:szCs w:val="11"/>
                <w:color w:val="auto"/>
              </w:rPr>
            </w:pPr>
          </w:p>
        </w:tc>
        <w:tc>
          <w:tcPr>
            <w:tcW w:w="680" w:type="dxa"/>
            <w:vAlign w:val="bottom"/>
          </w:tcPr>
          <w:p>
            <w:pPr>
              <w:jc w:val="right"/>
              <w:ind w:right="174"/>
              <w:spacing w:after="0" w:line="133" w:lineRule="exact"/>
              <w:rPr>
                <w:sz w:val="20"/>
                <w:szCs w:val="20"/>
                <w:color w:val="auto"/>
              </w:rPr>
            </w:pPr>
            <w:r>
              <w:rPr>
                <w:rFonts w:ascii="Arial" w:cs="Arial" w:eastAsia="Arial" w:hAnsi="Arial"/>
                <w:sz w:val="14"/>
                <w:szCs w:val="14"/>
                <w:color w:val="auto"/>
                <w:w w:val="91"/>
              </w:rPr>
              <w:t>Capital</w:t>
            </w:r>
          </w:p>
        </w:tc>
        <w:tc>
          <w:tcPr>
            <w:tcW w:w="0" w:type="dxa"/>
            <w:vAlign w:val="bottom"/>
          </w:tcPr>
          <w:p>
            <w:pPr>
              <w:spacing w:after="0"/>
              <w:rPr>
                <w:sz w:val="1"/>
                <w:szCs w:val="1"/>
                <w:color w:val="auto"/>
              </w:rPr>
            </w:pPr>
          </w:p>
        </w:tc>
      </w:tr>
      <w:tr>
        <w:trPr>
          <w:trHeight w:val="176"/>
        </w:trPr>
        <w:tc>
          <w:tcPr>
            <w:tcW w:w="39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1440" w:type="dxa"/>
            <w:vAlign w:val="bottom"/>
            <w:tcBorders>
              <w:bottom w:val="single" w:sz="8" w:color="auto"/>
            </w:tcBorders>
            <w:vMerge w:val="continue"/>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556"/>
              <w:spacing w:after="0" w:line="176" w:lineRule="exact"/>
              <w:rPr>
                <w:sz w:val="20"/>
                <w:szCs w:val="20"/>
                <w:color w:val="auto"/>
              </w:rPr>
            </w:pPr>
            <w:r>
              <w:rPr>
                <w:rFonts w:ascii="Arial" w:cs="Arial" w:eastAsia="Arial" w:hAnsi="Arial"/>
                <w:sz w:val="13"/>
                <w:szCs w:val="13"/>
                <w:color w:val="auto"/>
              </w:rPr>
              <w:t>Amortization</w:t>
            </w:r>
            <w:r>
              <w:rPr>
                <w:rFonts w:ascii="Arial" w:cs="Arial" w:eastAsia="Arial" w:hAnsi="Arial"/>
                <w:sz w:val="20"/>
                <w:szCs w:val="20"/>
                <w:color w:val="auto"/>
                <w:vertAlign w:val="superscript"/>
              </w:rPr>
              <w:t>(e)</w:t>
            </w:r>
          </w:p>
        </w:tc>
        <w:tc>
          <w:tcPr>
            <w:tcW w:w="1600" w:type="dxa"/>
            <w:vAlign w:val="bottom"/>
            <w:tcBorders>
              <w:bottom w:val="single" w:sz="8" w:color="auto"/>
            </w:tcBorders>
            <w:gridSpan w:val="2"/>
          </w:tcPr>
          <w:p>
            <w:pPr>
              <w:ind w:left="340"/>
              <w:spacing w:after="0"/>
              <w:rPr>
                <w:sz w:val="20"/>
                <w:szCs w:val="20"/>
                <w:color w:val="auto"/>
              </w:rPr>
            </w:pPr>
            <w:r>
              <w:rPr>
                <w:rFonts w:ascii="Arial" w:cs="Arial" w:eastAsia="Arial" w:hAnsi="Arial"/>
                <w:sz w:val="14"/>
                <w:szCs w:val="14"/>
                <w:color w:val="auto"/>
              </w:rPr>
              <w:t>Amortization</w:t>
            </w:r>
          </w:p>
        </w:tc>
        <w:tc>
          <w:tcPr>
            <w:tcW w:w="106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color w:val="auto"/>
                <w:w w:val="87"/>
              </w:rPr>
              <w:t>(Loss)</w:t>
            </w:r>
          </w:p>
        </w:tc>
        <w:tc>
          <w:tcPr>
            <w:tcW w:w="1140" w:type="dxa"/>
            <w:vAlign w:val="bottom"/>
            <w:tcBorders>
              <w:bottom w:val="single" w:sz="8" w:color="auto"/>
            </w:tcBorders>
            <w:gridSpan w:val="2"/>
          </w:tcPr>
          <w:p>
            <w:pPr>
              <w:ind w:left="340"/>
              <w:spacing w:after="0"/>
              <w:rPr>
                <w:sz w:val="20"/>
                <w:szCs w:val="20"/>
                <w:color w:val="auto"/>
              </w:rPr>
            </w:pPr>
            <w:r>
              <w:rPr>
                <w:rFonts w:ascii="Arial" w:cs="Arial" w:eastAsia="Arial" w:hAnsi="Arial"/>
                <w:sz w:val="14"/>
                <w:szCs w:val="14"/>
                <w:color w:val="auto"/>
                <w:w w:val="95"/>
              </w:rPr>
              <w:t>Expenditures</w:t>
            </w:r>
          </w:p>
        </w:tc>
        <w:tc>
          <w:tcPr>
            <w:tcW w:w="0" w:type="dxa"/>
            <w:vAlign w:val="bottom"/>
          </w:tcPr>
          <w:p>
            <w:pPr>
              <w:spacing w:after="0"/>
              <w:rPr>
                <w:sz w:val="1"/>
                <w:szCs w:val="1"/>
                <w:color w:val="auto"/>
              </w:rPr>
            </w:pPr>
          </w:p>
        </w:tc>
      </w:tr>
      <w:tr>
        <w:trPr>
          <w:trHeight w:val="210"/>
        </w:trPr>
        <w:tc>
          <w:tcPr>
            <w:tcW w:w="3980" w:type="dxa"/>
            <w:vAlign w:val="bottom"/>
            <w:shd w:val="clear" w:color="auto" w:fill="E5E5E5"/>
          </w:tcPr>
          <w:p>
            <w:pPr>
              <w:spacing w:after="0"/>
              <w:rPr>
                <w:sz w:val="20"/>
                <w:szCs w:val="20"/>
                <w:color w:val="auto"/>
              </w:rPr>
            </w:pPr>
            <w:r>
              <w:rPr>
                <w:rFonts w:ascii="Arial" w:cs="Arial" w:eastAsia="Arial" w:hAnsi="Arial"/>
                <w:sz w:val="18"/>
                <w:szCs w:val="18"/>
                <w:color w:val="auto"/>
              </w:rPr>
              <w:t>Cable Communications</w:t>
            </w:r>
            <w:r>
              <w:rPr>
                <w:rFonts w:ascii="Arial" w:cs="Arial" w:eastAsia="Arial" w:hAnsi="Arial"/>
                <w:sz w:val="11"/>
                <w:szCs w:val="11"/>
                <w:color w:val="auto"/>
              </w:rPr>
              <w:t>(a)</w:t>
            </w:r>
          </w:p>
        </w:tc>
        <w:tc>
          <w:tcPr>
            <w:tcW w:w="144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$ 11,740</w:t>
            </w:r>
          </w:p>
        </w:tc>
        <w:tc>
          <w:tcPr>
            <w:tcW w:w="640" w:type="dxa"/>
            <w:vAlign w:val="bottom"/>
            <w:shd w:val="clear" w:color="auto" w:fill="E5E5E5"/>
          </w:tcPr>
          <w:p>
            <w:pPr>
              <w:ind w:left="460"/>
              <w:spacing w:after="0"/>
              <w:rPr>
                <w:sz w:val="20"/>
                <w:szCs w:val="20"/>
                <w:color w:val="auto"/>
              </w:rPr>
            </w:pPr>
            <w:r>
              <w:rPr>
                <w:rFonts w:ascii="Arial" w:cs="Arial" w:eastAsia="Arial" w:hAnsi="Arial"/>
                <w:sz w:val="18"/>
                <w:szCs w:val="18"/>
                <w:color w:val="auto"/>
              </w:rPr>
              <w:t>$</w:t>
            </w:r>
          </w:p>
        </w:tc>
        <w:tc>
          <w:tcPr>
            <w:tcW w:w="1560" w:type="dxa"/>
            <w:vAlign w:val="bottom"/>
            <w:shd w:val="clear" w:color="auto" w:fill="E5E5E5"/>
          </w:tcPr>
          <w:p>
            <w:pPr>
              <w:jc w:val="right"/>
              <w:ind w:right="296"/>
              <w:spacing w:after="0"/>
              <w:rPr>
                <w:sz w:val="20"/>
                <w:szCs w:val="20"/>
                <w:color w:val="auto"/>
              </w:rPr>
            </w:pPr>
            <w:r>
              <w:rPr>
                <w:rFonts w:ascii="Arial" w:cs="Arial" w:eastAsia="Arial" w:hAnsi="Arial"/>
                <w:sz w:val="18"/>
                <w:szCs w:val="18"/>
                <w:color w:val="auto"/>
              </w:rPr>
              <w:t>4,748</w:t>
            </w:r>
          </w:p>
        </w:tc>
        <w:tc>
          <w:tcPr>
            <w:tcW w:w="500" w:type="dxa"/>
            <w:vAlign w:val="bottom"/>
            <w:shd w:val="clear" w:color="auto" w:fill="E5E5E5"/>
          </w:tcPr>
          <w:p>
            <w:pPr>
              <w:ind w:left="3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E5E5E5"/>
          </w:tcPr>
          <w:p>
            <w:pPr>
              <w:jc w:val="right"/>
              <w:ind w:right="454"/>
              <w:spacing w:after="0"/>
              <w:rPr>
                <w:sz w:val="20"/>
                <w:szCs w:val="20"/>
                <w:color w:val="auto"/>
              </w:rPr>
            </w:pPr>
            <w:r>
              <w:rPr>
                <w:rFonts w:ascii="Arial" w:cs="Arial" w:eastAsia="Arial" w:hAnsi="Arial"/>
                <w:sz w:val="18"/>
                <w:szCs w:val="18"/>
                <w:color w:val="auto"/>
              </w:rPr>
              <w:t>1,777</w:t>
            </w:r>
          </w:p>
        </w:tc>
        <w:tc>
          <w:tcPr>
            <w:tcW w:w="1060" w:type="dxa"/>
            <w:vAlign w:val="bottom"/>
            <w:shd w:val="clear" w:color="auto" w:fill="E5E5E5"/>
          </w:tcPr>
          <w:p>
            <w:pPr>
              <w:jc w:val="right"/>
              <w:ind w:right="297"/>
              <w:spacing w:after="0"/>
              <w:rPr>
                <w:sz w:val="20"/>
                <w:szCs w:val="20"/>
                <w:color w:val="auto"/>
              </w:rPr>
            </w:pPr>
            <w:r>
              <w:rPr>
                <w:rFonts w:ascii="Arial" w:cs="Arial" w:eastAsia="Arial" w:hAnsi="Arial"/>
                <w:sz w:val="18"/>
                <w:szCs w:val="18"/>
                <w:color w:val="auto"/>
              </w:rPr>
              <w:t>$ 2,971</w:t>
            </w:r>
          </w:p>
        </w:tc>
        <w:tc>
          <w:tcPr>
            <w:tcW w:w="460" w:type="dxa"/>
            <w:vAlign w:val="bottom"/>
            <w:shd w:val="clear" w:color="auto" w:fill="E5E5E5"/>
          </w:tcPr>
          <w:p>
            <w:pPr>
              <w:ind w:left="320"/>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1,851</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NBCUniversal</w:t>
            </w:r>
          </w:p>
        </w:tc>
        <w:tc>
          <w:tcPr>
            <w:tcW w:w="1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Cable Networks</w:t>
            </w:r>
          </w:p>
        </w:tc>
        <w:tc>
          <w:tcPr>
            <w:tcW w:w="144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2,412</w:t>
            </w:r>
          </w:p>
        </w:tc>
        <w:tc>
          <w:tcPr>
            <w:tcW w:w="640" w:type="dxa"/>
            <w:vAlign w:val="bottom"/>
            <w:shd w:val="clear" w:color="auto" w:fill="E5E5E5"/>
          </w:tcPr>
          <w:p>
            <w:pPr>
              <w:spacing w:after="0"/>
              <w:rPr>
                <w:sz w:val="18"/>
                <w:szCs w:val="18"/>
                <w:color w:val="auto"/>
              </w:rPr>
            </w:pPr>
          </w:p>
        </w:tc>
        <w:tc>
          <w:tcPr>
            <w:tcW w:w="1560" w:type="dxa"/>
            <w:vAlign w:val="bottom"/>
            <w:shd w:val="clear" w:color="auto" w:fill="E5E5E5"/>
          </w:tcPr>
          <w:p>
            <w:pPr>
              <w:jc w:val="right"/>
              <w:ind w:right="296"/>
              <w:spacing w:after="0"/>
              <w:rPr>
                <w:sz w:val="20"/>
                <w:szCs w:val="20"/>
                <w:color w:val="auto"/>
              </w:rPr>
            </w:pPr>
            <w:r>
              <w:rPr>
                <w:rFonts w:ascii="Arial" w:cs="Arial" w:eastAsia="Arial" w:hAnsi="Arial"/>
                <w:sz w:val="18"/>
                <w:szCs w:val="18"/>
                <w:color w:val="auto"/>
              </w:rPr>
              <w:t>835</w:t>
            </w:r>
          </w:p>
        </w:tc>
        <w:tc>
          <w:tcPr>
            <w:tcW w:w="500" w:type="dxa"/>
            <w:vAlign w:val="bottom"/>
            <w:shd w:val="clear" w:color="auto" w:fill="E5E5E5"/>
          </w:tcPr>
          <w:p>
            <w:pPr>
              <w:spacing w:after="0"/>
              <w:rPr>
                <w:sz w:val="18"/>
                <w:szCs w:val="18"/>
                <w:color w:val="auto"/>
              </w:rPr>
            </w:pPr>
          </w:p>
        </w:tc>
        <w:tc>
          <w:tcPr>
            <w:tcW w:w="1100" w:type="dxa"/>
            <w:vAlign w:val="bottom"/>
            <w:shd w:val="clear" w:color="auto" w:fill="E5E5E5"/>
          </w:tcPr>
          <w:p>
            <w:pPr>
              <w:jc w:val="right"/>
              <w:ind w:right="454"/>
              <w:spacing w:after="0"/>
              <w:rPr>
                <w:sz w:val="20"/>
                <w:szCs w:val="20"/>
                <w:color w:val="auto"/>
              </w:rPr>
            </w:pPr>
            <w:r>
              <w:rPr>
                <w:rFonts w:ascii="Arial" w:cs="Arial" w:eastAsia="Arial" w:hAnsi="Arial"/>
                <w:sz w:val="18"/>
                <w:szCs w:val="18"/>
                <w:color w:val="auto"/>
              </w:rPr>
              <w:t>193</w:t>
            </w:r>
          </w:p>
        </w:tc>
        <w:tc>
          <w:tcPr>
            <w:tcW w:w="1060" w:type="dxa"/>
            <w:vAlign w:val="bottom"/>
            <w:shd w:val="clear" w:color="auto" w:fill="E5E5E5"/>
          </w:tcPr>
          <w:p>
            <w:pPr>
              <w:jc w:val="right"/>
              <w:ind w:right="297"/>
              <w:spacing w:after="0"/>
              <w:rPr>
                <w:sz w:val="20"/>
                <w:szCs w:val="20"/>
                <w:color w:val="auto"/>
              </w:rPr>
            </w:pPr>
            <w:r>
              <w:rPr>
                <w:rFonts w:ascii="Arial" w:cs="Arial" w:eastAsia="Arial" w:hAnsi="Arial"/>
                <w:sz w:val="18"/>
                <w:szCs w:val="18"/>
                <w:color w:val="auto"/>
              </w:rPr>
              <w:t>642</w:t>
            </w:r>
          </w:p>
        </w:tc>
        <w:tc>
          <w:tcPr>
            <w:tcW w:w="46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3980" w:type="dxa"/>
            <w:vAlign w:val="bottom"/>
          </w:tcPr>
          <w:p>
            <w:pPr>
              <w:ind w:left="440"/>
              <w:spacing w:after="0"/>
              <w:rPr>
                <w:sz w:val="20"/>
                <w:szCs w:val="20"/>
                <w:color w:val="auto"/>
              </w:rPr>
            </w:pPr>
            <w:r>
              <w:rPr>
                <w:rFonts w:ascii="Arial" w:cs="Arial" w:eastAsia="Arial" w:hAnsi="Arial"/>
                <w:sz w:val="18"/>
                <w:szCs w:val="18"/>
                <w:color w:val="auto"/>
              </w:rPr>
              <w:t>Broadcast Television</w:t>
            </w:r>
          </w:p>
        </w:tc>
        <w:tc>
          <w:tcPr>
            <w:tcW w:w="1440" w:type="dxa"/>
            <w:vAlign w:val="bottom"/>
          </w:tcPr>
          <w:p>
            <w:pPr>
              <w:jc w:val="right"/>
              <w:ind w:right="154"/>
              <w:spacing w:after="0"/>
              <w:rPr>
                <w:sz w:val="20"/>
                <w:szCs w:val="20"/>
                <w:color w:val="auto"/>
              </w:rPr>
            </w:pPr>
            <w:r>
              <w:rPr>
                <w:rFonts w:ascii="Arial" w:cs="Arial" w:eastAsia="Arial" w:hAnsi="Arial"/>
                <w:sz w:val="18"/>
                <w:szCs w:val="18"/>
                <w:color w:val="auto"/>
              </w:rPr>
              <w:t>1,971</w:t>
            </w:r>
          </w:p>
        </w:tc>
        <w:tc>
          <w:tcPr>
            <w:tcW w:w="640" w:type="dxa"/>
            <w:vAlign w:val="bottom"/>
          </w:tcPr>
          <w:p>
            <w:pPr>
              <w:spacing w:after="0"/>
              <w:rPr>
                <w:sz w:val="18"/>
                <w:szCs w:val="18"/>
                <w:color w:val="auto"/>
              </w:rPr>
            </w:pPr>
          </w:p>
        </w:tc>
        <w:tc>
          <w:tcPr>
            <w:tcW w:w="1560" w:type="dxa"/>
            <w:vAlign w:val="bottom"/>
          </w:tcPr>
          <w:p>
            <w:pPr>
              <w:jc w:val="right"/>
              <w:ind w:right="296"/>
              <w:spacing w:after="0"/>
              <w:rPr>
                <w:sz w:val="20"/>
                <w:szCs w:val="20"/>
                <w:color w:val="auto"/>
              </w:rPr>
            </w:pPr>
            <w:r>
              <w:rPr>
                <w:rFonts w:ascii="Arial" w:cs="Arial" w:eastAsia="Arial" w:hAnsi="Arial"/>
                <w:sz w:val="18"/>
                <w:szCs w:val="18"/>
                <w:color w:val="auto"/>
              </w:rPr>
              <w:t>150</w:t>
            </w:r>
          </w:p>
        </w:tc>
        <w:tc>
          <w:tcPr>
            <w:tcW w:w="500" w:type="dxa"/>
            <w:vAlign w:val="bottom"/>
          </w:tcPr>
          <w:p>
            <w:pPr>
              <w:spacing w:after="0"/>
              <w:rPr>
                <w:sz w:val="18"/>
                <w:szCs w:val="18"/>
                <w:color w:val="auto"/>
              </w:rPr>
            </w:pPr>
          </w:p>
        </w:tc>
        <w:tc>
          <w:tcPr>
            <w:tcW w:w="1100" w:type="dxa"/>
            <w:vAlign w:val="bottom"/>
          </w:tcPr>
          <w:p>
            <w:pPr>
              <w:jc w:val="right"/>
              <w:ind w:right="454"/>
              <w:spacing w:after="0"/>
              <w:rPr>
                <w:sz w:val="20"/>
                <w:szCs w:val="20"/>
                <w:color w:val="auto"/>
              </w:rPr>
            </w:pPr>
            <w:r>
              <w:rPr>
                <w:rFonts w:ascii="Arial" w:cs="Arial" w:eastAsia="Arial" w:hAnsi="Arial"/>
                <w:sz w:val="18"/>
                <w:szCs w:val="18"/>
                <w:color w:val="auto"/>
              </w:rPr>
              <w:t>26</w:t>
            </w:r>
          </w:p>
        </w:tc>
        <w:tc>
          <w:tcPr>
            <w:tcW w:w="1060" w:type="dxa"/>
            <w:vAlign w:val="bottom"/>
          </w:tcPr>
          <w:p>
            <w:pPr>
              <w:jc w:val="right"/>
              <w:ind w:right="297"/>
              <w:spacing w:after="0"/>
              <w:rPr>
                <w:sz w:val="20"/>
                <w:szCs w:val="20"/>
                <w:color w:val="auto"/>
              </w:rPr>
            </w:pPr>
            <w:r>
              <w:rPr>
                <w:rFonts w:ascii="Arial" w:cs="Arial" w:eastAsia="Arial" w:hAnsi="Arial"/>
                <w:sz w:val="18"/>
                <w:szCs w:val="18"/>
                <w:color w:val="auto"/>
              </w:rPr>
              <w:t>124</w:t>
            </w:r>
          </w:p>
        </w:tc>
        <w:tc>
          <w:tcPr>
            <w:tcW w:w="46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3980" w:type="dxa"/>
            <w:vAlign w:val="bottom"/>
            <w:shd w:val="clear" w:color="auto" w:fill="E5E5E5"/>
          </w:tcPr>
          <w:p>
            <w:pPr>
              <w:ind w:left="440"/>
              <w:spacing w:after="0"/>
              <w:rPr>
                <w:sz w:val="20"/>
                <w:szCs w:val="20"/>
                <w:color w:val="auto"/>
              </w:rPr>
            </w:pPr>
            <w:r>
              <w:rPr>
                <w:rFonts w:ascii="Arial" w:cs="Arial" w:eastAsia="Arial" w:hAnsi="Arial"/>
                <w:sz w:val="18"/>
                <w:szCs w:val="18"/>
                <w:color w:val="auto"/>
              </w:rPr>
              <w:t>Filmed Entertainment</w:t>
            </w:r>
          </w:p>
        </w:tc>
        <w:tc>
          <w:tcPr>
            <w:tcW w:w="144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1,946</w:t>
            </w:r>
          </w:p>
        </w:tc>
        <w:tc>
          <w:tcPr>
            <w:tcW w:w="640" w:type="dxa"/>
            <w:vAlign w:val="bottom"/>
            <w:shd w:val="clear" w:color="auto" w:fill="E5E5E5"/>
          </w:tcPr>
          <w:p>
            <w:pPr>
              <w:spacing w:after="0"/>
              <w:rPr>
                <w:sz w:val="18"/>
                <w:szCs w:val="18"/>
                <w:color w:val="auto"/>
              </w:rPr>
            </w:pPr>
          </w:p>
        </w:tc>
        <w:tc>
          <w:tcPr>
            <w:tcW w:w="1560" w:type="dxa"/>
            <w:vAlign w:val="bottom"/>
            <w:shd w:val="clear" w:color="auto" w:fill="E5E5E5"/>
          </w:tcPr>
          <w:p>
            <w:pPr>
              <w:jc w:val="right"/>
              <w:ind w:right="296"/>
              <w:spacing w:after="0"/>
              <w:rPr>
                <w:sz w:val="20"/>
                <w:szCs w:val="20"/>
                <w:color w:val="auto"/>
              </w:rPr>
            </w:pPr>
            <w:r>
              <w:rPr>
                <w:rFonts w:ascii="Arial" w:cs="Arial" w:eastAsia="Arial" w:hAnsi="Arial"/>
                <w:sz w:val="18"/>
                <w:szCs w:val="18"/>
                <w:color w:val="auto"/>
              </w:rPr>
              <w:t>376</w:t>
            </w:r>
          </w:p>
        </w:tc>
        <w:tc>
          <w:tcPr>
            <w:tcW w:w="500" w:type="dxa"/>
            <w:vAlign w:val="bottom"/>
            <w:shd w:val="clear" w:color="auto" w:fill="E5E5E5"/>
          </w:tcPr>
          <w:p>
            <w:pPr>
              <w:spacing w:after="0"/>
              <w:rPr>
                <w:sz w:val="18"/>
                <w:szCs w:val="18"/>
                <w:color w:val="auto"/>
              </w:rPr>
            </w:pPr>
          </w:p>
        </w:tc>
        <w:tc>
          <w:tcPr>
            <w:tcW w:w="1100" w:type="dxa"/>
            <w:vAlign w:val="bottom"/>
            <w:shd w:val="clear" w:color="auto" w:fill="E5E5E5"/>
          </w:tcPr>
          <w:p>
            <w:pPr>
              <w:jc w:val="right"/>
              <w:ind w:right="454"/>
              <w:spacing w:after="0"/>
              <w:rPr>
                <w:sz w:val="20"/>
                <w:szCs w:val="20"/>
                <w:color w:val="auto"/>
              </w:rPr>
            </w:pPr>
            <w:r>
              <w:rPr>
                <w:rFonts w:ascii="Arial" w:cs="Arial" w:eastAsia="Arial" w:hAnsi="Arial"/>
                <w:sz w:val="18"/>
                <w:szCs w:val="18"/>
                <w:color w:val="auto"/>
              </w:rPr>
              <w:t>8</w:t>
            </w:r>
          </w:p>
        </w:tc>
        <w:tc>
          <w:tcPr>
            <w:tcW w:w="1060" w:type="dxa"/>
            <w:vAlign w:val="bottom"/>
            <w:shd w:val="clear" w:color="auto" w:fill="E5E5E5"/>
          </w:tcPr>
          <w:p>
            <w:pPr>
              <w:jc w:val="right"/>
              <w:ind w:right="297"/>
              <w:spacing w:after="0"/>
              <w:rPr>
                <w:sz w:val="20"/>
                <w:szCs w:val="20"/>
                <w:color w:val="auto"/>
              </w:rPr>
            </w:pPr>
            <w:r>
              <w:rPr>
                <w:rFonts w:ascii="Arial" w:cs="Arial" w:eastAsia="Arial" w:hAnsi="Arial"/>
                <w:sz w:val="18"/>
                <w:szCs w:val="18"/>
                <w:color w:val="auto"/>
              </w:rPr>
              <w:t>368</w:t>
            </w:r>
          </w:p>
        </w:tc>
        <w:tc>
          <w:tcPr>
            <w:tcW w:w="46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980" w:type="dxa"/>
            <w:vAlign w:val="bottom"/>
          </w:tcPr>
          <w:p>
            <w:pPr>
              <w:ind w:left="440"/>
              <w:spacing w:after="0"/>
              <w:rPr>
                <w:sz w:val="20"/>
                <w:szCs w:val="20"/>
                <w:color w:val="auto"/>
              </w:rPr>
            </w:pPr>
            <w:r>
              <w:rPr>
                <w:rFonts w:ascii="Arial" w:cs="Arial" w:eastAsia="Arial" w:hAnsi="Arial"/>
                <w:sz w:val="18"/>
                <w:szCs w:val="18"/>
                <w:color w:val="auto"/>
              </w:rPr>
              <w:t>Theme Parks</w:t>
            </w:r>
          </w:p>
        </w:tc>
        <w:tc>
          <w:tcPr>
            <w:tcW w:w="1440" w:type="dxa"/>
            <w:vAlign w:val="bottom"/>
          </w:tcPr>
          <w:p>
            <w:pPr>
              <w:jc w:val="right"/>
              <w:ind w:right="154"/>
              <w:spacing w:after="0"/>
              <w:rPr>
                <w:sz w:val="20"/>
                <w:szCs w:val="20"/>
                <w:color w:val="auto"/>
              </w:rPr>
            </w:pPr>
            <w:r>
              <w:rPr>
                <w:rFonts w:ascii="Arial" w:cs="Arial" w:eastAsia="Arial" w:hAnsi="Arial"/>
                <w:sz w:val="18"/>
                <w:szCs w:val="18"/>
                <w:color w:val="auto"/>
              </w:rPr>
              <w:t>896</w:t>
            </w:r>
          </w:p>
        </w:tc>
        <w:tc>
          <w:tcPr>
            <w:tcW w:w="640" w:type="dxa"/>
            <w:vAlign w:val="bottom"/>
          </w:tcPr>
          <w:p>
            <w:pPr>
              <w:spacing w:after="0"/>
              <w:rPr>
                <w:sz w:val="18"/>
                <w:szCs w:val="18"/>
                <w:color w:val="auto"/>
              </w:rPr>
            </w:pPr>
          </w:p>
        </w:tc>
        <w:tc>
          <w:tcPr>
            <w:tcW w:w="1560" w:type="dxa"/>
            <w:vAlign w:val="bottom"/>
          </w:tcPr>
          <w:p>
            <w:pPr>
              <w:jc w:val="right"/>
              <w:ind w:right="296"/>
              <w:spacing w:after="0"/>
              <w:rPr>
                <w:sz w:val="20"/>
                <w:szCs w:val="20"/>
                <w:color w:val="auto"/>
              </w:rPr>
            </w:pPr>
            <w:r>
              <w:rPr>
                <w:rFonts w:ascii="Arial" w:cs="Arial" w:eastAsia="Arial" w:hAnsi="Arial"/>
                <w:sz w:val="18"/>
                <w:szCs w:val="18"/>
                <w:color w:val="auto"/>
              </w:rPr>
              <w:t>458</w:t>
            </w:r>
          </w:p>
        </w:tc>
        <w:tc>
          <w:tcPr>
            <w:tcW w:w="500" w:type="dxa"/>
            <w:vAlign w:val="bottom"/>
          </w:tcPr>
          <w:p>
            <w:pPr>
              <w:spacing w:after="0"/>
              <w:rPr>
                <w:sz w:val="18"/>
                <w:szCs w:val="18"/>
                <w:color w:val="auto"/>
              </w:rPr>
            </w:pPr>
          </w:p>
        </w:tc>
        <w:tc>
          <w:tcPr>
            <w:tcW w:w="1100" w:type="dxa"/>
            <w:vAlign w:val="bottom"/>
          </w:tcPr>
          <w:p>
            <w:pPr>
              <w:jc w:val="right"/>
              <w:ind w:right="454"/>
              <w:spacing w:after="0"/>
              <w:rPr>
                <w:sz w:val="20"/>
                <w:szCs w:val="20"/>
                <w:color w:val="auto"/>
              </w:rPr>
            </w:pPr>
            <w:r>
              <w:rPr>
                <w:rFonts w:ascii="Arial" w:cs="Arial" w:eastAsia="Arial" w:hAnsi="Arial"/>
                <w:sz w:val="18"/>
                <w:szCs w:val="18"/>
                <w:color w:val="auto"/>
              </w:rPr>
              <w:t>72</w:t>
            </w:r>
          </w:p>
        </w:tc>
        <w:tc>
          <w:tcPr>
            <w:tcW w:w="1060" w:type="dxa"/>
            <w:vAlign w:val="bottom"/>
          </w:tcPr>
          <w:p>
            <w:pPr>
              <w:jc w:val="right"/>
              <w:ind w:right="297"/>
              <w:spacing w:after="0"/>
              <w:rPr>
                <w:sz w:val="20"/>
                <w:szCs w:val="20"/>
                <w:color w:val="auto"/>
              </w:rPr>
            </w:pPr>
            <w:r>
              <w:rPr>
                <w:rFonts w:ascii="Arial" w:cs="Arial" w:eastAsia="Arial" w:hAnsi="Arial"/>
                <w:sz w:val="18"/>
                <w:szCs w:val="18"/>
                <w:color w:val="auto"/>
              </w:rPr>
              <w:t>386</w:t>
            </w:r>
          </w:p>
        </w:tc>
        <w:tc>
          <w:tcPr>
            <w:tcW w:w="46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3980" w:type="dxa"/>
            <w:vAlign w:val="bottom"/>
            <w:shd w:val="clear" w:color="auto" w:fill="E5E5E5"/>
          </w:tcPr>
          <w:p>
            <w:pPr>
              <w:ind w:left="440"/>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11"/>
                <w:szCs w:val="11"/>
                <w:color w:val="auto"/>
              </w:rPr>
              <w:t>(b)</w:t>
            </w:r>
          </w:p>
        </w:tc>
        <w:tc>
          <w:tcPr>
            <w:tcW w:w="144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5</w:t>
            </w:r>
          </w:p>
        </w:tc>
        <w:tc>
          <w:tcPr>
            <w:tcW w:w="640" w:type="dxa"/>
            <w:vAlign w:val="bottom"/>
            <w:shd w:val="clear" w:color="auto" w:fill="E5E5E5"/>
          </w:tcPr>
          <w:p>
            <w:pPr>
              <w:spacing w:after="0"/>
              <w:rPr>
                <w:sz w:val="18"/>
                <w:szCs w:val="18"/>
                <w:color w:val="auto"/>
              </w:rPr>
            </w:pPr>
          </w:p>
        </w:tc>
        <w:tc>
          <w:tcPr>
            <w:tcW w:w="1560" w:type="dxa"/>
            <w:vAlign w:val="bottom"/>
            <w:shd w:val="clear" w:color="auto" w:fill="E5E5E5"/>
          </w:tcPr>
          <w:p>
            <w:pPr>
              <w:jc w:val="right"/>
              <w:ind w:right="236"/>
              <w:spacing w:after="0"/>
              <w:rPr>
                <w:sz w:val="20"/>
                <w:szCs w:val="20"/>
                <w:color w:val="auto"/>
              </w:rPr>
            </w:pPr>
            <w:r>
              <w:rPr>
                <w:rFonts w:ascii="Arial" w:cs="Arial" w:eastAsia="Arial" w:hAnsi="Arial"/>
                <w:sz w:val="18"/>
                <w:szCs w:val="18"/>
                <w:color w:val="auto"/>
              </w:rPr>
              <w:t>(164)</w:t>
            </w:r>
          </w:p>
        </w:tc>
        <w:tc>
          <w:tcPr>
            <w:tcW w:w="500" w:type="dxa"/>
            <w:vAlign w:val="bottom"/>
            <w:shd w:val="clear" w:color="auto" w:fill="E5E5E5"/>
          </w:tcPr>
          <w:p>
            <w:pPr>
              <w:spacing w:after="0"/>
              <w:rPr>
                <w:sz w:val="18"/>
                <w:szCs w:val="18"/>
                <w:color w:val="auto"/>
              </w:rPr>
            </w:pPr>
          </w:p>
        </w:tc>
        <w:tc>
          <w:tcPr>
            <w:tcW w:w="1100" w:type="dxa"/>
            <w:vAlign w:val="bottom"/>
            <w:shd w:val="clear" w:color="auto" w:fill="E5E5E5"/>
          </w:tcPr>
          <w:p>
            <w:pPr>
              <w:jc w:val="right"/>
              <w:ind w:right="454"/>
              <w:spacing w:after="0"/>
              <w:rPr>
                <w:sz w:val="20"/>
                <w:szCs w:val="20"/>
                <w:color w:val="auto"/>
              </w:rPr>
            </w:pPr>
            <w:r>
              <w:rPr>
                <w:rFonts w:ascii="Arial" w:cs="Arial" w:eastAsia="Arial" w:hAnsi="Arial"/>
                <w:sz w:val="18"/>
                <w:szCs w:val="18"/>
                <w:color w:val="auto"/>
              </w:rPr>
              <w:t>81</w:t>
            </w:r>
          </w:p>
        </w:tc>
        <w:tc>
          <w:tcPr>
            <w:tcW w:w="1060" w:type="dxa"/>
            <w:vAlign w:val="bottom"/>
            <w:shd w:val="clear" w:color="auto" w:fill="E5E5E5"/>
          </w:tcPr>
          <w:p>
            <w:pPr>
              <w:jc w:val="right"/>
              <w:ind w:right="237"/>
              <w:spacing w:after="0"/>
              <w:rPr>
                <w:sz w:val="20"/>
                <w:szCs w:val="20"/>
                <w:color w:val="auto"/>
              </w:rPr>
            </w:pPr>
            <w:r>
              <w:rPr>
                <w:rFonts w:ascii="Arial" w:cs="Arial" w:eastAsia="Arial" w:hAnsi="Arial"/>
                <w:sz w:val="18"/>
                <w:szCs w:val="18"/>
                <w:color w:val="auto"/>
              </w:rPr>
              <w:t>(245)</w:t>
            </w:r>
          </w:p>
        </w:tc>
        <w:tc>
          <w:tcPr>
            <w:tcW w:w="46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398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(c)</w:t>
            </w:r>
          </w:p>
        </w:tc>
        <w:tc>
          <w:tcPr>
            <w:tcW w:w="144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(79)</w:t>
            </w:r>
          </w:p>
        </w:tc>
        <w:tc>
          <w:tcPr>
            <w:tcW w:w="6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296"/>
              <w:spacing w:after="0"/>
              <w:rPr>
                <w:sz w:val="20"/>
                <w:szCs w:val="20"/>
                <w:color w:val="auto"/>
              </w:rPr>
            </w:pPr>
            <w:r>
              <w:rPr>
                <w:rFonts w:ascii="Arial" w:cs="Arial" w:eastAsia="Arial" w:hAnsi="Arial"/>
                <w:sz w:val="18"/>
                <w:szCs w:val="18"/>
                <w:color w:val="auto"/>
              </w:rPr>
              <w:t>2</w:t>
            </w:r>
          </w:p>
        </w:tc>
        <w:tc>
          <w:tcPr>
            <w:tcW w:w="5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4"/>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297"/>
              <w:spacing w:after="0"/>
              <w:rPr>
                <w:sz w:val="20"/>
                <w:szCs w:val="20"/>
                <w:color w:val="auto"/>
              </w:rPr>
            </w:pPr>
            <w:r>
              <w:rPr>
                <w:rFonts w:ascii="Arial" w:cs="Arial" w:eastAsia="Arial" w:hAnsi="Arial"/>
                <w:sz w:val="18"/>
                <w:szCs w:val="18"/>
                <w:color w:val="auto"/>
              </w:rPr>
              <w:t>2</w:t>
            </w:r>
          </w:p>
        </w:tc>
        <w:tc>
          <w:tcPr>
            <w:tcW w:w="4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980" w:type="dxa"/>
            <w:vAlign w:val="bottom"/>
            <w:shd w:val="clear" w:color="auto" w:fill="E5E5E5"/>
          </w:tcPr>
          <w:p>
            <w:pPr>
              <w:spacing w:after="0"/>
              <w:rPr>
                <w:sz w:val="20"/>
                <w:szCs w:val="20"/>
                <w:color w:val="auto"/>
              </w:rPr>
            </w:pPr>
            <w:r>
              <w:rPr>
                <w:rFonts w:ascii="Arial" w:cs="Arial" w:eastAsia="Arial" w:hAnsi="Arial"/>
                <w:sz w:val="18"/>
                <w:szCs w:val="18"/>
                <w:color w:val="auto"/>
              </w:rPr>
              <w:t>NBCUniversal</w:t>
            </w:r>
          </w:p>
        </w:tc>
        <w:tc>
          <w:tcPr>
            <w:tcW w:w="144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7,151</w:t>
            </w:r>
          </w:p>
        </w:tc>
        <w:tc>
          <w:tcPr>
            <w:tcW w:w="640" w:type="dxa"/>
            <w:vAlign w:val="bottom"/>
            <w:shd w:val="clear" w:color="auto" w:fill="E5E5E5"/>
          </w:tcPr>
          <w:p>
            <w:pPr>
              <w:spacing w:after="0"/>
              <w:rPr>
                <w:sz w:val="18"/>
                <w:szCs w:val="18"/>
                <w:color w:val="auto"/>
              </w:rPr>
            </w:pPr>
          </w:p>
        </w:tc>
        <w:tc>
          <w:tcPr>
            <w:tcW w:w="1560" w:type="dxa"/>
            <w:vAlign w:val="bottom"/>
            <w:shd w:val="clear" w:color="auto" w:fill="E5E5E5"/>
          </w:tcPr>
          <w:p>
            <w:pPr>
              <w:jc w:val="right"/>
              <w:ind w:right="296"/>
              <w:spacing w:after="0"/>
              <w:rPr>
                <w:sz w:val="20"/>
                <w:szCs w:val="20"/>
                <w:color w:val="auto"/>
              </w:rPr>
            </w:pPr>
            <w:r>
              <w:rPr>
                <w:rFonts w:ascii="Arial" w:cs="Arial" w:eastAsia="Arial" w:hAnsi="Arial"/>
                <w:sz w:val="18"/>
                <w:szCs w:val="18"/>
                <w:color w:val="auto"/>
              </w:rPr>
              <w:t>1,657</w:t>
            </w:r>
          </w:p>
        </w:tc>
        <w:tc>
          <w:tcPr>
            <w:tcW w:w="500" w:type="dxa"/>
            <w:vAlign w:val="bottom"/>
            <w:shd w:val="clear" w:color="auto" w:fill="E5E5E5"/>
          </w:tcPr>
          <w:p>
            <w:pPr>
              <w:spacing w:after="0"/>
              <w:rPr>
                <w:sz w:val="18"/>
                <w:szCs w:val="18"/>
                <w:color w:val="auto"/>
              </w:rPr>
            </w:pPr>
          </w:p>
        </w:tc>
        <w:tc>
          <w:tcPr>
            <w:tcW w:w="1100" w:type="dxa"/>
            <w:vAlign w:val="bottom"/>
            <w:shd w:val="clear" w:color="auto" w:fill="E5E5E5"/>
          </w:tcPr>
          <w:p>
            <w:pPr>
              <w:jc w:val="right"/>
              <w:ind w:right="454"/>
              <w:spacing w:after="0"/>
              <w:rPr>
                <w:sz w:val="20"/>
                <w:szCs w:val="20"/>
                <w:color w:val="auto"/>
              </w:rPr>
            </w:pPr>
            <w:r>
              <w:rPr>
                <w:rFonts w:ascii="Arial" w:cs="Arial" w:eastAsia="Arial" w:hAnsi="Arial"/>
                <w:sz w:val="18"/>
                <w:szCs w:val="18"/>
                <w:color w:val="auto"/>
              </w:rPr>
              <w:t>380</w:t>
            </w:r>
          </w:p>
        </w:tc>
        <w:tc>
          <w:tcPr>
            <w:tcW w:w="1060" w:type="dxa"/>
            <w:vAlign w:val="bottom"/>
            <w:shd w:val="clear" w:color="auto" w:fill="E5E5E5"/>
          </w:tcPr>
          <w:p>
            <w:pPr>
              <w:jc w:val="right"/>
              <w:ind w:right="297"/>
              <w:spacing w:after="0"/>
              <w:rPr>
                <w:sz w:val="20"/>
                <w:szCs w:val="20"/>
                <w:color w:val="auto"/>
              </w:rPr>
            </w:pPr>
            <w:r>
              <w:rPr>
                <w:rFonts w:ascii="Arial" w:cs="Arial" w:eastAsia="Arial" w:hAnsi="Arial"/>
                <w:sz w:val="18"/>
                <w:szCs w:val="18"/>
                <w:color w:val="auto"/>
              </w:rPr>
              <w:t>1,277</w:t>
            </w:r>
          </w:p>
        </w:tc>
        <w:tc>
          <w:tcPr>
            <w:tcW w:w="46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Corporate and Other</w:t>
            </w:r>
          </w:p>
        </w:tc>
        <w:tc>
          <w:tcPr>
            <w:tcW w:w="1440" w:type="dxa"/>
            <w:vAlign w:val="bottom"/>
          </w:tcPr>
          <w:p>
            <w:pPr>
              <w:jc w:val="right"/>
              <w:ind w:right="154"/>
              <w:spacing w:after="0"/>
              <w:rPr>
                <w:sz w:val="20"/>
                <w:szCs w:val="20"/>
                <w:color w:val="auto"/>
              </w:rPr>
            </w:pPr>
            <w:r>
              <w:rPr>
                <w:rFonts w:ascii="Arial" w:cs="Arial" w:eastAsia="Arial" w:hAnsi="Arial"/>
                <w:sz w:val="18"/>
                <w:szCs w:val="18"/>
                <w:color w:val="auto"/>
              </w:rPr>
              <w:t>180</w:t>
            </w:r>
          </w:p>
        </w:tc>
        <w:tc>
          <w:tcPr>
            <w:tcW w:w="640" w:type="dxa"/>
            <w:vAlign w:val="bottom"/>
          </w:tcPr>
          <w:p>
            <w:pPr>
              <w:spacing w:after="0"/>
              <w:rPr>
                <w:sz w:val="18"/>
                <w:szCs w:val="18"/>
                <w:color w:val="auto"/>
              </w:rPr>
            </w:pPr>
          </w:p>
        </w:tc>
        <w:tc>
          <w:tcPr>
            <w:tcW w:w="1560" w:type="dxa"/>
            <w:vAlign w:val="bottom"/>
          </w:tcPr>
          <w:p>
            <w:pPr>
              <w:jc w:val="right"/>
              <w:ind w:right="236"/>
              <w:spacing w:after="0"/>
              <w:rPr>
                <w:sz w:val="20"/>
                <w:szCs w:val="20"/>
                <w:color w:val="auto"/>
              </w:rPr>
            </w:pPr>
            <w:r>
              <w:rPr>
                <w:rFonts w:ascii="Arial" w:cs="Arial" w:eastAsia="Arial" w:hAnsi="Arial"/>
                <w:sz w:val="18"/>
                <w:szCs w:val="18"/>
                <w:color w:val="auto"/>
              </w:rPr>
              <w:t>(232)</w:t>
            </w:r>
          </w:p>
        </w:tc>
        <w:tc>
          <w:tcPr>
            <w:tcW w:w="500" w:type="dxa"/>
            <w:vAlign w:val="bottom"/>
          </w:tcPr>
          <w:p>
            <w:pPr>
              <w:spacing w:after="0"/>
              <w:rPr>
                <w:sz w:val="18"/>
                <w:szCs w:val="18"/>
                <w:color w:val="auto"/>
              </w:rPr>
            </w:pPr>
          </w:p>
        </w:tc>
        <w:tc>
          <w:tcPr>
            <w:tcW w:w="1100" w:type="dxa"/>
            <w:vAlign w:val="bottom"/>
          </w:tcPr>
          <w:p>
            <w:pPr>
              <w:jc w:val="right"/>
              <w:ind w:right="454"/>
              <w:spacing w:after="0"/>
              <w:rPr>
                <w:sz w:val="20"/>
                <w:szCs w:val="20"/>
                <w:color w:val="auto"/>
              </w:rPr>
            </w:pPr>
            <w:r>
              <w:rPr>
                <w:rFonts w:ascii="Arial" w:cs="Arial" w:eastAsia="Arial" w:hAnsi="Arial"/>
                <w:sz w:val="18"/>
                <w:szCs w:val="18"/>
                <w:color w:val="auto"/>
              </w:rPr>
              <w:t>26</w:t>
            </w:r>
          </w:p>
        </w:tc>
        <w:tc>
          <w:tcPr>
            <w:tcW w:w="1060" w:type="dxa"/>
            <w:vAlign w:val="bottom"/>
          </w:tcPr>
          <w:p>
            <w:pPr>
              <w:jc w:val="right"/>
              <w:ind w:right="237"/>
              <w:spacing w:after="0"/>
              <w:rPr>
                <w:sz w:val="20"/>
                <w:szCs w:val="20"/>
                <w:color w:val="auto"/>
              </w:rPr>
            </w:pPr>
            <w:r>
              <w:rPr>
                <w:rFonts w:ascii="Arial" w:cs="Arial" w:eastAsia="Arial" w:hAnsi="Arial"/>
                <w:sz w:val="18"/>
                <w:szCs w:val="18"/>
                <w:color w:val="auto"/>
              </w:rPr>
              <w:t>(258)</w:t>
            </w:r>
          </w:p>
        </w:tc>
        <w:tc>
          <w:tcPr>
            <w:tcW w:w="46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39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(c)</w:t>
            </w:r>
          </w:p>
        </w:tc>
        <w:tc>
          <w:tcPr>
            <w:tcW w:w="1440" w:type="dxa"/>
            <w:vAlign w:val="bottom"/>
            <w:tcBorders>
              <w:bottom w:val="single" w:sz="8" w:color="auto"/>
            </w:tcBorders>
            <w:shd w:val="clear" w:color="auto" w:fill="E5E5E5"/>
          </w:tcPr>
          <w:p>
            <w:pPr>
              <w:jc w:val="right"/>
              <w:ind w:right="94"/>
              <w:spacing w:after="0"/>
              <w:rPr>
                <w:sz w:val="20"/>
                <w:szCs w:val="20"/>
                <w:color w:val="auto"/>
              </w:rPr>
            </w:pPr>
            <w:r>
              <w:rPr>
                <w:rFonts w:ascii="Arial" w:cs="Arial" w:eastAsia="Arial" w:hAnsi="Arial"/>
                <w:sz w:val="18"/>
                <w:szCs w:val="18"/>
                <w:color w:val="auto"/>
              </w:rPr>
              <w:t>(402)</w:t>
            </w:r>
          </w:p>
        </w:tc>
        <w:tc>
          <w:tcPr>
            <w:tcW w:w="640" w:type="dxa"/>
            <w:vAlign w:val="bottom"/>
            <w:tcBorders>
              <w:bottom w:val="single" w:sz="8" w:color="auto"/>
            </w:tcBorders>
            <w:shd w:val="clear" w:color="auto" w:fill="E5E5E5"/>
          </w:tcPr>
          <w:p>
            <w:pPr>
              <w:spacing w:after="0"/>
              <w:rPr>
                <w:sz w:val="18"/>
                <w:szCs w:val="18"/>
                <w:color w:val="auto"/>
              </w:rPr>
            </w:pPr>
          </w:p>
        </w:tc>
        <w:tc>
          <w:tcPr>
            <w:tcW w:w="1560" w:type="dxa"/>
            <w:vAlign w:val="bottom"/>
            <w:tcBorders>
              <w:bottom w:val="single" w:sz="8" w:color="auto"/>
            </w:tcBorders>
            <w:shd w:val="clear" w:color="auto" w:fill="E5E5E5"/>
          </w:tcPr>
          <w:p>
            <w:pPr>
              <w:jc w:val="right"/>
              <w:ind w:right="296"/>
              <w:spacing w:after="0"/>
              <w:rPr>
                <w:sz w:val="20"/>
                <w:szCs w:val="20"/>
                <w:color w:val="auto"/>
              </w:rPr>
            </w:pPr>
            <w:r>
              <w:rPr>
                <w:rFonts w:ascii="Arial" w:cs="Arial" w:eastAsia="Arial" w:hAnsi="Arial"/>
                <w:sz w:val="18"/>
                <w:szCs w:val="18"/>
                <w:color w:val="auto"/>
              </w:rPr>
              <w:t>11</w:t>
            </w:r>
          </w:p>
        </w:tc>
        <w:tc>
          <w:tcPr>
            <w:tcW w:w="500" w:type="dxa"/>
            <w:vAlign w:val="bottom"/>
            <w:tcBorders>
              <w:bottom w:val="single" w:sz="8" w:color="auto"/>
            </w:tcBorders>
            <w:shd w:val="clear" w:color="auto" w:fill="E5E5E5"/>
          </w:tcPr>
          <w:p>
            <w:pPr>
              <w:spacing w:after="0"/>
              <w:rPr>
                <w:sz w:val="18"/>
                <w:szCs w:val="18"/>
                <w:color w:val="auto"/>
              </w:rPr>
            </w:pPr>
          </w:p>
        </w:tc>
        <w:tc>
          <w:tcPr>
            <w:tcW w:w="1100" w:type="dxa"/>
            <w:vAlign w:val="bottom"/>
            <w:tcBorders>
              <w:bottom w:val="single" w:sz="8" w:color="auto"/>
            </w:tcBorders>
            <w:shd w:val="clear" w:color="auto" w:fill="E5E5E5"/>
          </w:tcPr>
          <w:p>
            <w:pPr>
              <w:jc w:val="right"/>
              <w:ind w:right="454"/>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E5E5E5"/>
          </w:tcPr>
          <w:p>
            <w:pPr>
              <w:jc w:val="right"/>
              <w:ind w:right="297"/>
              <w:spacing w:after="0"/>
              <w:rPr>
                <w:sz w:val="20"/>
                <w:szCs w:val="20"/>
                <w:color w:val="auto"/>
              </w:rPr>
            </w:pPr>
            <w:r>
              <w:rPr>
                <w:rFonts w:ascii="Arial" w:cs="Arial" w:eastAsia="Arial" w:hAnsi="Arial"/>
                <w:sz w:val="18"/>
                <w:szCs w:val="18"/>
                <w:color w:val="auto"/>
              </w:rPr>
              <w:t>11</w:t>
            </w:r>
          </w:p>
        </w:tc>
        <w:tc>
          <w:tcPr>
            <w:tcW w:w="46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Comcast Consolidated</w:t>
            </w:r>
          </w:p>
        </w:tc>
        <w:tc>
          <w:tcPr>
            <w:tcW w:w="144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b w:val="1"/>
                <w:bCs w:val="1"/>
                <w:color w:val="auto"/>
              </w:rPr>
              <w:t>$ 18,669</w:t>
            </w:r>
          </w:p>
        </w:tc>
        <w:tc>
          <w:tcPr>
            <w:tcW w:w="640" w:type="dxa"/>
            <w:vAlign w:val="bottom"/>
            <w:tcBorders>
              <w:bottom w:val="single" w:sz="8" w:color="auto"/>
            </w:tcBorders>
          </w:tcPr>
          <w:p>
            <w:pPr>
              <w:ind w:left="460"/>
              <w:spacing w:after="0"/>
              <w:rPr>
                <w:sz w:val="20"/>
                <w:szCs w:val="20"/>
                <w:color w:val="auto"/>
              </w:rPr>
            </w:pPr>
            <w:r>
              <w:rPr>
                <w:rFonts w:ascii="Arial" w:cs="Arial" w:eastAsia="Arial" w:hAnsi="Arial"/>
                <w:sz w:val="18"/>
                <w:szCs w:val="18"/>
                <w:b w:val="1"/>
                <w:bCs w:val="1"/>
                <w:color w:val="auto"/>
              </w:rPr>
              <w:t>$</w:t>
            </w:r>
          </w:p>
        </w:tc>
        <w:tc>
          <w:tcPr>
            <w:tcW w:w="1560" w:type="dxa"/>
            <w:vAlign w:val="bottom"/>
            <w:tcBorders>
              <w:bottom w:val="single" w:sz="8" w:color="auto"/>
            </w:tcBorders>
          </w:tcPr>
          <w:p>
            <w:pPr>
              <w:jc w:val="right"/>
              <w:ind w:right="296"/>
              <w:spacing w:after="0"/>
              <w:rPr>
                <w:sz w:val="20"/>
                <w:szCs w:val="20"/>
                <w:color w:val="auto"/>
              </w:rPr>
            </w:pPr>
            <w:r>
              <w:rPr>
                <w:rFonts w:ascii="Arial" w:cs="Arial" w:eastAsia="Arial" w:hAnsi="Arial"/>
                <w:sz w:val="18"/>
                <w:szCs w:val="18"/>
                <w:b w:val="1"/>
                <w:bCs w:val="1"/>
                <w:color w:val="auto"/>
              </w:rPr>
              <w:t>6,184</w:t>
            </w:r>
          </w:p>
        </w:tc>
        <w:tc>
          <w:tcPr>
            <w:tcW w:w="50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tcPr>
          <w:p>
            <w:pPr>
              <w:jc w:val="right"/>
              <w:ind w:right="454"/>
              <w:spacing w:after="0"/>
              <w:rPr>
                <w:sz w:val="20"/>
                <w:szCs w:val="20"/>
                <w:color w:val="auto"/>
              </w:rPr>
            </w:pPr>
            <w:r>
              <w:rPr>
                <w:rFonts w:ascii="Arial" w:cs="Arial" w:eastAsia="Arial" w:hAnsi="Arial"/>
                <w:sz w:val="18"/>
                <w:szCs w:val="18"/>
                <w:b w:val="1"/>
                <w:bCs w:val="1"/>
                <w:color w:val="auto"/>
              </w:rPr>
              <w:t>2,183</w:t>
            </w:r>
          </w:p>
        </w:tc>
        <w:tc>
          <w:tcPr>
            <w:tcW w:w="1060" w:type="dxa"/>
            <w:vAlign w:val="bottom"/>
            <w:tcBorders>
              <w:bottom w:val="single" w:sz="8" w:color="auto"/>
            </w:tcBorders>
          </w:tcPr>
          <w:p>
            <w:pPr>
              <w:jc w:val="right"/>
              <w:ind w:right="297"/>
              <w:spacing w:after="0"/>
              <w:rPr>
                <w:sz w:val="20"/>
                <w:szCs w:val="20"/>
                <w:color w:val="auto"/>
              </w:rPr>
            </w:pPr>
            <w:r>
              <w:rPr>
                <w:rFonts w:ascii="Arial" w:cs="Arial" w:eastAsia="Arial" w:hAnsi="Arial"/>
                <w:sz w:val="18"/>
                <w:szCs w:val="18"/>
                <w:b w:val="1"/>
                <w:bCs w:val="1"/>
                <w:color w:val="auto"/>
              </w:rPr>
              <w:t>$ 4,001</w:t>
            </w:r>
          </w:p>
        </w:tc>
        <w:tc>
          <w:tcPr>
            <w:tcW w:w="46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2,165</w:t>
            </w:r>
          </w:p>
        </w:tc>
        <w:tc>
          <w:tcPr>
            <w:tcW w:w="0" w:type="dxa"/>
            <w:vAlign w:val="bottom"/>
          </w:tcPr>
          <w:p>
            <w:pPr>
              <w:spacing w:after="0"/>
              <w:rPr>
                <w:sz w:val="1"/>
                <w:szCs w:val="1"/>
                <w:color w:val="auto"/>
              </w:rPr>
            </w:pPr>
          </w:p>
        </w:tc>
      </w:tr>
      <w:tr>
        <w:trPr>
          <w:trHeight w:val="363"/>
        </w:trPr>
        <w:tc>
          <w:tcPr>
            <w:tcW w:w="39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40" w:type="dxa"/>
            <w:vAlign w:val="bottom"/>
          </w:tcPr>
          <w:p>
            <w:pPr>
              <w:ind w:left="200"/>
              <w:spacing w:after="0"/>
              <w:rPr>
                <w:sz w:val="20"/>
                <w:szCs w:val="20"/>
                <w:color w:val="auto"/>
              </w:rPr>
            </w:pPr>
            <w:r>
              <w:rPr>
                <w:rFonts w:ascii="Arial" w:cs="Arial" w:eastAsia="Arial" w:hAnsi="Arial"/>
                <w:sz w:val="18"/>
                <w:szCs w:val="18"/>
                <w:color w:val="auto"/>
              </w:rPr>
              <w:t>13</w:t>
            </w:r>
          </w:p>
        </w:tc>
        <w:tc>
          <w:tcPr>
            <w:tcW w:w="1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140" w:type="dxa"/>
            <w:vAlign w:val="bottom"/>
            <w:tcBorders>
              <w:bottom w:val="single" w:sz="8" w:color="auto"/>
            </w:tcBorders>
            <w:gridSpan w:val="3"/>
          </w:tcPr>
          <w:p>
            <w:pPr>
              <w:jc w:val="right"/>
              <w:ind w:right="94"/>
              <w:spacing w:after="0"/>
              <w:rPr>
                <w:sz w:val="20"/>
                <w:szCs w:val="20"/>
                <w:color w:val="auto"/>
              </w:rPr>
            </w:pPr>
            <w:r>
              <w:rPr>
                <w:rFonts w:ascii="Arial" w:cs="Arial" w:eastAsia="Arial" w:hAnsi="Arial"/>
                <w:sz w:val="14"/>
                <w:szCs w:val="14"/>
                <w:color w:val="auto"/>
              </w:rPr>
              <w:t>Three Months Ended September 30, 2014</w:t>
            </w:r>
          </w:p>
        </w:tc>
        <w:tc>
          <w:tcPr>
            <w:tcW w:w="10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3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180" w:type="dxa"/>
            <w:vAlign w:val="bottom"/>
            <w:gridSpan w:val="2"/>
          </w:tcPr>
          <w:p>
            <w:pPr>
              <w:ind w:left="360"/>
              <w:spacing w:after="0" w:line="131" w:lineRule="exact"/>
              <w:rPr>
                <w:sz w:val="20"/>
                <w:szCs w:val="20"/>
                <w:color w:val="auto"/>
              </w:rPr>
            </w:pPr>
            <w:r>
              <w:rPr>
                <w:rFonts w:ascii="Arial" w:cs="Arial" w:eastAsia="Arial" w:hAnsi="Arial"/>
                <w:sz w:val="14"/>
                <w:szCs w:val="14"/>
                <w:color w:val="auto"/>
              </w:rPr>
              <w:t>Operating Income (Loss)</w:t>
            </w:r>
          </w:p>
        </w:tc>
        <w:tc>
          <w:tcPr>
            <w:tcW w:w="1560" w:type="dxa"/>
            <w:vAlign w:val="bottom"/>
            <w:gridSpan w:val="2"/>
          </w:tcPr>
          <w:p>
            <w:pPr>
              <w:ind w:left="260"/>
              <w:spacing w:after="0" w:line="131" w:lineRule="exact"/>
              <w:rPr>
                <w:sz w:val="20"/>
                <w:szCs w:val="20"/>
                <w:color w:val="auto"/>
              </w:rPr>
            </w:pPr>
            <w:r>
              <w:rPr>
                <w:rFonts w:ascii="Arial" w:cs="Arial" w:eastAsia="Arial" w:hAnsi="Arial"/>
                <w:sz w:val="14"/>
                <w:szCs w:val="14"/>
                <w:color w:val="auto"/>
              </w:rPr>
              <w:t>Depreciation</w:t>
            </w:r>
          </w:p>
        </w:tc>
        <w:tc>
          <w:tcPr>
            <w:tcW w:w="1060" w:type="dxa"/>
            <w:vAlign w:val="bottom"/>
          </w:tcPr>
          <w:p>
            <w:pPr>
              <w:jc w:val="center"/>
              <w:ind w:right="237"/>
              <w:spacing w:after="0" w:line="131" w:lineRule="exact"/>
              <w:rPr>
                <w:sz w:val="20"/>
                <w:szCs w:val="20"/>
                <w:color w:val="auto"/>
              </w:rPr>
            </w:pPr>
            <w:r>
              <w:rPr>
                <w:rFonts w:ascii="Arial" w:cs="Arial" w:eastAsia="Arial" w:hAnsi="Arial"/>
                <w:sz w:val="14"/>
                <w:szCs w:val="14"/>
                <w:color w:val="auto"/>
                <w:w w:val="87"/>
              </w:rPr>
              <w:t>Operating</w:t>
            </w: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3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vMerge w:val="restart"/>
          </w:tcPr>
          <w:p>
            <w:pPr>
              <w:jc w:val="right"/>
              <w:ind w:right="272"/>
              <w:spacing w:after="0"/>
              <w:rPr>
                <w:sz w:val="20"/>
                <w:szCs w:val="20"/>
                <w:color w:val="auto"/>
              </w:rPr>
            </w:pPr>
            <w:r>
              <w:rPr>
                <w:rFonts w:ascii="Arial" w:cs="Arial" w:eastAsia="Arial" w:hAnsi="Arial"/>
                <w:sz w:val="14"/>
                <w:szCs w:val="14"/>
                <w:color w:val="auto"/>
              </w:rPr>
              <w:t>Revenue</w:t>
            </w:r>
            <w:r>
              <w:rPr>
                <w:rFonts w:ascii="Arial" w:cs="Arial" w:eastAsia="Arial" w:hAnsi="Arial"/>
                <w:sz w:val="22"/>
                <w:szCs w:val="22"/>
                <w:color w:val="auto"/>
                <w:vertAlign w:val="superscript"/>
              </w:rPr>
              <w:t>(d)</w:t>
            </w:r>
          </w:p>
        </w:tc>
        <w:tc>
          <w:tcPr>
            <w:tcW w:w="2180" w:type="dxa"/>
            <w:vAlign w:val="bottom"/>
            <w:gridSpan w:val="2"/>
          </w:tcPr>
          <w:p>
            <w:pPr>
              <w:ind w:left="380"/>
              <w:spacing w:after="0" w:line="133" w:lineRule="exact"/>
              <w:rPr>
                <w:sz w:val="20"/>
                <w:szCs w:val="20"/>
                <w:color w:val="auto"/>
              </w:rPr>
            </w:pPr>
            <w:r>
              <w:rPr>
                <w:rFonts w:ascii="Arial" w:cs="Arial" w:eastAsia="Arial" w:hAnsi="Arial"/>
                <w:sz w:val="14"/>
                <w:szCs w:val="14"/>
                <w:color w:val="auto"/>
              </w:rPr>
              <w:t>Before Depreciation and</w:t>
            </w:r>
          </w:p>
        </w:tc>
        <w:tc>
          <w:tcPr>
            <w:tcW w:w="460" w:type="dxa"/>
            <w:vAlign w:val="bottom"/>
          </w:tcPr>
          <w:p>
            <w:pPr>
              <w:spacing w:after="0"/>
              <w:rPr>
                <w:sz w:val="11"/>
                <w:szCs w:val="11"/>
                <w:color w:val="auto"/>
              </w:rPr>
            </w:pPr>
          </w:p>
        </w:tc>
        <w:tc>
          <w:tcPr>
            <w:tcW w:w="1100" w:type="dxa"/>
            <w:vAlign w:val="bottom"/>
          </w:tcPr>
          <w:p>
            <w:pPr>
              <w:jc w:val="right"/>
              <w:ind w:right="754"/>
              <w:spacing w:after="0" w:line="133" w:lineRule="exact"/>
              <w:rPr>
                <w:sz w:val="20"/>
                <w:szCs w:val="20"/>
                <w:color w:val="auto"/>
              </w:rPr>
            </w:pPr>
            <w:r>
              <w:rPr>
                <w:rFonts w:ascii="Arial" w:cs="Arial" w:eastAsia="Arial" w:hAnsi="Arial"/>
                <w:sz w:val="14"/>
                <w:szCs w:val="14"/>
                <w:color w:val="auto"/>
              </w:rPr>
              <w:t>and</w:t>
            </w:r>
          </w:p>
        </w:tc>
        <w:tc>
          <w:tcPr>
            <w:tcW w:w="1060" w:type="dxa"/>
            <w:vAlign w:val="bottom"/>
          </w:tcPr>
          <w:p>
            <w:pPr>
              <w:jc w:val="center"/>
              <w:ind w:right="217"/>
              <w:spacing w:after="0" w:line="133" w:lineRule="exact"/>
              <w:rPr>
                <w:sz w:val="20"/>
                <w:szCs w:val="20"/>
                <w:color w:val="auto"/>
              </w:rPr>
            </w:pPr>
            <w:r>
              <w:rPr>
                <w:rFonts w:ascii="Arial" w:cs="Arial" w:eastAsia="Arial" w:hAnsi="Arial"/>
                <w:sz w:val="14"/>
                <w:szCs w:val="14"/>
                <w:color w:val="auto"/>
                <w:w w:val="87"/>
              </w:rPr>
              <w:t>Income</w:t>
            </w:r>
          </w:p>
        </w:tc>
        <w:tc>
          <w:tcPr>
            <w:tcW w:w="420" w:type="dxa"/>
            <w:vAlign w:val="bottom"/>
          </w:tcPr>
          <w:p>
            <w:pPr>
              <w:spacing w:after="0"/>
              <w:rPr>
                <w:sz w:val="11"/>
                <w:szCs w:val="11"/>
                <w:color w:val="auto"/>
              </w:rPr>
            </w:pPr>
          </w:p>
        </w:tc>
        <w:tc>
          <w:tcPr>
            <w:tcW w:w="680" w:type="dxa"/>
            <w:vAlign w:val="bottom"/>
          </w:tcPr>
          <w:p>
            <w:pPr>
              <w:jc w:val="right"/>
              <w:ind w:right="174"/>
              <w:spacing w:after="0" w:line="133" w:lineRule="exact"/>
              <w:rPr>
                <w:sz w:val="20"/>
                <w:szCs w:val="20"/>
                <w:color w:val="auto"/>
              </w:rPr>
            </w:pPr>
            <w:r>
              <w:rPr>
                <w:rFonts w:ascii="Arial" w:cs="Arial" w:eastAsia="Arial" w:hAnsi="Arial"/>
                <w:sz w:val="14"/>
                <w:szCs w:val="14"/>
                <w:color w:val="auto"/>
                <w:w w:val="91"/>
              </w:rPr>
              <w:t>Capital</w:t>
            </w:r>
          </w:p>
        </w:tc>
        <w:tc>
          <w:tcPr>
            <w:tcW w:w="0" w:type="dxa"/>
            <w:vAlign w:val="bottom"/>
          </w:tcPr>
          <w:p>
            <w:pPr>
              <w:spacing w:after="0"/>
              <w:rPr>
                <w:sz w:val="1"/>
                <w:szCs w:val="1"/>
                <w:color w:val="auto"/>
              </w:rPr>
            </w:pPr>
          </w:p>
        </w:tc>
      </w:tr>
      <w:tr>
        <w:trPr>
          <w:trHeight w:val="176"/>
        </w:trPr>
        <w:tc>
          <w:tcPr>
            <w:tcW w:w="39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2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vMerge w:val="continue"/>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ind w:right="636"/>
              <w:spacing w:after="0" w:line="176" w:lineRule="exact"/>
              <w:rPr>
                <w:sz w:val="20"/>
                <w:szCs w:val="20"/>
                <w:color w:val="auto"/>
              </w:rPr>
            </w:pPr>
            <w:r>
              <w:rPr>
                <w:rFonts w:ascii="Arial" w:cs="Arial" w:eastAsia="Arial" w:hAnsi="Arial"/>
                <w:sz w:val="13"/>
                <w:szCs w:val="13"/>
                <w:color w:val="auto"/>
                <w:w w:val="94"/>
              </w:rPr>
              <w:t>Amortization</w:t>
            </w:r>
            <w:r>
              <w:rPr>
                <w:rFonts w:ascii="Arial" w:cs="Arial" w:eastAsia="Arial" w:hAnsi="Arial"/>
                <w:sz w:val="20"/>
                <w:szCs w:val="20"/>
                <w:color w:val="auto"/>
                <w:w w:val="94"/>
                <w:vertAlign w:val="superscript"/>
              </w:rPr>
              <w:t>(e)</w:t>
            </w:r>
          </w:p>
        </w:tc>
        <w:tc>
          <w:tcPr>
            <w:tcW w:w="156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color w:val="auto"/>
              </w:rPr>
              <w:t>Amortization</w:t>
            </w:r>
          </w:p>
        </w:tc>
        <w:tc>
          <w:tcPr>
            <w:tcW w:w="1060" w:type="dxa"/>
            <w:vAlign w:val="bottom"/>
            <w:tcBorders>
              <w:bottom w:val="single" w:sz="8" w:color="auto"/>
            </w:tcBorders>
          </w:tcPr>
          <w:p>
            <w:pPr>
              <w:jc w:val="center"/>
              <w:ind w:right="237"/>
              <w:spacing w:after="0"/>
              <w:rPr>
                <w:sz w:val="20"/>
                <w:szCs w:val="20"/>
                <w:color w:val="auto"/>
              </w:rPr>
            </w:pPr>
            <w:r>
              <w:rPr>
                <w:rFonts w:ascii="Arial" w:cs="Arial" w:eastAsia="Arial" w:hAnsi="Arial"/>
                <w:sz w:val="14"/>
                <w:szCs w:val="14"/>
                <w:color w:val="auto"/>
                <w:w w:val="87"/>
              </w:rPr>
              <w:t>(Loss)</w:t>
            </w:r>
          </w:p>
        </w:tc>
        <w:tc>
          <w:tcPr>
            <w:tcW w:w="110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color w:val="auto"/>
                <w:w w:val="95"/>
              </w:rPr>
              <w:t>Expenditures</w:t>
            </w:r>
          </w:p>
        </w:tc>
        <w:tc>
          <w:tcPr>
            <w:tcW w:w="0" w:type="dxa"/>
            <w:vAlign w:val="bottom"/>
          </w:tcPr>
          <w:p>
            <w:pPr>
              <w:spacing w:after="0"/>
              <w:rPr>
                <w:sz w:val="1"/>
                <w:szCs w:val="1"/>
                <w:color w:val="auto"/>
              </w:rPr>
            </w:pPr>
          </w:p>
        </w:tc>
      </w:tr>
      <w:tr>
        <w:trPr>
          <w:trHeight w:val="210"/>
        </w:trPr>
        <w:tc>
          <w:tcPr>
            <w:tcW w:w="3980" w:type="dxa"/>
            <w:vAlign w:val="bottom"/>
            <w:shd w:val="clear" w:color="auto" w:fill="E5E5E5"/>
          </w:tcPr>
          <w:p>
            <w:pPr>
              <w:spacing w:after="0"/>
              <w:rPr>
                <w:sz w:val="20"/>
                <w:szCs w:val="20"/>
                <w:color w:val="auto"/>
              </w:rPr>
            </w:pPr>
            <w:r>
              <w:rPr>
                <w:rFonts w:ascii="Arial" w:cs="Arial" w:eastAsia="Arial" w:hAnsi="Arial"/>
                <w:sz w:val="18"/>
                <w:szCs w:val="18"/>
                <w:color w:val="auto"/>
              </w:rPr>
              <w:t>Cable Communications</w:t>
            </w:r>
            <w:r>
              <w:rPr>
                <w:rFonts w:ascii="Arial" w:cs="Arial" w:eastAsia="Arial" w:hAnsi="Arial"/>
                <w:sz w:val="11"/>
                <w:szCs w:val="11"/>
                <w:color w:val="auto"/>
              </w:rPr>
              <w:t>(a)</w:t>
            </w:r>
          </w:p>
        </w:tc>
        <w:tc>
          <w:tcPr>
            <w:tcW w:w="1540" w:type="dxa"/>
            <w:vAlign w:val="bottom"/>
            <w:gridSpan w:val="2"/>
            <w:shd w:val="clear" w:color="auto" w:fill="E5E5E5"/>
          </w:tcPr>
          <w:p>
            <w:pPr>
              <w:jc w:val="right"/>
              <w:ind w:right="272"/>
              <w:spacing w:after="0"/>
              <w:rPr>
                <w:sz w:val="20"/>
                <w:szCs w:val="20"/>
                <w:color w:val="auto"/>
              </w:rPr>
            </w:pPr>
            <w:r>
              <w:rPr>
                <w:rFonts w:ascii="Arial" w:cs="Arial" w:eastAsia="Arial" w:hAnsi="Arial"/>
                <w:sz w:val="18"/>
                <w:szCs w:val="18"/>
                <w:color w:val="auto"/>
              </w:rPr>
              <w:t>$ 11,041</w:t>
            </w:r>
          </w:p>
        </w:tc>
        <w:tc>
          <w:tcPr>
            <w:tcW w:w="600" w:type="dxa"/>
            <w:vAlign w:val="bottom"/>
            <w:shd w:val="clear" w:color="auto" w:fill="E5E5E5"/>
          </w:tcPr>
          <w:p>
            <w:pPr>
              <w:ind w:left="360"/>
              <w:spacing w:after="0"/>
              <w:rPr>
                <w:sz w:val="20"/>
                <w:szCs w:val="20"/>
                <w:color w:val="auto"/>
              </w:rPr>
            </w:pPr>
            <w:r>
              <w:rPr>
                <w:rFonts w:ascii="Arial" w:cs="Arial" w:eastAsia="Arial" w:hAnsi="Arial"/>
                <w:sz w:val="18"/>
                <w:szCs w:val="18"/>
                <w:color w:val="auto"/>
              </w:rPr>
              <w:t>$</w:t>
            </w:r>
          </w:p>
        </w:tc>
        <w:tc>
          <w:tcPr>
            <w:tcW w:w="1580" w:type="dxa"/>
            <w:vAlign w:val="bottom"/>
            <w:shd w:val="clear" w:color="auto" w:fill="E5E5E5"/>
          </w:tcPr>
          <w:p>
            <w:pPr>
              <w:jc w:val="right"/>
              <w:ind w:right="376"/>
              <w:spacing w:after="0"/>
              <w:rPr>
                <w:sz w:val="20"/>
                <w:szCs w:val="20"/>
                <w:color w:val="auto"/>
              </w:rPr>
            </w:pPr>
            <w:r>
              <w:rPr>
                <w:rFonts w:ascii="Arial" w:cs="Arial" w:eastAsia="Arial" w:hAnsi="Arial"/>
                <w:sz w:val="18"/>
                <w:szCs w:val="18"/>
                <w:color w:val="auto"/>
              </w:rPr>
              <w:t>4,464</w:t>
            </w:r>
          </w:p>
        </w:tc>
        <w:tc>
          <w:tcPr>
            <w:tcW w:w="460" w:type="dxa"/>
            <w:vAlign w:val="bottom"/>
            <w:shd w:val="clear" w:color="auto" w:fill="E5E5E5"/>
          </w:tcPr>
          <w:p>
            <w:pPr>
              <w:ind w:left="2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E5E5E5"/>
          </w:tcPr>
          <w:p>
            <w:pPr>
              <w:jc w:val="right"/>
              <w:ind w:right="494"/>
              <w:spacing w:after="0"/>
              <w:rPr>
                <w:sz w:val="20"/>
                <w:szCs w:val="20"/>
                <w:color w:val="auto"/>
              </w:rPr>
            </w:pPr>
            <w:r>
              <w:rPr>
                <w:rFonts w:ascii="Arial" w:cs="Arial" w:eastAsia="Arial" w:hAnsi="Arial"/>
                <w:sz w:val="18"/>
                <w:szCs w:val="18"/>
                <w:color w:val="auto"/>
              </w:rPr>
              <w:t>1,561</w:t>
            </w:r>
          </w:p>
        </w:tc>
        <w:tc>
          <w:tcPr>
            <w:tcW w:w="1060" w:type="dxa"/>
            <w:vAlign w:val="bottom"/>
            <w:shd w:val="clear" w:color="auto" w:fill="E5E5E5"/>
          </w:tcPr>
          <w:p>
            <w:pPr>
              <w:jc w:val="right"/>
              <w:ind w:right="337"/>
              <w:spacing w:after="0"/>
              <w:rPr>
                <w:sz w:val="20"/>
                <w:szCs w:val="20"/>
                <w:color w:val="auto"/>
              </w:rPr>
            </w:pPr>
            <w:r>
              <w:rPr>
                <w:rFonts w:ascii="Arial" w:cs="Arial" w:eastAsia="Arial" w:hAnsi="Arial"/>
                <w:sz w:val="18"/>
                <w:szCs w:val="18"/>
                <w:color w:val="auto"/>
              </w:rPr>
              <w:t>$ 2,903</w:t>
            </w:r>
          </w:p>
        </w:tc>
        <w:tc>
          <w:tcPr>
            <w:tcW w:w="420" w:type="dxa"/>
            <w:vAlign w:val="bottom"/>
            <w:shd w:val="clear" w:color="auto" w:fill="E5E5E5"/>
          </w:tcPr>
          <w:p>
            <w:pPr>
              <w:ind w:left="280"/>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1,644</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NBCUniversal</w:t>
            </w: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Cable Networks</w:t>
            </w:r>
          </w:p>
        </w:tc>
        <w:tc>
          <w:tcPr>
            <w:tcW w:w="1540" w:type="dxa"/>
            <w:vAlign w:val="bottom"/>
            <w:gridSpan w:val="2"/>
            <w:shd w:val="clear" w:color="auto" w:fill="E5E5E5"/>
          </w:tcPr>
          <w:p>
            <w:pPr>
              <w:jc w:val="right"/>
              <w:ind w:right="272"/>
              <w:spacing w:after="0"/>
              <w:rPr>
                <w:sz w:val="20"/>
                <w:szCs w:val="20"/>
                <w:color w:val="auto"/>
              </w:rPr>
            </w:pPr>
            <w:r>
              <w:rPr>
                <w:rFonts w:ascii="Arial" w:cs="Arial" w:eastAsia="Arial" w:hAnsi="Arial"/>
                <w:sz w:val="18"/>
                <w:szCs w:val="18"/>
                <w:color w:val="auto"/>
              </w:rPr>
              <w:t>2,255</w:t>
            </w:r>
          </w:p>
        </w:tc>
        <w:tc>
          <w:tcPr>
            <w:tcW w:w="600" w:type="dxa"/>
            <w:vAlign w:val="bottom"/>
            <w:shd w:val="clear" w:color="auto" w:fill="E5E5E5"/>
          </w:tcPr>
          <w:p>
            <w:pPr>
              <w:spacing w:after="0"/>
              <w:rPr>
                <w:sz w:val="18"/>
                <w:szCs w:val="18"/>
                <w:color w:val="auto"/>
              </w:rPr>
            </w:pPr>
          </w:p>
        </w:tc>
        <w:tc>
          <w:tcPr>
            <w:tcW w:w="1580" w:type="dxa"/>
            <w:vAlign w:val="bottom"/>
            <w:shd w:val="clear" w:color="auto" w:fill="E5E5E5"/>
          </w:tcPr>
          <w:p>
            <w:pPr>
              <w:jc w:val="right"/>
              <w:ind w:right="376"/>
              <w:spacing w:after="0"/>
              <w:rPr>
                <w:sz w:val="20"/>
                <w:szCs w:val="20"/>
                <w:color w:val="auto"/>
              </w:rPr>
            </w:pPr>
            <w:r>
              <w:rPr>
                <w:rFonts w:ascii="Arial" w:cs="Arial" w:eastAsia="Arial" w:hAnsi="Arial"/>
                <w:sz w:val="18"/>
                <w:szCs w:val="18"/>
                <w:color w:val="auto"/>
              </w:rPr>
              <w:t>868</w:t>
            </w:r>
          </w:p>
        </w:tc>
        <w:tc>
          <w:tcPr>
            <w:tcW w:w="460" w:type="dxa"/>
            <w:vAlign w:val="bottom"/>
            <w:shd w:val="clear" w:color="auto" w:fill="E5E5E5"/>
          </w:tcPr>
          <w:p>
            <w:pPr>
              <w:spacing w:after="0"/>
              <w:rPr>
                <w:sz w:val="18"/>
                <w:szCs w:val="18"/>
                <w:color w:val="auto"/>
              </w:rPr>
            </w:pPr>
          </w:p>
        </w:tc>
        <w:tc>
          <w:tcPr>
            <w:tcW w:w="1100" w:type="dxa"/>
            <w:vAlign w:val="bottom"/>
            <w:shd w:val="clear" w:color="auto" w:fill="E5E5E5"/>
          </w:tcPr>
          <w:p>
            <w:pPr>
              <w:jc w:val="right"/>
              <w:ind w:right="494"/>
              <w:spacing w:after="0"/>
              <w:rPr>
                <w:sz w:val="20"/>
                <w:szCs w:val="20"/>
                <w:color w:val="auto"/>
              </w:rPr>
            </w:pPr>
            <w:r>
              <w:rPr>
                <w:rFonts w:ascii="Arial" w:cs="Arial" w:eastAsia="Arial" w:hAnsi="Arial"/>
                <w:sz w:val="18"/>
                <w:szCs w:val="18"/>
                <w:color w:val="auto"/>
              </w:rPr>
              <w:t>189</w:t>
            </w:r>
          </w:p>
        </w:tc>
        <w:tc>
          <w:tcPr>
            <w:tcW w:w="1060" w:type="dxa"/>
            <w:vAlign w:val="bottom"/>
            <w:shd w:val="clear" w:color="auto" w:fill="E5E5E5"/>
          </w:tcPr>
          <w:p>
            <w:pPr>
              <w:jc w:val="right"/>
              <w:ind w:right="337"/>
              <w:spacing w:after="0"/>
              <w:rPr>
                <w:sz w:val="20"/>
                <w:szCs w:val="20"/>
                <w:color w:val="auto"/>
              </w:rPr>
            </w:pPr>
            <w:r>
              <w:rPr>
                <w:rFonts w:ascii="Arial" w:cs="Arial" w:eastAsia="Arial" w:hAnsi="Arial"/>
                <w:sz w:val="18"/>
                <w:szCs w:val="18"/>
                <w:color w:val="auto"/>
              </w:rPr>
              <w:t>679</w:t>
            </w:r>
          </w:p>
        </w:tc>
        <w:tc>
          <w:tcPr>
            <w:tcW w:w="42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3980" w:type="dxa"/>
            <w:vAlign w:val="bottom"/>
          </w:tcPr>
          <w:p>
            <w:pPr>
              <w:ind w:left="440"/>
              <w:spacing w:after="0"/>
              <w:rPr>
                <w:sz w:val="20"/>
                <w:szCs w:val="20"/>
                <w:color w:val="auto"/>
              </w:rPr>
            </w:pPr>
            <w:r>
              <w:rPr>
                <w:rFonts w:ascii="Arial" w:cs="Arial" w:eastAsia="Arial" w:hAnsi="Arial"/>
                <w:sz w:val="18"/>
                <w:szCs w:val="18"/>
                <w:color w:val="auto"/>
              </w:rPr>
              <w:t>Broadcast Television</w:t>
            </w:r>
          </w:p>
        </w:tc>
        <w:tc>
          <w:tcPr>
            <w:tcW w:w="1540" w:type="dxa"/>
            <w:vAlign w:val="bottom"/>
            <w:gridSpan w:val="2"/>
          </w:tcPr>
          <w:p>
            <w:pPr>
              <w:jc w:val="right"/>
              <w:ind w:right="272"/>
              <w:spacing w:after="0"/>
              <w:rPr>
                <w:sz w:val="20"/>
                <w:szCs w:val="20"/>
                <w:color w:val="auto"/>
              </w:rPr>
            </w:pPr>
            <w:r>
              <w:rPr>
                <w:rFonts w:ascii="Arial" w:cs="Arial" w:eastAsia="Arial" w:hAnsi="Arial"/>
                <w:sz w:val="18"/>
                <w:szCs w:val="18"/>
                <w:color w:val="auto"/>
              </w:rPr>
              <w:t>1,770</w:t>
            </w:r>
          </w:p>
        </w:tc>
        <w:tc>
          <w:tcPr>
            <w:tcW w:w="600" w:type="dxa"/>
            <w:vAlign w:val="bottom"/>
          </w:tcPr>
          <w:p>
            <w:pPr>
              <w:spacing w:after="0"/>
              <w:rPr>
                <w:sz w:val="18"/>
                <w:szCs w:val="18"/>
                <w:color w:val="auto"/>
              </w:rPr>
            </w:pPr>
          </w:p>
        </w:tc>
        <w:tc>
          <w:tcPr>
            <w:tcW w:w="1580" w:type="dxa"/>
            <w:vAlign w:val="bottom"/>
          </w:tcPr>
          <w:p>
            <w:pPr>
              <w:jc w:val="right"/>
              <w:ind w:right="376"/>
              <w:spacing w:after="0"/>
              <w:rPr>
                <w:sz w:val="20"/>
                <w:szCs w:val="20"/>
                <w:color w:val="auto"/>
              </w:rPr>
            </w:pPr>
            <w:r>
              <w:rPr>
                <w:rFonts w:ascii="Arial" w:cs="Arial" w:eastAsia="Arial" w:hAnsi="Arial"/>
                <w:sz w:val="18"/>
                <w:szCs w:val="18"/>
                <w:color w:val="auto"/>
              </w:rPr>
              <w:t>142</w:t>
            </w:r>
          </w:p>
        </w:tc>
        <w:tc>
          <w:tcPr>
            <w:tcW w:w="460" w:type="dxa"/>
            <w:vAlign w:val="bottom"/>
          </w:tcPr>
          <w:p>
            <w:pPr>
              <w:spacing w:after="0"/>
              <w:rPr>
                <w:sz w:val="18"/>
                <w:szCs w:val="18"/>
                <w:color w:val="auto"/>
              </w:rPr>
            </w:pPr>
          </w:p>
        </w:tc>
        <w:tc>
          <w:tcPr>
            <w:tcW w:w="1100" w:type="dxa"/>
            <w:vAlign w:val="bottom"/>
          </w:tcPr>
          <w:p>
            <w:pPr>
              <w:jc w:val="right"/>
              <w:ind w:right="494"/>
              <w:spacing w:after="0"/>
              <w:rPr>
                <w:sz w:val="20"/>
                <w:szCs w:val="20"/>
                <w:color w:val="auto"/>
              </w:rPr>
            </w:pPr>
            <w:r>
              <w:rPr>
                <w:rFonts w:ascii="Arial" w:cs="Arial" w:eastAsia="Arial" w:hAnsi="Arial"/>
                <w:sz w:val="18"/>
                <w:szCs w:val="18"/>
                <w:color w:val="auto"/>
              </w:rPr>
              <w:t>24</w:t>
            </w:r>
          </w:p>
        </w:tc>
        <w:tc>
          <w:tcPr>
            <w:tcW w:w="1060" w:type="dxa"/>
            <w:vAlign w:val="bottom"/>
          </w:tcPr>
          <w:p>
            <w:pPr>
              <w:jc w:val="right"/>
              <w:ind w:right="337"/>
              <w:spacing w:after="0"/>
              <w:rPr>
                <w:sz w:val="20"/>
                <w:szCs w:val="20"/>
                <w:color w:val="auto"/>
              </w:rPr>
            </w:pPr>
            <w:r>
              <w:rPr>
                <w:rFonts w:ascii="Arial" w:cs="Arial" w:eastAsia="Arial" w:hAnsi="Arial"/>
                <w:sz w:val="18"/>
                <w:szCs w:val="18"/>
                <w:color w:val="auto"/>
              </w:rPr>
              <w:t>118</w:t>
            </w:r>
          </w:p>
        </w:tc>
        <w:tc>
          <w:tcPr>
            <w:tcW w:w="42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3980" w:type="dxa"/>
            <w:vAlign w:val="bottom"/>
            <w:shd w:val="clear" w:color="auto" w:fill="E5E5E5"/>
          </w:tcPr>
          <w:p>
            <w:pPr>
              <w:ind w:left="440"/>
              <w:spacing w:after="0"/>
              <w:rPr>
                <w:sz w:val="20"/>
                <w:szCs w:val="20"/>
                <w:color w:val="auto"/>
              </w:rPr>
            </w:pPr>
            <w:r>
              <w:rPr>
                <w:rFonts w:ascii="Arial" w:cs="Arial" w:eastAsia="Arial" w:hAnsi="Arial"/>
                <w:sz w:val="18"/>
                <w:szCs w:val="18"/>
                <w:color w:val="auto"/>
              </w:rPr>
              <w:t>Filmed Entertainment</w:t>
            </w:r>
          </w:p>
        </w:tc>
        <w:tc>
          <w:tcPr>
            <w:tcW w:w="1540" w:type="dxa"/>
            <w:vAlign w:val="bottom"/>
            <w:gridSpan w:val="2"/>
            <w:shd w:val="clear" w:color="auto" w:fill="E5E5E5"/>
          </w:tcPr>
          <w:p>
            <w:pPr>
              <w:jc w:val="right"/>
              <w:ind w:right="272"/>
              <w:spacing w:after="0"/>
              <w:rPr>
                <w:sz w:val="20"/>
                <w:szCs w:val="20"/>
                <w:color w:val="auto"/>
              </w:rPr>
            </w:pPr>
            <w:r>
              <w:rPr>
                <w:rFonts w:ascii="Arial" w:cs="Arial" w:eastAsia="Arial" w:hAnsi="Arial"/>
                <w:sz w:val="18"/>
                <w:szCs w:val="18"/>
                <w:color w:val="auto"/>
              </w:rPr>
              <w:t>1,186</w:t>
            </w:r>
          </w:p>
        </w:tc>
        <w:tc>
          <w:tcPr>
            <w:tcW w:w="600" w:type="dxa"/>
            <w:vAlign w:val="bottom"/>
            <w:shd w:val="clear" w:color="auto" w:fill="E5E5E5"/>
          </w:tcPr>
          <w:p>
            <w:pPr>
              <w:spacing w:after="0"/>
              <w:rPr>
                <w:sz w:val="18"/>
                <w:szCs w:val="18"/>
                <w:color w:val="auto"/>
              </w:rPr>
            </w:pPr>
          </w:p>
        </w:tc>
        <w:tc>
          <w:tcPr>
            <w:tcW w:w="1580" w:type="dxa"/>
            <w:vAlign w:val="bottom"/>
            <w:shd w:val="clear" w:color="auto" w:fill="E5E5E5"/>
          </w:tcPr>
          <w:p>
            <w:pPr>
              <w:jc w:val="right"/>
              <w:ind w:right="376"/>
              <w:spacing w:after="0"/>
              <w:rPr>
                <w:sz w:val="20"/>
                <w:szCs w:val="20"/>
                <w:color w:val="auto"/>
              </w:rPr>
            </w:pPr>
            <w:r>
              <w:rPr>
                <w:rFonts w:ascii="Arial" w:cs="Arial" w:eastAsia="Arial" w:hAnsi="Arial"/>
                <w:sz w:val="18"/>
                <w:szCs w:val="18"/>
                <w:color w:val="auto"/>
              </w:rPr>
              <w:t>151</w:t>
            </w:r>
          </w:p>
        </w:tc>
        <w:tc>
          <w:tcPr>
            <w:tcW w:w="460" w:type="dxa"/>
            <w:vAlign w:val="bottom"/>
            <w:shd w:val="clear" w:color="auto" w:fill="E5E5E5"/>
          </w:tcPr>
          <w:p>
            <w:pPr>
              <w:spacing w:after="0"/>
              <w:rPr>
                <w:sz w:val="18"/>
                <w:szCs w:val="18"/>
                <w:color w:val="auto"/>
              </w:rPr>
            </w:pPr>
          </w:p>
        </w:tc>
        <w:tc>
          <w:tcPr>
            <w:tcW w:w="1100" w:type="dxa"/>
            <w:vAlign w:val="bottom"/>
            <w:shd w:val="clear" w:color="auto" w:fill="E5E5E5"/>
          </w:tcPr>
          <w:p>
            <w:pPr>
              <w:jc w:val="right"/>
              <w:ind w:right="494"/>
              <w:spacing w:after="0"/>
              <w:rPr>
                <w:sz w:val="20"/>
                <w:szCs w:val="20"/>
                <w:color w:val="auto"/>
              </w:rPr>
            </w:pPr>
            <w:r>
              <w:rPr>
                <w:rFonts w:ascii="Arial" w:cs="Arial" w:eastAsia="Arial" w:hAnsi="Arial"/>
                <w:sz w:val="18"/>
                <w:szCs w:val="18"/>
                <w:color w:val="auto"/>
              </w:rPr>
              <w:t>6</w:t>
            </w:r>
          </w:p>
        </w:tc>
        <w:tc>
          <w:tcPr>
            <w:tcW w:w="1060" w:type="dxa"/>
            <w:vAlign w:val="bottom"/>
            <w:shd w:val="clear" w:color="auto" w:fill="E5E5E5"/>
          </w:tcPr>
          <w:p>
            <w:pPr>
              <w:jc w:val="right"/>
              <w:ind w:right="337"/>
              <w:spacing w:after="0"/>
              <w:rPr>
                <w:sz w:val="20"/>
                <w:szCs w:val="20"/>
                <w:color w:val="auto"/>
              </w:rPr>
            </w:pPr>
            <w:r>
              <w:rPr>
                <w:rFonts w:ascii="Arial" w:cs="Arial" w:eastAsia="Arial" w:hAnsi="Arial"/>
                <w:sz w:val="18"/>
                <w:szCs w:val="18"/>
                <w:color w:val="auto"/>
              </w:rPr>
              <w:t>145</w:t>
            </w:r>
          </w:p>
        </w:tc>
        <w:tc>
          <w:tcPr>
            <w:tcW w:w="42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3980" w:type="dxa"/>
            <w:vAlign w:val="bottom"/>
          </w:tcPr>
          <w:p>
            <w:pPr>
              <w:ind w:left="440"/>
              <w:spacing w:after="0"/>
              <w:rPr>
                <w:sz w:val="20"/>
                <w:szCs w:val="20"/>
                <w:color w:val="auto"/>
              </w:rPr>
            </w:pPr>
            <w:r>
              <w:rPr>
                <w:rFonts w:ascii="Arial" w:cs="Arial" w:eastAsia="Arial" w:hAnsi="Arial"/>
                <w:sz w:val="18"/>
                <w:szCs w:val="18"/>
                <w:color w:val="auto"/>
              </w:rPr>
              <w:t>Theme Parks</w:t>
            </w:r>
          </w:p>
        </w:tc>
        <w:tc>
          <w:tcPr>
            <w:tcW w:w="1540" w:type="dxa"/>
            <w:vAlign w:val="bottom"/>
            <w:gridSpan w:val="2"/>
          </w:tcPr>
          <w:p>
            <w:pPr>
              <w:jc w:val="right"/>
              <w:ind w:right="272"/>
              <w:spacing w:after="0"/>
              <w:rPr>
                <w:sz w:val="20"/>
                <w:szCs w:val="20"/>
                <w:color w:val="auto"/>
              </w:rPr>
            </w:pPr>
            <w:r>
              <w:rPr>
                <w:rFonts w:ascii="Arial" w:cs="Arial" w:eastAsia="Arial" w:hAnsi="Arial"/>
                <w:sz w:val="18"/>
                <w:szCs w:val="18"/>
                <w:color w:val="auto"/>
              </w:rPr>
              <w:t>786</w:t>
            </w:r>
          </w:p>
        </w:tc>
        <w:tc>
          <w:tcPr>
            <w:tcW w:w="600" w:type="dxa"/>
            <w:vAlign w:val="bottom"/>
          </w:tcPr>
          <w:p>
            <w:pPr>
              <w:spacing w:after="0"/>
              <w:rPr>
                <w:sz w:val="18"/>
                <w:szCs w:val="18"/>
                <w:color w:val="auto"/>
              </w:rPr>
            </w:pPr>
          </w:p>
        </w:tc>
        <w:tc>
          <w:tcPr>
            <w:tcW w:w="1580" w:type="dxa"/>
            <w:vAlign w:val="bottom"/>
          </w:tcPr>
          <w:p>
            <w:pPr>
              <w:jc w:val="right"/>
              <w:ind w:right="376"/>
              <w:spacing w:after="0"/>
              <w:rPr>
                <w:sz w:val="20"/>
                <w:szCs w:val="20"/>
                <w:color w:val="auto"/>
              </w:rPr>
            </w:pPr>
            <w:r>
              <w:rPr>
                <w:rFonts w:ascii="Arial" w:cs="Arial" w:eastAsia="Arial" w:hAnsi="Arial"/>
                <w:sz w:val="18"/>
                <w:szCs w:val="18"/>
                <w:color w:val="auto"/>
              </w:rPr>
              <w:t>402</w:t>
            </w:r>
          </w:p>
        </w:tc>
        <w:tc>
          <w:tcPr>
            <w:tcW w:w="460" w:type="dxa"/>
            <w:vAlign w:val="bottom"/>
          </w:tcPr>
          <w:p>
            <w:pPr>
              <w:spacing w:after="0"/>
              <w:rPr>
                <w:sz w:val="18"/>
                <w:szCs w:val="18"/>
                <w:color w:val="auto"/>
              </w:rPr>
            </w:pPr>
          </w:p>
        </w:tc>
        <w:tc>
          <w:tcPr>
            <w:tcW w:w="1100" w:type="dxa"/>
            <w:vAlign w:val="bottom"/>
          </w:tcPr>
          <w:p>
            <w:pPr>
              <w:jc w:val="right"/>
              <w:ind w:right="494"/>
              <w:spacing w:after="0"/>
              <w:rPr>
                <w:sz w:val="20"/>
                <w:szCs w:val="20"/>
                <w:color w:val="auto"/>
              </w:rPr>
            </w:pPr>
            <w:r>
              <w:rPr>
                <w:rFonts w:ascii="Arial" w:cs="Arial" w:eastAsia="Arial" w:hAnsi="Arial"/>
                <w:sz w:val="18"/>
                <w:szCs w:val="18"/>
                <w:color w:val="auto"/>
              </w:rPr>
              <w:t>68</w:t>
            </w:r>
          </w:p>
        </w:tc>
        <w:tc>
          <w:tcPr>
            <w:tcW w:w="1060" w:type="dxa"/>
            <w:vAlign w:val="bottom"/>
          </w:tcPr>
          <w:p>
            <w:pPr>
              <w:jc w:val="right"/>
              <w:ind w:right="337"/>
              <w:spacing w:after="0"/>
              <w:rPr>
                <w:sz w:val="20"/>
                <w:szCs w:val="20"/>
                <w:color w:val="auto"/>
              </w:rPr>
            </w:pPr>
            <w:r>
              <w:rPr>
                <w:rFonts w:ascii="Arial" w:cs="Arial" w:eastAsia="Arial" w:hAnsi="Arial"/>
                <w:sz w:val="18"/>
                <w:szCs w:val="18"/>
                <w:color w:val="auto"/>
              </w:rPr>
              <w:t>334</w:t>
            </w:r>
          </w:p>
        </w:tc>
        <w:tc>
          <w:tcPr>
            <w:tcW w:w="42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3980" w:type="dxa"/>
            <w:vAlign w:val="bottom"/>
            <w:shd w:val="clear" w:color="auto" w:fill="E5E5E5"/>
          </w:tcPr>
          <w:p>
            <w:pPr>
              <w:ind w:left="440"/>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11"/>
                <w:szCs w:val="11"/>
                <w:color w:val="auto"/>
              </w:rPr>
              <w:t>(b)</w:t>
            </w:r>
          </w:p>
        </w:tc>
        <w:tc>
          <w:tcPr>
            <w:tcW w:w="1540" w:type="dxa"/>
            <w:vAlign w:val="bottom"/>
            <w:gridSpan w:val="2"/>
            <w:shd w:val="clear" w:color="auto" w:fill="E5E5E5"/>
          </w:tcPr>
          <w:p>
            <w:pPr>
              <w:jc w:val="right"/>
              <w:ind w:right="272"/>
              <w:spacing w:after="0"/>
              <w:rPr>
                <w:sz w:val="20"/>
                <w:szCs w:val="20"/>
                <w:color w:val="auto"/>
              </w:rPr>
            </w:pPr>
            <w:r>
              <w:rPr>
                <w:rFonts w:ascii="Arial" w:cs="Arial" w:eastAsia="Arial" w:hAnsi="Arial"/>
                <w:sz w:val="18"/>
                <w:szCs w:val="18"/>
                <w:color w:val="auto"/>
              </w:rPr>
              <w:t>4</w:t>
            </w:r>
          </w:p>
        </w:tc>
        <w:tc>
          <w:tcPr>
            <w:tcW w:w="600" w:type="dxa"/>
            <w:vAlign w:val="bottom"/>
            <w:shd w:val="clear" w:color="auto" w:fill="E5E5E5"/>
          </w:tcPr>
          <w:p>
            <w:pPr>
              <w:spacing w:after="0"/>
              <w:rPr>
                <w:sz w:val="18"/>
                <w:szCs w:val="18"/>
                <w:color w:val="auto"/>
              </w:rPr>
            </w:pPr>
          </w:p>
        </w:tc>
        <w:tc>
          <w:tcPr>
            <w:tcW w:w="1580" w:type="dxa"/>
            <w:vAlign w:val="bottom"/>
            <w:shd w:val="clear" w:color="auto" w:fill="E5E5E5"/>
          </w:tcPr>
          <w:p>
            <w:pPr>
              <w:jc w:val="right"/>
              <w:ind w:right="316"/>
              <w:spacing w:after="0"/>
              <w:rPr>
                <w:sz w:val="20"/>
                <w:szCs w:val="20"/>
                <w:color w:val="auto"/>
              </w:rPr>
            </w:pPr>
            <w:r>
              <w:rPr>
                <w:rFonts w:ascii="Arial" w:cs="Arial" w:eastAsia="Arial" w:hAnsi="Arial"/>
                <w:sz w:val="18"/>
                <w:szCs w:val="18"/>
                <w:color w:val="auto"/>
              </w:rPr>
              <w:t>(142)</w:t>
            </w:r>
          </w:p>
        </w:tc>
        <w:tc>
          <w:tcPr>
            <w:tcW w:w="460" w:type="dxa"/>
            <w:vAlign w:val="bottom"/>
            <w:shd w:val="clear" w:color="auto" w:fill="E5E5E5"/>
          </w:tcPr>
          <w:p>
            <w:pPr>
              <w:spacing w:after="0"/>
              <w:rPr>
                <w:sz w:val="18"/>
                <w:szCs w:val="18"/>
                <w:color w:val="auto"/>
              </w:rPr>
            </w:pPr>
          </w:p>
        </w:tc>
        <w:tc>
          <w:tcPr>
            <w:tcW w:w="1100" w:type="dxa"/>
            <w:vAlign w:val="bottom"/>
            <w:shd w:val="clear" w:color="auto" w:fill="E5E5E5"/>
          </w:tcPr>
          <w:p>
            <w:pPr>
              <w:jc w:val="right"/>
              <w:ind w:right="494"/>
              <w:spacing w:after="0"/>
              <w:rPr>
                <w:sz w:val="20"/>
                <w:szCs w:val="20"/>
                <w:color w:val="auto"/>
              </w:rPr>
            </w:pPr>
            <w:r>
              <w:rPr>
                <w:rFonts w:ascii="Arial" w:cs="Arial" w:eastAsia="Arial" w:hAnsi="Arial"/>
                <w:sz w:val="18"/>
                <w:szCs w:val="18"/>
                <w:color w:val="auto"/>
              </w:rPr>
              <w:t>84</w:t>
            </w:r>
          </w:p>
        </w:tc>
        <w:tc>
          <w:tcPr>
            <w:tcW w:w="1060" w:type="dxa"/>
            <w:vAlign w:val="bottom"/>
            <w:shd w:val="clear" w:color="auto" w:fill="E5E5E5"/>
          </w:tcPr>
          <w:p>
            <w:pPr>
              <w:jc w:val="right"/>
              <w:ind w:right="277"/>
              <w:spacing w:after="0"/>
              <w:rPr>
                <w:sz w:val="20"/>
                <w:szCs w:val="20"/>
                <w:color w:val="auto"/>
              </w:rPr>
            </w:pPr>
            <w:r>
              <w:rPr>
                <w:rFonts w:ascii="Arial" w:cs="Arial" w:eastAsia="Arial" w:hAnsi="Arial"/>
                <w:sz w:val="18"/>
                <w:szCs w:val="18"/>
                <w:color w:val="auto"/>
              </w:rPr>
              <w:t>(226)</w:t>
            </w:r>
          </w:p>
        </w:tc>
        <w:tc>
          <w:tcPr>
            <w:tcW w:w="42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398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(c)</w:t>
            </w:r>
          </w:p>
        </w:tc>
        <w:tc>
          <w:tcPr>
            <w:tcW w:w="1540" w:type="dxa"/>
            <w:vAlign w:val="bottom"/>
            <w:tcBorders>
              <w:bottom w:val="single" w:sz="8" w:color="auto"/>
            </w:tcBorders>
            <w:gridSpan w:val="2"/>
          </w:tcPr>
          <w:p>
            <w:pPr>
              <w:jc w:val="right"/>
              <w:ind w:right="212"/>
              <w:spacing w:after="0"/>
              <w:rPr>
                <w:sz w:val="20"/>
                <w:szCs w:val="20"/>
                <w:color w:val="auto"/>
              </w:rPr>
            </w:pPr>
            <w:r>
              <w:rPr>
                <w:rFonts w:ascii="Arial" w:cs="Arial" w:eastAsia="Arial" w:hAnsi="Arial"/>
                <w:sz w:val="18"/>
                <w:szCs w:val="18"/>
                <w:color w:val="auto"/>
              </w:rPr>
              <w:t>(80)</w:t>
            </w:r>
          </w:p>
        </w:tc>
        <w:tc>
          <w:tcPr>
            <w:tcW w:w="6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316"/>
              <w:spacing w:after="0"/>
              <w:rPr>
                <w:sz w:val="20"/>
                <w:szCs w:val="20"/>
                <w:color w:val="auto"/>
              </w:rPr>
            </w:pPr>
            <w:r>
              <w:rPr>
                <w:rFonts w:ascii="Arial" w:cs="Arial" w:eastAsia="Arial" w:hAnsi="Arial"/>
                <w:sz w:val="18"/>
                <w:szCs w:val="18"/>
                <w:color w:val="auto"/>
              </w:rPr>
              <w:t>(5)</w:t>
            </w:r>
          </w:p>
        </w:tc>
        <w:tc>
          <w:tcPr>
            <w:tcW w:w="4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277"/>
              <w:spacing w:after="0"/>
              <w:rPr>
                <w:sz w:val="20"/>
                <w:szCs w:val="20"/>
                <w:color w:val="auto"/>
              </w:rPr>
            </w:pPr>
            <w:r>
              <w:rPr>
                <w:rFonts w:ascii="Arial" w:cs="Arial" w:eastAsia="Arial" w:hAnsi="Arial"/>
                <w:sz w:val="18"/>
                <w:szCs w:val="18"/>
                <w:color w:val="auto"/>
              </w:rPr>
              <w:t>(5)</w:t>
            </w:r>
          </w:p>
        </w:tc>
        <w:tc>
          <w:tcPr>
            <w:tcW w:w="4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980" w:type="dxa"/>
            <w:vAlign w:val="bottom"/>
            <w:shd w:val="clear" w:color="auto" w:fill="E5E5E5"/>
          </w:tcPr>
          <w:p>
            <w:pPr>
              <w:spacing w:after="0"/>
              <w:rPr>
                <w:sz w:val="20"/>
                <w:szCs w:val="20"/>
                <w:color w:val="auto"/>
              </w:rPr>
            </w:pPr>
            <w:r>
              <w:rPr>
                <w:rFonts w:ascii="Arial" w:cs="Arial" w:eastAsia="Arial" w:hAnsi="Arial"/>
                <w:sz w:val="18"/>
                <w:szCs w:val="18"/>
                <w:color w:val="auto"/>
              </w:rPr>
              <w:t>NBCUniversal</w:t>
            </w:r>
          </w:p>
        </w:tc>
        <w:tc>
          <w:tcPr>
            <w:tcW w:w="1540" w:type="dxa"/>
            <w:vAlign w:val="bottom"/>
            <w:gridSpan w:val="2"/>
            <w:shd w:val="clear" w:color="auto" w:fill="E5E5E5"/>
          </w:tcPr>
          <w:p>
            <w:pPr>
              <w:jc w:val="right"/>
              <w:ind w:right="272"/>
              <w:spacing w:after="0"/>
              <w:rPr>
                <w:sz w:val="20"/>
                <w:szCs w:val="20"/>
                <w:color w:val="auto"/>
              </w:rPr>
            </w:pPr>
            <w:r>
              <w:rPr>
                <w:rFonts w:ascii="Arial" w:cs="Arial" w:eastAsia="Arial" w:hAnsi="Arial"/>
                <w:sz w:val="18"/>
                <w:szCs w:val="18"/>
                <w:color w:val="auto"/>
              </w:rPr>
              <w:t>5,921</w:t>
            </w:r>
          </w:p>
        </w:tc>
        <w:tc>
          <w:tcPr>
            <w:tcW w:w="600" w:type="dxa"/>
            <w:vAlign w:val="bottom"/>
            <w:shd w:val="clear" w:color="auto" w:fill="E5E5E5"/>
          </w:tcPr>
          <w:p>
            <w:pPr>
              <w:spacing w:after="0"/>
              <w:rPr>
                <w:sz w:val="18"/>
                <w:szCs w:val="18"/>
                <w:color w:val="auto"/>
              </w:rPr>
            </w:pPr>
          </w:p>
        </w:tc>
        <w:tc>
          <w:tcPr>
            <w:tcW w:w="1580" w:type="dxa"/>
            <w:vAlign w:val="bottom"/>
            <w:shd w:val="clear" w:color="auto" w:fill="E5E5E5"/>
          </w:tcPr>
          <w:p>
            <w:pPr>
              <w:jc w:val="right"/>
              <w:ind w:right="376"/>
              <w:spacing w:after="0"/>
              <w:rPr>
                <w:sz w:val="20"/>
                <w:szCs w:val="20"/>
                <w:color w:val="auto"/>
              </w:rPr>
            </w:pPr>
            <w:r>
              <w:rPr>
                <w:rFonts w:ascii="Arial" w:cs="Arial" w:eastAsia="Arial" w:hAnsi="Arial"/>
                <w:sz w:val="18"/>
                <w:szCs w:val="18"/>
                <w:color w:val="auto"/>
              </w:rPr>
              <w:t>1,416</w:t>
            </w:r>
          </w:p>
        </w:tc>
        <w:tc>
          <w:tcPr>
            <w:tcW w:w="460" w:type="dxa"/>
            <w:vAlign w:val="bottom"/>
            <w:shd w:val="clear" w:color="auto" w:fill="E5E5E5"/>
          </w:tcPr>
          <w:p>
            <w:pPr>
              <w:spacing w:after="0"/>
              <w:rPr>
                <w:sz w:val="18"/>
                <w:szCs w:val="18"/>
                <w:color w:val="auto"/>
              </w:rPr>
            </w:pPr>
          </w:p>
        </w:tc>
        <w:tc>
          <w:tcPr>
            <w:tcW w:w="1100" w:type="dxa"/>
            <w:vAlign w:val="bottom"/>
            <w:shd w:val="clear" w:color="auto" w:fill="E5E5E5"/>
          </w:tcPr>
          <w:p>
            <w:pPr>
              <w:jc w:val="right"/>
              <w:ind w:right="494"/>
              <w:spacing w:after="0"/>
              <w:rPr>
                <w:sz w:val="20"/>
                <w:szCs w:val="20"/>
                <w:color w:val="auto"/>
              </w:rPr>
            </w:pPr>
            <w:r>
              <w:rPr>
                <w:rFonts w:ascii="Arial" w:cs="Arial" w:eastAsia="Arial" w:hAnsi="Arial"/>
                <w:sz w:val="18"/>
                <w:szCs w:val="18"/>
                <w:color w:val="auto"/>
              </w:rPr>
              <w:t>371</w:t>
            </w:r>
          </w:p>
        </w:tc>
        <w:tc>
          <w:tcPr>
            <w:tcW w:w="1060" w:type="dxa"/>
            <w:vAlign w:val="bottom"/>
            <w:shd w:val="clear" w:color="auto" w:fill="E5E5E5"/>
          </w:tcPr>
          <w:p>
            <w:pPr>
              <w:jc w:val="right"/>
              <w:ind w:right="337"/>
              <w:spacing w:after="0"/>
              <w:rPr>
                <w:sz w:val="20"/>
                <w:szCs w:val="20"/>
                <w:color w:val="auto"/>
              </w:rPr>
            </w:pPr>
            <w:r>
              <w:rPr>
                <w:rFonts w:ascii="Arial" w:cs="Arial" w:eastAsia="Arial" w:hAnsi="Arial"/>
                <w:sz w:val="18"/>
                <w:szCs w:val="18"/>
                <w:color w:val="auto"/>
              </w:rPr>
              <w:t>1,045</w:t>
            </w:r>
          </w:p>
        </w:tc>
        <w:tc>
          <w:tcPr>
            <w:tcW w:w="42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Corporate and Other</w:t>
            </w:r>
          </w:p>
        </w:tc>
        <w:tc>
          <w:tcPr>
            <w:tcW w:w="1540" w:type="dxa"/>
            <w:vAlign w:val="bottom"/>
            <w:gridSpan w:val="2"/>
          </w:tcPr>
          <w:p>
            <w:pPr>
              <w:jc w:val="right"/>
              <w:ind w:right="272"/>
              <w:spacing w:after="0"/>
              <w:rPr>
                <w:sz w:val="20"/>
                <w:szCs w:val="20"/>
                <w:color w:val="auto"/>
              </w:rPr>
            </w:pPr>
            <w:r>
              <w:rPr>
                <w:rFonts w:ascii="Arial" w:cs="Arial" w:eastAsia="Arial" w:hAnsi="Arial"/>
                <w:sz w:val="18"/>
                <w:szCs w:val="18"/>
                <w:color w:val="auto"/>
              </w:rPr>
              <w:t>174</w:t>
            </w:r>
          </w:p>
        </w:tc>
        <w:tc>
          <w:tcPr>
            <w:tcW w:w="600" w:type="dxa"/>
            <w:vAlign w:val="bottom"/>
          </w:tcPr>
          <w:p>
            <w:pPr>
              <w:spacing w:after="0"/>
              <w:rPr>
                <w:sz w:val="18"/>
                <w:szCs w:val="18"/>
                <w:color w:val="auto"/>
              </w:rPr>
            </w:pPr>
          </w:p>
        </w:tc>
        <w:tc>
          <w:tcPr>
            <w:tcW w:w="1580" w:type="dxa"/>
            <w:vAlign w:val="bottom"/>
          </w:tcPr>
          <w:p>
            <w:pPr>
              <w:jc w:val="right"/>
              <w:ind w:right="316"/>
              <w:spacing w:after="0"/>
              <w:rPr>
                <w:sz w:val="20"/>
                <w:szCs w:val="20"/>
                <w:color w:val="auto"/>
              </w:rPr>
            </w:pPr>
            <w:r>
              <w:rPr>
                <w:rFonts w:ascii="Arial" w:cs="Arial" w:eastAsia="Arial" w:hAnsi="Arial"/>
                <w:sz w:val="18"/>
                <w:szCs w:val="18"/>
                <w:color w:val="auto"/>
              </w:rPr>
              <w:t>(197)</w:t>
            </w:r>
          </w:p>
        </w:tc>
        <w:tc>
          <w:tcPr>
            <w:tcW w:w="460" w:type="dxa"/>
            <w:vAlign w:val="bottom"/>
          </w:tcPr>
          <w:p>
            <w:pPr>
              <w:spacing w:after="0"/>
              <w:rPr>
                <w:sz w:val="18"/>
                <w:szCs w:val="18"/>
                <w:color w:val="auto"/>
              </w:rPr>
            </w:pPr>
          </w:p>
        </w:tc>
        <w:tc>
          <w:tcPr>
            <w:tcW w:w="1100" w:type="dxa"/>
            <w:vAlign w:val="bottom"/>
          </w:tcPr>
          <w:p>
            <w:pPr>
              <w:jc w:val="right"/>
              <w:ind w:right="494"/>
              <w:spacing w:after="0"/>
              <w:rPr>
                <w:sz w:val="20"/>
                <w:szCs w:val="20"/>
                <w:color w:val="auto"/>
              </w:rPr>
            </w:pPr>
            <w:r>
              <w:rPr>
                <w:rFonts w:ascii="Arial" w:cs="Arial" w:eastAsia="Arial" w:hAnsi="Arial"/>
                <w:sz w:val="18"/>
                <w:szCs w:val="18"/>
                <w:color w:val="auto"/>
              </w:rPr>
              <w:t>27</w:t>
            </w:r>
          </w:p>
        </w:tc>
        <w:tc>
          <w:tcPr>
            <w:tcW w:w="1060" w:type="dxa"/>
            <w:vAlign w:val="bottom"/>
          </w:tcPr>
          <w:p>
            <w:pPr>
              <w:jc w:val="right"/>
              <w:ind w:right="277"/>
              <w:spacing w:after="0"/>
              <w:rPr>
                <w:sz w:val="20"/>
                <w:szCs w:val="20"/>
                <w:color w:val="auto"/>
              </w:rPr>
            </w:pPr>
            <w:r>
              <w:rPr>
                <w:rFonts w:ascii="Arial" w:cs="Arial" w:eastAsia="Arial" w:hAnsi="Arial"/>
                <w:sz w:val="18"/>
                <w:szCs w:val="18"/>
                <w:color w:val="auto"/>
              </w:rPr>
              <w:t>(224)</w:t>
            </w:r>
          </w:p>
        </w:tc>
        <w:tc>
          <w:tcPr>
            <w:tcW w:w="42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39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(c)</w:t>
            </w:r>
          </w:p>
        </w:tc>
        <w:tc>
          <w:tcPr>
            <w:tcW w:w="1540" w:type="dxa"/>
            <w:vAlign w:val="bottom"/>
            <w:tcBorders>
              <w:bottom w:val="single" w:sz="8" w:color="auto"/>
            </w:tcBorders>
            <w:gridSpan w:val="2"/>
            <w:shd w:val="clear" w:color="auto" w:fill="E5E5E5"/>
          </w:tcPr>
          <w:p>
            <w:pPr>
              <w:jc w:val="right"/>
              <w:ind w:right="212"/>
              <w:spacing w:after="0"/>
              <w:rPr>
                <w:sz w:val="20"/>
                <w:szCs w:val="20"/>
                <w:color w:val="auto"/>
              </w:rPr>
            </w:pPr>
            <w:r>
              <w:rPr>
                <w:rFonts w:ascii="Arial" w:cs="Arial" w:eastAsia="Arial" w:hAnsi="Arial"/>
                <w:sz w:val="18"/>
                <w:szCs w:val="18"/>
                <w:color w:val="auto"/>
              </w:rPr>
              <w:t>(345)</w:t>
            </w:r>
          </w:p>
        </w:tc>
        <w:tc>
          <w:tcPr>
            <w:tcW w:w="600" w:type="dxa"/>
            <w:vAlign w:val="bottom"/>
            <w:tcBorders>
              <w:bottom w:val="single" w:sz="8" w:color="auto"/>
            </w:tcBorders>
            <w:shd w:val="clear" w:color="auto" w:fill="E5E5E5"/>
          </w:tcPr>
          <w:p>
            <w:pPr>
              <w:spacing w:after="0"/>
              <w:rPr>
                <w:sz w:val="18"/>
                <w:szCs w:val="18"/>
                <w:color w:val="auto"/>
              </w:rPr>
            </w:pPr>
          </w:p>
        </w:tc>
        <w:tc>
          <w:tcPr>
            <w:tcW w:w="1580" w:type="dxa"/>
            <w:vAlign w:val="bottom"/>
            <w:tcBorders>
              <w:bottom w:val="single" w:sz="8" w:color="auto"/>
            </w:tcBorders>
            <w:shd w:val="clear" w:color="auto" w:fill="E5E5E5"/>
          </w:tcPr>
          <w:p>
            <w:pPr>
              <w:jc w:val="right"/>
              <w:ind w:right="376"/>
              <w:spacing w:after="0"/>
              <w:rPr>
                <w:sz w:val="20"/>
                <w:szCs w:val="20"/>
                <w:color w:val="auto"/>
              </w:rPr>
            </w:pPr>
            <w:r>
              <w:rPr>
                <w:rFonts w:ascii="Arial" w:cs="Arial" w:eastAsia="Arial" w:hAnsi="Arial"/>
                <w:sz w:val="18"/>
                <w:szCs w:val="18"/>
                <w:color w:val="auto"/>
              </w:rPr>
              <w:t>21</w:t>
            </w:r>
          </w:p>
        </w:tc>
        <w:tc>
          <w:tcPr>
            <w:tcW w:w="460" w:type="dxa"/>
            <w:vAlign w:val="bottom"/>
            <w:tcBorders>
              <w:bottom w:val="single" w:sz="8" w:color="auto"/>
            </w:tcBorders>
            <w:shd w:val="clear" w:color="auto" w:fill="E5E5E5"/>
          </w:tcPr>
          <w:p>
            <w:pPr>
              <w:spacing w:after="0"/>
              <w:rPr>
                <w:sz w:val="18"/>
                <w:szCs w:val="18"/>
                <w:color w:val="auto"/>
              </w:rPr>
            </w:pPr>
          </w:p>
        </w:tc>
        <w:tc>
          <w:tcPr>
            <w:tcW w:w="1100" w:type="dxa"/>
            <w:vAlign w:val="bottom"/>
            <w:tcBorders>
              <w:bottom w:val="single" w:sz="8" w:color="auto"/>
            </w:tcBorders>
            <w:shd w:val="clear" w:color="auto" w:fill="E5E5E5"/>
          </w:tcPr>
          <w:p>
            <w:pPr>
              <w:jc w:val="right"/>
              <w:ind w:right="494"/>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E5E5E5"/>
          </w:tcPr>
          <w:p>
            <w:pPr>
              <w:jc w:val="right"/>
              <w:ind w:right="337"/>
              <w:spacing w:after="0"/>
              <w:rPr>
                <w:sz w:val="20"/>
                <w:szCs w:val="20"/>
                <w:color w:val="auto"/>
              </w:rPr>
            </w:pPr>
            <w:r>
              <w:rPr>
                <w:rFonts w:ascii="Arial" w:cs="Arial" w:eastAsia="Arial" w:hAnsi="Arial"/>
                <w:sz w:val="18"/>
                <w:szCs w:val="18"/>
                <w:color w:val="auto"/>
              </w:rPr>
              <w:t>21</w:t>
            </w:r>
          </w:p>
        </w:tc>
        <w:tc>
          <w:tcPr>
            <w:tcW w:w="42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Comcast Consolidated</w:t>
            </w:r>
          </w:p>
        </w:tc>
        <w:tc>
          <w:tcPr>
            <w:tcW w:w="1540" w:type="dxa"/>
            <w:vAlign w:val="bottom"/>
            <w:tcBorders>
              <w:bottom w:val="single" w:sz="8" w:color="auto"/>
            </w:tcBorders>
            <w:gridSpan w:val="2"/>
          </w:tcPr>
          <w:p>
            <w:pPr>
              <w:jc w:val="right"/>
              <w:ind w:right="272"/>
              <w:spacing w:after="0"/>
              <w:rPr>
                <w:sz w:val="20"/>
                <w:szCs w:val="20"/>
                <w:color w:val="auto"/>
              </w:rPr>
            </w:pPr>
            <w:r>
              <w:rPr>
                <w:rFonts w:ascii="Arial" w:cs="Arial" w:eastAsia="Arial" w:hAnsi="Arial"/>
                <w:sz w:val="18"/>
                <w:szCs w:val="18"/>
                <w:b w:val="1"/>
                <w:bCs w:val="1"/>
                <w:color w:val="auto"/>
              </w:rPr>
              <w:t>$ 16,791</w:t>
            </w:r>
          </w:p>
        </w:tc>
        <w:tc>
          <w:tcPr>
            <w:tcW w:w="60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w:t>
            </w:r>
          </w:p>
        </w:tc>
        <w:tc>
          <w:tcPr>
            <w:tcW w:w="1580" w:type="dxa"/>
            <w:vAlign w:val="bottom"/>
            <w:tcBorders>
              <w:bottom w:val="single" w:sz="8" w:color="auto"/>
            </w:tcBorders>
          </w:tcPr>
          <w:p>
            <w:pPr>
              <w:jc w:val="right"/>
              <w:ind w:right="376"/>
              <w:spacing w:after="0"/>
              <w:rPr>
                <w:sz w:val="20"/>
                <w:szCs w:val="20"/>
                <w:color w:val="auto"/>
              </w:rPr>
            </w:pPr>
            <w:r>
              <w:rPr>
                <w:rFonts w:ascii="Arial" w:cs="Arial" w:eastAsia="Arial" w:hAnsi="Arial"/>
                <w:sz w:val="18"/>
                <w:szCs w:val="18"/>
                <w:b w:val="1"/>
                <w:bCs w:val="1"/>
                <w:color w:val="auto"/>
              </w:rPr>
              <w:t>5,704</w:t>
            </w:r>
          </w:p>
        </w:tc>
        <w:tc>
          <w:tcPr>
            <w:tcW w:w="46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8"/>
                <w:szCs w:val="18"/>
                <w:b w:val="1"/>
                <w:bCs w:val="1"/>
                <w:color w:val="auto"/>
              </w:rPr>
              <w:t>1,959</w:t>
            </w:r>
          </w:p>
        </w:tc>
        <w:tc>
          <w:tcPr>
            <w:tcW w:w="1060" w:type="dxa"/>
            <w:vAlign w:val="bottom"/>
            <w:tcBorders>
              <w:bottom w:val="single" w:sz="8" w:color="auto"/>
            </w:tcBorders>
          </w:tcPr>
          <w:p>
            <w:pPr>
              <w:jc w:val="right"/>
              <w:ind w:right="337"/>
              <w:spacing w:after="0"/>
              <w:rPr>
                <w:sz w:val="20"/>
                <w:szCs w:val="20"/>
                <w:color w:val="auto"/>
              </w:rPr>
            </w:pPr>
            <w:r>
              <w:rPr>
                <w:rFonts w:ascii="Arial" w:cs="Arial" w:eastAsia="Arial" w:hAnsi="Arial"/>
                <w:sz w:val="18"/>
                <w:szCs w:val="18"/>
                <w:b w:val="1"/>
                <w:bCs w:val="1"/>
                <w:color w:val="auto"/>
              </w:rPr>
              <w:t>$ 3,745</w:t>
            </w:r>
          </w:p>
        </w:tc>
        <w:tc>
          <w:tcPr>
            <w:tcW w:w="42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1,950</w:t>
            </w:r>
          </w:p>
        </w:tc>
        <w:tc>
          <w:tcPr>
            <w:tcW w:w="0" w:type="dxa"/>
            <w:vAlign w:val="bottom"/>
          </w:tcPr>
          <w:p>
            <w:pPr>
              <w:spacing w:after="0"/>
              <w:rPr>
                <w:sz w:val="1"/>
                <w:szCs w:val="1"/>
                <w:color w:val="auto"/>
              </w:rPr>
            </w:pPr>
          </w:p>
        </w:tc>
      </w:tr>
      <w:tr>
        <w:trPr>
          <w:trHeight w:val="284"/>
        </w:trPr>
        <w:tc>
          <w:tcPr>
            <w:tcW w:w="3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3"/>
          </w:tcPr>
          <w:p>
            <w:pPr>
              <w:jc w:val="right"/>
              <w:ind w:right="34"/>
              <w:spacing w:after="0"/>
              <w:rPr>
                <w:sz w:val="20"/>
                <w:szCs w:val="20"/>
                <w:color w:val="auto"/>
              </w:rPr>
            </w:pPr>
            <w:r>
              <w:rPr>
                <w:rFonts w:ascii="Arial" w:cs="Arial" w:eastAsia="Arial" w:hAnsi="Arial"/>
                <w:sz w:val="14"/>
                <w:szCs w:val="14"/>
                <w:color w:val="auto"/>
              </w:rPr>
              <w:t>Nine Months Ended September 30, 2015</w:t>
            </w:r>
          </w:p>
        </w:tc>
        <w:tc>
          <w:tcPr>
            <w:tcW w:w="10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3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180" w:type="dxa"/>
            <w:vAlign w:val="bottom"/>
            <w:gridSpan w:val="2"/>
          </w:tcPr>
          <w:p>
            <w:pPr>
              <w:ind w:left="480"/>
              <w:spacing w:after="0" w:line="131" w:lineRule="exact"/>
              <w:rPr>
                <w:sz w:val="20"/>
                <w:szCs w:val="20"/>
                <w:color w:val="auto"/>
              </w:rPr>
            </w:pPr>
            <w:r>
              <w:rPr>
                <w:rFonts w:ascii="Arial" w:cs="Arial" w:eastAsia="Arial" w:hAnsi="Arial"/>
                <w:sz w:val="14"/>
                <w:szCs w:val="14"/>
                <w:color w:val="auto"/>
              </w:rPr>
              <w:t>Operating Income (Loss)</w:t>
            </w:r>
          </w:p>
        </w:tc>
        <w:tc>
          <w:tcPr>
            <w:tcW w:w="1560" w:type="dxa"/>
            <w:vAlign w:val="bottom"/>
            <w:gridSpan w:val="2"/>
          </w:tcPr>
          <w:p>
            <w:pPr>
              <w:ind w:left="340"/>
              <w:spacing w:after="0" w:line="131" w:lineRule="exact"/>
              <w:rPr>
                <w:sz w:val="20"/>
                <w:szCs w:val="20"/>
                <w:color w:val="auto"/>
              </w:rPr>
            </w:pPr>
            <w:r>
              <w:rPr>
                <w:rFonts w:ascii="Arial" w:cs="Arial" w:eastAsia="Arial" w:hAnsi="Arial"/>
                <w:sz w:val="14"/>
                <w:szCs w:val="14"/>
                <w:color w:val="auto"/>
              </w:rPr>
              <w:t>Depreciation</w:t>
            </w:r>
          </w:p>
        </w:tc>
        <w:tc>
          <w:tcPr>
            <w:tcW w:w="1060" w:type="dxa"/>
            <w:vAlign w:val="bottom"/>
          </w:tcPr>
          <w:p>
            <w:pPr>
              <w:jc w:val="center"/>
              <w:ind w:right="157"/>
              <w:spacing w:after="0" w:line="131" w:lineRule="exact"/>
              <w:rPr>
                <w:sz w:val="20"/>
                <w:szCs w:val="20"/>
                <w:color w:val="auto"/>
              </w:rPr>
            </w:pPr>
            <w:r>
              <w:rPr>
                <w:rFonts w:ascii="Arial" w:cs="Arial" w:eastAsia="Arial" w:hAnsi="Arial"/>
                <w:sz w:val="14"/>
                <w:szCs w:val="14"/>
                <w:color w:val="auto"/>
                <w:w w:val="87"/>
              </w:rPr>
              <w:t>Operating</w:t>
            </w: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3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vMerge w:val="restart"/>
          </w:tcPr>
          <w:p>
            <w:pPr>
              <w:jc w:val="right"/>
              <w:ind w:right="92"/>
              <w:spacing w:after="0"/>
              <w:rPr>
                <w:sz w:val="20"/>
                <w:szCs w:val="20"/>
                <w:color w:val="auto"/>
              </w:rPr>
            </w:pPr>
            <w:r>
              <w:rPr>
                <w:rFonts w:ascii="Arial" w:cs="Arial" w:eastAsia="Arial" w:hAnsi="Arial"/>
                <w:sz w:val="14"/>
                <w:szCs w:val="14"/>
                <w:color w:val="auto"/>
              </w:rPr>
              <w:t>Revenue</w:t>
            </w:r>
            <w:r>
              <w:rPr>
                <w:rFonts w:ascii="Arial" w:cs="Arial" w:eastAsia="Arial" w:hAnsi="Arial"/>
                <w:sz w:val="22"/>
                <w:szCs w:val="22"/>
                <w:color w:val="auto"/>
                <w:vertAlign w:val="superscript"/>
              </w:rPr>
              <w:t>(d)</w:t>
            </w:r>
          </w:p>
        </w:tc>
        <w:tc>
          <w:tcPr>
            <w:tcW w:w="2180" w:type="dxa"/>
            <w:vAlign w:val="bottom"/>
            <w:gridSpan w:val="2"/>
          </w:tcPr>
          <w:p>
            <w:pPr>
              <w:ind w:left="500"/>
              <w:spacing w:after="0" w:line="133" w:lineRule="exact"/>
              <w:rPr>
                <w:sz w:val="20"/>
                <w:szCs w:val="20"/>
                <w:color w:val="auto"/>
              </w:rPr>
            </w:pPr>
            <w:r>
              <w:rPr>
                <w:rFonts w:ascii="Arial" w:cs="Arial" w:eastAsia="Arial" w:hAnsi="Arial"/>
                <w:sz w:val="14"/>
                <w:szCs w:val="14"/>
                <w:color w:val="auto"/>
              </w:rPr>
              <w:t>Before Depreciation and</w:t>
            </w:r>
          </w:p>
        </w:tc>
        <w:tc>
          <w:tcPr>
            <w:tcW w:w="460" w:type="dxa"/>
            <w:vAlign w:val="bottom"/>
          </w:tcPr>
          <w:p>
            <w:pPr>
              <w:spacing w:after="0"/>
              <w:rPr>
                <w:sz w:val="11"/>
                <w:szCs w:val="11"/>
                <w:color w:val="auto"/>
              </w:rPr>
            </w:pPr>
          </w:p>
        </w:tc>
        <w:tc>
          <w:tcPr>
            <w:tcW w:w="1100" w:type="dxa"/>
            <w:vAlign w:val="bottom"/>
          </w:tcPr>
          <w:p>
            <w:pPr>
              <w:jc w:val="right"/>
              <w:ind w:right="694"/>
              <w:spacing w:after="0" w:line="133" w:lineRule="exact"/>
              <w:rPr>
                <w:sz w:val="20"/>
                <w:szCs w:val="20"/>
                <w:color w:val="auto"/>
              </w:rPr>
            </w:pPr>
            <w:r>
              <w:rPr>
                <w:rFonts w:ascii="Arial" w:cs="Arial" w:eastAsia="Arial" w:hAnsi="Arial"/>
                <w:sz w:val="14"/>
                <w:szCs w:val="14"/>
                <w:color w:val="auto"/>
              </w:rPr>
              <w:t>and</w:t>
            </w:r>
          </w:p>
        </w:tc>
        <w:tc>
          <w:tcPr>
            <w:tcW w:w="1060" w:type="dxa"/>
            <w:vAlign w:val="bottom"/>
          </w:tcPr>
          <w:p>
            <w:pPr>
              <w:jc w:val="center"/>
              <w:ind w:right="157"/>
              <w:spacing w:after="0" w:line="133" w:lineRule="exact"/>
              <w:rPr>
                <w:sz w:val="20"/>
                <w:szCs w:val="20"/>
                <w:color w:val="auto"/>
              </w:rPr>
            </w:pPr>
            <w:r>
              <w:rPr>
                <w:rFonts w:ascii="Arial" w:cs="Arial" w:eastAsia="Arial" w:hAnsi="Arial"/>
                <w:sz w:val="14"/>
                <w:szCs w:val="14"/>
                <w:color w:val="auto"/>
                <w:w w:val="91"/>
              </w:rPr>
              <w:t>Income</w:t>
            </w:r>
          </w:p>
        </w:tc>
        <w:tc>
          <w:tcPr>
            <w:tcW w:w="420" w:type="dxa"/>
            <w:vAlign w:val="bottom"/>
          </w:tcPr>
          <w:p>
            <w:pPr>
              <w:spacing w:after="0"/>
              <w:rPr>
                <w:sz w:val="11"/>
                <w:szCs w:val="11"/>
                <w:color w:val="auto"/>
              </w:rPr>
            </w:pPr>
          </w:p>
        </w:tc>
        <w:tc>
          <w:tcPr>
            <w:tcW w:w="680" w:type="dxa"/>
            <w:vAlign w:val="bottom"/>
          </w:tcPr>
          <w:p>
            <w:pPr>
              <w:jc w:val="right"/>
              <w:ind w:right="174"/>
              <w:spacing w:after="0" w:line="133" w:lineRule="exact"/>
              <w:rPr>
                <w:sz w:val="20"/>
                <w:szCs w:val="20"/>
                <w:color w:val="auto"/>
              </w:rPr>
            </w:pPr>
            <w:r>
              <w:rPr>
                <w:rFonts w:ascii="Arial" w:cs="Arial" w:eastAsia="Arial" w:hAnsi="Arial"/>
                <w:sz w:val="14"/>
                <w:szCs w:val="14"/>
                <w:color w:val="auto"/>
                <w:w w:val="91"/>
              </w:rPr>
              <w:t>Capital</w:t>
            </w:r>
          </w:p>
        </w:tc>
        <w:tc>
          <w:tcPr>
            <w:tcW w:w="0" w:type="dxa"/>
            <w:vAlign w:val="bottom"/>
          </w:tcPr>
          <w:p>
            <w:pPr>
              <w:spacing w:after="0"/>
              <w:rPr>
                <w:sz w:val="1"/>
                <w:szCs w:val="1"/>
                <w:color w:val="auto"/>
              </w:rPr>
            </w:pPr>
          </w:p>
        </w:tc>
      </w:tr>
      <w:tr>
        <w:trPr>
          <w:trHeight w:val="176"/>
        </w:trPr>
        <w:tc>
          <w:tcPr>
            <w:tcW w:w="39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2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vMerge w:val="continue"/>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center"/>
              <w:ind w:right="376"/>
              <w:spacing w:after="0" w:line="176" w:lineRule="exact"/>
              <w:rPr>
                <w:sz w:val="20"/>
                <w:szCs w:val="20"/>
                <w:color w:val="auto"/>
              </w:rPr>
            </w:pPr>
            <w:r>
              <w:rPr>
                <w:rFonts w:ascii="Arial" w:cs="Arial" w:eastAsia="Arial" w:hAnsi="Arial"/>
                <w:sz w:val="13"/>
                <w:szCs w:val="13"/>
                <w:color w:val="auto"/>
                <w:w w:val="94"/>
              </w:rPr>
              <w:t>Amortization</w:t>
            </w:r>
            <w:r>
              <w:rPr>
                <w:rFonts w:ascii="Arial" w:cs="Arial" w:eastAsia="Arial" w:hAnsi="Arial"/>
                <w:sz w:val="20"/>
                <w:szCs w:val="20"/>
                <w:color w:val="auto"/>
                <w:w w:val="94"/>
                <w:vertAlign w:val="superscript"/>
              </w:rPr>
              <w:t>(e)</w:t>
            </w:r>
          </w:p>
        </w:tc>
        <w:tc>
          <w:tcPr>
            <w:tcW w:w="156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color w:val="auto"/>
              </w:rPr>
              <w:t>Amortization</w:t>
            </w:r>
          </w:p>
        </w:tc>
        <w:tc>
          <w:tcPr>
            <w:tcW w:w="106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color w:val="auto"/>
                <w:w w:val="87"/>
              </w:rPr>
              <w:t>(Loss)</w:t>
            </w:r>
          </w:p>
        </w:tc>
        <w:tc>
          <w:tcPr>
            <w:tcW w:w="110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color w:val="auto"/>
                <w:w w:val="95"/>
              </w:rPr>
              <w:t>Expenditures</w:t>
            </w:r>
          </w:p>
        </w:tc>
        <w:tc>
          <w:tcPr>
            <w:tcW w:w="0" w:type="dxa"/>
            <w:vAlign w:val="bottom"/>
          </w:tcPr>
          <w:p>
            <w:pPr>
              <w:spacing w:after="0"/>
              <w:rPr>
                <w:sz w:val="1"/>
                <w:szCs w:val="1"/>
                <w:color w:val="auto"/>
              </w:rPr>
            </w:pPr>
          </w:p>
        </w:tc>
      </w:tr>
      <w:tr>
        <w:trPr>
          <w:trHeight w:val="210"/>
        </w:trPr>
        <w:tc>
          <w:tcPr>
            <w:tcW w:w="3980" w:type="dxa"/>
            <w:vAlign w:val="bottom"/>
            <w:shd w:val="clear" w:color="auto" w:fill="E5E5E5"/>
          </w:tcPr>
          <w:p>
            <w:pPr>
              <w:spacing w:after="0"/>
              <w:rPr>
                <w:sz w:val="20"/>
                <w:szCs w:val="20"/>
                <w:color w:val="auto"/>
              </w:rPr>
            </w:pPr>
            <w:r>
              <w:rPr>
                <w:rFonts w:ascii="Arial" w:cs="Arial" w:eastAsia="Arial" w:hAnsi="Arial"/>
                <w:sz w:val="18"/>
                <w:szCs w:val="18"/>
                <w:color w:val="auto"/>
              </w:rPr>
              <w:t>Cable Communications</w:t>
            </w:r>
            <w:r>
              <w:rPr>
                <w:rFonts w:ascii="Arial" w:cs="Arial" w:eastAsia="Arial" w:hAnsi="Arial"/>
                <w:sz w:val="11"/>
                <w:szCs w:val="11"/>
                <w:color w:val="auto"/>
              </w:rPr>
              <w:t>(a)</w:t>
            </w:r>
          </w:p>
        </w:tc>
        <w:tc>
          <w:tcPr>
            <w:tcW w:w="1540" w:type="dxa"/>
            <w:vAlign w:val="bottom"/>
            <w:gridSpan w:val="2"/>
            <w:shd w:val="clear" w:color="auto" w:fill="E5E5E5"/>
          </w:tcPr>
          <w:p>
            <w:pPr>
              <w:jc w:val="right"/>
              <w:ind w:right="92"/>
              <w:spacing w:after="0"/>
              <w:rPr>
                <w:sz w:val="20"/>
                <w:szCs w:val="20"/>
                <w:color w:val="auto"/>
              </w:rPr>
            </w:pPr>
            <w:r>
              <w:rPr>
                <w:rFonts w:ascii="Arial" w:cs="Arial" w:eastAsia="Arial" w:hAnsi="Arial"/>
                <w:sz w:val="18"/>
                <w:szCs w:val="18"/>
                <w:color w:val="auto"/>
              </w:rPr>
              <w:t>$ 34,899</w:t>
            </w:r>
          </w:p>
        </w:tc>
        <w:tc>
          <w:tcPr>
            <w:tcW w:w="600" w:type="dxa"/>
            <w:vAlign w:val="bottom"/>
            <w:shd w:val="clear" w:color="auto" w:fill="E5E5E5"/>
          </w:tcPr>
          <w:p>
            <w:pPr>
              <w:ind w:left="48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E5E5E5"/>
          </w:tcPr>
          <w:p>
            <w:pPr>
              <w:jc w:val="right"/>
              <w:ind w:right="256"/>
              <w:spacing w:after="0"/>
              <w:rPr>
                <w:sz w:val="20"/>
                <w:szCs w:val="20"/>
                <w:color w:val="auto"/>
              </w:rPr>
            </w:pPr>
            <w:r>
              <w:rPr>
                <w:rFonts w:ascii="Arial" w:cs="Arial" w:eastAsia="Arial" w:hAnsi="Arial"/>
                <w:sz w:val="18"/>
                <w:szCs w:val="18"/>
                <w:color w:val="auto"/>
              </w:rPr>
              <w:t>14,220</w:t>
            </w:r>
          </w:p>
        </w:tc>
        <w:tc>
          <w:tcPr>
            <w:tcW w:w="460" w:type="dxa"/>
            <w:vAlign w:val="bottom"/>
            <w:shd w:val="clear" w:color="auto" w:fill="E5E5E5"/>
          </w:tcPr>
          <w:p>
            <w:pPr>
              <w:ind w:left="3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E5E5E5"/>
          </w:tcPr>
          <w:p>
            <w:pPr>
              <w:jc w:val="right"/>
              <w:ind w:right="434"/>
              <w:spacing w:after="0"/>
              <w:rPr>
                <w:sz w:val="20"/>
                <w:szCs w:val="20"/>
                <w:color w:val="auto"/>
              </w:rPr>
            </w:pPr>
            <w:r>
              <w:rPr>
                <w:rFonts w:ascii="Arial" w:cs="Arial" w:eastAsia="Arial" w:hAnsi="Arial"/>
                <w:sz w:val="18"/>
                <w:szCs w:val="18"/>
                <w:color w:val="auto"/>
              </w:rPr>
              <w:t>5,178</w:t>
            </w:r>
          </w:p>
        </w:tc>
        <w:tc>
          <w:tcPr>
            <w:tcW w:w="1060" w:type="dxa"/>
            <w:vAlign w:val="bottom"/>
            <w:shd w:val="clear" w:color="auto" w:fill="E5E5E5"/>
          </w:tcPr>
          <w:p>
            <w:pPr>
              <w:jc w:val="right"/>
              <w:ind w:right="277"/>
              <w:spacing w:after="0"/>
              <w:rPr>
                <w:sz w:val="20"/>
                <w:szCs w:val="20"/>
                <w:color w:val="auto"/>
              </w:rPr>
            </w:pPr>
            <w:r>
              <w:rPr>
                <w:rFonts w:ascii="Arial" w:cs="Arial" w:eastAsia="Arial" w:hAnsi="Arial"/>
                <w:sz w:val="18"/>
                <w:szCs w:val="18"/>
                <w:color w:val="auto"/>
              </w:rPr>
              <w:t>$ 9,042</w:t>
            </w:r>
          </w:p>
        </w:tc>
        <w:tc>
          <w:tcPr>
            <w:tcW w:w="420" w:type="dxa"/>
            <w:vAlign w:val="bottom"/>
            <w:shd w:val="clear" w:color="auto" w:fill="E5E5E5"/>
          </w:tcPr>
          <w:p>
            <w:pPr>
              <w:ind w:left="280"/>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4,972</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NBCUniversal</w:t>
            </w: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Cable Networks</w:t>
            </w:r>
          </w:p>
        </w:tc>
        <w:tc>
          <w:tcPr>
            <w:tcW w:w="1540" w:type="dxa"/>
            <w:vAlign w:val="bottom"/>
            <w:gridSpan w:val="2"/>
            <w:shd w:val="clear" w:color="auto" w:fill="E5E5E5"/>
          </w:tcPr>
          <w:p>
            <w:pPr>
              <w:jc w:val="right"/>
              <w:ind w:right="92"/>
              <w:spacing w:after="0"/>
              <w:rPr>
                <w:sz w:val="20"/>
                <w:szCs w:val="20"/>
                <w:color w:val="auto"/>
              </w:rPr>
            </w:pPr>
            <w:r>
              <w:rPr>
                <w:rFonts w:ascii="Arial" w:cs="Arial" w:eastAsia="Arial" w:hAnsi="Arial"/>
                <w:sz w:val="18"/>
                <w:szCs w:val="18"/>
                <w:color w:val="auto"/>
              </w:rPr>
              <w:t>7,221</w:t>
            </w:r>
          </w:p>
        </w:tc>
        <w:tc>
          <w:tcPr>
            <w:tcW w:w="600" w:type="dxa"/>
            <w:vAlign w:val="bottom"/>
            <w:shd w:val="clear" w:color="auto" w:fill="E5E5E5"/>
          </w:tcPr>
          <w:p>
            <w:pPr>
              <w:spacing w:after="0"/>
              <w:rPr>
                <w:sz w:val="18"/>
                <w:szCs w:val="18"/>
                <w:color w:val="auto"/>
              </w:rPr>
            </w:pPr>
          </w:p>
        </w:tc>
        <w:tc>
          <w:tcPr>
            <w:tcW w:w="1580" w:type="dxa"/>
            <w:vAlign w:val="bottom"/>
            <w:shd w:val="clear" w:color="auto" w:fill="E5E5E5"/>
          </w:tcPr>
          <w:p>
            <w:pPr>
              <w:jc w:val="right"/>
              <w:ind w:right="256"/>
              <w:spacing w:after="0"/>
              <w:rPr>
                <w:sz w:val="20"/>
                <w:szCs w:val="20"/>
                <w:color w:val="auto"/>
              </w:rPr>
            </w:pPr>
            <w:r>
              <w:rPr>
                <w:rFonts w:ascii="Arial" w:cs="Arial" w:eastAsia="Arial" w:hAnsi="Arial"/>
                <w:sz w:val="18"/>
                <w:szCs w:val="18"/>
                <w:color w:val="auto"/>
              </w:rPr>
              <w:t>2,605</w:t>
            </w:r>
          </w:p>
        </w:tc>
        <w:tc>
          <w:tcPr>
            <w:tcW w:w="460" w:type="dxa"/>
            <w:vAlign w:val="bottom"/>
            <w:shd w:val="clear" w:color="auto" w:fill="E5E5E5"/>
          </w:tcPr>
          <w:p>
            <w:pPr>
              <w:spacing w:after="0"/>
              <w:rPr>
                <w:sz w:val="18"/>
                <w:szCs w:val="18"/>
                <w:color w:val="auto"/>
              </w:rPr>
            </w:pPr>
          </w:p>
        </w:tc>
        <w:tc>
          <w:tcPr>
            <w:tcW w:w="1100" w:type="dxa"/>
            <w:vAlign w:val="bottom"/>
            <w:shd w:val="clear" w:color="auto" w:fill="E5E5E5"/>
          </w:tcPr>
          <w:p>
            <w:pPr>
              <w:jc w:val="right"/>
              <w:ind w:right="434"/>
              <w:spacing w:after="0"/>
              <w:rPr>
                <w:sz w:val="20"/>
                <w:szCs w:val="20"/>
                <w:color w:val="auto"/>
              </w:rPr>
            </w:pPr>
            <w:r>
              <w:rPr>
                <w:rFonts w:ascii="Arial" w:cs="Arial" w:eastAsia="Arial" w:hAnsi="Arial"/>
                <w:sz w:val="18"/>
                <w:szCs w:val="18"/>
                <w:color w:val="auto"/>
              </w:rPr>
              <w:t>588</w:t>
            </w:r>
          </w:p>
        </w:tc>
        <w:tc>
          <w:tcPr>
            <w:tcW w:w="1060" w:type="dxa"/>
            <w:vAlign w:val="bottom"/>
            <w:shd w:val="clear" w:color="auto" w:fill="E5E5E5"/>
          </w:tcPr>
          <w:p>
            <w:pPr>
              <w:jc w:val="right"/>
              <w:ind w:right="277"/>
              <w:spacing w:after="0"/>
              <w:rPr>
                <w:sz w:val="20"/>
                <w:szCs w:val="20"/>
                <w:color w:val="auto"/>
              </w:rPr>
            </w:pPr>
            <w:r>
              <w:rPr>
                <w:rFonts w:ascii="Arial" w:cs="Arial" w:eastAsia="Arial" w:hAnsi="Arial"/>
                <w:sz w:val="18"/>
                <w:szCs w:val="18"/>
                <w:color w:val="auto"/>
              </w:rPr>
              <w:t>2,017</w:t>
            </w:r>
          </w:p>
        </w:tc>
        <w:tc>
          <w:tcPr>
            <w:tcW w:w="42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3980" w:type="dxa"/>
            <w:vAlign w:val="bottom"/>
          </w:tcPr>
          <w:p>
            <w:pPr>
              <w:ind w:left="440"/>
              <w:spacing w:after="0"/>
              <w:rPr>
                <w:sz w:val="20"/>
                <w:szCs w:val="20"/>
                <w:color w:val="auto"/>
              </w:rPr>
            </w:pPr>
            <w:r>
              <w:rPr>
                <w:rFonts w:ascii="Arial" w:cs="Arial" w:eastAsia="Arial" w:hAnsi="Arial"/>
                <w:sz w:val="18"/>
                <w:szCs w:val="18"/>
                <w:color w:val="auto"/>
              </w:rPr>
              <w:t>Broadcast Television</w:t>
            </w:r>
          </w:p>
        </w:tc>
        <w:tc>
          <w:tcPr>
            <w:tcW w:w="1540" w:type="dxa"/>
            <w:vAlign w:val="bottom"/>
            <w:gridSpan w:val="2"/>
          </w:tcPr>
          <w:p>
            <w:pPr>
              <w:jc w:val="right"/>
              <w:ind w:right="92"/>
              <w:spacing w:after="0"/>
              <w:rPr>
                <w:sz w:val="20"/>
                <w:szCs w:val="20"/>
                <w:color w:val="auto"/>
              </w:rPr>
            </w:pPr>
            <w:r>
              <w:rPr>
                <w:rFonts w:ascii="Arial" w:cs="Arial" w:eastAsia="Arial" w:hAnsi="Arial"/>
                <w:sz w:val="18"/>
                <w:szCs w:val="18"/>
                <w:color w:val="auto"/>
              </w:rPr>
              <w:t>6,032</w:t>
            </w:r>
          </w:p>
        </w:tc>
        <w:tc>
          <w:tcPr>
            <w:tcW w:w="600" w:type="dxa"/>
            <w:vAlign w:val="bottom"/>
          </w:tcPr>
          <w:p>
            <w:pPr>
              <w:spacing w:after="0"/>
              <w:rPr>
                <w:sz w:val="18"/>
                <w:szCs w:val="18"/>
                <w:color w:val="auto"/>
              </w:rPr>
            </w:pPr>
          </w:p>
        </w:tc>
        <w:tc>
          <w:tcPr>
            <w:tcW w:w="1580" w:type="dxa"/>
            <w:vAlign w:val="bottom"/>
          </w:tcPr>
          <w:p>
            <w:pPr>
              <w:jc w:val="right"/>
              <w:ind w:right="256"/>
              <w:spacing w:after="0"/>
              <w:rPr>
                <w:sz w:val="20"/>
                <w:szCs w:val="20"/>
                <w:color w:val="auto"/>
              </w:rPr>
            </w:pPr>
            <w:r>
              <w:rPr>
                <w:rFonts w:ascii="Arial" w:cs="Arial" w:eastAsia="Arial" w:hAnsi="Arial"/>
                <w:sz w:val="18"/>
                <w:szCs w:val="18"/>
                <w:color w:val="auto"/>
              </w:rPr>
              <w:t>563</w:t>
            </w:r>
          </w:p>
        </w:tc>
        <w:tc>
          <w:tcPr>
            <w:tcW w:w="460" w:type="dxa"/>
            <w:vAlign w:val="bottom"/>
          </w:tcPr>
          <w:p>
            <w:pPr>
              <w:spacing w:after="0"/>
              <w:rPr>
                <w:sz w:val="18"/>
                <w:szCs w:val="18"/>
                <w:color w:val="auto"/>
              </w:rPr>
            </w:pPr>
          </w:p>
        </w:tc>
        <w:tc>
          <w:tcPr>
            <w:tcW w:w="1100" w:type="dxa"/>
            <w:vAlign w:val="bottom"/>
          </w:tcPr>
          <w:p>
            <w:pPr>
              <w:jc w:val="right"/>
              <w:ind w:right="434"/>
              <w:spacing w:after="0"/>
              <w:rPr>
                <w:sz w:val="20"/>
                <w:szCs w:val="20"/>
                <w:color w:val="auto"/>
              </w:rPr>
            </w:pPr>
            <w:r>
              <w:rPr>
                <w:rFonts w:ascii="Arial" w:cs="Arial" w:eastAsia="Arial" w:hAnsi="Arial"/>
                <w:sz w:val="18"/>
                <w:szCs w:val="18"/>
                <w:color w:val="auto"/>
              </w:rPr>
              <w:t>85</w:t>
            </w:r>
          </w:p>
        </w:tc>
        <w:tc>
          <w:tcPr>
            <w:tcW w:w="1060" w:type="dxa"/>
            <w:vAlign w:val="bottom"/>
          </w:tcPr>
          <w:p>
            <w:pPr>
              <w:jc w:val="right"/>
              <w:ind w:right="277"/>
              <w:spacing w:after="0"/>
              <w:rPr>
                <w:sz w:val="20"/>
                <w:szCs w:val="20"/>
                <w:color w:val="auto"/>
              </w:rPr>
            </w:pPr>
            <w:r>
              <w:rPr>
                <w:rFonts w:ascii="Arial" w:cs="Arial" w:eastAsia="Arial" w:hAnsi="Arial"/>
                <w:sz w:val="18"/>
                <w:szCs w:val="18"/>
                <w:color w:val="auto"/>
              </w:rPr>
              <w:t>478</w:t>
            </w:r>
          </w:p>
        </w:tc>
        <w:tc>
          <w:tcPr>
            <w:tcW w:w="42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3980" w:type="dxa"/>
            <w:vAlign w:val="bottom"/>
            <w:shd w:val="clear" w:color="auto" w:fill="E5E5E5"/>
          </w:tcPr>
          <w:p>
            <w:pPr>
              <w:ind w:left="440"/>
              <w:spacing w:after="0"/>
              <w:rPr>
                <w:sz w:val="20"/>
                <w:szCs w:val="20"/>
                <w:color w:val="auto"/>
              </w:rPr>
            </w:pPr>
            <w:r>
              <w:rPr>
                <w:rFonts w:ascii="Arial" w:cs="Arial" w:eastAsia="Arial" w:hAnsi="Arial"/>
                <w:sz w:val="18"/>
                <w:szCs w:val="18"/>
                <w:color w:val="auto"/>
              </w:rPr>
              <w:t>Filmed Entertainment</w:t>
            </w:r>
          </w:p>
        </w:tc>
        <w:tc>
          <w:tcPr>
            <w:tcW w:w="1540" w:type="dxa"/>
            <w:vAlign w:val="bottom"/>
            <w:gridSpan w:val="2"/>
            <w:shd w:val="clear" w:color="auto" w:fill="E5E5E5"/>
          </w:tcPr>
          <w:p>
            <w:pPr>
              <w:jc w:val="right"/>
              <w:ind w:right="92"/>
              <w:spacing w:after="0"/>
              <w:rPr>
                <w:sz w:val="20"/>
                <w:szCs w:val="20"/>
                <w:color w:val="auto"/>
              </w:rPr>
            </w:pPr>
            <w:r>
              <w:rPr>
                <w:rFonts w:ascii="Arial" w:cs="Arial" w:eastAsia="Arial" w:hAnsi="Arial"/>
                <w:sz w:val="18"/>
                <w:szCs w:val="18"/>
                <w:color w:val="auto"/>
              </w:rPr>
              <w:t>5,658</w:t>
            </w:r>
          </w:p>
        </w:tc>
        <w:tc>
          <w:tcPr>
            <w:tcW w:w="600" w:type="dxa"/>
            <w:vAlign w:val="bottom"/>
            <w:shd w:val="clear" w:color="auto" w:fill="E5E5E5"/>
          </w:tcPr>
          <w:p>
            <w:pPr>
              <w:spacing w:after="0"/>
              <w:rPr>
                <w:sz w:val="18"/>
                <w:szCs w:val="18"/>
                <w:color w:val="auto"/>
              </w:rPr>
            </w:pPr>
          </w:p>
        </w:tc>
        <w:tc>
          <w:tcPr>
            <w:tcW w:w="1580" w:type="dxa"/>
            <w:vAlign w:val="bottom"/>
            <w:shd w:val="clear" w:color="auto" w:fill="E5E5E5"/>
          </w:tcPr>
          <w:p>
            <w:pPr>
              <w:jc w:val="right"/>
              <w:ind w:right="256"/>
              <w:spacing w:after="0"/>
              <w:rPr>
                <w:sz w:val="20"/>
                <w:szCs w:val="20"/>
                <w:color w:val="auto"/>
              </w:rPr>
            </w:pPr>
            <w:r>
              <w:rPr>
                <w:rFonts w:ascii="Arial" w:cs="Arial" w:eastAsia="Arial" w:hAnsi="Arial"/>
                <w:sz w:val="18"/>
                <w:szCs w:val="18"/>
                <w:color w:val="auto"/>
              </w:rPr>
              <w:t>1,091</w:t>
            </w:r>
          </w:p>
        </w:tc>
        <w:tc>
          <w:tcPr>
            <w:tcW w:w="460" w:type="dxa"/>
            <w:vAlign w:val="bottom"/>
            <w:shd w:val="clear" w:color="auto" w:fill="E5E5E5"/>
          </w:tcPr>
          <w:p>
            <w:pPr>
              <w:spacing w:after="0"/>
              <w:rPr>
                <w:sz w:val="18"/>
                <w:szCs w:val="18"/>
                <w:color w:val="auto"/>
              </w:rPr>
            </w:pPr>
          </w:p>
        </w:tc>
        <w:tc>
          <w:tcPr>
            <w:tcW w:w="1100" w:type="dxa"/>
            <w:vAlign w:val="bottom"/>
            <w:shd w:val="clear" w:color="auto" w:fill="E5E5E5"/>
          </w:tcPr>
          <w:p>
            <w:pPr>
              <w:jc w:val="right"/>
              <w:ind w:right="434"/>
              <w:spacing w:after="0"/>
              <w:rPr>
                <w:sz w:val="20"/>
                <w:szCs w:val="20"/>
                <w:color w:val="auto"/>
              </w:rPr>
            </w:pPr>
            <w:r>
              <w:rPr>
                <w:rFonts w:ascii="Arial" w:cs="Arial" w:eastAsia="Arial" w:hAnsi="Arial"/>
                <w:sz w:val="18"/>
                <w:szCs w:val="18"/>
                <w:color w:val="auto"/>
              </w:rPr>
              <w:t>19</w:t>
            </w:r>
          </w:p>
        </w:tc>
        <w:tc>
          <w:tcPr>
            <w:tcW w:w="1060" w:type="dxa"/>
            <w:vAlign w:val="bottom"/>
            <w:shd w:val="clear" w:color="auto" w:fill="E5E5E5"/>
          </w:tcPr>
          <w:p>
            <w:pPr>
              <w:jc w:val="right"/>
              <w:ind w:right="277"/>
              <w:spacing w:after="0"/>
              <w:rPr>
                <w:sz w:val="20"/>
                <w:szCs w:val="20"/>
                <w:color w:val="auto"/>
              </w:rPr>
            </w:pPr>
            <w:r>
              <w:rPr>
                <w:rFonts w:ascii="Arial" w:cs="Arial" w:eastAsia="Arial" w:hAnsi="Arial"/>
                <w:sz w:val="18"/>
                <w:szCs w:val="18"/>
                <w:color w:val="auto"/>
              </w:rPr>
              <w:t>1,072</w:t>
            </w:r>
          </w:p>
        </w:tc>
        <w:tc>
          <w:tcPr>
            <w:tcW w:w="42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3980" w:type="dxa"/>
            <w:vAlign w:val="bottom"/>
          </w:tcPr>
          <w:p>
            <w:pPr>
              <w:ind w:left="440"/>
              <w:spacing w:after="0"/>
              <w:rPr>
                <w:sz w:val="20"/>
                <w:szCs w:val="20"/>
                <w:color w:val="auto"/>
              </w:rPr>
            </w:pPr>
            <w:r>
              <w:rPr>
                <w:rFonts w:ascii="Arial" w:cs="Arial" w:eastAsia="Arial" w:hAnsi="Arial"/>
                <w:sz w:val="18"/>
                <w:szCs w:val="18"/>
                <w:color w:val="auto"/>
              </w:rPr>
              <w:t>Theme Parks</w:t>
            </w:r>
          </w:p>
        </w:tc>
        <w:tc>
          <w:tcPr>
            <w:tcW w:w="1540" w:type="dxa"/>
            <w:vAlign w:val="bottom"/>
            <w:gridSpan w:val="2"/>
          </w:tcPr>
          <w:p>
            <w:pPr>
              <w:jc w:val="right"/>
              <w:ind w:right="92"/>
              <w:spacing w:after="0"/>
              <w:rPr>
                <w:sz w:val="20"/>
                <w:szCs w:val="20"/>
                <w:color w:val="auto"/>
              </w:rPr>
            </w:pPr>
            <w:r>
              <w:rPr>
                <w:rFonts w:ascii="Arial" w:cs="Arial" w:eastAsia="Arial" w:hAnsi="Arial"/>
                <w:sz w:val="18"/>
                <w:szCs w:val="18"/>
                <w:color w:val="auto"/>
              </w:rPr>
              <w:t>2,320</w:t>
            </w:r>
          </w:p>
        </w:tc>
        <w:tc>
          <w:tcPr>
            <w:tcW w:w="600" w:type="dxa"/>
            <w:vAlign w:val="bottom"/>
          </w:tcPr>
          <w:p>
            <w:pPr>
              <w:spacing w:after="0"/>
              <w:rPr>
                <w:sz w:val="18"/>
                <w:szCs w:val="18"/>
                <w:color w:val="auto"/>
              </w:rPr>
            </w:pPr>
          </w:p>
        </w:tc>
        <w:tc>
          <w:tcPr>
            <w:tcW w:w="1580" w:type="dxa"/>
            <w:vAlign w:val="bottom"/>
          </w:tcPr>
          <w:p>
            <w:pPr>
              <w:jc w:val="right"/>
              <w:ind w:right="256"/>
              <w:spacing w:after="0"/>
              <w:rPr>
                <w:sz w:val="20"/>
                <w:szCs w:val="20"/>
                <w:color w:val="auto"/>
              </w:rPr>
            </w:pPr>
            <w:r>
              <w:rPr>
                <w:rFonts w:ascii="Arial" w:cs="Arial" w:eastAsia="Arial" w:hAnsi="Arial"/>
                <w:sz w:val="18"/>
                <w:szCs w:val="18"/>
                <w:color w:val="auto"/>
              </w:rPr>
              <w:t>1,075</w:t>
            </w:r>
          </w:p>
        </w:tc>
        <w:tc>
          <w:tcPr>
            <w:tcW w:w="460" w:type="dxa"/>
            <w:vAlign w:val="bottom"/>
          </w:tcPr>
          <w:p>
            <w:pPr>
              <w:spacing w:after="0"/>
              <w:rPr>
                <w:sz w:val="18"/>
                <w:szCs w:val="18"/>
                <w:color w:val="auto"/>
              </w:rPr>
            </w:pPr>
          </w:p>
        </w:tc>
        <w:tc>
          <w:tcPr>
            <w:tcW w:w="1100" w:type="dxa"/>
            <w:vAlign w:val="bottom"/>
          </w:tcPr>
          <w:p>
            <w:pPr>
              <w:jc w:val="right"/>
              <w:ind w:right="434"/>
              <w:spacing w:after="0"/>
              <w:rPr>
                <w:sz w:val="20"/>
                <w:szCs w:val="20"/>
                <w:color w:val="auto"/>
              </w:rPr>
            </w:pPr>
            <w:r>
              <w:rPr>
                <w:rFonts w:ascii="Arial" w:cs="Arial" w:eastAsia="Arial" w:hAnsi="Arial"/>
                <w:sz w:val="18"/>
                <w:szCs w:val="18"/>
                <w:color w:val="auto"/>
              </w:rPr>
              <w:t>214</w:t>
            </w:r>
          </w:p>
        </w:tc>
        <w:tc>
          <w:tcPr>
            <w:tcW w:w="1060" w:type="dxa"/>
            <w:vAlign w:val="bottom"/>
          </w:tcPr>
          <w:p>
            <w:pPr>
              <w:jc w:val="right"/>
              <w:ind w:right="277"/>
              <w:spacing w:after="0"/>
              <w:rPr>
                <w:sz w:val="20"/>
                <w:szCs w:val="20"/>
                <w:color w:val="auto"/>
              </w:rPr>
            </w:pPr>
            <w:r>
              <w:rPr>
                <w:rFonts w:ascii="Arial" w:cs="Arial" w:eastAsia="Arial" w:hAnsi="Arial"/>
                <w:sz w:val="18"/>
                <w:szCs w:val="18"/>
                <w:color w:val="auto"/>
              </w:rPr>
              <w:t>861</w:t>
            </w:r>
          </w:p>
        </w:tc>
        <w:tc>
          <w:tcPr>
            <w:tcW w:w="42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16"/>
        </w:trPr>
        <w:tc>
          <w:tcPr>
            <w:tcW w:w="3980" w:type="dxa"/>
            <w:vAlign w:val="bottom"/>
            <w:shd w:val="clear" w:color="auto" w:fill="E5E5E5"/>
          </w:tcPr>
          <w:p>
            <w:pPr>
              <w:ind w:left="440"/>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11"/>
                <w:szCs w:val="11"/>
                <w:color w:val="auto"/>
              </w:rPr>
              <w:t>(b)</w:t>
            </w:r>
          </w:p>
        </w:tc>
        <w:tc>
          <w:tcPr>
            <w:tcW w:w="1540" w:type="dxa"/>
            <w:vAlign w:val="bottom"/>
            <w:gridSpan w:val="2"/>
            <w:shd w:val="clear" w:color="auto" w:fill="E5E5E5"/>
          </w:tcPr>
          <w:p>
            <w:pPr>
              <w:jc w:val="right"/>
              <w:ind w:right="92"/>
              <w:spacing w:after="0"/>
              <w:rPr>
                <w:sz w:val="20"/>
                <w:szCs w:val="20"/>
                <w:color w:val="auto"/>
              </w:rPr>
            </w:pPr>
            <w:r>
              <w:rPr>
                <w:rFonts w:ascii="Arial" w:cs="Arial" w:eastAsia="Arial" w:hAnsi="Arial"/>
                <w:sz w:val="18"/>
                <w:szCs w:val="18"/>
                <w:color w:val="auto"/>
              </w:rPr>
              <w:t>12</w:t>
            </w:r>
          </w:p>
        </w:tc>
        <w:tc>
          <w:tcPr>
            <w:tcW w:w="600" w:type="dxa"/>
            <w:vAlign w:val="bottom"/>
            <w:shd w:val="clear" w:color="auto" w:fill="E5E5E5"/>
          </w:tcPr>
          <w:p>
            <w:pPr>
              <w:spacing w:after="0"/>
              <w:rPr>
                <w:sz w:val="18"/>
                <w:szCs w:val="18"/>
                <w:color w:val="auto"/>
              </w:rPr>
            </w:pPr>
          </w:p>
        </w:tc>
        <w:tc>
          <w:tcPr>
            <w:tcW w:w="1580" w:type="dxa"/>
            <w:vAlign w:val="bottom"/>
            <w:shd w:val="clear" w:color="auto" w:fill="E5E5E5"/>
          </w:tcPr>
          <w:p>
            <w:pPr>
              <w:jc w:val="right"/>
              <w:ind w:right="196"/>
              <w:spacing w:after="0"/>
              <w:rPr>
                <w:sz w:val="20"/>
                <w:szCs w:val="20"/>
                <w:color w:val="auto"/>
              </w:rPr>
            </w:pPr>
            <w:r>
              <w:rPr>
                <w:rFonts w:ascii="Arial" w:cs="Arial" w:eastAsia="Arial" w:hAnsi="Arial"/>
                <w:sz w:val="18"/>
                <w:szCs w:val="18"/>
                <w:color w:val="auto"/>
              </w:rPr>
              <w:t>(473)</w:t>
            </w:r>
          </w:p>
        </w:tc>
        <w:tc>
          <w:tcPr>
            <w:tcW w:w="460" w:type="dxa"/>
            <w:vAlign w:val="bottom"/>
            <w:shd w:val="clear" w:color="auto" w:fill="E5E5E5"/>
          </w:tcPr>
          <w:p>
            <w:pPr>
              <w:spacing w:after="0"/>
              <w:rPr>
                <w:sz w:val="18"/>
                <w:szCs w:val="18"/>
                <w:color w:val="auto"/>
              </w:rPr>
            </w:pPr>
          </w:p>
        </w:tc>
        <w:tc>
          <w:tcPr>
            <w:tcW w:w="1100" w:type="dxa"/>
            <w:vAlign w:val="bottom"/>
            <w:shd w:val="clear" w:color="auto" w:fill="E5E5E5"/>
          </w:tcPr>
          <w:p>
            <w:pPr>
              <w:jc w:val="right"/>
              <w:ind w:right="434"/>
              <w:spacing w:after="0"/>
              <w:rPr>
                <w:sz w:val="20"/>
                <w:szCs w:val="20"/>
                <w:color w:val="auto"/>
              </w:rPr>
            </w:pPr>
            <w:r>
              <w:rPr>
                <w:rFonts w:ascii="Arial" w:cs="Arial" w:eastAsia="Arial" w:hAnsi="Arial"/>
                <w:sz w:val="18"/>
                <w:szCs w:val="18"/>
                <w:color w:val="auto"/>
              </w:rPr>
              <w:t>243</w:t>
            </w:r>
          </w:p>
        </w:tc>
        <w:tc>
          <w:tcPr>
            <w:tcW w:w="1060" w:type="dxa"/>
            <w:vAlign w:val="bottom"/>
            <w:shd w:val="clear" w:color="auto" w:fill="E5E5E5"/>
          </w:tcPr>
          <w:p>
            <w:pPr>
              <w:jc w:val="right"/>
              <w:ind w:right="217"/>
              <w:spacing w:after="0"/>
              <w:rPr>
                <w:sz w:val="20"/>
                <w:szCs w:val="20"/>
                <w:color w:val="auto"/>
              </w:rPr>
            </w:pPr>
            <w:r>
              <w:rPr>
                <w:rFonts w:ascii="Arial" w:cs="Arial" w:eastAsia="Arial" w:hAnsi="Arial"/>
                <w:sz w:val="18"/>
                <w:szCs w:val="18"/>
                <w:color w:val="auto"/>
              </w:rPr>
              <w:t>(716)</w:t>
            </w:r>
          </w:p>
        </w:tc>
        <w:tc>
          <w:tcPr>
            <w:tcW w:w="42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16"/>
        </w:trPr>
        <w:tc>
          <w:tcPr>
            <w:tcW w:w="398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(c)</w:t>
            </w:r>
          </w:p>
        </w:tc>
        <w:tc>
          <w:tcPr>
            <w:tcW w:w="154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8"/>
                <w:szCs w:val="18"/>
                <w:color w:val="auto"/>
              </w:rPr>
              <w:t>(258)</w:t>
            </w:r>
          </w:p>
        </w:tc>
        <w:tc>
          <w:tcPr>
            <w:tcW w:w="6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256"/>
              <w:spacing w:after="0"/>
              <w:rPr>
                <w:sz w:val="20"/>
                <w:szCs w:val="20"/>
                <w:color w:val="auto"/>
              </w:rPr>
            </w:pPr>
            <w:r>
              <w:rPr>
                <w:rFonts w:ascii="Arial" w:cs="Arial" w:eastAsia="Arial" w:hAnsi="Arial"/>
                <w:sz w:val="18"/>
                <w:szCs w:val="18"/>
                <w:color w:val="auto"/>
              </w:rPr>
              <w:t>2</w:t>
            </w:r>
          </w:p>
        </w:tc>
        <w:tc>
          <w:tcPr>
            <w:tcW w:w="4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34"/>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277"/>
              <w:spacing w:after="0"/>
              <w:rPr>
                <w:sz w:val="20"/>
                <w:szCs w:val="20"/>
                <w:color w:val="auto"/>
              </w:rPr>
            </w:pPr>
            <w:r>
              <w:rPr>
                <w:rFonts w:ascii="Arial" w:cs="Arial" w:eastAsia="Arial" w:hAnsi="Arial"/>
                <w:sz w:val="18"/>
                <w:szCs w:val="18"/>
                <w:color w:val="auto"/>
              </w:rPr>
              <w:t>2</w:t>
            </w:r>
          </w:p>
        </w:tc>
        <w:tc>
          <w:tcPr>
            <w:tcW w:w="4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980" w:type="dxa"/>
            <w:vAlign w:val="bottom"/>
            <w:shd w:val="clear" w:color="auto" w:fill="E5E5E5"/>
          </w:tcPr>
          <w:p>
            <w:pPr>
              <w:spacing w:after="0"/>
              <w:rPr>
                <w:sz w:val="20"/>
                <w:szCs w:val="20"/>
                <w:color w:val="auto"/>
              </w:rPr>
            </w:pPr>
            <w:r>
              <w:rPr>
                <w:rFonts w:ascii="Arial" w:cs="Arial" w:eastAsia="Arial" w:hAnsi="Arial"/>
                <w:sz w:val="18"/>
                <w:szCs w:val="18"/>
                <w:color w:val="auto"/>
              </w:rPr>
              <w:t>NBCUniversal</w:t>
            </w:r>
          </w:p>
        </w:tc>
        <w:tc>
          <w:tcPr>
            <w:tcW w:w="1540" w:type="dxa"/>
            <w:vAlign w:val="bottom"/>
            <w:gridSpan w:val="2"/>
            <w:shd w:val="clear" w:color="auto" w:fill="E5E5E5"/>
          </w:tcPr>
          <w:p>
            <w:pPr>
              <w:jc w:val="right"/>
              <w:ind w:right="92"/>
              <w:spacing w:after="0"/>
              <w:rPr>
                <w:sz w:val="20"/>
                <w:szCs w:val="20"/>
                <w:color w:val="auto"/>
              </w:rPr>
            </w:pPr>
            <w:r>
              <w:rPr>
                <w:rFonts w:ascii="Arial" w:cs="Arial" w:eastAsia="Arial" w:hAnsi="Arial"/>
                <w:sz w:val="18"/>
                <w:szCs w:val="18"/>
                <w:color w:val="auto"/>
              </w:rPr>
              <w:t>20,985</w:t>
            </w:r>
          </w:p>
        </w:tc>
        <w:tc>
          <w:tcPr>
            <w:tcW w:w="600" w:type="dxa"/>
            <w:vAlign w:val="bottom"/>
            <w:shd w:val="clear" w:color="auto" w:fill="E5E5E5"/>
          </w:tcPr>
          <w:p>
            <w:pPr>
              <w:spacing w:after="0"/>
              <w:rPr>
                <w:sz w:val="18"/>
                <w:szCs w:val="18"/>
                <w:color w:val="auto"/>
              </w:rPr>
            </w:pPr>
          </w:p>
        </w:tc>
        <w:tc>
          <w:tcPr>
            <w:tcW w:w="1580" w:type="dxa"/>
            <w:vAlign w:val="bottom"/>
            <w:shd w:val="clear" w:color="auto" w:fill="E5E5E5"/>
          </w:tcPr>
          <w:p>
            <w:pPr>
              <w:jc w:val="right"/>
              <w:ind w:right="256"/>
              <w:spacing w:after="0"/>
              <w:rPr>
                <w:sz w:val="20"/>
                <w:szCs w:val="20"/>
                <w:color w:val="auto"/>
              </w:rPr>
            </w:pPr>
            <w:r>
              <w:rPr>
                <w:rFonts w:ascii="Arial" w:cs="Arial" w:eastAsia="Arial" w:hAnsi="Arial"/>
                <w:sz w:val="18"/>
                <w:szCs w:val="18"/>
                <w:color w:val="auto"/>
              </w:rPr>
              <w:t>4,863</w:t>
            </w:r>
          </w:p>
        </w:tc>
        <w:tc>
          <w:tcPr>
            <w:tcW w:w="460" w:type="dxa"/>
            <w:vAlign w:val="bottom"/>
            <w:shd w:val="clear" w:color="auto" w:fill="E5E5E5"/>
          </w:tcPr>
          <w:p>
            <w:pPr>
              <w:spacing w:after="0"/>
              <w:rPr>
                <w:sz w:val="18"/>
                <w:szCs w:val="18"/>
                <w:color w:val="auto"/>
              </w:rPr>
            </w:pPr>
          </w:p>
        </w:tc>
        <w:tc>
          <w:tcPr>
            <w:tcW w:w="1100" w:type="dxa"/>
            <w:vAlign w:val="bottom"/>
            <w:shd w:val="clear" w:color="auto" w:fill="E5E5E5"/>
          </w:tcPr>
          <w:p>
            <w:pPr>
              <w:jc w:val="right"/>
              <w:ind w:right="434"/>
              <w:spacing w:after="0"/>
              <w:rPr>
                <w:sz w:val="20"/>
                <w:szCs w:val="20"/>
                <w:color w:val="auto"/>
              </w:rPr>
            </w:pPr>
            <w:r>
              <w:rPr>
                <w:rFonts w:ascii="Arial" w:cs="Arial" w:eastAsia="Arial" w:hAnsi="Arial"/>
                <w:sz w:val="18"/>
                <w:szCs w:val="18"/>
                <w:color w:val="auto"/>
              </w:rPr>
              <w:t>1,149</w:t>
            </w:r>
          </w:p>
        </w:tc>
        <w:tc>
          <w:tcPr>
            <w:tcW w:w="1060" w:type="dxa"/>
            <w:vAlign w:val="bottom"/>
            <w:shd w:val="clear" w:color="auto" w:fill="E5E5E5"/>
          </w:tcPr>
          <w:p>
            <w:pPr>
              <w:jc w:val="right"/>
              <w:ind w:right="277"/>
              <w:spacing w:after="0"/>
              <w:rPr>
                <w:sz w:val="20"/>
                <w:szCs w:val="20"/>
                <w:color w:val="auto"/>
              </w:rPr>
            </w:pPr>
            <w:r>
              <w:rPr>
                <w:rFonts w:ascii="Arial" w:cs="Arial" w:eastAsia="Arial" w:hAnsi="Arial"/>
                <w:sz w:val="18"/>
                <w:szCs w:val="18"/>
                <w:color w:val="auto"/>
              </w:rPr>
              <w:t>3,714</w:t>
            </w:r>
          </w:p>
        </w:tc>
        <w:tc>
          <w:tcPr>
            <w:tcW w:w="42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Corporate and Other</w:t>
            </w:r>
          </w:p>
        </w:tc>
        <w:tc>
          <w:tcPr>
            <w:tcW w:w="1540" w:type="dxa"/>
            <w:vAlign w:val="bottom"/>
            <w:gridSpan w:val="2"/>
          </w:tcPr>
          <w:p>
            <w:pPr>
              <w:jc w:val="right"/>
              <w:ind w:right="92"/>
              <w:spacing w:after="0"/>
              <w:rPr>
                <w:sz w:val="20"/>
                <w:szCs w:val="20"/>
                <w:color w:val="auto"/>
              </w:rPr>
            </w:pPr>
            <w:r>
              <w:rPr>
                <w:rFonts w:ascii="Arial" w:cs="Arial" w:eastAsia="Arial" w:hAnsi="Arial"/>
                <w:sz w:val="18"/>
                <w:szCs w:val="18"/>
                <w:color w:val="auto"/>
              </w:rPr>
              <w:t>560</w:t>
            </w:r>
          </w:p>
        </w:tc>
        <w:tc>
          <w:tcPr>
            <w:tcW w:w="600" w:type="dxa"/>
            <w:vAlign w:val="bottom"/>
          </w:tcPr>
          <w:p>
            <w:pPr>
              <w:spacing w:after="0"/>
              <w:rPr>
                <w:sz w:val="18"/>
                <w:szCs w:val="18"/>
                <w:color w:val="auto"/>
              </w:rPr>
            </w:pPr>
          </w:p>
        </w:tc>
        <w:tc>
          <w:tcPr>
            <w:tcW w:w="1580" w:type="dxa"/>
            <w:vAlign w:val="bottom"/>
          </w:tcPr>
          <w:p>
            <w:pPr>
              <w:jc w:val="right"/>
              <w:ind w:right="196"/>
              <w:spacing w:after="0"/>
              <w:rPr>
                <w:sz w:val="20"/>
                <w:szCs w:val="20"/>
                <w:color w:val="auto"/>
              </w:rPr>
            </w:pPr>
            <w:r>
              <w:rPr>
                <w:rFonts w:ascii="Arial" w:cs="Arial" w:eastAsia="Arial" w:hAnsi="Arial"/>
                <w:sz w:val="18"/>
                <w:szCs w:val="18"/>
                <w:color w:val="auto"/>
              </w:rPr>
              <w:t>(709)</w:t>
            </w:r>
          </w:p>
        </w:tc>
        <w:tc>
          <w:tcPr>
            <w:tcW w:w="460" w:type="dxa"/>
            <w:vAlign w:val="bottom"/>
          </w:tcPr>
          <w:p>
            <w:pPr>
              <w:spacing w:after="0"/>
              <w:rPr>
                <w:sz w:val="18"/>
                <w:szCs w:val="18"/>
                <w:color w:val="auto"/>
              </w:rPr>
            </w:pPr>
          </w:p>
        </w:tc>
        <w:tc>
          <w:tcPr>
            <w:tcW w:w="1100" w:type="dxa"/>
            <w:vAlign w:val="bottom"/>
          </w:tcPr>
          <w:p>
            <w:pPr>
              <w:jc w:val="right"/>
              <w:ind w:right="434"/>
              <w:spacing w:after="0"/>
              <w:rPr>
                <w:sz w:val="20"/>
                <w:szCs w:val="20"/>
                <w:color w:val="auto"/>
              </w:rPr>
            </w:pPr>
            <w:r>
              <w:rPr>
                <w:rFonts w:ascii="Arial" w:cs="Arial" w:eastAsia="Arial" w:hAnsi="Arial"/>
                <w:sz w:val="18"/>
                <w:szCs w:val="18"/>
                <w:color w:val="auto"/>
              </w:rPr>
              <w:t>83</w:t>
            </w:r>
          </w:p>
        </w:tc>
        <w:tc>
          <w:tcPr>
            <w:tcW w:w="1060" w:type="dxa"/>
            <w:vAlign w:val="bottom"/>
          </w:tcPr>
          <w:p>
            <w:pPr>
              <w:jc w:val="right"/>
              <w:ind w:right="217"/>
              <w:spacing w:after="0"/>
              <w:rPr>
                <w:sz w:val="20"/>
                <w:szCs w:val="20"/>
                <w:color w:val="auto"/>
              </w:rPr>
            </w:pPr>
            <w:r>
              <w:rPr>
                <w:rFonts w:ascii="Arial" w:cs="Arial" w:eastAsia="Arial" w:hAnsi="Arial"/>
                <w:sz w:val="18"/>
                <w:szCs w:val="18"/>
                <w:color w:val="auto"/>
              </w:rPr>
              <w:t>(792)</w:t>
            </w:r>
          </w:p>
        </w:tc>
        <w:tc>
          <w:tcPr>
            <w:tcW w:w="42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39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(c)</w:t>
            </w:r>
          </w:p>
        </w:tc>
        <w:tc>
          <w:tcPr>
            <w:tcW w:w="1540" w:type="dxa"/>
            <w:vAlign w:val="bottom"/>
            <w:tcBorders>
              <w:bottom w:val="single" w:sz="8" w:color="auto"/>
            </w:tcBorders>
            <w:gridSpan w:val="2"/>
            <w:shd w:val="clear" w:color="auto" w:fill="E5E5E5"/>
          </w:tcPr>
          <w:p>
            <w:pPr>
              <w:jc w:val="right"/>
              <w:ind w:right="32"/>
              <w:spacing w:after="0"/>
              <w:rPr>
                <w:sz w:val="20"/>
                <w:szCs w:val="20"/>
                <w:color w:val="auto"/>
              </w:rPr>
            </w:pPr>
            <w:r>
              <w:rPr>
                <w:rFonts w:ascii="Arial" w:cs="Arial" w:eastAsia="Arial" w:hAnsi="Arial"/>
                <w:sz w:val="18"/>
                <w:szCs w:val="18"/>
                <w:color w:val="auto"/>
              </w:rPr>
              <w:t>(1,179)</w:t>
            </w:r>
          </w:p>
        </w:tc>
        <w:tc>
          <w:tcPr>
            <w:tcW w:w="600" w:type="dxa"/>
            <w:vAlign w:val="bottom"/>
            <w:tcBorders>
              <w:bottom w:val="single" w:sz="8" w:color="auto"/>
            </w:tcBorders>
            <w:shd w:val="clear" w:color="auto" w:fill="E5E5E5"/>
          </w:tcPr>
          <w:p>
            <w:pPr>
              <w:spacing w:after="0"/>
              <w:rPr>
                <w:sz w:val="18"/>
                <w:szCs w:val="18"/>
                <w:color w:val="auto"/>
              </w:rPr>
            </w:pPr>
          </w:p>
        </w:tc>
        <w:tc>
          <w:tcPr>
            <w:tcW w:w="1580" w:type="dxa"/>
            <w:vAlign w:val="bottom"/>
            <w:tcBorders>
              <w:bottom w:val="single" w:sz="8" w:color="auto"/>
            </w:tcBorders>
            <w:shd w:val="clear" w:color="auto" w:fill="E5E5E5"/>
          </w:tcPr>
          <w:p>
            <w:pPr>
              <w:jc w:val="right"/>
              <w:ind w:right="256"/>
              <w:spacing w:after="0"/>
              <w:rPr>
                <w:sz w:val="20"/>
                <w:szCs w:val="20"/>
                <w:color w:val="auto"/>
              </w:rPr>
            </w:pPr>
            <w:r>
              <w:rPr>
                <w:rFonts w:ascii="Arial" w:cs="Arial" w:eastAsia="Arial" w:hAnsi="Arial"/>
                <w:sz w:val="18"/>
                <w:szCs w:val="18"/>
                <w:color w:val="auto"/>
              </w:rPr>
              <w:t>32</w:t>
            </w:r>
          </w:p>
        </w:tc>
        <w:tc>
          <w:tcPr>
            <w:tcW w:w="460" w:type="dxa"/>
            <w:vAlign w:val="bottom"/>
            <w:tcBorders>
              <w:bottom w:val="single" w:sz="8" w:color="auto"/>
            </w:tcBorders>
            <w:shd w:val="clear" w:color="auto" w:fill="E5E5E5"/>
          </w:tcPr>
          <w:p>
            <w:pPr>
              <w:spacing w:after="0"/>
              <w:rPr>
                <w:sz w:val="18"/>
                <w:szCs w:val="18"/>
                <w:color w:val="auto"/>
              </w:rPr>
            </w:pPr>
          </w:p>
        </w:tc>
        <w:tc>
          <w:tcPr>
            <w:tcW w:w="1100" w:type="dxa"/>
            <w:vAlign w:val="bottom"/>
            <w:tcBorders>
              <w:bottom w:val="single" w:sz="8" w:color="auto"/>
            </w:tcBorders>
            <w:shd w:val="clear" w:color="auto" w:fill="E5E5E5"/>
          </w:tcPr>
          <w:p>
            <w:pPr>
              <w:jc w:val="right"/>
              <w:ind w:right="434"/>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E5E5E5"/>
          </w:tcPr>
          <w:p>
            <w:pPr>
              <w:jc w:val="right"/>
              <w:ind w:right="277"/>
              <w:spacing w:after="0"/>
              <w:rPr>
                <w:sz w:val="20"/>
                <w:szCs w:val="20"/>
                <w:color w:val="auto"/>
              </w:rPr>
            </w:pPr>
            <w:r>
              <w:rPr>
                <w:rFonts w:ascii="Arial" w:cs="Arial" w:eastAsia="Arial" w:hAnsi="Arial"/>
                <w:sz w:val="18"/>
                <w:szCs w:val="18"/>
                <w:color w:val="auto"/>
              </w:rPr>
              <w:t>32</w:t>
            </w:r>
          </w:p>
        </w:tc>
        <w:tc>
          <w:tcPr>
            <w:tcW w:w="42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Comcast Consolidated</w:t>
            </w:r>
          </w:p>
        </w:tc>
        <w:tc>
          <w:tcPr>
            <w:tcW w:w="154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8"/>
                <w:szCs w:val="18"/>
                <w:b w:val="1"/>
                <w:bCs w:val="1"/>
                <w:color w:val="auto"/>
              </w:rPr>
              <w:t>$ 55,265</w:t>
            </w:r>
          </w:p>
        </w:tc>
        <w:tc>
          <w:tcPr>
            <w:tcW w:w="600" w:type="dxa"/>
            <w:vAlign w:val="bottom"/>
            <w:tcBorders>
              <w:bottom w:val="single" w:sz="8" w:color="auto"/>
            </w:tcBorders>
          </w:tcPr>
          <w:p>
            <w:pPr>
              <w:ind w:left="480"/>
              <w:spacing w:after="0"/>
              <w:rPr>
                <w:sz w:val="20"/>
                <w:szCs w:val="20"/>
                <w:color w:val="auto"/>
              </w:rPr>
            </w:pPr>
            <w:r>
              <w:rPr>
                <w:rFonts w:ascii="Arial" w:cs="Arial" w:eastAsia="Arial" w:hAnsi="Arial"/>
                <w:sz w:val="18"/>
                <w:szCs w:val="18"/>
                <w:b w:val="1"/>
                <w:bCs w:val="1"/>
                <w:color w:val="auto"/>
                <w:w w:val="99"/>
              </w:rPr>
              <w:t>$</w:t>
            </w:r>
          </w:p>
        </w:tc>
        <w:tc>
          <w:tcPr>
            <w:tcW w:w="1580" w:type="dxa"/>
            <w:vAlign w:val="bottom"/>
            <w:tcBorders>
              <w:bottom w:val="single" w:sz="8" w:color="auto"/>
            </w:tcBorders>
          </w:tcPr>
          <w:p>
            <w:pPr>
              <w:jc w:val="right"/>
              <w:ind w:right="256"/>
              <w:spacing w:after="0"/>
              <w:rPr>
                <w:sz w:val="20"/>
                <w:szCs w:val="20"/>
                <w:color w:val="auto"/>
              </w:rPr>
            </w:pPr>
            <w:r>
              <w:rPr>
                <w:rFonts w:ascii="Arial" w:cs="Arial" w:eastAsia="Arial" w:hAnsi="Arial"/>
                <w:sz w:val="18"/>
                <w:szCs w:val="18"/>
                <w:b w:val="1"/>
                <w:bCs w:val="1"/>
                <w:color w:val="auto"/>
              </w:rPr>
              <w:t>18,406</w:t>
            </w:r>
          </w:p>
        </w:tc>
        <w:tc>
          <w:tcPr>
            <w:tcW w:w="46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tcPr>
          <w:p>
            <w:pPr>
              <w:jc w:val="right"/>
              <w:ind w:right="434"/>
              <w:spacing w:after="0"/>
              <w:rPr>
                <w:sz w:val="20"/>
                <w:szCs w:val="20"/>
                <w:color w:val="auto"/>
              </w:rPr>
            </w:pPr>
            <w:r>
              <w:rPr>
                <w:rFonts w:ascii="Arial" w:cs="Arial" w:eastAsia="Arial" w:hAnsi="Arial"/>
                <w:sz w:val="18"/>
                <w:szCs w:val="18"/>
                <w:b w:val="1"/>
                <w:bCs w:val="1"/>
                <w:color w:val="auto"/>
              </w:rPr>
              <w:t>6,410</w:t>
            </w:r>
          </w:p>
        </w:tc>
        <w:tc>
          <w:tcPr>
            <w:tcW w:w="1060" w:type="dxa"/>
            <w:vAlign w:val="bottom"/>
            <w:tcBorders>
              <w:bottom w:val="single" w:sz="8" w:color="auto"/>
            </w:tcBorders>
          </w:tcPr>
          <w:p>
            <w:pPr>
              <w:jc w:val="right"/>
              <w:ind w:right="277"/>
              <w:spacing w:after="0"/>
              <w:rPr>
                <w:sz w:val="20"/>
                <w:szCs w:val="20"/>
                <w:color w:val="auto"/>
              </w:rPr>
            </w:pPr>
            <w:r>
              <w:rPr>
                <w:rFonts w:ascii="Arial" w:cs="Arial" w:eastAsia="Arial" w:hAnsi="Arial"/>
                <w:sz w:val="18"/>
                <w:szCs w:val="18"/>
                <w:b w:val="1"/>
                <w:bCs w:val="1"/>
                <w:color w:val="auto"/>
                <w:w w:val="96"/>
              </w:rPr>
              <w:t>$ 11,996</w:t>
            </w:r>
          </w:p>
        </w:tc>
        <w:tc>
          <w:tcPr>
            <w:tcW w:w="42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5,862</w:t>
            </w:r>
          </w:p>
        </w:tc>
        <w:tc>
          <w:tcPr>
            <w:tcW w:w="0" w:type="dxa"/>
            <w:vAlign w:val="bottom"/>
          </w:tcPr>
          <w:p>
            <w:pPr>
              <w:spacing w:after="0"/>
              <w:rPr>
                <w:sz w:val="1"/>
                <w:szCs w:val="1"/>
                <w:color w:val="auto"/>
              </w:rPr>
            </w:pPr>
          </w:p>
        </w:tc>
      </w:tr>
      <w:tr>
        <w:trPr>
          <w:trHeight w:val="284"/>
        </w:trPr>
        <w:tc>
          <w:tcPr>
            <w:tcW w:w="3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3"/>
          </w:tcPr>
          <w:p>
            <w:pPr>
              <w:jc w:val="right"/>
              <w:ind w:right="34"/>
              <w:spacing w:after="0"/>
              <w:rPr>
                <w:sz w:val="20"/>
                <w:szCs w:val="20"/>
                <w:color w:val="auto"/>
              </w:rPr>
            </w:pPr>
            <w:r>
              <w:rPr>
                <w:rFonts w:ascii="Arial" w:cs="Arial" w:eastAsia="Arial" w:hAnsi="Arial"/>
                <w:sz w:val="14"/>
                <w:szCs w:val="14"/>
                <w:color w:val="auto"/>
              </w:rPr>
              <w:t>Nine Months Ended September 30, 2014</w:t>
            </w:r>
          </w:p>
        </w:tc>
        <w:tc>
          <w:tcPr>
            <w:tcW w:w="10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3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180" w:type="dxa"/>
            <w:vAlign w:val="bottom"/>
            <w:gridSpan w:val="2"/>
          </w:tcPr>
          <w:p>
            <w:pPr>
              <w:ind w:left="500"/>
              <w:spacing w:after="0" w:line="131" w:lineRule="exact"/>
              <w:rPr>
                <w:sz w:val="20"/>
                <w:szCs w:val="20"/>
                <w:color w:val="auto"/>
              </w:rPr>
            </w:pPr>
            <w:r>
              <w:rPr>
                <w:rFonts w:ascii="Arial" w:cs="Arial" w:eastAsia="Arial" w:hAnsi="Arial"/>
                <w:sz w:val="14"/>
                <w:szCs w:val="14"/>
                <w:color w:val="auto"/>
              </w:rPr>
              <w:t>Operating Income (Loss)</w:t>
            </w:r>
          </w:p>
        </w:tc>
        <w:tc>
          <w:tcPr>
            <w:tcW w:w="1560" w:type="dxa"/>
            <w:vAlign w:val="bottom"/>
            <w:gridSpan w:val="2"/>
          </w:tcPr>
          <w:p>
            <w:pPr>
              <w:ind w:left="340"/>
              <w:spacing w:after="0" w:line="131" w:lineRule="exact"/>
              <w:rPr>
                <w:sz w:val="20"/>
                <w:szCs w:val="20"/>
                <w:color w:val="auto"/>
              </w:rPr>
            </w:pPr>
            <w:r>
              <w:rPr>
                <w:rFonts w:ascii="Arial" w:cs="Arial" w:eastAsia="Arial" w:hAnsi="Arial"/>
                <w:sz w:val="14"/>
                <w:szCs w:val="14"/>
                <w:color w:val="auto"/>
              </w:rPr>
              <w:t>Depreciation</w:t>
            </w:r>
          </w:p>
        </w:tc>
        <w:tc>
          <w:tcPr>
            <w:tcW w:w="1060" w:type="dxa"/>
            <w:vAlign w:val="bottom"/>
          </w:tcPr>
          <w:p>
            <w:pPr>
              <w:jc w:val="center"/>
              <w:ind w:right="157"/>
              <w:spacing w:after="0" w:line="131" w:lineRule="exact"/>
              <w:rPr>
                <w:sz w:val="20"/>
                <w:szCs w:val="20"/>
                <w:color w:val="auto"/>
              </w:rPr>
            </w:pPr>
            <w:r>
              <w:rPr>
                <w:rFonts w:ascii="Arial" w:cs="Arial" w:eastAsia="Arial" w:hAnsi="Arial"/>
                <w:sz w:val="14"/>
                <w:szCs w:val="14"/>
                <w:color w:val="auto"/>
                <w:w w:val="87"/>
              </w:rPr>
              <w:t>Operating</w:t>
            </w: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3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vMerge w:val="restart"/>
          </w:tcPr>
          <w:p>
            <w:pPr>
              <w:jc w:val="right"/>
              <w:ind w:right="92"/>
              <w:spacing w:after="0"/>
              <w:rPr>
                <w:sz w:val="20"/>
                <w:szCs w:val="20"/>
                <w:color w:val="auto"/>
              </w:rPr>
            </w:pPr>
            <w:r>
              <w:rPr>
                <w:rFonts w:ascii="Arial" w:cs="Arial" w:eastAsia="Arial" w:hAnsi="Arial"/>
                <w:sz w:val="14"/>
                <w:szCs w:val="14"/>
                <w:color w:val="auto"/>
              </w:rPr>
              <w:t>Revenue</w:t>
            </w:r>
            <w:r>
              <w:rPr>
                <w:rFonts w:ascii="Arial" w:cs="Arial" w:eastAsia="Arial" w:hAnsi="Arial"/>
                <w:sz w:val="22"/>
                <w:szCs w:val="22"/>
                <w:color w:val="auto"/>
                <w:vertAlign w:val="superscript"/>
              </w:rPr>
              <w:t>(d)</w:t>
            </w:r>
          </w:p>
        </w:tc>
        <w:tc>
          <w:tcPr>
            <w:tcW w:w="2180" w:type="dxa"/>
            <w:vAlign w:val="bottom"/>
            <w:gridSpan w:val="2"/>
          </w:tcPr>
          <w:p>
            <w:pPr>
              <w:jc w:val="center"/>
              <w:ind w:left="102"/>
              <w:spacing w:after="0" w:line="133" w:lineRule="exact"/>
              <w:rPr>
                <w:sz w:val="20"/>
                <w:szCs w:val="20"/>
                <w:color w:val="auto"/>
              </w:rPr>
            </w:pPr>
            <w:r>
              <w:rPr>
                <w:rFonts w:ascii="Arial" w:cs="Arial" w:eastAsia="Arial" w:hAnsi="Arial"/>
                <w:sz w:val="14"/>
                <w:szCs w:val="14"/>
                <w:color w:val="auto"/>
                <w:w w:val="87"/>
              </w:rPr>
              <w:t>Before Depreciation and</w:t>
            </w:r>
          </w:p>
        </w:tc>
        <w:tc>
          <w:tcPr>
            <w:tcW w:w="460" w:type="dxa"/>
            <w:vAlign w:val="bottom"/>
          </w:tcPr>
          <w:p>
            <w:pPr>
              <w:spacing w:after="0"/>
              <w:rPr>
                <w:sz w:val="11"/>
                <w:szCs w:val="11"/>
                <w:color w:val="auto"/>
              </w:rPr>
            </w:pPr>
          </w:p>
        </w:tc>
        <w:tc>
          <w:tcPr>
            <w:tcW w:w="1100" w:type="dxa"/>
            <w:vAlign w:val="bottom"/>
          </w:tcPr>
          <w:p>
            <w:pPr>
              <w:jc w:val="right"/>
              <w:ind w:right="674"/>
              <w:spacing w:after="0" w:line="133" w:lineRule="exact"/>
              <w:rPr>
                <w:sz w:val="20"/>
                <w:szCs w:val="20"/>
                <w:color w:val="auto"/>
              </w:rPr>
            </w:pPr>
            <w:r>
              <w:rPr>
                <w:rFonts w:ascii="Arial" w:cs="Arial" w:eastAsia="Arial" w:hAnsi="Arial"/>
                <w:sz w:val="14"/>
                <w:szCs w:val="14"/>
                <w:color w:val="auto"/>
              </w:rPr>
              <w:t>and</w:t>
            </w:r>
          </w:p>
        </w:tc>
        <w:tc>
          <w:tcPr>
            <w:tcW w:w="1060" w:type="dxa"/>
            <w:vAlign w:val="bottom"/>
          </w:tcPr>
          <w:p>
            <w:pPr>
              <w:jc w:val="center"/>
              <w:ind w:right="137"/>
              <w:spacing w:after="0" w:line="133" w:lineRule="exact"/>
              <w:rPr>
                <w:sz w:val="20"/>
                <w:szCs w:val="20"/>
                <w:color w:val="auto"/>
              </w:rPr>
            </w:pPr>
            <w:r>
              <w:rPr>
                <w:rFonts w:ascii="Arial" w:cs="Arial" w:eastAsia="Arial" w:hAnsi="Arial"/>
                <w:sz w:val="14"/>
                <w:szCs w:val="14"/>
                <w:color w:val="auto"/>
                <w:w w:val="87"/>
              </w:rPr>
              <w:t>Income</w:t>
            </w:r>
          </w:p>
        </w:tc>
        <w:tc>
          <w:tcPr>
            <w:tcW w:w="420" w:type="dxa"/>
            <w:vAlign w:val="bottom"/>
          </w:tcPr>
          <w:p>
            <w:pPr>
              <w:spacing w:after="0"/>
              <w:rPr>
                <w:sz w:val="11"/>
                <w:szCs w:val="11"/>
                <w:color w:val="auto"/>
              </w:rPr>
            </w:pPr>
          </w:p>
        </w:tc>
        <w:tc>
          <w:tcPr>
            <w:tcW w:w="680" w:type="dxa"/>
            <w:vAlign w:val="bottom"/>
          </w:tcPr>
          <w:p>
            <w:pPr>
              <w:jc w:val="right"/>
              <w:ind w:right="174"/>
              <w:spacing w:after="0" w:line="133" w:lineRule="exact"/>
              <w:rPr>
                <w:sz w:val="20"/>
                <w:szCs w:val="20"/>
                <w:color w:val="auto"/>
              </w:rPr>
            </w:pPr>
            <w:r>
              <w:rPr>
                <w:rFonts w:ascii="Arial" w:cs="Arial" w:eastAsia="Arial" w:hAnsi="Arial"/>
                <w:sz w:val="14"/>
                <w:szCs w:val="14"/>
                <w:color w:val="auto"/>
                <w:w w:val="91"/>
              </w:rPr>
              <w:t>Capital</w:t>
            </w:r>
          </w:p>
        </w:tc>
        <w:tc>
          <w:tcPr>
            <w:tcW w:w="0" w:type="dxa"/>
            <w:vAlign w:val="bottom"/>
          </w:tcPr>
          <w:p>
            <w:pPr>
              <w:spacing w:after="0"/>
              <w:rPr>
                <w:sz w:val="1"/>
                <w:szCs w:val="1"/>
                <w:color w:val="auto"/>
              </w:rPr>
            </w:pPr>
          </w:p>
        </w:tc>
      </w:tr>
      <w:tr>
        <w:trPr>
          <w:trHeight w:val="176"/>
        </w:trPr>
        <w:tc>
          <w:tcPr>
            <w:tcW w:w="39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2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vMerge w:val="continue"/>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center"/>
              <w:ind w:right="336"/>
              <w:spacing w:after="0" w:line="176" w:lineRule="exact"/>
              <w:rPr>
                <w:sz w:val="20"/>
                <w:szCs w:val="20"/>
                <w:color w:val="auto"/>
              </w:rPr>
            </w:pPr>
            <w:r>
              <w:rPr>
                <w:rFonts w:ascii="Arial" w:cs="Arial" w:eastAsia="Arial" w:hAnsi="Arial"/>
                <w:sz w:val="13"/>
                <w:szCs w:val="13"/>
                <w:color w:val="auto"/>
                <w:w w:val="94"/>
              </w:rPr>
              <w:t>Amortization</w:t>
            </w:r>
            <w:r>
              <w:rPr>
                <w:rFonts w:ascii="Arial" w:cs="Arial" w:eastAsia="Arial" w:hAnsi="Arial"/>
                <w:sz w:val="20"/>
                <w:szCs w:val="20"/>
                <w:color w:val="auto"/>
                <w:w w:val="94"/>
                <w:vertAlign w:val="superscript"/>
              </w:rPr>
              <w:t>(e)</w:t>
            </w:r>
          </w:p>
        </w:tc>
        <w:tc>
          <w:tcPr>
            <w:tcW w:w="1560" w:type="dxa"/>
            <w:vAlign w:val="bottom"/>
            <w:tcBorders>
              <w:bottom w:val="single" w:sz="8" w:color="auto"/>
            </w:tcBorders>
            <w:gridSpan w:val="2"/>
          </w:tcPr>
          <w:p>
            <w:pPr>
              <w:ind w:left="340"/>
              <w:spacing w:after="0"/>
              <w:rPr>
                <w:sz w:val="20"/>
                <w:szCs w:val="20"/>
                <w:color w:val="auto"/>
              </w:rPr>
            </w:pPr>
            <w:r>
              <w:rPr>
                <w:rFonts w:ascii="Arial" w:cs="Arial" w:eastAsia="Arial" w:hAnsi="Arial"/>
                <w:sz w:val="14"/>
                <w:szCs w:val="14"/>
                <w:color w:val="auto"/>
              </w:rPr>
              <w:t>Amortization</w:t>
            </w:r>
          </w:p>
        </w:tc>
        <w:tc>
          <w:tcPr>
            <w:tcW w:w="106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color w:val="auto"/>
                <w:w w:val="92"/>
              </w:rPr>
              <w:t>(Loss)</w:t>
            </w:r>
          </w:p>
        </w:tc>
        <w:tc>
          <w:tcPr>
            <w:tcW w:w="110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color w:val="auto"/>
                <w:w w:val="95"/>
              </w:rPr>
              <w:t>Expenditures</w:t>
            </w:r>
          </w:p>
        </w:tc>
        <w:tc>
          <w:tcPr>
            <w:tcW w:w="0" w:type="dxa"/>
            <w:vAlign w:val="bottom"/>
          </w:tcPr>
          <w:p>
            <w:pPr>
              <w:spacing w:after="0"/>
              <w:rPr>
                <w:sz w:val="1"/>
                <w:szCs w:val="1"/>
                <w:color w:val="auto"/>
              </w:rPr>
            </w:pPr>
          </w:p>
        </w:tc>
      </w:tr>
      <w:tr>
        <w:trPr>
          <w:trHeight w:val="210"/>
        </w:trPr>
        <w:tc>
          <w:tcPr>
            <w:tcW w:w="3980" w:type="dxa"/>
            <w:vAlign w:val="bottom"/>
            <w:shd w:val="clear" w:color="auto" w:fill="E5E5E5"/>
          </w:tcPr>
          <w:p>
            <w:pPr>
              <w:spacing w:after="0"/>
              <w:rPr>
                <w:sz w:val="20"/>
                <w:szCs w:val="20"/>
                <w:color w:val="auto"/>
              </w:rPr>
            </w:pPr>
            <w:r>
              <w:rPr>
                <w:rFonts w:ascii="Arial" w:cs="Arial" w:eastAsia="Arial" w:hAnsi="Arial"/>
                <w:sz w:val="18"/>
                <w:szCs w:val="18"/>
                <w:color w:val="auto"/>
              </w:rPr>
              <w:t>Cable Communications</w:t>
            </w:r>
            <w:r>
              <w:rPr>
                <w:rFonts w:ascii="Arial" w:cs="Arial" w:eastAsia="Arial" w:hAnsi="Arial"/>
                <w:sz w:val="11"/>
                <w:szCs w:val="11"/>
                <w:color w:val="auto"/>
              </w:rPr>
              <w:t>(a)</w:t>
            </w:r>
          </w:p>
        </w:tc>
        <w:tc>
          <w:tcPr>
            <w:tcW w:w="1540" w:type="dxa"/>
            <w:vAlign w:val="bottom"/>
            <w:gridSpan w:val="2"/>
            <w:shd w:val="clear" w:color="auto" w:fill="E5E5E5"/>
          </w:tcPr>
          <w:p>
            <w:pPr>
              <w:jc w:val="right"/>
              <w:ind w:right="92"/>
              <w:spacing w:after="0"/>
              <w:rPr>
                <w:sz w:val="20"/>
                <w:szCs w:val="20"/>
                <w:color w:val="auto"/>
              </w:rPr>
            </w:pPr>
            <w:r>
              <w:rPr>
                <w:rFonts w:ascii="Arial" w:cs="Arial" w:eastAsia="Arial" w:hAnsi="Arial"/>
                <w:sz w:val="18"/>
                <w:szCs w:val="18"/>
                <w:color w:val="auto"/>
              </w:rPr>
              <w:t>$ 32,827</w:t>
            </w:r>
          </w:p>
        </w:tc>
        <w:tc>
          <w:tcPr>
            <w:tcW w:w="600" w:type="dxa"/>
            <w:vAlign w:val="bottom"/>
            <w:shd w:val="clear" w:color="auto" w:fill="E5E5E5"/>
          </w:tcPr>
          <w:p>
            <w:pPr>
              <w:ind w:left="50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E5E5E5"/>
          </w:tcPr>
          <w:p>
            <w:pPr>
              <w:jc w:val="right"/>
              <w:ind w:right="236"/>
              <w:spacing w:after="0"/>
              <w:rPr>
                <w:sz w:val="20"/>
                <w:szCs w:val="20"/>
                <w:color w:val="auto"/>
              </w:rPr>
            </w:pPr>
            <w:r>
              <w:rPr>
                <w:rFonts w:ascii="Arial" w:cs="Arial" w:eastAsia="Arial" w:hAnsi="Arial"/>
                <w:sz w:val="18"/>
                <w:szCs w:val="18"/>
                <w:color w:val="auto"/>
              </w:rPr>
              <w:t>13,428</w:t>
            </w:r>
          </w:p>
        </w:tc>
        <w:tc>
          <w:tcPr>
            <w:tcW w:w="460" w:type="dxa"/>
            <w:vAlign w:val="bottom"/>
            <w:shd w:val="clear" w:color="auto" w:fill="E5E5E5"/>
          </w:tcPr>
          <w:p>
            <w:pPr>
              <w:ind w:left="34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E5E5E5"/>
          </w:tcPr>
          <w:p>
            <w:pPr>
              <w:jc w:val="right"/>
              <w:ind w:right="414"/>
              <w:spacing w:after="0"/>
              <w:rPr>
                <w:sz w:val="20"/>
                <w:szCs w:val="20"/>
                <w:color w:val="auto"/>
              </w:rPr>
            </w:pPr>
            <w:r>
              <w:rPr>
                <w:rFonts w:ascii="Arial" w:cs="Arial" w:eastAsia="Arial" w:hAnsi="Arial"/>
                <w:sz w:val="18"/>
                <w:szCs w:val="18"/>
                <w:color w:val="auto"/>
              </w:rPr>
              <w:t>4,749</w:t>
            </w:r>
          </w:p>
        </w:tc>
        <w:tc>
          <w:tcPr>
            <w:tcW w:w="1060" w:type="dxa"/>
            <w:vAlign w:val="bottom"/>
            <w:shd w:val="clear" w:color="auto" w:fill="E5E5E5"/>
          </w:tcPr>
          <w:p>
            <w:pPr>
              <w:jc w:val="right"/>
              <w:ind w:right="277"/>
              <w:spacing w:after="0"/>
              <w:rPr>
                <w:sz w:val="20"/>
                <w:szCs w:val="20"/>
                <w:color w:val="auto"/>
              </w:rPr>
            </w:pPr>
            <w:r>
              <w:rPr>
                <w:rFonts w:ascii="Arial" w:cs="Arial" w:eastAsia="Arial" w:hAnsi="Arial"/>
                <w:sz w:val="18"/>
                <w:szCs w:val="18"/>
                <w:color w:val="auto"/>
              </w:rPr>
              <w:t>$ 8,679</w:t>
            </w:r>
          </w:p>
        </w:tc>
        <w:tc>
          <w:tcPr>
            <w:tcW w:w="420" w:type="dxa"/>
            <w:vAlign w:val="bottom"/>
            <w:shd w:val="clear" w:color="auto" w:fill="E5E5E5"/>
          </w:tcPr>
          <w:p>
            <w:pPr>
              <w:ind w:left="280"/>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4,282</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NBCUniversal</w:t>
            </w: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Cable Networks</w:t>
            </w:r>
          </w:p>
        </w:tc>
        <w:tc>
          <w:tcPr>
            <w:tcW w:w="1540" w:type="dxa"/>
            <w:vAlign w:val="bottom"/>
            <w:gridSpan w:val="2"/>
            <w:shd w:val="clear" w:color="auto" w:fill="E5E5E5"/>
          </w:tcPr>
          <w:p>
            <w:pPr>
              <w:jc w:val="right"/>
              <w:ind w:right="92"/>
              <w:spacing w:after="0"/>
              <w:rPr>
                <w:sz w:val="20"/>
                <w:szCs w:val="20"/>
                <w:color w:val="auto"/>
              </w:rPr>
            </w:pPr>
            <w:r>
              <w:rPr>
                <w:rFonts w:ascii="Arial" w:cs="Arial" w:eastAsia="Arial" w:hAnsi="Arial"/>
                <w:sz w:val="18"/>
                <w:szCs w:val="18"/>
                <w:color w:val="auto"/>
              </w:rPr>
              <w:t>7,236</w:t>
            </w:r>
          </w:p>
        </w:tc>
        <w:tc>
          <w:tcPr>
            <w:tcW w:w="600" w:type="dxa"/>
            <w:vAlign w:val="bottom"/>
            <w:shd w:val="clear" w:color="auto" w:fill="E5E5E5"/>
          </w:tcPr>
          <w:p>
            <w:pPr>
              <w:spacing w:after="0"/>
              <w:rPr>
                <w:sz w:val="18"/>
                <w:szCs w:val="18"/>
                <w:color w:val="auto"/>
              </w:rPr>
            </w:pPr>
          </w:p>
        </w:tc>
        <w:tc>
          <w:tcPr>
            <w:tcW w:w="1580" w:type="dxa"/>
            <w:vAlign w:val="bottom"/>
            <w:shd w:val="clear" w:color="auto" w:fill="E5E5E5"/>
          </w:tcPr>
          <w:p>
            <w:pPr>
              <w:jc w:val="right"/>
              <w:ind w:right="236"/>
              <w:spacing w:after="0"/>
              <w:rPr>
                <w:sz w:val="20"/>
                <w:szCs w:val="20"/>
                <w:color w:val="auto"/>
              </w:rPr>
            </w:pPr>
            <w:r>
              <w:rPr>
                <w:rFonts w:ascii="Arial" w:cs="Arial" w:eastAsia="Arial" w:hAnsi="Arial"/>
                <w:sz w:val="18"/>
                <w:szCs w:val="18"/>
                <w:color w:val="auto"/>
              </w:rPr>
              <w:t>2,677</w:t>
            </w:r>
          </w:p>
        </w:tc>
        <w:tc>
          <w:tcPr>
            <w:tcW w:w="460" w:type="dxa"/>
            <w:vAlign w:val="bottom"/>
            <w:shd w:val="clear" w:color="auto" w:fill="E5E5E5"/>
          </w:tcPr>
          <w:p>
            <w:pPr>
              <w:spacing w:after="0"/>
              <w:rPr>
                <w:sz w:val="18"/>
                <w:szCs w:val="18"/>
                <w:color w:val="auto"/>
              </w:rPr>
            </w:pPr>
          </w:p>
        </w:tc>
        <w:tc>
          <w:tcPr>
            <w:tcW w:w="1100" w:type="dxa"/>
            <w:vAlign w:val="bottom"/>
            <w:shd w:val="clear" w:color="auto" w:fill="E5E5E5"/>
          </w:tcPr>
          <w:p>
            <w:pPr>
              <w:jc w:val="right"/>
              <w:ind w:right="414"/>
              <w:spacing w:after="0"/>
              <w:rPr>
                <w:sz w:val="20"/>
                <w:szCs w:val="20"/>
                <w:color w:val="auto"/>
              </w:rPr>
            </w:pPr>
            <w:r>
              <w:rPr>
                <w:rFonts w:ascii="Arial" w:cs="Arial" w:eastAsia="Arial" w:hAnsi="Arial"/>
                <w:sz w:val="18"/>
                <w:szCs w:val="18"/>
                <w:color w:val="auto"/>
              </w:rPr>
              <w:t>558</w:t>
            </w:r>
          </w:p>
        </w:tc>
        <w:tc>
          <w:tcPr>
            <w:tcW w:w="1060" w:type="dxa"/>
            <w:vAlign w:val="bottom"/>
            <w:shd w:val="clear" w:color="auto" w:fill="E5E5E5"/>
          </w:tcPr>
          <w:p>
            <w:pPr>
              <w:jc w:val="right"/>
              <w:ind w:right="277"/>
              <w:spacing w:after="0"/>
              <w:rPr>
                <w:sz w:val="20"/>
                <w:szCs w:val="20"/>
                <w:color w:val="auto"/>
              </w:rPr>
            </w:pPr>
            <w:r>
              <w:rPr>
                <w:rFonts w:ascii="Arial" w:cs="Arial" w:eastAsia="Arial" w:hAnsi="Arial"/>
                <w:sz w:val="18"/>
                <w:szCs w:val="18"/>
                <w:color w:val="auto"/>
              </w:rPr>
              <w:t>2,119</w:t>
            </w:r>
          </w:p>
        </w:tc>
        <w:tc>
          <w:tcPr>
            <w:tcW w:w="42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3980" w:type="dxa"/>
            <w:vAlign w:val="bottom"/>
          </w:tcPr>
          <w:p>
            <w:pPr>
              <w:ind w:left="440"/>
              <w:spacing w:after="0"/>
              <w:rPr>
                <w:sz w:val="20"/>
                <w:szCs w:val="20"/>
                <w:color w:val="auto"/>
              </w:rPr>
            </w:pPr>
            <w:r>
              <w:rPr>
                <w:rFonts w:ascii="Arial" w:cs="Arial" w:eastAsia="Arial" w:hAnsi="Arial"/>
                <w:sz w:val="18"/>
                <w:szCs w:val="18"/>
                <w:color w:val="auto"/>
              </w:rPr>
              <w:t>Broadcast Television</w:t>
            </w:r>
          </w:p>
        </w:tc>
        <w:tc>
          <w:tcPr>
            <w:tcW w:w="1540" w:type="dxa"/>
            <w:vAlign w:val="bottom"/>
            <w:gridSpan w:val="2"/>
          </w:tcPr>
          <w:p>
            <w:pPr>
              <w:jc w:val="right"/>
              <w:ind w:right="92"/>
              <w:spacing w:after="0"/>
              <w:rPr>
                <w:sz w:val="20"/>
                <w:szCs w:val="20"/>
                <w:color w:val="auto"/>
              </w:rPr>
            </w:pPr>
            <w:r>
              <w:rPr>
                <w:rFonts w:ascii="Arial" w:cs="Arial" w:eastAsia="Arial" w:hAnsi="Arial"/>
                <w:sz w:val="18"/>
                <w:szCs w:val="18"/>
                <w:color w:val="auto"/>
              </w:rPr>
              <w:t>6,207</w:t>
            </w:r>
          </w:p>
        </w:tc>
        <w:tc>
          <w:tcPr>
            <w:tcW w:w="600" w:type="dxa"/>
            <w:vAlign w:val="bottom"/>
          </w:tcPr>
          <w:p>
            <w:pPr>
              <w:spacing w:after="0"/>
              <w:rPr>
                <w:sz w:val="18"/>
                <w:szCs w:val="18"/>
                <w:color w:val="auto"/>
              </w:rPr>
            </w:pPr>
          </w:p>
        </w:tc>
        <w:tc>
          <w:tcPr>
            <w:tcW w:w="1580" w:type="dxa"/>
            <w:vAlign w:val="bottom"/>
          </w:tcPr>
          <w:p>
            <w:pPr>
              <w:jc w:val="right"/>
              <w:ind w:right="236"/>
              <w:spacing w:after="0"/>
              <w:rPr>
                <w:sz w:val="20"/>
                <w:szCs w:val="20"/>
                <w:color w:val="auto"/>
              </w:rPr>
            </w:pPr>
            <w:r>
              <w:rPr>
                <w:rFonts w:ascii="Arial" w:cs="Arial" w:eastAsia="Arial" w:hAnsi="Arial"/>
                <w:sz w:val="18"/>
                <w:szCs w:val="18"/>
                <w:color w:val="auto"/>
              </w:rPr>
              <w:t>504</w:t>
            </w:r>
          </w:p>
        </w:tc>
        <w:tc>
          <w:tcPr>
            <w:tcW w:w="460" w:type="dxa"/>
            <w:vAlign w:val="bottom"/>
          </w:tcPr>
          <w:p>
            <w:pPr>
              <w:spacing w:after="0"/>
              <w:rPr>
                <w:sz w:val="18"/>
                <w:szCs w:val="18"/>
                <w:color w:val="auto"/>
              </w:rPr>
            </w:pPr>
          </w:p>
        </w:tc>
        <w:tc>
          <w:tcPr>
            <w:tcW w:w="1100" w:type="dxa"/>
            <w:vAlign w:val="bottom"/>
          </w:tcPr>
          <w:p>
            <w:pPr>
              <w:jc w:val="right"/>
              <w:ind w:right="414"/>
              <w:spacing w:after="0"/>
              <w:rPr>
                <w:sz w:val="20"/>
                <w:szCs w:val="20"/>
                <w:color w:val="auto"/>
              </w:rPr>
            </w:pPr>
            <w:r>
              <w:rPr>
                <w:rFonts w:ascii="Arial" w:cs="Arial" w:eastAsia="Arial" w:hAnsi="Arial"/>
                <w:sz w:val="18"/>
                <w:szCs w:val="18"/>
                <w:color w:val="auto"/>
              </w:rPr>
              <w:t>78</w:t>
            </w:r>
          </w:p>
        </w:tc>
        <w:tc>
          <w:tcPr>
            <w:tcW w:w="1060" w:type="dxa"/>
            <w:vAlign w:val="bottom"/>
          </w:tcPr>
          <w:p>
            <w:pPr>
              <w:jc w:val="right"/>
              <w:ind w:right="277"/>
              <w:spacing w:after="0"/>
              <w:rPr>
                <w:sz w:val="20"/>
                <w:szCs w:val="20"/>
                <w:color w:val="auto"/>
              </w:rPr>
            </w:pPr>
            <w:r>
              <w:rPr>
                <w:rFonts w:ascii="Arial" w:cs="Arial" w:eastAsia="Arial" w:hAnsi="Arial"/>
                <w:sz w:val="18"/>
                <w:szCs w:val="18"/>
                <w:color w:val="auto"/>
              </w:rPr>
              <w:t>426</w:t>
            </w:r>
          </w:p>
        </w:tc>
        <w:tc>
          <w:tcPr>
            <w:tcW w:w="42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3980" w:type="dxa"/>
            <w:vAlign w:val="bottom"/>
            <w:shd w:val="clear" w:color="auto" w:fill="E5E5E5"/>
          </w:tcPr>
          <w:p>
            <w:pPr>
              <w:ind w:left="440"/>
              <w:spacing w:after="0"/>
              <w:rPr>
                <w:sz w:val="20"/>
                <w:szCs w:val="20"/>
                <w:color w:val="auto"/>
              </w:rPr>
            </w:pPr>
            <w:r>
              <w:rPr>
                <w:rFonts w:ascii="Arial" w:cs="Arial" w:eastAsia="Arial" w:hAnsi="Arial"/>
                <w:sz w:val="18"/>
                <w:szCs w:val="18"/>
                <w:color w:val="auto"/>
              </w:rPr>
              <w:t>Filmed Entertainment</w:t>
            </w:r>
          </w:p>
        </w:tc>
        <w:tc>
          <w:tcPr>
            <w:tcW w:w="1540" w:type="dxa"/>
            <w:vAlign w:val="bottom"/>
            <w:gridSpan w:val="2"/>
            <w:shd w:val="clear" w:color="auto" w:fill="E5E5E5"/>
          </w:tcPr>
          <w:p>
            <w:pPr>
              <w:jc w:val="right"/>
              <w:ind w:right="92"/>
              <w:spacing w:after="0"/>
              <w:rPr>
                <w:sz w:val="20"/>
                <w:szCs w:val="20"/>
                <w:color w:val="auto"/>
              </w:rPr>
            </w:pPr>
            <w:r>
              <w:rPr>
                <w:rFonts w:ascii="Arial" w:cs="Arial" w:eastAsia="Arial" w:hAnsi="Arial"/>
                <w:sz w:val="18"/>
                <w:szCs w:val="18"/>
                <w:color w:val="auto"/>
              </w:rPr>
              <w:t>3,713</w:t>
            </w:r>
          </w:p>
        </w:tc>
        <w:tc>
          <w:tcPr>
            <w:tcW w:w="600" w:type="dxa"/>
            <w:vAlign w:val="bottom"/>
            <w:shd w:val="clear" w:color="auto" w:fill="E5E5E5"/>
          </w:tcPr>
          <w:p>
            <w:pPr>
              <w:spacing w:after="0"/>
              <w:rPr>
                <w:sz w:val="18"/>
                <w:szCs w:val="18"/>
                <w:color w:val="auto"/>
              </w:rPr>
            </w:pPr>
          </w:p>
        </w:tc>
        <w:tc>
          <w:tcPr>
            <w:tcW w:w="1580" w:type="dxa"/>
            <w:vAlign w:val="bottom"/>
            <w:shd w:val="clear" w:color="auto" w:fill="E5E5E5"/>
          </w:tcPr>
          <w:p>
            <w:pPr>
              <w:jc w:val="right"/>
              <w:ind w:right="236"/>
              <w:spacing w:after="0"/>
              <w:rPr>
                <w:sz w:val="20"/>
                <w:szCs w:val="20"/>
                <w:color w:val="auto"/>
              </w:rPr>
            </w:pPr>
            <w:r>
              <w:rPr>
                <w:rFonts w:ascii="Arial" w:cs="Arial" w:eastAsia="Arial" w:hAnsi="Arial"/>
                <w:sz w:val="18"/>
                <w:szCs w:val="18"/>
                <w:color w:val="auto"/>
              </w:rPr>
              <w:t>634</w:t>
            </w:r>
          </w:p>
        </w:tc>
        <w:tc>
          <w:tcPr>
            <w:tcW w:w="460" w:type="dxa"/>
            <w:vAlign w:val="bottom"/>
            <w:shd w:val="clear" w:color="auto" w:fill="E5E5E5"/>
          </w:tcPr>
          <w:p>
            <w:pPr>
              <w:spacing w:after="0"/>
              <w:rPr>
                <w:sz w:val="18"/>
                <w:szCs w:val="18"/>
                <w:color w:val="auto"/>
              </w:rPr>
            </w:pPr>
          </w:p>
        </w:tc>
        <w:tc>
          <w:tcPr>
            <w:tcW w:w="1100" w:type="dxa"/>
            <w:vAlign w:val="bottom"/>
            <w:shd w:val="clear" w:color="auto" w:fill="E5E5E5"/>
          </w:tcPr>
          <w:p>
            <w:pPr>
              <w:jc w:val="right"/>
              <w:ind w:right="414"/>
              <w:spacing w:after="0"/>
              <w:rPr>
                <w:sz w:val="20"/>
                <w:szCs w:val="20"/>
                <w:color w:val="auto"/>
              </w:rPr>
            </w:pPr>
            <w:r>
              <w:rPr>
                <w:rFonts w:ascii="Arial" w:cs="Arial" w:eastAsia="Arial" w:hAnsi="Arial"/>
                <w:sz w:val="18"/>
                <w:szCs w:val="18"/>
                <w:color w:val="auto"/>
              </w:rPr>
              <w:t>16</w:t>
            </w:r>
          </w:p>
        </w:tc>
        <w:tc>
          <w:tcPr>
            <w:tcW w:w="1060" w:type="dxa"/>
            <w:vAlign w:val="bottom"/>
            <w:shd w:val="clear" w:color="auto" w:fill="E5E5E5"/>
          </w:tcPr>
          <w:p>
            <w:pPr>
              <w:jc w:val="right"/>
              <w:ind w:right="277"/>
              <w:spacing w:after="0"/>
              <w:rPr>
                <w:sz w:val="20"/>
                <w:szCs w:val="20"/>
                <w:color w:val="auto"/>
              </w:rPr>
            </w:pPr>
            <w:r>
              <w:rPr>
                <w:rFonts w:ascii="Arial" w:cs="Arial" w:eastAsia="Arial" w:hAnsi="Arial"/>
                <w:sz w:val="18"/>
                <w:szCs w:val="18"/>
                <w:color w:val="auto"/>
              </w:rPr>
              <w:t>618</w:t>
            </w:r>
          </w:p>
        </w:tc>
        <w:tc>
          <w:tcPr>
            <w:tcW w:w="42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3980" w:type="dxa"/>
            <w:vAlign w:val="bottom"/>
          </w:tcPr>
          <w:p>
            <w:pPr>
              <w:ind w:left="440"/>
              <w:spacing w:after="0"/>
              <w:rPr>
                <w:sz w:val="20"/>
                <w:szCs w:val="20"/>
                <w:color w:val="auto"/>
              </w:rPr>
            </w:pPr>
            <w:r>
              <w:rPr>
                <w:rFonts w:ascii="Arial" w:cs="Arial" w:eastAsia="Arial" w:hAnsi="Arial"/>
                <w:sz w:val="18"/>
                <w:szCs w:val="18"/>
                <w:color w:val="auto"/>
              </w:rPr>
              <w:t>Theme Parks</w:t>
            </w:r>
          </w:p>
        </w:tc>
        <w:tc>
          <w:tcPr>
            <w:tcW w:w="1540" w:type="dxa"/>
            <w:vAlign w:val="bottom"/>
            <w:gridSpan w:val="2"/>
          </w:tcPr>
          <w:p>
            <w:pPr>
              <w:jc w:val="right"/>
              <w:ind w:right="92"/>
              <w:spacing w:after="0"/>
              <w:rPr>
                <w:sz w:val="20"/>
                <w:szCs w:val="20"/>
                <w:color w:val="auto"/>
              </w:rPr>
            </w:pPr>
            <w:r>
              <w:rPr>
                <w:rFonts w:ascii="Arial" w:cs="Arial" w:eastAsia="Arial" w:hAnsi="Arial"/>
                <w:sz w:val="18"/>
                <w:szCs w:val="18"/>
                <w:color w:val="auto"/>
              </w:rPr>
              <w:t>1,888</w:t>
            </w:r>
          </w:p>
        </w:tc>
        <w:tc>
          <w:tcPr>
            <w:tcW w:w="600" w:type="dxa"/>
            <w:vAlign w:val="bottom"/>
          </w:tcPr>
          <w:p>
            <w:pPr>
              <w:spacing w:after="0"/>
              <w:rPr>
                <w:sz w:val="18"/>
                <w:szCs w:val="18"/>
                <w:color w:val="auto"/>
              </w:rPr>
            </w:pPr>
          </w:p>
        </w:tc>
        <w:tc>
          <w:tcPr>
            <w:tcW w:w="1580" w:type="dxa"/>
            <w:vAlign w:val="bottom"/>
          </w:tcPr>
          <w:p>
            <w:pPr>
              <w:jc w:val="right"/>
              <w:ind w:right="236"/>
              <w:spacing w:after="0"/>
              <w:rPr>
                <w:sz w:val="20"/>
                <w:szCs w:val="20"/>
                <w:color w:val="auto"/>
              </w:rPr>
            </w:pPr>
            <w:r>
              <w:rPr>
                <w:rFonts w:ascii="Arial" w:cs="Arial" w:eastAsia="Arial" w:hAnsi="Arial"/>
                <w:sz w:val="18"/>
                <w:szCs w:val="18"/>
                <w:color w:val="auto"/>
              </w:rPr>
              <w:t>816</w:t>
            </w:r>
          </w:p>
        </w:tc>
        <w:tc>
          <w:tcPr>
            <w:tcW w:w="460" w:type="dxa"/>
            <w:vAlign w:val="bottom"/>
          </w:tcPr>
          <w:p>
            <w:pPr>
              <w:spacing w:after="0"/>
              <w:rPr>
                <w:sz w:val="18"/>
                <w:szCs w:val="18"/>
                <w:color w:val="auto"/>
              </w:rPr>
            </w:pPr>
          </w:p>
        </w:tc>
        <w:tc>
          <w:tcPr>
            <w:tcW w:w="1100" w:type="dxa"/>
            <w:vAlign w:val="bottom"/>
          </w:tcPr>
          <w:p>
            <w:pPr>
              <w:jc w:val="right"/>
              <w:ind w:right="414"/>
              <w:spacing w:after="0"/>
              <w:rPr>
                <w:sz w:val="20"/>
                <w:szCs w:val="20"/>
                <w:color w:val="auto"/>
              </w:rPr>
            </w:pPr>
            <w:r>
              <w:rPr>
                <w:rFonts w:ascii="Arial" w:cs="Arial" w:eastAsia="Arial" w:hAnsi="Arial"/>
                <w:sz w:val="18"/>
                <w:szCs w:val="18"/>
                <w:color w:val="auto"/>
              </w:rPr>
              <w:t>210</w:t>
            </w:r>
          </w:p>
        </w:tc>
        <w:tc>
          <w:tcPr>
            <w:tcW w:w="1060" w:type="dxa"/>
            <w:vAlign w:val="bottom"/>
          </w:tcPr>
          <w:p>
            <w:pPr>
              <w:jc w:val="right"/>
              <w:ind w:right="277"/>
              <w:spacing w:after="0"/>
              <w:rPr>
                <w:sz w:val="20"/>
                <w:szCs w:val="20"/>
                <w:color w:val="auto"/>
              </w:rPr>
            </w:pPr>
            <w:r>
              <w:rPr>
                <w:rFonts w:ascii="Arial" w:cs="Arial" w:eastAsia="Arial" w:hAnsi="Arial"/>
                <w:sz w:val="18"/>
                <w:szCs w:val="18"/>
                <w:color w:val="auto"/>
              </w:rPr>
              <w:t>606</w:t>
            </w:r>
          </w:p>
        </w:tc>
        <w:tc>
          <w:tcPr>
            <w:tcW w:w="42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16"/>
        </w:trPr>
        <w:tc>
          <w:tcPr>
            <w:tcW w:w="3980" w:type="dxa"/>
            <w:vAlign w:val="bottom"/>
            <w:shd w:val="clear" w:color="auto" w:fill="E5E5E5"/>
          </w:tcPr>
          <w:p>
            <w:pPr>
              <w:ind w:left="440"/>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11"/>
                <w:szCs w:val="11"/>
                <w:color w:val="auto"/>
              </w:rPr>
              <w:t>(b)</w:t>
            </w:r>
          </w:p>
        </w:tc>
        <w:tc>
          <w:tcPr>
            <w:tcW w:w="1540" w:type="dxa"/>
            <w:vAlign w:val="bottom"/>
            <w:gridSpan w:val="2"/>
            <w:shd w:val="clear" w:color="auto" w:fill="E5E5E5"/>
          </w:tcPr>
          <w:p>
            <w:pPr>
              <w:jc w:val="right"/>
              <w:ind w:right="92"/>
              <w:spacing w:after="0"/>
              <w:rPr>
                <w:sz w:val="20"/>
                <w:szCs w:val="20"/>
                <w:color w:val="auto"/>
              </w:rPr>
            </w:pPr>
            <w:r>
              <w:rPr>
                <w:rFonts w:ascii="Arial" w:cs="Arial" w:eastAsia="Arial" w:hAnsi="Arial"/>
                <w:sz w:val="18"/>
                <w:szCs w:val="18"/>
                <w:color w:val="auto"/>
              </w:rPr>
              <w:t>10</w:t>
            </w:r>
          </w:p>
        </w:tc>
        <w:tc>
          <w:tcPr>
            <w:tcW w:w="600" w:type="dxa"/>
            <w:vAlign w:val="bottom"/>
            <w:shd w:val="clear" w:color="auto" w:fill="E5E5E5"/>
          </w:tcPr>
          <w:p>
            <w:pPr>
              <w:spacing w:after="0"/>
              <w:rPr>
                <w:sz w:val="18"/>
                <w:szCs w:val="18"/>
                <w:color w:val="auto"/>
              </w:rPr>
            </w:pPr>
          </w:p>
        </w:tc>
        <w:tc>
          <w:tcPr>
            <w:tcW w:w="1580" w:type="dxa"/>
            <w:vAlign w:val="bottom"/>
            <w:shd w:val="clear" w:color="auto" w:fill="E5E5E5"/>
          </w:tcPr>
          <w:p>
            <w:pPr>
              <w:jc w:val="right"/>
              <w:ind w:right="176"/>
              <w:spacing w:after="0"/>
              <w:rPr>
                <w:sz w:val="20"/>
                <w:szCs w:val="20"/>
                <w:color w:val="auto"/>
              </w:rPr>
            </w:pPr>
            <w:r>
              <w:rPr>
                <w:rFonts w:ascii="Arial" w:cs="Arial" w:eastAsia="Arial" w:hAnsi="Arial"/>
                <w:sz w:val="18"/>
                <w:szCs w:val="18"/>
                <w:color w:val="auto"/>
              </w:rPr>
              <w:t>(464)</w:t>
            </w:r>
          </w:p>
        </w:tc>
        <w:tc>
          <w:tcPr>
            <w:tcW w:w="460" w:type="dxa"/>
            <w:vAlign w:val="bottom"/>
            <w:shd w:val="clear" w:color="auto" w:fill="E5E5E5"/>
          </w:tcPr>
          <w:p>
            <w:pPr>
              <w:spacing w:after="0"/>
              <w:rPr>
                <w:sz w:val="18"/>
                <w:szCs w:val="18"/>
                <w:color w:val="auto"/>
              </w:rPr>
            </w:pPr>
          </w:p>
        </w:tc>
        <w:tc>
          <w:tcPr>
            <w:tcW w:w="1100" w:type="dxa"/>
            <w:vAlign w:val="bottom"/>
            <w:shd w:val="clear" w:color="auto" w:fill="E5E5E5"/>
          </w:tcPr>
          <w:p>
            <w:pPr>
              <w:jc w:val="right"/>
              <w:ind w:right="414"/>
              <w:spacing w:after="0"/>
              <w:rPr>
                <w:sz w:val="20"/>
                <w:szCs w:val="20"/>
                <w:color w:val="auto"/>
              </w:rPr>
            </w:pPr>
            <w:r>
              <w:rPr>
                <w:rFonts w:ascii="Arial" w:cs="Arial" w:eastAsia="Arial" w:hAnsi="Arial"/>
                <w:sz w:val="18"/>
                <w:szCs w:val="18"/>
                <w:color w:val="auto"/>
              </w:rPr>
              <w:t>244</w:t>
            </w:r>
          </w:p>
        </w:tc>
        <w:tc>
          <w:tcPr>
            <w:tcW w:w="1060" w:type="dxa"/>
            <w:vAlign w:val="bottom"/>
            <w:shd w:val="clear" w:color="auto" w:fill="E5E5E5"/>
          </w:tcPr>
          <w:p>
            <w:pPr>
              <w:jc w:val="right"/>
              <w:ind w:right="217"/>
              <w:spacing w:after="0"/>
              <w:rPr>
                <w:sz w:val="20"/>
                <w:szCs w:val="20"/>
                <w:color w:val="auto"/>
              </w:rPr>
            </w:pPr>
            <w:r>
              <w:rPr>
                <w:rFonts w:ascii="Arial" w:cs="Arial" w:eastAsia="Arial" w:hAnsi="Arial"/>
                <w:sz w:val="18"/>
                <w:szCs w:val="18"/>
                <w:color w:val="auto"/>
              </w:rPr>
              <w:t>(708)</w:t>
            </w:r>
          </w:p>
        </w:tc>
        <w:tc>
          <w:tcPr>
            <w:tcW w:w="42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16"/>
        </w:trPr>
        <w:tc>
          <w:tcPr>
            <w:tcW w:w="398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(c)</w:t>
            </w:r>
          </w:p>
        </w:tc>
        <w:tc>
          <w:tcPr>
            <w:tcW w:w="154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8"/>
                <w:szCs w:val="18"/>
                <w:color w:val="auto"/>
              </w:rPr>
              <w:t>(241)</w:t>
            </w:r>
          </w:p>
        </w:tc>
        <w:tc>
          <w:tcPr>
            <w:tcW w:w="6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176"/>
              <w:spacing w:after="0"/>
              <w:rPr>
                <w:sz w:val="20"/>
                <w:szCs w:val="20"/>
                <w:color w:val="auto"/>
              </w:rPr>
            </w:pPr>
            <w:r>
              <w:rPr>
                <w:rFonts w:ascii="Arial" w:cs="Arial" w:eastAsia="Arial" w:hAnsi="Arial"/>
                <w:sz w:val="18"/>
                <w:szCs w:val="18"/>
                <w:color w:val="auto"/>
              </w:rPr>
              <w:t>(6)</w:t>
            </w:r>
          </w:p>
        </w:tc>
        <w:tc>
          <w:tcPr>
            <w:tcW w:w="4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14"/>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217"/>
              <w:spacing w:after="0"/>
              <w:rPr>
                <w:sz w:val="20"/>
                <w:szCs w:val="20"/>
                <w:color w:val="auto"/>
              </w:rPr>
            </w:pPr>
            <w:r>
              <w:rPr>
                <w:rFonts w:ascii="Arial" w:cs="Arial" w:eastAsia="Arial" w:hAnsi="Arial"/>
                <w:sz w:val="18"/>
                <w:szCs w:val="18"/>
                <w:color w:val="auto"/>
              </w:rPr>
              <w:t>(6)</w:t>
            </w:r>
          </w:p>
        </w:tc>
        <w:tc>
          <w:tcPr>
            <w:tcW w:w="4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980" w:type="dxa"/>
            <w:vAlign w:val="bottom"/>
            <w:shd w:val="clear" w:color="auto" w:fill="E5E5E5"/>
          </w:tcPr>
          <w:p>
            <w:pPr>
              <w:spacing w:after="0"/>
              <w:rPr>
                <w:sz w:val="20"/>
                <w:szCs w:val="20"/>
                <w:color w:val="auto"/>
              </w:rPr>
            </w:pPr>
            <w:r>
              <w:rPr>
                <w:rFonts w:ascii="Arial" w:cs="Arial" w:eastAsia="Arial" w:hAnsi="Arial"/>
                <w:sz w:val="18"/>
                <w:szCs w:val="18"/>
                <w:color w:val="auto"/>
              </w:rPr>
              <w:t>NBCUniversal</w:t>
            </w:r>
          </w:p>
        </w:tc>
        <w:tc>
          <w:tcPr>
            <w:tcW w:w="1540" w:type="dxa"/>
            <w:vAlign w:val="bottom"/>
            <w:gridSpan w:val="2"/>
            <w:shd w:val="clear" w:color="auto" w:fill="E5E5E5"/>
          </w:tcPr>
          <w:p>
            <w:pPr>
              <w:jc w:val="right"/>
              <w:ind w:right="92"/>
              <w:spacing w:after="0"/>
              <w:rPr>
                <w:sz w:val="20"/>
                <w:szCs w:val="20"/>
                <w:color w:val="auto"/>
              </w:rPr>
            </w:pPr>
            <w:r>
              <w:rPr>
                <w:rFonts w:ascii="Arial" w:cs="Arial" w:eastAsia="Arial" w:hAnsi="Arial"/>
                <w:sz w:val="18"/>
                <w:szCs w:val="18"/>
                <w:color w:val="auto"/>
              </w:rPr>
              <w:t>18,813</w:t>
            </w:r>
          </w:p>
        </w:tc>
        <w:tc>
          <w:tcPr>
            <w:tcW w:w="600" w:type="dxa"/>
            <w:vAlign w:val="bottom"/>
            <w:shd w:val="clear" w:color="auto" w:fill="E5E5E5"/>
          </w:tcPr>
          <w:p>
            <w:pPr>
              <w:spacing w:after="0"/>
              <w:rPr>
                <w:sz w:val="18"/>
                <w:szCs w:val="18"/>
                <w:color w:val="auto"/>
              </w:rPr>
            </w:pPr>
          </w:p>
        </w:tc>
        <w:tc>
          <w:tcPr>
            <w:tcW w:w="1580" w:type="dxa"/>
            <w:vAlign w:val="bottom"/>
            <w:shd w:val="clear" w:color="auto" w:fill="E5E5E5"/>
          </w:tcPr>
          <w:p>
            <w:pPr>
              <w:jc w:val="right"/>
              <w:ind w:right="236"/>
              <w:spacing w:after="0"/>
              <w:rPr>
                <w:sz w:val="20"/>
                <w:szCs w:val="20"/>
                <w:color w:val="auto"/>
              </w:rPr>
            </w:pPr>
            <w:r>
              <w:rPr>
                <w:rFonts w:ascii="Arial" w:cs="Arial" w:eastAsia="Arial" w:hAnsi="Arial"/>
                <w:sz w:val="18"/>
                <w:szCs w:val="18"/>
                <w:color w:val="auto"/>
              </w:rPr>
              <w:t>4,161</w:t>
            </w:r>
          </w:p>
        </w:tc>
        <w:tc>
          <w:tcPr>
            <w:tcW w:w="460" w:type="dxa"/>
            <w:vAlign w:val="bottom"/>
            <w:shd w:val="clear" w:color="auto" w:fill="E5E5E5"/>
          </w:tcPr>
          <w:p>
            <w:pPr>
              <w:spacing w:after="0"/>
              <w:rPr>
                <w:sz w:val="18"/>
                <w:szCs w:val="18"/>
                <w:color w:val="auto"/>
              </w:rPr>
            </w:pPr>
          </w:p>
        </w:tc>
        <w:tc>
          <w:tcPr>
            <w:tcW w:w="1100" w:type="dxa"/>
            <w:vAlign w:val="bottom"/>
            <w:shd w:val="clear" w:color="auto" w:fill="E5E5E5"/>
          </w:tcPr>
          <w:p>
            <w:pPr>
              <w:jc w:val="right"/>
              <w:ind w:right="414"/>
              <w:spacing w:after="0"/>
              <w:rPr>
                <w:sz w:val="20"/>
                <w:szCs w:val="20"/>
                <w:color w:val="auto"/>
              </w:rPr>
            </w:pPr>
            <w:r>
              <w:rPr>
                <w:rFonts w:ascii="Arial" w:cs="Arial" w:eastAsia="Arial" w:hAnsi="Arial"/>
                <w:sz w:val="18"/>
                <w:szCs w:val="18"/>
                <w:color w:val="auto"/>
              </w:rPr>
              <w:t>1,106</w:t>
            </w:r>
          </w:p>
        </w:tc>
        <w:tc>
          <w:tcPr>
            <w:tcW w:w="1060" w:type="dxa"/>
            <w:vAlign w:val="bottom"/>
            <w:shd w:val="clear" w:color="auto" w:fill="E5E5E5"/>
          </w:tcPr>
          <w:p>
            <w:pPr>
              <w:jc w:val="right"/>
              <w:ind w:right="277"/>
              <w:spacing w:after="0"/>
              <w:rPr>
                <w:sz w:val="20"/>
                <w:szCs w:val="20"/>
                <w:color w:val="auto"/>
              </w:rPr>
            </w:pPr>
            <w:r>
              <w:rPr>
                <w:rFonts w:ascii="Arial" w:cs="Arial" w:eastAsia="Arial" w:hAnsi="Arial"/>
                <w:sz w:val="18"/>
                <w:szCs w:val="18"/>
                <w:color w:val="auto"/>
              </w:rPr>
              <w:t>3,055</w:t>
            </w:r>
          </w:p>
        </w:tc>
        <w:tc>
          <w:tcPr>
            <w:tcW w:w="42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884</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Corporate and Other</w:t>
            </w:r>
          </w:p>
        </w:tc>
        <w:tc>
          <w:tcPr>
            <w:tcW w:w="1540" w:type="dxa"/>
            <w:vAlign w:val="bottom"/>
            <w:gridSpan w:val="2"/>
          </w:tcPr>
          <w:p>
            <w:pPr>
              <w:jc w:val="right"/>
              <w:ind w:right="92"/>
              <w:spacing w:after="0"/>
              <w:rPr>
                <w:sz w:val="20"/>
                <w:szCs w:val="20"/>
                <w:color w:val="auto"/>
              </w:rPr>
            </w:pPr>
            <w:r>
              <w:rPr>
                <w:rFonts w:ascii="Arial" w:cs="Arial" w:eastAsia="Arial" w:hAnsi="Arial"/>
                <w:sz w:val="18"/>
                <w:szCs w:val="18"/>
                <w:color w:val="auto"/>
              </w:rPr>
              <w:t>520</w:t>
            </w:r>
          </w:p>
        </w:tc>
        <w:tc>
          <w:tcPr>
            <w:tcW w:w="600" w:type="dxa"/>
            <w:vAlign w:val="bottom"/>
          </w:tcPr>
          <w:p>
            <w:pPr>
              <w:spacing w:after="0"/>
              <w:rPr>
                <w:sz w:val="18"/>
                <w:szCs w:val="18"/>
                <w:color w:val="auto"/>
              </w:rPr>
            </w:pPr>
          </w:p>
        </w:tc>
        <w:tc>
          <w:tcPr>
            <w:tcW w:w="1580" w:type="dxa"/>
            <w:vAlign w:val="bottom"/>
          </w:tcPr>
          <w:p>
            <w:pPr>
              <w:jc w:val="right"/>
              <w:ind w:right="176"/>
              <w:spacing w:after="0"/>
              <w:rPr>
                <w:sz w:val="20"/>
                <w:szCs w:val="20"/>
                <w:color w:val="auto"/>
              </w:rPr>
            </w:pPr>
            <w:r>
              <w:rPr>
                <w:rFonts w:ascii="Arial" w:cs="Arial" w:eastAsia="Arial" w:hAnsi="Arial"/>
                <w:sz w:val="18"/>
                <w:szCs w:val="18"/>
                <w:color w:val="auto"/>
              </w:rPr>
              <w:t>(532)</w:t>
            </w:r>
          </w:p>
        </w:tc>
        <w:tc>
          <w:tcPr>
            <w:tcW w:w="460" w:type="dxa"/>
            <w:vAlign w:val="bottom"/>
          </w:tcPr>
          <w:p>
            <w:pPr>
              <w:spacing w:after="0"/>
              <w:rPr>
                <w:sz w:val="18"/>
                <w:szCs w:val="18"/>
                <w:color w:val="auto"/>
              </w:rPr>
            </w:pPr>
          </w:p>
        </w:tc>
        <w:tc>
          <w:tcPr>
            <w:tcW w:w="1100" w:type="dxa"/>
            <w:vAlign w:val="bottom"/>
          </w:tcPr>
          <w:p>
            <w:pPr>
              <w:jc w:val="right"/>
              <w:ind w:right="414"/>
              <w:spacing w:after="0"/>
              <w:rPr>
                <w:sz w:val="20"/>
                <w:szCs w:val="20"/>
                <w:color w:val="auto"/>
              </w:rPr>
            </w:pPr>
            <w:r>
              <w:rPr>
                <w:rFonts w:ascii="Arial" w:cs="Arial" w:eastAsia="Arial" w:hAnsi="Arial"/>
                <w:sz w:val="18"/>
                <w:szCs w:val="18"/>
                <w:color w:val="auto"/>
              </w:rPr>
              <w:t>74</w:t>
            </w:r>
          </w:p>
        </w:tc>
        <w:tc>
          <w:tcPr>
            <w:tcW w:w="1060" w:type="dxa"/>
            <w:vAlign w:val="bottom"/>
          </w:tcPr>
          <w:p>
            <w:pPr>
              <w:jc w:val="right"/>
              <w:ind w:right="217"/>
              <w:spacing w:after="0"/>
              <w:rPr>
                <w:sz w:val="20"/>
                <w:szCs w:val="20"/>
                <w:color w:val="auto"/>
              </w:rPr>
            </w:pPr>
            <w:r>
              <w:rPr>
                <w:rFonts w:ascii="Arial" w:cs="Arial" w:eastAsia="Arial" w:hAnsi="Arial"/>
                <w:sz w:val="18"/>
                <w:szCs w:val="18"/>
                <w:color w:val="auto"/>
              </w:rPr>
              <w:t>(606)</w:t>
            </w:r>
          </w:p>
        </w:tc>
        <w:tc>
          <w:tcPr>
            <w:tcW w:w="42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39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(c)</w:t>
            </w:r>
          </w:p>
        </w:tc>
        <w:tc>
          <w:tcPr>
            <w:tcW w:w="1540" w:type="dxa"/>
            <w:vAlign w:val="bottom"/>
            <w:tcBorders>
              <w:bottom w:val="single" w:sz="8" w:color="auto"/>
            </w:tcBorders>
            <w:gridSpan w:val="2"/>
            <w:shd w:val="clear" w:color="auto" w:fill="E5E5E5"/>
          </w:tcPr>
          <w:p>
            <w:pPr>
              <w:jc w:val="right"/>
              <w:ind w:right="32"/>
              <w:spacing w:after="0"/>
              <w:rPr>
                <w:sz w:val="20"/>
                <w:szCs w:val="20"/>
                <w:color w:val="auto"/>
              </w:rPr>
            </w:pPr>
            <w:r>
              <w:rPr>
                <w:rFonts w:ascii="Arial" w:cs="Arial" w:eastAsia="Arial" w:hAnsi="Arial"/>
                <w:sz w:val="18"/>
                <w:szCs w:val="18"/>
                <w:color w:val="auto"/>
              </w:rPr>
              <w:t>(1,117)</w:t>
            </w:r>
          </w:p>
        </w:tc>
        <w:tc>
          <w:tcPr>
            <w:tcW w:w="600" w:type="dxa"/>
            <w:vAlign w:val="bottom"/>
            <w:tcBorders>
              <w:bottom w:val="single" w:sz="8" w:color="auto"/>
            </w:tcBorders>
            <w:shd w:val="clear" w:color="auto" w:fill="E5E5E5"/>
          </w:tcPr>
          <w:p>
            <w:pPr>
              <w:spacing w:after="0"/>
              <w:rPr>
                <w:sz w:val="18"/>
                <w:szCs w:val="18"/>
                <w:color w:val="auto"/>
              </w:rPr>
            </w:pPr>
          </w:p>
        </w:tc>
        <w:tc>
          <w:tcPr>
            <w:tcW w:w="1580" w:type="dxa"/>
            <w:vAlign w:val="bottom"/>
            <w:tcBorders>
              <w:bottom w:val="single" w:sz="8" w:color="auto"/>
            </w:tcBorders>
            <w:shd w:val="clear" w:color="auto" w:fill="E5E5E5"/>
          </w:tcPr>
          <w:p>
            <w:pPr>
              <w:jc w:val="right"/>
              <w:ind w:right="176"/>
              <w:spacing w:after="0"/>
              <w:rPr>
                <w:sz w:val="20"/>
                <w:szCs w:val="20"/>
                <w:color w:val="auto"/>
              </w:rPr>
            </w:pPr>
            <w:r>
              <w:rPr>
                <w:rFonts w:ascii="Arial" w:cs="Arial" w:eastAsia="Arial" w:hAnsi="Arial"/>
                <w:sz w:val="18"/>
                <w:szCs w:val="18"/>
                <w:color w:val="auto"/>
              </w:rPr>
              <w:t>(11)</w:t>
            </w:r>
          </w:p>
        </w:tc>
        <w:tc>
          <w:tcPr>
            <w:tcW w:w="460" w:type="dxa"/>
            <w:vAlign w:val="bottom"/>
            <w:tcBorders>
              <w:bottom w:val="single" w:sz="8" w:color="auto"/>
            </w:tcBorders>
            <w:shd w:val="clear" w:color="auto" w:fill="E5E5E5"/>
          </w:tcPr>
          <w:p>
            <w:pPr>
              <w:spacing w:after="0"/>
              <w:rPr>
                <w:sz w:val="18"/>
                <w:szCs w:val="18"/>
                <w:color w:val="auto"/>
              </w:rPr>
            </w:pPr>
          </w:p>
        </w:tc>
        <w:tc>
          <w:tcPr>
            <w:tcW w:w="1100" w:type="dxa"/>
            <w:vAlign w:val="bottom"/>
            <w:tcBorders>
              <w:bottom w:val="single" w:sz="8" w:color="auto"/>
            </w:tcBorders>
            <w:shd w:val="clear" w:color="auto" w:fill="E5E5E5"/>
          </w:tcPr>
          <w:p>
            <w:pPr>
              <w:jc w:val="right"/>
              <w:ind w:right="414"/>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E5E5E5"/>
          </w:tcPr>
          <w:p>
            <w:pPr>
              <w:jc w:val="right"/>
              <w:ind w:right="217"/>
              <w:spacing w:after="0"/>
              <w:rPr>
                <w:sz w:val="20"/>
                <w:szCs w:val="20"/>
                <w:color w:val="auto"/>
              </w:rPr>
            </w:pPr>
            <w:r>
              <w:rPr>
                <w:rFonts w:ascii="Arial" w:cs="Arial" w:eastAsia="Arial" w:hAnsi="Arial"/>
                <w:sz w:val="18"/>
                <w:szCs w:val="18"/>
                <w:color w:val="auto"/>
              </w:rPr>
              <w:t>(11)</w:t>
            </w:r>
          </w:p>
        </w:tc>
        <w:tc>
          <w:tcPr>
            <w:tcW w:w="42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Comcast Consolidated</w:t>
            </w:r>
          </w:p>
        </w:tc>
        <w:tc>
          <w:tcPr>
            <w:tcW w:w="154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8"/>
                <w:szCs w:val="18"/>
                <w:b w:val="1"/>
                <w:bCs w:val="1"/>
                <w:color w:val="auto"/>
              </w:rPr>
              <w:t>$ 51,043</w:t>
            </w:r>
          </w:p>
        </w:tc>
        <w:tc>
          <w:tcPr>
            <w:tcW w:w="600" w:type="dxa"/>
            <w:vAlign w:val="bottom"/>
            <w:tcBorders>
              <w:bottom w:val="single" w:sz="8" w:color="auto"/>
            </w:tcBorders>
          </w:tcPr>
          <w:p>
            <w:pPr>
              <w:ind w:left="500"/>
              <w:spacing w:after="0"/>
              <w:rPr>
                <w:sz w:val="20"/>
                <w:szCs w:val="20"/>
                <w:color w:val="auto"/>
              </w:rPr>
            </w:pPr>
            <w:r>
              <w:rPr>
                <w:rFonts w:ascii="Arial" w:cs="Arial" w:eastAsia="Arial" w:hAnsi="Arial"/>
                <w:sz w:val="18"/>
                <w:szCs w:val="18"/>
                <w:b w:val="1"/>
                <w:bCs w:val="1"/>
                <w:color w:val="auto"/>
                <w:w w:val="79"/>
              </w:rPr>
              <w:t>$</w:t>
            </w:r>
          </w:p>
        </w:tc>
        <w:tc>
          <w:tcPr>
            <w:tcW w:w="1580" w:type="dxa"/>
            <w:vAlign w:val="bottom"/>
            <w:tcBorders>
              <w:bottom w:val="single" w:sz="8" w:color="auto"/>
            </w:tcBorders>
          </w:tcPr>
          <w:p>
            <w:pPr>
              <w:jc w:val="right"/>
              <w:ind w:right="236"/>
              <w:spacing w:after="0"/>
              <w:rPr>
                <w:sz w:val="20"/>
                <w:szCs w:val="20"/>
                <w:color w:val="auto"/>
              </w:rPr>
            </w:pPr>
            <w:r>
              <w:rPr>
                <w:rFonts w:ascii="Arial" w:cs="Arial" w:eastAsia="Arial" w:hAnsi="Arial"/>
                <w:sz w:val="18"/>
                <w:szCs w:val="18"/>
                <w:b w:val="1"/>
                <w:bCs w:val="1"/>
                <w:color w:val="auto"/>
              </w:rPr>
              <w:t>17,046</w:t>
            </w:r>
          </w:p>
        </w:tc>
        <w:tc>
          <w:tcPr>
            <w:tcW w:w="46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ind w:right="414"/>
              <w:spacing w:after="0"/>
              <w:rPr>
                <w:sz w:val="20"/>
                <w:szCs w:val="20"/>
                <w:color w:val="auto"/>
              </w:rPr>
            </w:pPr>
            <w:r>
              <w:rPr>
                <w:rFonts w:ascii="Arial" w:cs="Arial" w:eastAsia="Arial" w:hAnsi="Arial"/>
                <w:sz w:val="18"/>
                <w:szCs w:val="18"/>
                <w:b w:val="1"/>
                <w:bCs w:val="1"/>
                <w:color w:val="auto"/>
              </w:rPr>
              <w:t>5,929</w:t>
            </w:r>
          </w:p>
        </w:tc>
        <w:tc>
          <w:tcPr>
            <w:tcW w:w="1060" w:type="dxa"/>
            <w:vAlign w:val="bottom"/>
            <w:tcBorders>
              <w:bottom w:val="single" w:sz="8" w:color="auto"/>
            </w:tcBorders>
          </w:tcPr>
          <w:p>
            <w:pPr>
              <w:jc w:val="right"/>
              <w:ind w:right="277"/>
              <w:spacing w:after="0"/>
              <w:rPr>
                <w:sz w:val="20"/>
                <w:szCs w:val="20"/>
                <w:color w:val="auto"/>
              </w:rPr>
            </w:pPr>
            <w:r>
              <w:rPr>
                <w:rFonts w:ascii="Arial" w:cs="Arial" w:eastAsia="Arial" w:hAnsi="Arial"/>
                <w:sz w:val="18"/>
                <w:szCs w:val="18"/>
                <w:b w:val="1"/>
                <w:bCs w:val="1"/>
                <w:color w:val="auto"/>
              </w:rPr>
              <w:t>$11,117</w:t>
            </w:r>
          </w:p>
        </w:tc>
        <w:tc>
          <w:tcPr>
            <w:tcW w:w="42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5,196</w:t>
            </w:r>
          </w:p>
        </w:tc>
        <w:tc>
          <w:tcPr>
            <w:tcW w:w="0" w:type="dxa"/>
            <w:vAlign w:val="bottom"/>
          </w:tcPr>
          <w:p>
            <w:pPr>
              <w:spacing w:after="0"/>
              <w:rPr>
                <w:sz w:val="1"/>
                <w:szCs w:val="1"/>
                <w:color w:val="auto"/>
              </w:rPr>
            </w:pPr>
          </w:p>
        </w:tc>
      </w:tr>
      <w:tr>
        <w:trPr>
          <w:trHeight w:val="390"/>
        </w:trPr>
        <w:tc>
          <w:tcPr>
            <w:tcW w:w="3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0" w:type="dxa"/>
            <w:vAlign w:val="bottom"/>
          </w:tcPr>
          <w:p>
            <w:pPr>
              <w:ind w:left="100"/>
              <w:spacing w:after="0"/>
              <w:rPr>
                <w:sz w:val="20"/>
                <w:szCs w:val="20"/>
                <w:color w:val="auto"/>
              </w:rPr>
            </w:pPr>
            <w:r>
              <w:rPr>
                <w:rFonts w:ascii="Arial" w:cs="Arial" w:eastAsia="Arial" w:hAnsi="Arial"/>
                <w:sz w:val="18"/>
                <w:szCs w:val="18"/>
                <w:color w:val="auto"/>
              </w:rPr>
              <w:t>14</w:t>
            </w:r>
          </w:p>
        </w:tc>
        <w:tc>
          <w:tcPr>
            <w:tcW w:w="1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2"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For the three and nine months ended September 30, 2015 and 2014, Cable Communications segment revenue was derived from the following sources:</w:t>
      </w:r>
    </w:p>
    <w:p>
      <w:pPr>
        <w:spacing w:after="0" w:line="43"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2860" w:type="dxa"/>
            <w:vAlign w:val="bottom"/>
            <w:gridSpan w:val="2"/>
          </w:tcPr>
          <w:p>
            <w:pPr>
              <w:jc w:val="right"/>
              <w:ind w:right="712"/>
              <w:spacing w:after="0"/>
              <w:rPr>
                <w:sz w:val="20"/>
                <w:szCs w:val="20"/>
                <w:color w:val="auto"/>
              </w:rPr>
            </w:pPr>
            <w:r>
              <w:rPr>
                <w:rFonts w:ascii="Arial" w:cs="Arial" w:eastAsia="Arial" w:hAnsi="Arial"/>
                <w:sz w:val="14"/>
                <w:szCs w:val="14"/>
                <w:color w:val="auto"/>
              </w:rPr>
              <w:t>Three Months Ended</w:t>
            </w:r>
          </w:p>
        </w:tc>
        <w:tc>
          <w:tcPr>
            <w:tcW w:w="2140" w:type="dxa"/>
            <w:vAlign w:val="bottom"/>
            <w:gridSpan w:val="2"/>
          </w:tcPr>
          <w:p>
            <w:pPr>
              <w:jc w:val="right"/>
              <w:ind w:right="412"/>
              <w:spacing w:after="0"/>
              <w:rPr>
                <w:sz w:val="20"/>
                <w:szCs w:val="20"/>
                <w:color w:val="auto"/>
              </w:rPr>
            </w:pPr>
            <w:r>
              <w:rPr>
                <w:rFonts w:ascii="Arial" w:cs="Arial" w:eastAsia="Arial" w:hAnsi="Arial"/>
                <w:sz w:val="14"/>
                <w:szCs w:val="14"/>
                <w:color w:val="auto"/>
              </w:rPr>
              <w:t>Nine Months Ended</w:t>
            </w:r>
          </w:p>
        </w:tc>
      </w:tr>
      <w:tr>
        <w:trPr>
          <w:trHeight w:val="159"/>
        </w:trPr>
        <w:tc>
          <w:tcPr>
            <w:tcW w:w="6060" w:type="dxa"/>
            <w:vAlign w:val="bottom"/>
          </w:tcPr>
          <w:p>
            <w:pPr>
              <w:spacing w:after="0"/>
              <w:rPr>
                <w:sz w:val="13"/>
                <w:szCs w:val="13"/>
                <w:color w:val="auto"/>
              </w:rPr>
            </w:pPr>
          </w:p>
        </w:tc>
        <w:tc>
          <w:tcPr>
            <w:tcW w:w="19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September 30</w:t>
            </w:r>
          </w:p>
        </w:tc>
        <w:tc>
          <w:tcPr>
            <w:tcW w:w="92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September 30</w:t>
            </w:r>
          </w:p>
        </w:tc>
        <w:tc>
          <w:tcPr>
            <w:tcW w:w="600" w:type="dxa"/>
            <w:vAlign w:val="bottom"/>
            <w:tcBorders>
              <w:bottom w:val="single" w:sz="8" w:color="auto"/>
            </w:tcBorders>
          </w:tcPr>
          <w:p>
            <w:pPr>
              <w:spacing w:after="0"/>
              <w:rPr>
                <w:sz w:val="13"/>
                <w:szCs w:val="13"/>
                <w:color w:val="auto"/>
              </w:rPr>
            </w:pPr>
          </w:p>
        </w:tc>
      </w:tr>
      <w:tr>
        <w:trPr>
          <w:trHeight w:val="223"/>
        </w:trPr>
        <w:tc>
          <w:tcPr>
            <w:tcW w:w="606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ind w:right="852"/>
              <w:spacing w:after="0"/>
              <w:rPr>
                <w:sz w:val="20"/>
                <w:szCs w:val="20"/>
                <w:color w:val="auto"/>
              </w:rPr>
            </w:pPr>
            <w:r>
              <w:rPr>
                <w:rFonts w:ascii="Arial" w:cs="Arial" w:eastAsia="Arial" w:hAnsi="Arial"/>
                <w:sz w:val="14"/>
                <w:szCs w:val="14"/>
                <w:color w:val="auto"/>
              </w:rPr>
              <w:t>2015</w:t>
            </w:r>
          </w:p>
        </w:tc>
        <w:tc>
          <w:tcPr>
            <w:tcW w:w="92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color w:val="auto"/>
                <w:w w:val="96"/>
              </w:rPr>
              <w:t>2014</w:t>
            </w:r>
          </w:p>
        </w:tc>
        <w:tc>
          <w:tcPr>
            <w:tcW w:w="1540" w:type="dxa"/>
            <w:vAlign w:val="bottom"/>
            <w:tcBorders>
              <w:bottom w:val="single" w:sz="8" w:color="auto"/>
            </w:tcBorders>
          </w:tcPr>
          <w:p>
            <w:pPr>
              <w:jc w:val="right"/>
              <w:ind w:right="852"/>
              <w:spacing w:after="0"/>
              <w:rPr>
                <w:sz w:val="20"/>
                <w:szCs w:val="20"/>
                <w:color w:val="auto"/>
              </w:rPr>
            </w:pPr>
            <w:r>
              <w:rPr>
                <w:rFonts w:ascii="Arial" w:cs="Arial" w:eastAsia="Arial" w:hAnsi="Arial"/>
                <w:sz w:val="14"/>
                <w:szCs w:val="14"/>
                <w:color w:val="auto"/>
              </w:rPr>
              <w:t>2015</w:t>
            </w:r>
          </w:p>
        </w:tc>
        <w:tc>
          <w:tcPr>
            <w:tcW w:w="6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color w:val="auto"/>
                <w:w w:val="96"/>
              </w:rPr>
              <w:t>2014</w:t>
            </w:r>
          </w:p>
        </w:tc>
      </w:tr>
      <w:tr>
        <w:trPr>
          <w:trHeight w:val="142"/>
        </w:trPr>
        <w:tc>
          <w:tcPr>
            <w:tcW w:w="6060" w:type="dxa"/>
            <w:vAlign w:val="bottom"/>
            <w:shd w:val="clear" w:color="auto" w:fill="E5E5E5"/>
          </w:tcPr>
          <w:p>
            <w:pPr>
              <w:spacing w:after="0" w:line="142" w:lineRule="exact"/>
              <w:rPr>
                <w:sz w:val="20"/>
                <w:szCs w:val="20"/>
                <w:color w:val="auto"/>
              </w:rPr>
            </w:pPr>
            <w:r>
              <w:rPr>
                <w:rFonts w:ascii="Arial" w:cs="Arial" w:eastAsia="Arial" w:hAnsi="Arial"/>
                <w:sz w:val="14"/>
                <w:szCs w:val="14"/>
                <w:color w:val="auto"/>
              </w:rPr>
              <w:t>Residential:</w:t>
            </w:r>
          </w:p>
        </w:tc>
        <w:tc>
          <w:tcPr>
            <w:tcW w:w="1940" w:type="dxa"/>
            <w:vAlign w:val="bottom"/>
            <w:shd w:val="clear" w:color="auto" w:fill="E5E5E5"/>
          </w:tcPr>
          <w:p>
            <w:pPr>
              <w:spacing w:after="0"/>
              <w:rPr>
                <w:sz w:val="12"/>
                <w:szCs w:val="12"/>
                <w:color w:val="auto"/>
              </w:rPr>
            </w:pPr>
          </w:p>
        </w:tc>
        <w:tc>
          <w:tcPr>
            <w:tcW w:w="920" w:type="dxa"/>
            <w:vAlign w:val="bottom"/>
            <w:shd w:val="clear" w:color="auto" w:fill="E5E5E5"/>
          </w:tcPr>
          <w:p>
            <w:pPr>
              <w:spacing w:after="0"/>
              <w:rPr>
                <w:sz w:val="12"/>
                <w:szCs w:val="12"/>
                <w:color w:val="auto"/>
              </w:rPr>
            </w:pPr>
          </w:p>
        </w:tc>
        <w:tc>
          <w:tcPr>
            <w:tcW w:w="1540" w:type="dxa"/>
            <w:vAlign w:val="bottom"/>
            <w:shd w:val="clear" w:color="auto" w:fill="E5E5E5"/>
          </w:tcPr>
          <w:p>
            <w:pPr>
              <w:spacing w:after="0"/>
              <w:rPr>
                <w:sz w:val="12"/>
                <w:szCs w:val="12"/>
                <w:color w:val="auto"/>
              </w:rPr>
            </w:pPr>
          </w:p>
        </w:tc>
        <w:tc>
          <w:tcPr>
            <w:tcW w:w="600" w:type="dxa"/>
            <w:vAlign w:val="bottom"/>
            <w:shd w:val="clear" w:color="auto" w:fill="E5E5E5"/>
          </w:tcPr>
          <w:p>
            <w:pPr>
              <w:spacing w:after="0"/>
              <w:rPr>
                <w:sz w:val="12"/>
                <w:szCs w:val="12"/>
                <w:color w:val="auto"/>
              </w:rPr>
            </w:pPr>
          </w:p>
        </w:tc>
      </w:tr>
      <w:tr>
        <w:trPr>
          <w:trHeight w:val="149"/>
        </w:trPr>
        <w:tc>
          <w:tcPr>
            <w:tcW w:w="6060" w:type="dxa"/>
            <w:vAlign w:val="bottom"/>
          </w:tcPr>
          <w:p>
            <w:pPr>
              <w:ind w:left="440"/>
              <w:spacing w:after="0" w:line="149" w:lineRule="exact"/>
              <w:rPr>
                <w:sz w:val="20"/>
                <w:szCs w:val="20"/>
                <w:color w:val="auto"/>
              </w:rPr>
            </w:pPr>
            <w:r>
              <w:rPr>
                <w:rFonts w:ascii="Arial" w:cs="Arial" w:eastAsia="Arial" w:hAnsi="Arial"/>
                <w:sz w:val="14"/>
                <w:szCs w:val="14"/>
                <w:color w:val="auto"/>
              </w:rPr>
              <w:t>Video</w:t>
            </w:r>
          </w:p>
        </w:tc>
        <w:tc>
          <w:tcPr>
            <w:tcW w:w="1940" w:type="dxa"/>
            <w:vAlign w:val="bottom"/>
          </w:tcPr>
          <w:p>
            <w:pPr>
              <w:jc w:val="right"/>
              <w:ind w:right="592"/>
              <w:spacing w:after="0" w:line="149" w:lineRule="exact"/>
              <w:rPr>
                <w:sz w:val="20"/>
                <w:szCs w:val="20"/>
                <w:color w:val="auto"/>
              </w:rPr>
            </w:pPr>
            <w:r>
              <w:rPr>
                <w:rFonts w:ascii="Arial" w:cs="Arial" w:eastAsia="Arial" w:hAnsi="Arial"/>
                <w:sz w:val="14"/>
                <w:szCs w:val="14"/>
                <w:color w:val="auto"/>
              </w:rPr>
              <w:t>45.6%</w:t>
            </w:r>
          </w:p>
        </w:tc>
        <w:tc>
          <w:tcPr>
            <w:tcW w:w="92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46.9%</w:t>
            </w:r>
          </w:p>
        </w:tc>
        <w:tc>
          <w:tcPr>
            <w:tcW w:w="1540" w:type="dxa"/>
            <w:vAlign w:val="bottom"/>
          </w:tcPr>
          <w:p>
            <w:pPr>
              <w:jc w:val="right"/>
              <w:ind w:right="592"/>
              <w:spacing w:after="0" w:line="149" w:lineRule="exact"/>
              <w:rPr>
                <w:sz w:val="20"/>
                <w:szCs w:val="20"/>
                <w:color w:val="auto"/>
              </w:rPr>
            </w:pPr>
            <w:r>
              <w:rPr>
                <w:rFonts w:ascii="Arial" w:cs="Arial" w:eastAsia="Arial" w:hAnsi="Arial"/>
                <w:sz w:val="14"/>
                <w:szCs w:val="14"/>
                <w:color w:val="auto"/>
              </w:rPr>
              <w:t>46.2%</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47.5%</w:t>
            </w:r>
          </w:p>
        </w:tc>
      </w:tr>
      <w:tr>
        <w:trPr>
          <w:trHeight w:val="149"/>
        </w:trPr>
        <w:tc>
          <w:tcPr>
            <w:tcW w:w="6060" w:type="dxa"/>
            <w:vAlign w:val="bottom"/>
            <w:shd w:val="clear" w:color="auto" w:fill="E5E5E5"/>
          </w:tcPr>
          <w:p>
            <w:pPr>
              <w:ind w:left="440"/>
              <w:spacing w:after="0" w:line="149" w:lineRule="exact"/>
              <w:rPr>
                <w:sz w:val="20"/>
                <w:szCs w:val="20"/>
                <w:color w:val="auto"/>
              </w:rPr>
            </w:pPr>
            <w:r>
              <w:rPr>
                <w:rFonts w:ascii="Arial" w:cs="Arial" w:eastAsia="Arial" w:hAnsi="Arial"/>
                <w:sz w:val="14"/>
                <w:szCs w:val="14"/>
                <w:color w:val="auto"/>
              </w:rPr>
              <w:t>High-speed Internet</w:t>
            </w:r>
          </w:p>
        </w:tc>
        <w:tc>
          <w:tcPr>
            <w:tcW w:w="1940" w:type="dxa"/>
            <w:vAlign w:val="bottom"/>
            <w:shd w:val="clear" w:color="auto" w:fill="E5E5E5"/>
          </w:tcPr>
          <w:p>
            <w:pPr>
              <w:jc w:val="right"/>
              <w:ind w:right="592"/>
              <w:spacing w:after="0" w:line="149" w:lineRule="exact"/>
              <w:rPr>
                <w:sz w:val="20"/>
                <w:szCs w:val="20"/>
                <w:color w:val="auto"/>
              </w:rPr>
            </w:pPr>
            <w:r>
              <w:rPr>
                <w:rFonts w:ascii="Arial" w:cs="Arial" w:eastAsia="Arial" w:hAnsi="Arial"/>
                <w:sz w:val="14"/>
                <w:szCs w:val="14"/>
                <w:color w:val="auto"/>
              </w:rPr>
              <w:t>26.7%</w:t>
            </w:r>
          </w:p>
        </w:tc>
        <w:tc>
          <w:tcPr>
            <w:tcW w:w="920" w:type="dxa"/>
            <w:vAlign w:val="bottom"/>
            <w:shd w:val="clear" w:color="auto" w:fill="E5E5E5"/>
          </w:tcPr>
          <w:p>
            <w:pPr>
              <w:jc w:val="right"/>
              <w:ind w:right="292"/>
              <w:spacing w:after="0" w:line="149" w:lineRule="exact"/>
              <w:rPr>
                <w:sz w:val="20"/>
                <w:szCs w:val="20"/>
                <w:color w:val="auto"/>
              </w:rPr>
            </w:pPr>
            <w:r>
              <w:rPr>
                <w:rFonts w:ascii="Arial" w:cs="Arial" w:eastAsia="Arial" w:hAnsi="Arial"/>
                <w:sz w:val="14"/>
                <w:szCs w:val="14"/>
                <w:color w:val="auto"/>
              </w:rPr>
              <w:t>25.7%</w:t>
            </w:r>
          </w:p>
        </w:tc>
        <w:tc>
          <w:tcPr>
            <w:tcW w:w="1540" w:type="dxa"/>
            <w:vAlign w:val="bottom"/>
            <w:shd w:val="clear" w:color="auto" w:fill="E5E5E5"/>
          </w:tcPr>
          <w:p>
            <w:pPr>
              <w:jc w:val="right"/>
              <w:ind w:right="592"/>
              <w:spacing w:after="0" w:line="149" w:lineRule="exact"/>
              <w:rPr>
                <w:sz w:val="20"/>
                <w:szCs w:val="20"/>
                <w:color w:val="auto"/>
              </w:rPr>
            </w:pPr>
            <w:r>
              <w:rPr>
                <w:rFonts w:ascii="Arial" w:cs="Arial" w:eastAsia="Arial" w:hAnsi="Arial"/>
                <w:sz w:val="14"/>
                <w:szCs w:val="14"/>
                <w:color w:val="auto"/>
              </w:rPr>
              <w:t>26.6%</w:t>
            </w:r>
          </w:p>
        </w:tc>
        <w:tc>
          <w:tcPr>
            <w:tcW w:w="60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25.6%</w:t>
            </w:r>
          </w:p>
        </w:tc>
      </w:tr>
      <w:tr>
        <w:trPr>
          <w:trHeight w:val="149"/>
        </w:trPr>
        <w:tc>
          <w:tcPr>
            <w:tcW w:w="6060" w:type="dxa"/>
            <w:vAlign w:val="bottom"/>
          </w:tcPr>
          <w:p>
            <w:pPr>
              <w:ind w:left="440"/>
              <w:spacing w:after="0" w:line="149" w:lineRule="exact"/>
              <w:rPr>
                <w:sz w:val="20"/>
                <w:szCs w:val="20"/>
                <w:color w:val="auto"/>
              </w:rPr>
            </w:pPr>
            <w:r>
              <w:rPr>
                <w:rFonts w:ascii="Arial" w:cs="Arial" w:eastAsia="Arial" w:hAnsi="Arial"/>
                <w:sz w:val="14"/>
                <w:szCs w:val="14"/>
                <w:color w:val="auto"/>
              </w:rPr>
              <w:t>Voice</w:t>
            </w:r>
          </w:p>
        </w:tc>
        <w:tc>
          <w:tcPr>
            <w:tcW w:w="1940" w:type="dxa"/>
            <w:vAlign w:val="bottom"/>
          </w:tcPr>
          <w:p>
            <w:pPr>
              <w:jc w:val="right"/>
              <w:ind w:right="592"/>
              <w:spacing w:after="0" w:line="149" w:lineRule="exact"/>
              <w:rPr>
                <w:sz w:val="20"/>
                <w:szCs w:val="20"/>
                <w:color w:val="auto"/>
              </w:rPr>
            </w:pPr>
            <w:r>
              <w:rPr>
                <w:rFonts w:ascii="Arial" w:cs="Arial" w:eastAsia="Arial" w:hAnsi="Arial"/>
                <w:sz w:val="14"/>
                <w:szCs w:val="14"/>
                <w:color w:val="auto"/>
              </w:rPr>
              <w:t>7.7%</w:t>
            </w:r>
          </w:p>
        </w:tc>
        <w:tc>
          <w:tcPr>
            <w:tcW w:w="92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8.3%</w:t>
            </w:r>
          </w:p>
        </w:tc>
        <w:tc>
          <w:tcPr>
            <w:tcW w:w="1540" w:type="dxa"/>
            <w:vAlign w:val="bottom"/>
          </w:tcPr>
          <w:p>
            <w:pPr>
              <w:jc w:val="right"/>
              <w:ind w:right="592"/>
              <w:spacing w:after="0" w:line="149" w:lineRule="exact"/>
              <w:rPr>
                <w:sz w:val="20"/>
                <w:szCs w:val="20"/>
                <w:color w:val="auto"/>
              </w:rPr>
            </w:pPr>
            <w:r>
              <w:rPr>
                <w:rFonts w:ascii="Arial" w:cs="Arial" w:eastAsia="Arial" w:hAnsi="Arial"/>
                <w:sz w:val="14"/>
                <w:szCs w:val="14"/>
                <w:color w:val="auto"/>
              </w:rPr>
              <w:t>7.8%</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8.4%</w:t>
            </w:r>
          </w:p>
        </w:tc>
      </w:tr>
      <w:tr>
        <w:trPr>
          <w:trHeight w:val="149"/>
        </w:trPr>
        <w:tc>
          <w:tcPr>
            <w:tcW w:w="606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Business services</w:t>
            </w:r>
          </w:p>
        </w:tc>
        <w:tc>
          <w:tcPr>
            <w:tcW w:w="1940" w:type="dxa"/>
            <w:vAlign w:val="bottom"/>
            <w:shd w:val="clear" w:color="auto" w:fill="E5E5E5"/>
          </w:tcPr>
          <w:p>
            <w:pPr>
              <w:jc w:val="right"/>
              <w:ind w:right="592"/>
              <w:spacing w:after="0" w:line="149" w:lineRule="exact"/>
              <w:rPr>
                <w:sz w:val="20"/>
                <w:szCs w:val="20"/>
                <w:color w:val="auto"/>
              </w:rPr>
            </w:pPr>
            <w:r>
              <w:rPr>
                <w:rFonts w:ascii="Arial" w:cs="Arial" w:eastAsia="Arial" w:hAnsi="Arial"/>
                <w:sz w:val="14"/>
                <w:szCs w:val="14"/>
                <w:color w:val="auto"/>
              </w:rPr>
              <w:t>10.3%</w:t>
            </w:r>
          </w:p>
        </w:tc>
        <w:tc>
          <w:tcPr>
            <w:tcW w:w="920" w:type="dxa"/>
            <w:vAlign w:val="bottom"/>
            <w:shd w:val="clear" w:color="auto" w:fill="E5E5E5"/>
          </w:tcPr>
          <w:p>
            <w:pPr>
              <w:jc w:val="right"/>
              <w:ind w:right="292"/>
              <w:spacing w:after="0" w:line="149" w:lineRule="exact"/>
              <w:rPr>
                <w:sz w:val="20"/>
                <w:szCs w:val="20"/>
                <w:color w:val="auto"/>
              </w:rPr>
            </w:pPr>
            <w:r>
              <w:rPr>
                <w:rFonts w:ascii="Arial" w:cs="Arial" w:eastAsia="Arial" w:hAnsi="Arial"/>
                <w:sz w:val="14"/>
                <w:szCs w:val="14"/>
                <w:color w:val="auto"/>
              </w:rPr>
              <w:t>9.2%</w:t>
            </w:r>
          </w:p>
        </w:tc>
        <w:tc>
          <w:tcPr>
            <w:tcW w:w="1540" w:type="dxa"/>
            <w:vAlign w:val="bottom"/>
            <w:shd w:val="clear" w:color="auto" w:fill="E5E5E5"/>
          </w:tcPr>
          <w:p>
            <w:pPr>
              <w:jc w:val="right"/>
              <w:ind w:right="592"/>
              <w:spacing w:after="0" w:line="149" w:lineRule="exact"/>
              <w:rPr>
                <w:sz w:val="20"/>
                <w:szCs w:val="20"/>
                <w:color w:val="auto"/>
              </w:rPr>
            </w:pPr>
            <w:r>
              <w:rPr>
                <w:rFonts w:ascii="Arial" w:cs="Arial" w:eastAsia="Arial" w:hAnsi="Arial"/>
                <w:sz w:val="14"/>
                <w:szCs w:val="14"/>
                <w:color w:val="auto"/>
              </w:rPr>
              <w:t>10.0%</w:t>
            </w:r>
          </w:p>
        </w:tc>
        <w:tc>
          <w:tcPr>
            <w:tcW w:w="60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8.8%</w:t>
            </w:r>
          </w:p>
        </w:tc>
      </w:tr>
      <w:tr>
        <w:trPr>
          <w:trHeight w:val="149"/>
        </w:trPr>
        <w:tc>
          <w:tcPr>
            <w:tcW w:w="6060" w:type="dxa"/>
            <w:vAlign w:val="bottom"/>
          </w:tcPr>
          <w:p>
            <w:pPr>
              <w:spacing w:after="0" w:line="149" w:lineRule="exact"/>
              <w:rPr>
                <w:sz w:val="20"/>
                <w:szCs w:val="20"/>
                <w:color w:val="auto"/>
              </w:rPr>
            </w:pPr>
            <w:r>
              <w:rPr>
                <w:rFonts w:ascii="Arial" w:cs="Arial" w:eastAsia="Arial" w:hAnsi="Arial"/>
                <w:sz w:val="14"/>
                <w:szCs w:val="14"/>
                <w:color w:val="auto"/>
              </w:rPr>
              <w:t>Advertising</w:t>
            </w:r>
          </w:p>
        </w:tc>
        <w:tc>
          <w:tcPr>
            <w:tcW w:w="1940" w:type="dxa"/>
            <w:vAlign w:val="bottom"/>
          </w:tcPr>
          <w:p>
            <w:pPr>
              <w:jc w:val="right"/>
              <w:ind w:right="592"/>
              <w:spacing w:after="0" w:line="149" w:lineRule="exact"/>
              <w:rPr>
                <w:sz w:val="20"/>
                <w:szCs w:val="20"/>
                <w:color w:val="auto"/>
              </w:rPr>
            </w:pPr>
            <w:r>
              <w:rPr>
                <w:rFonts w:ascii="Arial" w:cs="Arial" w:eastAsia="Arial" w:hAnsi="Arial"/>
                <w:sz w:val="14"/>
                <w:szCs w:val="14"/>
                <w:color w:val="auto"/>
              </w:rPr>
              <w:t>5.1%</w:t>
            </w:r>
          </w:p>
        </w:tc>
        <w:tc>
          <w:tcPr>
            <w:tcW w:w="92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5.4%</w:t>
            </w:r>
          </w:p>
        </w:tc>
        <w:tc>
          <w:tcPr>
            <w:tcW w:w="1540" w:type="dxa"/>
            <w:vAlign w:val="bottom"/>
          </w:tcPr>
          <w:p>
            <w:pPr>
              <w:jc w:val="right"/>
              <w:ind w:right="592"/>
              <w:spacing w:after="0" w:line="149" w:lineRule="exact"/>
              <w:rPr>
                <w:sz w:val="20"/>
                <w:szCs w:val="20"/>
                <w:color w:val="auto"/>
              </w:rPr>
            </w:pPr>
            <w:r>
              <w:rPr>
                <w:rFonts w:ascii="Arial" w:cs="Arial" w:eastAsia="Arial" w:hAnsi="Arial"/>
                <w:sz w:val="14"/>
                <w:szCs w:val="14"/>
                <w:color w:val="auto"/>
              </w:rPr>
              <w:t>4.8%</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5.1%</w:t>
            </w:r>
          </w:p>
        </w:tc>
      </w:tr>
      <w:tr>
        <w:trPr>
          <w:trHeight w:val="149"/>
        </w:trPr>
        <w:tc>
          <w:tcPr>
            <w:tcW w:w="6060" w:type="dxa"/>
            <w:vAlign w:val="bottom"/>
            <w:tcBorders>
              <w:bottom w:val="single" w:sz="8" w:color="auto"/>
            </w:tcBorders>
            <w:shd w:val="clear" w:color="auto" w:fill="E5E5E5"/>
          </w:tcPr>
          <w:p>
            <w:pPr>
              <w:spacing w:after="0" w:line="149" w:lineRule="exact"/>
              <w:rPr>
                <w:sz w:val="20"/>
                <w:szCs w:val="20"/>
                <w:color w:val="auto"/>
              </w:rPr>
            </w:pPr>
            <w:r>
              <w:rPr>
                <w:rFonts w:ascii="Arial" w:cs="Arial" w:eastAsia="Arial" w:hAnsi="Arial"/>
                <w:sz w:val="14"/>
                <w:szCs w:val="14"/>
                <w:color w:val="auto"/>
              </w:rPr>
              <w:t>Other</w:t>
            </w:r>
          </w:p>
        </w:tc>
        <w:tc>
          <w:tcPr>
            <w:tcW w:w="1940" w:type="dxa"/>
            <w:vAlign w:val="bottom"/>
            <w:tcBorders>
              <w:bottom w:val="single" w:sz="8" w:color="auto"/>
            </w:tcBorders>
            <w:shd w:val="clear" w:color="auto" w:fill="E5E5E5"/>
          </w:tcPr>
          <w:p>
            <w:pPr>
              <w:jc w:val="right"/>
              <w:ind w:right="592"/>
              <w:spacing w:after="0" w:line="149" w:lineRule="exact"/>
              <w:rPr>
                <w:sz w:val="20"/>
                <w:szCs w:val="20"/>
                <w:color w:val="auto"/>
              </w:rPr>
            </w:pPr>
            <w:r>
              <w:rPr>
                <w:rFonts w:ascii="Arial" w:cs="Arial" w:eastAsia="Arial" w:hAnsi="Arial"/>
                <w:sz w:val="14"/>
                <w:szCs w:val="14"/>
                <w:color w:val="auto"/>
              </w:rPr>
              <w:t>4.6%</w:t>
            </w:r>
          </w:p>
        </w:tc>
        <w:tc>
          <w:tcPr>
            <w:tcW w:w="920" w:type="dxa"/>
            <w:vAlign w:val="bottom"/>
            <w:tcBorders>
              <w:bottom w:val="single" w:sz="8" w:color="auto"/>
            </w:tcBorders>
            <w:shd w:val="clear" w:color="auto" w:fill="E5E5E5"/>
          </w:tcPr>
          <w:p>
            <w:pPr>
              <w:jc w:val="right"/>
              <w:ind w:right="292"/>
              <w:spacing w:after="0" w:line="149" w:lineRule="exact"/>
              <w:rPr>
                <w:sz w:val="20"/>
                <w:szCs w:val="20"/>
                <w:color w:val="auto"/>
              </w:rPr>
            </w:pPr>
            <w:r>
              <w:rPr>
                <w:rFonts w:ascii="Arial" w:cs="Arial" w:eastAsia="Arial" w:hAnsi="Arial"/>
                <w:sz w:val="14"/>
                <w:szCs w:val="14"/>
                <w:color w:val="auto"/>
              </w:rPr>
              <w:t>4.5%</w:t>
            </w:r>
          </w:p>
        </w:tc>
        <w:tc>
          <w:tcPr>
            <w:tcW w:w="1540" w:type="dxa"/>
            <w:vAlign w:val="bottom"/>
            <w:tcBorders>
              <w:bottom w:val="single" w:sz="8" w:color="auto"/>
            </w:tcBorders>
            <w:shd w:val="clear" w:color="auto" w:fill="E5E5E5"/>
          </w:tcPr>
          <w:p>
            <w:pPr>
              <w:jc w:val="right"/>
              <w:ind w:right="592"/>
              <w:spacing w:after="0" w:line="149" w:lineRule="exact"/>
              <w:rPr>
                <w:sz w:val="20"/>
                <w:szCs w:val="20"/>
                <w:color w:val="auto"/>
              </w:rPr>
            </w:pPr>
            <w:r>
              <w:rPr>
                <w:rFonts w:ascii="Arial" w:cs="Arial" w:eastAsia="Arial" w:hAnsi="Arial"/>
                <w:sz w:val="14"/>
                <w:szCs w:val="14"/>
                <w:color w:val="auto"/>
              </w:rPr>
              <w:t>4.6%</w:t>
            </w:r>
          </w:p>
        </w:tc>
        <w:tc>
          <w:tcPr>
            <w:tcW w:w="600" w:type="dxa"/>
            <w:vAlign w:val="bottom"/>
            <w:tcBorders>
              <w:bottom w:val="single" w:sz="8" w:color="auto"/>
            </w:tcBorders>
            <w:shd w:val="clear" w:color="auto" w:fill="E5E5E5"/>
          </w:tcPr>
          <w:p>
            <w:pPr>
              <w:jc w:val="right"/>
              <w:spacing w:after="0" w:line="149" w:lineRule="exact"/>
              <w:rPr>
                <w:sz w:val="20"/>
                <w:szCs w:val="20"/>
                <w:color w:val="auto"/>
              </w:rPr>
            </w:pPr>
            <w:r>
              <w:rPr>
                <w:rFonts w:ascii="Arial" w:cs="Arial" w:eastAsia="Arial" w:hAnsi="Arial"/>
                <w:sz w:val="14"/>
                <w:szCs w:val="14"/>
                <w:color w:val="auto"/>
              </w:rPr>
              <w:t>4.6%</w:t>
            </w:r>
          </w:p>
        </w:tc>
      </w:tr>
      <w:tr>
        <w:trPr>
          <w:trHeight w:val="149"/>
        </w:trPr>
        <w:tc>
          <w:tcPr>
            <w:tcW w:w="60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Total</w:t>
            </w:r>
          </w:p>
        </w:tc>
        <w:tc>
          <w:tcPr>
            <w:tcW w:w="1940" w:type="dxa"/>
            <w:vAlign w:val="bottom"/>
            <w:tcBorders>
              <w:bottom w:val="single" w:sz="8" w:color="auto"/>
            </w:tcBorders>
          </w:tcPr>
          <w:p>
            <w:pPr>
              <w:jc w:val="right"/>
              <w:ind w:right="592"/>
              <w:spacing w:after="0" w:line="142" w:lineRule="exact"/>
              <w:rPr>
                <w:sz w:val="20"/>
                <w:szCs w:val="20"/>
                <w:color w:val="auto"/>
              </w:rPr>
            </w:pPr>
            <w:r>
              <w:rPr>
                <w:rFonts w:ascii="Arial" w:cs="Arial" w:eastAsia="Arial" w:hAnsi="Arial"/>
                <w:sz w:val="14"/>
                <w:szCs w:val="14"/>
                <w:color w:val="auto"/>
              </w:rPr>
              <w:t>100%</w:t>
            </w:r>
          </w:p>
        </w:tc>
        <w:tc>
          <w:tcPr>
            <w:tcW w:w="920" w:type="dxa"/>
            <w:vAlign w:val="bottom"/>
            <w:tcBorders>
              <w:bottom w:val="single" w:sz="8" w:color="auto"/>
            </w:tcBorders>
          </w:tcPr>
          <w:p>
            <w:pPr>
              <w:jc w:val="right"/>
              <w:ind w:right="292"/>
              <w:spacing w:after="0" w:line="142" w:lineRule="exact"/>
              <w:rPr>
                <w:sz w:val="20"/>
                <w:szCs w:val="20"/>
                <w:color w:val="auto"/>
              </w:rPr>
            </w:pPr>
            <w:r>
              <w:rPr>
                <w:rFonts w:ascii="Arial" w:cs="Arial" w:eastAsia="Arial" w:hAnsi="Arial"/>
                <w:sz w:val="14"/>
                <w:szCs w:val="14"/>
                <w:color w:val="auto"/>
              </w:rPr>
              <w:t>100%</w:t>
            </w:r>
          </w:p>
        </w:tc>
        <w:tc>
          <w:tcPr>
            <w:tcW w:w="1540" w:type="dxa"/>
            <w:vAlign w:val="bottom"/>
            <w:tcBorders>
              <w:bottom w:val="single" w:sz="8" w:color="auto"/>
            </w:tcBorders>
          </w:tcPr>
          <w:p>
            <w:pPr>
              <w:jc w:val="right"/>
              <w:ind w:right="592"/>
              <w:spacing w:after="0" w:line="142" w:lineRule="exact"/>
              <w:rPr>
                <w:sz w:val="20"/>
                <w:szCs w:val="20"/>
                <w:color w:val="auto"/>
              </w:rPr>
            </w:pPr>
            <w:r>
              <w:rPr>
                <w:rFonts w:ascii="Arial" w:cs="Arial" w:eastAsia="Arial" w:hAnsi="Arial"/>
                <w:sz w:val="14"/>
                <w:szCs w:val="14"/>
                <w:color w:val="auto"/>
              </w:rPr>
              <w:t>100%</w:t>
            </w:r>
          </w:p>
        </w:tc>
        <w:tc>
          <w:tcPr>
            <w:tcW w:w="6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100%</w:t>
            </w:r>
          </w:p>
        </w:tc>
      </w:tr>
    </w:tbl>
    <w:p>
      <w:pPr>
        <w:spacing w:after="0" w:line="57" w:lineRule="exact"/>
        <w:rPr>
          <w:sz w:val="20"/>
          <w:szCs w:val="20"/>
          <w:color w:val="auto"/>
        </w:rPr>
      </w:pPr>
    </w:p>
    <w:p>
      <w:pPr>
        <w:ind w:left="360"/>
        <w:spacing w:after="0"/>
        <w:rPr>
          <w:sz w:val="20"/>
          <w:szCs w:val="20"/>
          <w:color w:val="auto"/>
        </w:rPr>
      </w:pPr>
      <w:r>
        <w:rPr>
          <w:rFonts w:ascii="Arial" w:cs="Arial" w:eastAsia="Arial" w:hAnsi="Arial"/>
          <w:sz w:val="12"/>
          <w:szCs w:val="12"/>
          <w:color w:val="auto"/>
        </w:rPr>
        <w:t>Subscription revenue received from customers who purchase bundled services at a discounted rate is allocated proportionally to each service based on the individual service’s price on a stand-alone basis.</w:t>
      </w:r>
    </w:p>
    <w:p>
      <w:pPr>
        <w:spacing w:after="0" w:line="78" w:lineRule="exact"/>
        <w:rPr>
          <w:sz w:val="20"/>
          <w:szCs w:val="20"/>
          <w:color w:val="auto"/>
        </w:rPr>
      </w:pPr>
    </w:p>
    <w:p>
      <w:pPr>
        <w:ind w:left="360"/>
        <w:spacing w:after="0"/>
        <w:rPr>
          <w:sz w:val="20"/>
          <w:szCs w:val="20"/>
          <w:color w:val="auto"/>
        </w:rPr>
      </w:pPr>
      <w:r>
        <w:rPr>
          <w:rFonts w:ascii="Arial" w:cs="Arial" w:eastAsia="Arial" w:hAnsi="Arial"/>
          <w:sz w:val="14"/>
          <w:szCs w:val="14"/>
          <w:color w:val="auto"/>
        </w:rPr>
        <w:t>For both the three and nine months ended September 30, 2015 and 2014, 2.8% of Cable Communications segment revenue was derived from franchise and other regulatory fees.</w:t>
      </w:r>
    </w:p>
    <w:p>
      <w:pPr>
        <w:spacing w:after="0" w:line="55"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NBCUniversal Headquarters and Other activities include costs associated with overhead, allocations, personnel costs and headquarter initiatives.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Included in Eliminations are transactions that our segments enter into with one another. The most common types of transactions are the following:</w:t>
      </w:r>
    </w:p>
    <w:p>
      <w:pPr>
        <w:spacing w:after="0" w:line="55" w:lineRule="exact"/>
        <w:rPr>
          <w:rFonts w:ascii="Arial" w:cs="Arial" w:eastAsia="Arial" w:hAnsi="Arial"/>
          <w:sz w:val="14"/>
          <w:szCs w:val="14"/>
          <w:color w:val="auto"/>
        </w:rPr>
      </w:pPr>
    </w:p>
    <w:p>
      <w:pPr>
        <w:ind w:left="1020" w:right="1260" w:hanging="215"/>
        <w:spacing w:after="0" w:line="239" w:lineRule="auto"/>
        <w:tabs>
          <w:tab w:leader="none" w:pos="1020" w:val="left"/>
        </w:tabs>
        <w:numPr>
          <w:ilvl w:val="1"/>
          <w:numId w:val="7"/>
        </w:numPr>
        <w:rPr>
          <w:rFonts w:ascii="Arial" w:cs="Arial" w:eastAsia="Arial" w:hAnsi="Arial"/>
          <w:sz w:val="14"/>
          <w:szCs w:val="14"/>
          <w:color w:val="auto"/>
        </w:rPr>
      </w:pPr>
      <w:r>
        <w:rPr>
          <w:rFonts w:ascii="Arial" w:cs="Arial" w:eastAsia="Arial" w:hAnsi="Arial"/>
          <w:sz w:val="14"/>
          <w:szCs w:val="14"/>
          <w:color w:val="auto"/>
        </w:rPr>
        <w:t>our Cable Networks and Broadcast Television segments generate revenue by selling programming to our Cable Communications segment, which represents a substantial majority of the revenue elimination amount</w:t>
      </w:r>
    </w:p>
    <w:p>
      <w:pPr>
        <w:spacing w:after="0" w:line="43" w:lineRule="exact"/>
        <w:rPr>
          <w:rFonts w:ascii="Arial" w:cs="Arial" w:eastAsia="Arial" w:hAnsi="Arial"/>
          <w:sz w:val="14"/>
          <w:szCs w:val="14"/>
          <w:color w:val="auto"/>
        </w:rPr>
      </w:pPr>
    </w:p>
    <w:p>
      <w:pPr>
        <w:ind w:left="1020" w:hanging="215"/>
        <w:spacing w:after="0"/>
        <w:tabs>
          <w:tab w:leader="none" w:pos="1020" w:val="left"/>
        </w:tabs>
        <w:numPr>
          <w:ilvl w:val="1"/>
          <w:numId w:val="7"/>
        </w:numPr>
        <w:rPr>
          <w:rFonts w:ascii="Arial" w:cs="Arial" w:eastAsia="Arial" w:hAnsi="Arial"/>
          <w:sz w:val="14"/>
          <w:szCs w:val="14"/>
          <w:color w:val="auto"/>
        </w:rPr>
      </w:pPr>
      <w:r>
        <w:rPr>
          <w:rFonts w:ascii="Arial" w:cs="Arial" w:eastAsia="Arial" w:hAnsi="Arial"/>
          <w:sz w:val="14"/>
          <w:szCs w:val="14"/>
          <w:color w:val="auto"/>
        </w:rPr>
        <w:t>our Cable Communications segment generates revenue by selling advertising and by selling the use of satellite feeds to our NBCUniversal segments</w:t>
      </w:r>
    </w:p>
    <w:p>
      <w:pPr>
        <w:spacing w:after="0" w:line="55" w:lineRule="exact"/>
        <w:rPr>
          <w:rFonts w:ascii="Arial" w:cs="Arial" w:eastAsia="Arial" w:hAnsi="Arial"/>
          <w:sz w:val="14"/>
          <w:szCs w:val="14"/>
          <w:color w:val="auto"/>
        </w:rPr>
      </w:pPr>
    </w:p>
    <w:p>
      <w:pPr>
        <w:ind w:left="1020" w:hanging="215"/>
        <w:spacing w:after="0"/>
        <w:tabs>
          <w:tab w:leader="none" w:pos="1020" w:val="left"/>
        </w:tabs>
        <w:numPr>
          <w:ilvl w:val="1"/>
          <w:numId w:val="7"/>
        </w:numPr>
        <w:rPr>
          <w:rFonts w:ascii="Arial" w:cs="Arial" w:eastAsia="Arial" w:hAnsi="Arial"/>
          <w:sz w:val="14"/>
          <w:szCs w:val="14"/>
          <w:color w:val="auto"/>
        </w:rPr>
      </w:pPr>
      <w:r>
        <w:rPr>
          <w:rFonts w:ascii="Arial" w:cs="Arial" w:eastAsia="Arial" w:hAnsi="Arial"/>
          <w:sz w:val="14"/>
          <w:szCs w:val="14"/>
          <w:color w:val="auto"/>
        </w:rPr>
        <w:t>our Filmed Entertainment and Broadcast Television segments generate revenue by licensing content to our Cable Networks segment</w:t>
      </w:r>
    </w:p>
    <w:p>
      <w:pPr>
        <w:spacing w:after="0" w:line="55" w:lineRule="exact"/>
        <w:rPr>
          <w:rFonts w:ascii="Arial" w:cs="Arial" w:eastAsia="Arial" w:hAnsi="Arial"/>
          <w:sz w:val="14"/>
          <w:szCs w:val="14"/>
          <w:color w:val="auto"/>
        </w:rPr>
      </w:pPr>
    </w:p>
    <w:p>
      <w:pPr>
        <w:ind w:left="1020" w:right="1240" w:hanging="215"/>
        <w:spacing w:after="0" w:line="239" w:lineRule="auto"/>
        <w:tabs>
          <w:tab w:leader="none" w:pos="1020" w:val="left"/>
        </w:tabs>
        <w:numPr>
          <w:ilvl w:val="1"/>
          <w:numId w:val="7"/>
        </w:numPr>
        <w:rPr>
          <w:rFonts w:ascii="Arial" w:cs="Arial" w:eastAsia="Arial" w:hAnsi="Arial"/>
          <w:sz w:val="14"/>
          <w:szCs w:val="14"/>
          <w:color w:val="auto"/>
        </w:rPr>
      </w:pPr>
      <w:r>
        <w:rPr>
          <w:rFonts w:ascii="Arial" w:cs="Arial" w:eastAsia="Arial" w:hAnsi="Arial"/>
          <w:sz w:val="14"/>
          <w:szCs w:val="14"/>
          <w:color w:val="auto"/>
        </w:rPr>
        <w:t>our Cable Communications segment receives incentives offered by our Cable Networks segment in connection with its distribution of the Cable Networks’ content that are recorded as a reduction to programming expenses</w:t>
      </w:r>
    </w:p>
    <w:p>
      <w:pPr>
        <w:spacing w:after="0" w:line="43" w:lineRule="exact"/>
        <w:rPr>
          <w:rFonts w:ascii="Arial" w:cs="Arial" w:eastAsia="Arial" w:hAnsi="Arial"/>
          <w:sz w:val="14"/>
          <w:szCs w:val="14"/>
          <w:color w:val="auto"/>
        </w:rPr>
      </w:pP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No single customer accounted for a significant amount of revenue in any period.</w:t>
      </w:r>
    </w:p>
    <w:p>
      <w:pPr>
        <w:spacing w:after="0" w:line="55" w:lineRule="exact"/>
        <w:rPr>
          <w:rFonts w:ascii="Arial" w:cs="Arial" w:eastAsia="Arial" w:hAnsi="Arial"/>
          <w:sz w:val="14"/>
          <w:szCs w:val="14"/>
          <w:color w:val="auto"/>
        </w:rPr>
      </w:pPr>
    </w:p>
    <w:p>
      <w:pPr>
        <w:jc w:val="both"/>
        <w:ind w:left="340" w:hanging="332"/>
        <w:spacing w:after="0" w:line="268" w:lineRule="auto"/>
        <w:tabs>
          <w:tab w:leader="none" w:pos="340" w:val="left"/>
        </w:tabs>
        <w:numPr>
          <w:ilvl w:val="0"/>
          <w:numId w:val="7"/>
        </w:numPr>
        <w:rPr>
          <w:rFonts w:ascii="Arial" w:cs="Arial" w:eastAsia="Arial" w:hAnsi="Arial"/>
          <w:sz w:val="12"/>
          <w:szCs w:val="12"/>
          <w:color w:val="auto"/>
        </w:rPr>
      </w:pPr>
      <w:r>
        <w:rPr>
          <w:rFonts w:ascii="Arial" w:cs="Arial" w:eastAsia="Arial" w:hAnsi="Arial"/>
          <w:sz w:val="12"/>
          <w:szCs w:val="12"/>
          <w:color w:val="auto"/>
        </w:rPr>
        <w:t>We use operating income (loss) before depreciation and amortization, excluding impairment charges related to fixed and intangible assets and gains or losses on the sale of assets, if any, as the measure of profit or loss for our operating segments. This measure eliminates the significant level of noncash depreciation and amortization expense that results from the capital-intensive nature of certain of our businesses and from intangible assets recognized in business combinations. Additionally, it is unaffected by our capital structure or investment activities. We use this measure to evaluate our consolidated operating performance and the operating performance of our operating segments and to allocate resources and capital to our operating segments. It is also a significant performance measure in our annual incentive compensation programs. We believe that this measure is useful to investors because it is one of the bases for comparing our operating performance with that of other companies in our industries, although our measure may not be directly comparable to similar measures used by other companies. This measure should not be considered a substitute for operating income (loss), net income (loss) attributable to Comcast Corporation, net cash provided by operating activities, or other measures of performance or liquidity we have reported in accordance with GAAP.</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13: Condensed Consolidating Financial Information</w:t>
      </w:r>
    </w:p>
    <w:p>
      <w:pPr>
        <w:spacing w:after="0" w:line="8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Comcast (“Comcast Parent”), Comcast Cable Communications, LLC (“CCCL Parent”), Comcast MO Group, Inc. (“Comcast MO Group”), Comcast Cable Holdings, LLC (“CCH”) and Comcast MO of Delaware, LLC (“Comcast MO of Delaware”) (collectively, the “cable guarantors”) and NBCUniversal (“NBCUniversal Media Parent”) have fully and unconditionally guaranteed each other’s debt securities. In addition, the Comcast and Comcast Cable Communications, LLC $6.25 billion revolving credit facility due June 2017 and the Comcast commercial paper program are also fully and unconditionally guaranteed by NBCUniversal Media Parent. The Comcast commercial paper program is supported by the Comcast and Comcast Cable Communications, LLC revolving credit facility. Comcast MO Group, CCH and Comcast MO of Delaware are collectively referred to as the “Combined CCHMO Parents.”</w:t>
      </w:r>
    </w:p>
    <w:p>
      <w:pPr>
        <w:spacing w:after="0" w:line="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October 2015, Comcast MO Group, CCH and Comcast MO of Delaware merged with and into CCCL Parent. As the merger occurred subsequent to the balance sheet date, it is not reflected in the following condensed consolidating financial statements, which reflect our guarantee structure as of September 30, 2015.</w:t>
      </w:r>
    </w:p>
    <w:p>
      <w:pPr>
        <w:spacing w:after="0" w:line="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Comcast Parent and the cable guarantors also fully and unconditionally guarantee NBCUniversal Enterprise’s $4 billion senior notes, as well as its $1.35 billion revolving credit facility due March 2018 and the associated commercial paper program. NBCUniversal Media Parent does not guarantee the NBCUniversal Enterprise senior notes, credit facility or commercial paper program.</w:t>
      </w:r>
    </w:p>
    <w:p>
      <w:pPr>
        <w:spacing w:after="0" w:line="4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Comcast Parent provides an unconditional subordinated guarantee of the $185 million principal amount currently outstanding of Comcast Holdings’ ZONES due October 2029. Neither the cable guarantors nor NBCUniversal Media Parent guarantee the Comcast Holdings’ ZONES due October 2029. None of Comcast Parent, the cable guarantors nor NBCUniversal Media Parent guarantee the $62 million principal amount currently outstanding of Comcast Holdings’ ZONES due November 2029.</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2015</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color w:val="auto"/>
                <w:w w:val="93"/>
              </w:rPr>
              <w:t>Elimination</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Combined</w:t>
            </w: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jc w:val="right"/>
              <w:ind w:right="253"/>
              <w:spacing w:after="0" w:line="149" w:lineRule="exact"/>
              <w:rPr>
                <w:sz w:val="20"/>
                <w:szCs w:val="20"/>
                <w:color w:val="auto"/>
              </w:rPr>
            </w:pPr>
            <w:r>
              <w:rPr>
                <w:rFonts w:ascii="Arial" w:cs="Arial" w:eastAsia="Arial" w:hAnsi="Arial"/>
                <w:sz w:val="14"/>
                <w:szCs w:val="14"/>
                <w:color w:val="auto"/>
              </w:rPr>
              <w:t>Non-</w:t>
            </w:r>
          </w:p>
        </w:tc>
        <w:tc>
          <w:tcPr>
            <w:tcW w:w="260" w:type="dxa"/>
            <w:vAlign w:val="bottom"/>
          </w:tcPr>
          <w:p>
            <w:pPr>
              <w:spacing w:after="0"/>
              <w:rPr>
                <w:sz w:val="12"/>
                <w:szCs w:val="12"/>
                <w:color w:val="auto"/>
              </w:rPr>
            </w:pPr>
          </w:p>
        </w:tc>
        <w:tc>
          <w:tcPr>
            <w:tcW w:w="840" w:type="dxa"/>
            <w:vAlign w:val="bottom"/>
          </w:tcPr>
          <w:p>
            <w:pPr>
              <w:jc w:val="center"/>
              <w:ind w:right="213"/>
              <w:spacing w:after="0" w:line="149" w:lineRule="exact"/>
              <w:rPr>
                <w:sz w:val="20"/>
                <w:szCs w:val="20"/>
                <w:color w:val="auto"/>
              </w:rPr>
            </w:pPr>
            <w:r>
              <w:rPr>
                <w:rFonts w:ascii="Arial" w:cs="Arial" w:eastAsia="Arial" w:hAnsi="Arial"/>
                <w:sz w:val="14"/>
                <w:szCs w:val="14"/>
                <w:color w:val="auto"/>
                <w:w w:val="76"/>
              </w:rPr>
              <w:t>and</w:t>
            </w:r>
          </w:p>
        </w:tc>
        <w:tc>
          <w:tcPr>
            <w:tcW w:w="92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95"/>
              </w:rPr>
              <w:t>Consolidated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880" w:type="dxa"/>
            <w:vAlign w:val="bottom"/>
            <w:gridSpan w:val="2"/>
          </w:tcPr>
          <w:p>
            <w:pPr>
              <w:jc w:val="right"/>
              <w:ind w:right="93"/>
              <w:spacing w:after="0" w:line="149" w:lineRule="exact"/>
              <w:rPr>
                <w:sz w:val="20"/>
                <w:szCs w:val="20"/>
                <w:color w:val="auto"/>
              </w:rPr>
            </w:pPr>
            <w:r>
              <w:rPr>
                <w:rFonts w:ascii="Arial" w:cs="Arial" w:eastAsia="Arial" w:hAnsi="Arial"/>
                <w:sz w:val="14"/>
                <w:szCs w:val="14"/>
                <w:color w:val="auto"/>
              </w:rPr>
              <w:t>Comcast</w:t>
            </w:r>
          </w:p>
        </w:tc>
        <w:tc>
          <w:tcPr>
            <w:tcW w:w="220" w:type="dxa"/>
            <w:vAlign w:val="bottom"/>
          </w:tcPr>
          <w:p>
            <w:pPr>
              <w:spacing w:after="0"/>
              <w:rPr>
                <w:sz w:val="12"/>
                <w:szCs w:val="12"/>
                <w:color w:val="auto"/>
              </w:rPr>
            </w:pPr>
          </w:p>
        </w:tc>
        <w:tc>
          <w:tcPr>
            <w:tcW w:w="700" w:type="dxa"/>
            <w:vAlign w:val="bottom"/>
          </w:tcPr>
          <w:p>
            <w:pPr>
              <w:jc w:val="right"/>
              <w:ind w:right="133"/>
              <w:spacing w:after="0" w:line="149" w:lineRule="exact"/>
              <w:rPr>
                <w:sz w:val="20"/>
                <w:szCs w:val="20"/>
                <w:color w:val="auto"/>
              </w:rPr>
            </w:pPr>
            <w:r>
              <w:rPr>
                <w:rFonts w:ascii="Arial" w:cs="Arial" w:eastAsia="Arial" w:hAnsi="Arial"/>
                <w:sz w:val="14"/>
                <w:szCs w:val="14"/>
                <w:color w:val="auto"/>
                <w:w w:val="83"/>
              </w:rPr>
              <w:t>Comcast</w:t>
            </w:r>
          </w:p>
        </w:tc>
        <w:tc>
          <w:tcPr>
            <w:tcW w:w="260" w:type="dxa"/>
            <w:vAlign w:val="bottom"/>
          </w:tcPr>
          <w:p>
            <w:pPr>
              <w:spacing w:after="0"/>
              <w:rPr>
                <w:sz w:val="12"/>
                <w:szCs w:val="12"/>
                <w:color w:val="auto"/>
              </w:rPr>
            </w:pPr>
          </w:p>
        </w:tc>
        <w:tc>
          <w:tcPr>
            <w:tcW w:w="700" w:type="dxa"/>
            <w:vAlign w:val="bottom"/>
          </w:tcPr>
          <w:p>
            <w:pPr>
              <w:jc w:val="right"/>
              <w:ind w:right="213"/>
              <w:spacing w:after="0" w:line="149" w:lineRule="exact"/>
              <w:rPr>
                <w:sz w:val="20"/>
                <w:szCs w:val="20"/>
                <w:color w:val="auto"/>
              </w:rPr>
            </w:pPr>
            <w:r>
              <w:rPr>
                <w:rFonts w:ascii="Arial" w:cs="Arial" w:eastAsia="Arial" w:hAnsi="Arial"/>
                <w:sz w:val="14"/>
                <w:szCs w:val="14"/>
                <w:color w:val="auto"/>
                <w:w w:val="99"/>
              </w:rPr>
              <w:t>CCCL</w:t>
            </w:r>
          </w:p>
        </w:tc>
        <w:tc>
          <w:tcPr>
            <w:tcW w:w="860" w:type="dxa"/>
            <w:vAlign w:val="bottom"/>
            <w:gridSpan w:val="2"/>
          </w:tcPr>
          <w:p>
            <w:pPr>
              <w:jc w:val="right"/>
              <w:ind w:right="93"/>
              <w:spacing w:after="0" w:line="149" w:lineRule="exact"/>
              <w:rPr>
                <w:sz w:val="20"/>
                <w:szCs w:val="20"/>
                <w:color w:val="auto"/>
              </w:rPr>
            </w:pPr>
            <w:r>
              <w:rPr>
                <w:rFonts w:ascii="Arial" w:cs="Arial" w:eastAsia="Arial" w:hAnsi="Arial"/>
                <w:sz w:val="14"/>
                <w:szCs w:val="14"/>
                <w:color w:val="auto"/>
              </w:rPr>
              <w:t>CCHMO</w:t>
            </w:r>
          </w:p>
        </w:tc>
        <w:tc>
          <w:tcPr>
            <w:tcW w:w="110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NBCUniversal</w:t>
            </w:r>
          </w:p>
        </w:tc>
        <w:tc>
          <w:tcPr>
            <w:tcW w:w="960" w:type="dxa"/>
            <w:vAlign w:val="bottom"/>
            <w:gridSpan w:val="2"/>
          </w:tcPr>
          <w:p>
            <w:pPr>
              <w:jc w:val="right"/>
              <w:ind w:right="113"/>
              <w:spacing w:after="0" w:line="149" w:lineRule="exact"/>
              <w:rPr>
                <w:sz w:val="20"/>
                <w:szCs w:val="20"/>
                <w:color w:val="auto"/>
              </w:rPr>
            </w:pPr>
            <w:r>
              <w:rPr>
                <w:rFonts w:ascii="Arial" w:cs="Arial" w:eastAsia="Arial" w:hAnsi="Arial"/>
                <w:sz w:val="14"/>
                <w:szCs w:val="14"/>
                <w:color w:val="auto"/>
              </w:rPr>
              <w:t>Guarantor</w:t>
            </w:r>
          </w:p>
        </w:tc>
        <w:tc>
          <w:tcPr>
            <w:tcW w:w="11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Consolidation</w:t>
            </w:r>
          </w:p>
        </w:tc>
        <w:tc>
          <w:tcPr>
            <w:tcW w:w="220" w:type="dxa"/>
            <w:vAlign w:val="bottom"/>
          </w:tcPr>
          <w:p>
            <w:pPr>
              <w:spacing w:after="0"/>
              <w:rPr>
                <w:sz w:val="12"/>
                <w:szCs w:val="12"/>
                <w:color w:val="auto"/>
              </w:rPr>
            </w:pPr>
          </w:p>
        </w:tc>
        <w:tc>
          <w:tcPr>
            <w:tcW w:w="700" w:type="dxa"/>
            <w:vAlign w:val="bottom"/>
          </w:tcPr>
          <w:p>
            <w:pPr>
              <w:jc w:val="right"/>
              <w:ind w:right="133"/>
              <w:spacing w:after="0" w:line="149" w:lineRule="exact"/>
              <w:rPr>
                <w:sz w:val="20"/>
                <w:szCs w:val="20"/>
                <w:color w:val="auto"/>
              </w:rPr>
            </w:pPr>
            <w:r>
              <w:rPr>
                <w:rFonts w:ascii="Arial" w:cs="Arial" w:eastAsia="Arial" w:hAnsi="Arial"/>
                <w:sz w:val="14"/>
                <w:szCs w:val="14"/>
                <w:color w:val="auto"/>
                <w:w w:val="83"/>
              </w:rPr>
              <w:t>Comcast</w:t>
            </w:r>
          </w:p>
        </w:tc>
        <w:tc>
          <w:tcPr>
            <w:tcW w:w="0" w:type="dxa"/>
            <w:vAlign w:val="bottom"/>
          </w:tcPr>
          <w:p>
            <w:pPr>
              <w:spacing w:after="0"/>
              <w:rPr>
                <w:sz w:val="1"/>
                <w:szCs w:val="1"/>
                <w:color w:val="auto"/>
              </w:rPr>
            </w:pPr>
          </w:p>
        </w:tc>
      </w:tr>
      <w:tr>
        <w:trPr>
          <w:trHeight w:val="173"/>
        </w:trPr>
        <w:tc>
          <w:tcPr>
            <w:tcW w:w="372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260" w:type="dxa"/>
            <w:vAlign w:val="bottom"/>
          </w:tcPr>
          <w:p>
            <w:pPr>
              <w:spacing w:after="0"/>
              <w:rPr>
                <w:sz w:val="15"/>
                <w:szCs w:val="15"/>
                <w:color w:val="auto"/>
              </w:rPr>
            </w:pPr>
          </w:p>
        </w:tc>
        <w:tc>
          <w:tcPr>
            <w:tcW w:w="620" w:type="dxa"/>
            <w:vAlign w:val="bottom"/>
          </w:tcPr>
          <w:p>
            <w:pPr>
              <w:jc w:val="right"/>
              <w:ind w:right="173"/>
              <w:spacing w:after="0"/>
              <w:rPr>
                <w:sz w:val="20"/>
                <w:szCs w:val="20"/>
                <w:color w:val="auto"/>
              </w:rPr>
            </w:pPr>
            <w:r>
              <w:rPr>
                <w:rFonts w:ascii="Arial" w:cs="Arial" w:eastAsia="Arial" w:hAnsi="Arial"/>
                <w:sz w:val="14"/>
                <w:szCs w:val="14"/>
                <w:color w:val="auto"/>
                <w:w w:val="82"/>
              </w:rPr>
              <w:t>Parent</w:t>
            </w:r>
          </w:p>
        </w:tc>
        <w:tc>
          <w:tcPr>
            <w:tcW w:w="220" w:type="dxa"/>
            <w:vAlign w:val="bottom"/>
          </w:tcPr>
          <w:p>
            <w:pPr>
              <w:spacing w:after="0"/>
              <w:rPr>
                <w:sz w:val="15"/>
                <w:szCs w:val="15"/>
                <w:color w:val="auto"/>
              </w:rPr>
            </w:pPr>
          </w:p>
        </w:tc>
        <w:tc>
          <w:tcPr>
            <w:tcW w:w="700" w:type="dxa"/>
            <w:vAlign w:val="bottom"/>
          </w:tcPr>
          <w:p>
            <w:pPr>
              <w:jc w:val="right"/>
              <w:ind w:right="113"/>
              <w:spacing w:after="0"/>
              <w:rPr>
                <w:sz w:val="20"/>
                <w:szCs w:val="20"/>
                <w:color w:val="auto"/>
              </w:rPr>
            </w:pPr>
            <w:r>
              <w:rPr>
                <w:rFonts w:ascii="Arial" w:cs="Arial" w:eastAsia="Arial" w:hAnsi="Arial"/>
                <w:sz w:val="14"/>
                <w:szCs w:val="14"/>
                <w:color w:val="auto"/>
                <w:w w:val="88"/>
              </w:rPr>
              <w:t>Holdings</w:t>
            </w:r>
          </w:p>
        </w:tc>
        <w:tc>
          <w:tcPr>
            <w:tcW w:w="260" w:type="dxa"/>
            <w:vAlign w:val="bottom"/>
          </w:tcPr>
          <w:p>
            <w:pPr>
              <w:spacing w:after="0"/>
              <w:rPr>
                <w:sz w:val="15"/>
                <w:szCs w:val="15"/>
                <w:color w:val="auto"/>
              </w:rPr>
            </w:pPr>
          </w:p>
        </w:tc>
        <w:tc>
          <w:tcPr>
            <w:tcW w:w="700" w:type="dxa"/>
            <w:vAlign w:val="bottom"/>
          </w:tcPr>
          <w:p>
            <w:pPr>
              <w:jc w:val="right"/>
              <w:ind w:right="213"/>
              <w:spacing w:after="0"/>
              <w:rPr>
                <w:sz w:val="20"/>
                <w:szCs w:val="20"/>
                <w:color w:val="auto"/>
              </w:rPr>
            </w:pPr>
            <w:r>
              <w:rPr>
                <w:rFonts w:ascii="Arial" w:cs="Arial" w:eastAsia="Arial" w:hAnsi="Arial"/>
                <w:sz w:val="14"/>
                <w:szCs w:val="14"/>
                <w:color w:val="auto"/>
                <w:w w:val="92"/>
              </w:rPr>
              <w:t>Parent</w:t>
            </w:r>
          </w:p>
        </w:tc>
        <w:tc>
          <w:tcPr>
            <w:tcW w:w="240" w:type="dxa"/>
            <w:vAlign w:val="bottom"/>
          </w:tcPr>
          <w:p>
            <w:pPr>
              <w:spacing w:after="0"/>
              <w:rPr>
                <w:sz w:val="15"/>
                <w:szCs w:val="15"/>
                <w:color w:val="auto"/>
              </w:rPr>
            </w:pPr>
          </w:p>
        </w:tc>
        <w:tc>
          <w:tcPr>
            <w:tcW w:w="620" w:type="dxa"/>
            <w:vAlign w:val="bottom"/>
          </w:tcPr>
          <w:p>
            <w:pPr>
              <w:jc w:val="right"/>
              <w:ind w:right="133"/>
              <w:spacing w:after="0"/>
              <w:rPr>
                <w:sz w:val="20"/>
                <w:szCs w:val="20"/>
                <w:color w:val="auto"/>
              </w:rPr>
            </w:pPr>
            <w:r>
              <w:rPr>
                <w:rFonts w:ascii="Arial" w:cs="Arial" w:eastAsia="Arial" w:hAnsi="Arial"/>
                <w:sz w:val="14"/>
                <w:szCs w:val="14"/>
                <w:color w:val="auto"/>
                <w:w w:val="78"/>
              </w:rPr>
              <w:t>Parents</w:t>
            </w:r>
          </w:p>
        </w:tc>
        <w:tc>
          <w:tcPr>
            <w:tcW w:w="1100" w:type="dxa"/>
            <w:vAlign w:val="bottom"/>
            <w:gridSpan w:val="2"/>
          </w:tcPr>
          <w:p>
            <w:pPr>
              <w:jc w:val="right"/>
              <w:ind w:right="92"/>
              <w:spacing w:after="0"/>
              <w:rPr>
                <w:sz w:val="20"/>
                <w:szCs w:val="20"/>
                <w:color w:val="auto"/>
              </w:rPr>
            </w:pPr>
            <w:r>
              <w:rPr>
                <w:rFonts w:ascii="Arial" w:cs="Arial" w:eastAsia="Arial" w:hAnsi="Arial"/>
                <w:sz w:val="14"/>
                <w:szCs w:val="14"/>
                <w:color w:val="auto"/>
              </w:rPr>
              <w:t>Media Parent</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Subsidiaries</w:t>
            </w:r>
          </w:p>
        </w:tc>
        <w:tc>
          <w:tcPr>
            <w:tcW w:w="1100" w:type="dxa"/>
            <w:vAlign w:val="bottom"/>
            <w:gridSpan w:val="2"/>
          </w:tcPr>
          <w:p>
            <w:pPr>
              <w:jc w:val="center"/>
              <w:spacing w:after="0"/>
              <w:rPr>
                <w:sz w:val="20"/>
                <w:szCs w:val="20"/>
                <w:color w:val="auto"/>
              </w:rPr>
            </w:pPr>
            <w:r>
              <w:rPr>
                <w:rFonts w:ascii="Arial" w:cs="Arial" w:eastAsia="Arial" w:hAnsi="Arial"/>
                <w:sz w:val="14"/>
                <w:szCs w:val="14"/>
                <w:color w:val="auto"/>
                <w:w w:val="88"/>
              </w:rPr>
              <w:t>Adjustments</w:t>
            </w:r>
          </w:p>
        </w:tc>
        <w:tc>
          <w:tcPr>
            <w:tcW w:w="920" w:type="dxa"/>
            <w:vAlign w:val="bottom"/>
            <w:gridSpan w:val="2"/>
          </w:tcPr>
          <w:p>
            <w:pPr>
              <w:jc w:val="right"/>
              <w:ind w:right="33"/>
              <w:spacing w:after="0"/>
              <w:rPr>
                <w:sz w:val="20"/>
                <w:szCs w:val="20"/>
                <w:color w:val="auto"/>
              </w:rPr>
            </w:pPr>
            <w:r>
              <w:rPr>
                <w:rFonts w:ascii="Arial" w:cs="Arial" w:eastAsia="Arial" w:hAnsi="Arial"/>
                <w:sz w:val="14"/>
                <w:szCs w:val="14"/>
                <w:color w:val="auto"/>
              </w:rPr>
              <w:t>Corporation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top w:val="single" w:sz="8" w:color="auto"/>
            </w:tcBorders>
            <w:shd w:val="clear" w:color="auto" w:fill="E5E5E5"/>
          </w:tcPr>
          <w:p>
            <w:pPr>
              <w:spacing w:after="0"/>
              <w:rPr>
                <w:sz w:val="18"/>
                <w:szCs w:val="18"/>
                <w:color w:val="auto"/>
              </w:rPr>
            </w:pPr>
          </w:p>
        </w:tc>
        <w:tc>
          <w:tcPr>
            <w:tcW w:w="62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700" w:type="dxa"/>
            <w:vAlign w:val="bottom"/>
            <w:tcBorders>
              <w:top w:val="single" w:sz="8" w:color="auto"/>
            </w:tcBorders>
            <w:shd w:val="clear" w:color="auto" w:fill="E5E5E5"/>
          </w:tcPr>
          <w:p>
            <w:pPr>
              <w:spacing w:after="0"/>
              <w:rPr>
                <w:sz w:val="18"/>
                <w:szCs w:val="18"/>
                <w:color w:val="auto"/>
              </w:rPr>
            </w:pPr>
          </w:p>
        </w:tc>
        <w:tc>
          <w:tcPr>
            <w:tcW w:w="260" w:type="dxa"/>
            <w:vAlign w:val="bottom"/>
            <w:tcBorders>
              <w:top w:val="single" w:sz="8" w:color="auto"/>
            </w:tcBorders>
            <w:shd w:val="clear" w:color="auto" w:fill="E5E5E5"/>
          </w:tcPr>
          <w:p>
            <w:pPr>
              <w:spacing w:after="0"/>
              <w:rPr>
                <w:sz w:val="18"/>
                <w:szCs w:val="18"/>
                <w:color w:val="auto"/>
              </w:rPr>
            </w:pPr>
          </w:p>
        </w:tc>
        <w:tc>
          <w:tcPr>
            <w:tcW w:w="700" w:type="dxa"/>
            <w:vAlign w:val="bottom"/>
            <w:tcBorders>
              <w:top w:val="single" w:sz="8" w:color="auto"/>
            </w:tcBorders>
            <w:shd w:val="clear" w:color="auto" w:fill="E5E5E5"/>
          </w:tcPr>
          <w:p>
            <w:pPr>
              <w:spacing w:after="0"/>
              <w:rPr>
                <w:sz w:val="18"/>
                <w:szCs w:val="18"/>
                <w:color w:val="auto"/>
              </w:rPr>
            </w:pPr>
          </w:p>
        </w:tc>
        <w:tc>
          <w:tcPr>
            <w:tcW w:w="240" w:type="dxa"/>
            <w:vAlign w:val="bottom"/>
            <w:tcBorders>
              <w:top w:val="single" w:sz="8" w:color="auto"/>
            </w:tcBorders>
            <w:shd w:val="clear" w:color="auto" w:fill="E5E5E5"/>
          </w:tcPr>
          <w:p>
            <w:pPr>
              <w:spacing w:after="0"/>
              <w:rPr>
                <w:sz w:val="18"/>
                <w:szCs w:val="18"/>
                <w:color w:val="auto"/>
              </w:rPr>
            </w:pPr>
          </w:p>
        </w:tc>
        <w:tc>
          <w:tcPr>
            <w:tcW w:w="620" w:type="dxa"/>
            <w:vAlign w:val="bottom"/>
            <w:tcBorders>
              <w:top w:val="single" w:sz="8" w:color="auto"/>
            </w:tcBorders>
            <w:shd w:val="clear" w:color="auto" w:fill="E5E5E5"/>
          </w:tcPr>
          <w:p>
            <w:pPr>
              <w:spacing w:after="0"/>
              <w:rPr>
                <w:sz w:val="18"/>
                <w:szCs w:val="18"/>
                <w:color w:val="auto"/>
              </w:rPr>
            </w:pPr>
          </w:p>
        </w:tc>
        <w:tc>
          <w:tcPr>
            <w:tcW w:w="360" w:type="dxa"/>
            <w:vAlign w:val="bottom"/>
            <w:tcBorders>
              <w:top w:val="single" w:sz="8" w:color="auto"/>
            </w:tcBorders>
            <w:shd w:val="clear" w:color="auto" w:fill="E5E5E5"/>
          </w:tcPr>
          <w:p>
            <w:pPr>
              <w:spacing w:after="0"/>
              <w:rPr>
                <w:sz w:val="18"/>
                <w:szCs w:val="18"/>
                <w:color w:val="auto"/>
              </w:rPr>
            </w:pPr>
          </w:p>
        </w:tc>
        <w:tc>
          <w:tcPr>
            <w:tcW w:w="740" w:type="dxa"/>
            <w:vAlign w:val="bottom"/>
            <w:tcBorders>
              <w:top w:val="single" w:sz="8" w:color="auto"/>
            </w:tcBorders>
            <w:shd w:val="clear" w:color="auto" w:fill="E5E5E5"/>
          </w:tcPr>
          <w:p>
            <w:pPr>
              <w:spacing w:after="0"/>
              <w:rPr>
                <w:sz w:val="18"/>
                <w:szCs w:val="18"/>
                <w:color w:val="auto"/>
              </w:rPr>
            </w:pPr>
          </w:p>
        </w:tc>
        <w:tc>
          <w:tcPr>
            <w:tcW w:w="240" w:type="dxa"/>
            <w:vAlign w:val="bottom"/>
            <w:tcBorders>
              <w:top w:val="single" w:sz="8" w:color="auto"/>
            </w:tcBorders>
            <w:shd w:val="clear" w:color="auto" w:fill="E5E5E5"/>
          </w:tcPr>
          <w:p>
            <w:pPr>
              <w:spacing w:after="0"/>
              <w:rPr>
                <w:sz w:val="18"/>
                <w:szCs w:val="18"/>
                <w:color w:val="auto"/>
              </w:rPr>
            </w:pPr>
          </w:p>
        </w:tc>
        <w:tc>
          <w:tcPr>
            <w:tcW w:w="720" w:type="dxa"/>
            <w:vAlign w:val="bottom"/>
            <w:tcBorders>
              <w:top w:val="single" w:sz="8" w:color="auto"/>
            </w:tcBorders>
            <w:shd w:val="clear" w:color="auto" w:fill="E5E5E5"/>
          </w:tcPr>
          <w:p>
            <w:pPr>
              <w:spacing w:after="0"/>
              <w:rPr>
                <w:sz w:val="18"/>
                <w:szCs w:val="18"/>
                <w:color w:val="auto"/>
              </w:rPr>
            </w:pPr>
          </w:p>
        </w:tc>
        <w:tc>
          <w:tcPr>
            <w:tcW w:w="260" w:type="dxa"/>
            <w:vAlign w:val="bottom"/>
            <w:tcBorders>
              <w:top w:val="single" w:sz="8" w:color="auto"/>
            </w:tcBorders>
            <w:shd w:val="clear" w:color="auto" w:fill="E5E5E5"/>
          </w:tcPr>
          <w:p>
            <w:pPr>
              <w:spacing w:after="0"/>
              <w:rPr>
                <w:sz w:val="18"/>
                <w:szCs w:val="18"/>
                <w:color w:val="auto"/>
              </w:rPr>
            </w:pPr>
          </w:p>
        </w:tc>
        <w:tc>
          <w:tcPr>
            <w:tcW w:w="84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70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Pr>
          <w:p>
            <w:pPr>
              <w:jc w:val="center"/>
              <w:ind w:left="52"/>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ind w:left="14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60" w:type="dxa"/>
            <w:vAlign w:val="bottom"/>
          </w:tcPr>
          <w:p>
            <w:pPr>
              <w:ind w:left="16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209</w:t>
            </w:r>
          </w:p>
        </w:tc>
        <w:tc>
          <w:tcPr>
            <w:tcW w:w="240" w:type="dxa"/>
            <w:vAlign w:val="bottom"/>
          </w:tcPr>
          <w:p>
            <w:pPr>
              <w:ind w:left="14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1,684</w:t>
            </w:r>
          </w:p>
        </w:tc>
        <w:tc>
          <w:tcPr>
            <w:tcW w:w="260" w:type="dxa"/>
            <w:vAlign w:val="bottom"/>
          </w:tcPr>
          <w:p>
            <w:pPr>
              <w:ind w:left="14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ind w:left="10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1,893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E5E5E5"/>
          </w:tcPr>
          <w:p>
            <w:pPr>
              <w:ind w:left="200"/>
              <w:spacing w:after="0"/>
              <w:rPr>
                <w:sz w:val="20"/>
                <w:szCs w:val="20"/>
                <w:color w:val="auto"/>
              </w:rPr>
            </w:pPr>
            <w:r>
              <w:rPr>
                <w:rFonts w:ascii="Arial" w:cs="Arial" w:eastAsia="Arial" w:hAnsi="Arial"/>
                <w:sz w:val="18"/>
                <w:szCs w:val="18"/>
                <w:color w:val="auto"/>
              </w:rPr>
              <w:t>Investments</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137</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200"/>
              <w:spacing w:after="0"/>
              <w:rPr>
                <w:sz w:val="20"/>
                <w:szCs w:val="20"/>
                <w:color w:val="auto"/>
              </w:rPr>
            </w:pPr>
            <w:r>
              <w:rPr>
                <w:rFonts w:ascii="Arial" w:cs="Arial" w:eastAsia="Arial" w:hAnsi="Arial"/>
                <w:sz w:val="18"/>
                <w:szCs w:val="18"/>
                <w:color w:val="auto"/>
              </w:rPr>
              <w:t>Receivables, net</w:t>
            </w:r>
          </w:p>
        </w:tc>
        <w:tc>
          <w:tcPr>
            <w:tcW w:w="26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6,527</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6,527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E5E5E5"/>
          </w:tcPr>
          <w:p>
            <w:pPr>
              <w:ind w:left="200"/>
              <w:spacing w:after="0"/>
              <w:rPr>
                <w:sz w:val="20"/>
                <w:szCs w:val="20"/>
                <w:color w:val="auto"/>
              </w:rPr>
            </w:pPr>
            <w:r>
              <w:rPr>
                <w:rFonts w:ascii="Arial" w:cs="Arial" w:eastAsia="Arial" w:hAnsi="Arial"/>
                <w:sz w:val="18"/>
                <w:szCs w:val="18"/>
                <w:color w:val="auto"/>
              </w:rPr>
              <w:t>Programming rights</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1,130</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 current assets</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342</w:t>
            </w: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39</w:t>
            </w: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1,433</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1,814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shd w:val="clear" w:color="auto" w:fill="E5E5E5"/>
          </w:tcPr>
          <w:p>
            <w:pPr>
              <w:spacing w:after="0"/>
              <w:rPr>
                <w:sz w:val="20"/>
                <w:szCs w:val="20"/>
                <w:color w:val="auto"/>
              </w:rPr>
            </w:pPr>
            <w:r>
              <w:rPr>
                <w:rFonts w:ascii="Arial" w:cs="Arial" w:eastAsia="Arial" w:hAnsi="Arial"/>
                <w:sz w:val="18"/>
                <w:szCs w:val="18"/>
                <w:color w:val="auto"/>
              </w:rPr>
              <w:t>Total current assets</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342</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248</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10,911</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11,501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Film and television costs</w:t>
            </w:r>
          </w:p>
        </w:tc>
        <w:tc>
          <w:tcPr>
            <w:tcW w:w="26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5,712</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5,712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E5E5E5"/>
          </w:tcPr>
          <w:p>
            <w:pPr>
              <w:spacing w:after="0"/>
              <w:rPr>
                <w:sz w:val="20"/>
                <w:szCs w:val="20"/>
                <w:color w:val="auto"/>
              </w:rPr>
            </w:pPr>
            <w:r>
              <w:rPr>
                <w:rFonts w:ascii="Arial" w:cs="Arial" w:eastAsia="Arial" w:hAnsi="Arial"/>
                <w:sz w:val="18"/>
                <w:szCs w:val="18"/>
                <w:color w:val="auto"/>
              </w:rPr>
              <w:t>Investments</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30</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508</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2,785</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3,323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1"/>
              </w:rPr>
              <w:t>Investments in and amounts due from subsidiaries</w:t>
            </w: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00" w:type="dxa"/>
            <w:vAlign w:val="bottom"/>
          </w:tcPr>
          <w:p>
            <w:pPr>
              <w:ind w:left="200"/>
              <w:spacing w:after="0"/>
              <w:rPr>
                <w:sz w:val="20"/>
                <w:szCs w:val="20"/>
                <w:color w:val="auto"/>
              </w:rPr>
            </w:pPr>
            <w:r>
              <w:rPr>
                <w:rFonts w:ascii="Arial" w:cs="Arial" w:eastAsia="Arial" w:hAnsi="Arial"/>
                <w:sz w:val="18"/>
                <w:szCs w:val="18"/>
                <w:color w:val="auto"/>
              </w:rPr>
              <w:t>eliminated upon consolidation</w:t>
            </w:r>
          </w:p>
        </w:tc>
        <w:tc>
          <w:tcPr>
            <w:tcW w:w="260" w:type="dxa"/>
            <w:vAlign w:val="bottom"/>
          </w:tcPr>
          <w:p>
            <w:pPr>
              <w:spacing w:after="0"/>
              <w:rPr>
                <w:sz w:val="19"/>
                <w:szCs w:val="19"/>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w w:val="83"/>
              </w:rPr>
              <w:t>84,507</w:t>
            </w:r>
          </w:p>
        </w:tc>
        <w:tc>
          <w:tcPr>
            <w:tcW w:w="220" w:type="dxa"/>
            <w:vAlign w:val="bottom"/>
          </w:tcPr>
          <w:p>
            <w:pPr>
              <w:spacing w:after="0"/>
              <w:rPr>
                <w:sz w:val="19"/>
                <w:szCs w:val="19"/>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w w:val="89"/>
              </w:rPr>
              <w:t>109,269</w:t>
            </w:r>
          </w:p>
        </w:tc>
        <w:tc>
          <w:tcPr>
            <w:tcW w:w="260" w:type="dxa"/>
            <w:vAlign w:val="bottom"/>
          </w:tcPr>
          <w:p>
            <w:pPr>
              <w:spacing w:after="0"/>
              <w:rPr>
                <w:sz w:val="19"/>
                <w:szCs w:val="19"/>
                <w:color w:val="auto"/>
              </w:rPr>
            </w:pPr>
          </w:p>
        </w:tc>
        <w:tc>
          <w:tcPr>
            <w:tcW w:w="700" w:type="dxa"/>
            <w:vAlign w:val="bottom"/>
          </w:tcPr>
          <w:p>
            <w:pPr>
              <w:jc w:val="right"/>
              <w:ind w:right="53"/>
              <w:spacing w:after="0"/>
              <w:rPr>
                <w:sz w:val="20"/>
                <w:szCs w:val="20"/>
                <w:color w:val="auto"/>
              </w:rPr>
            </w:pPr>
            <w:r>
              <w:rPr>
                <w:rFonts w:ascii="Arial" w:cs="Arial" w:eastAsia="Arial" w:hAnsi="Arial"/>
                <w:sz w:val="18"/>
                <w:szCs w:val="18"/>
                <w:color w:val="auto"/>
                <w:w w:val="82"/>
              </w:rPr>
              <w:t>116,604</w:t>
            </w:r>
          </w:p>
        </w:tc>
        <w:tc>
          <w:tcPr>
            <w:tcW w:w="240" w:type="dxa"/>
            <w:vAlign w:val="bottom"/>
          </w:tcPr>
          <w:p>
            <w:pPr>
              <w:spacing w:after="0"/>
              <w:rPr>
                <w:sz w:val="19"/>
                <w:szCs w:val="19"/>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w w:val="83"/>
              </w:rPr>
              <w:t>63,108</w:t>
            </w:r>
          </w:p>
        </w:tc>
        <w:tc>
          <w:tcPr>
            <w:tcW w:w="360" w:type="dxa"/>
            <w:vAlign w:val="bottom"/>
          </w:tcPr>
          <w:p>
            <w:pPr>
              <w:spacing w:after="0"/>
              <w:rPr>
                <w:sz w:val="19"/>
                <w:szCs w:val="19"/>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42,103</w:t>
            </w:r>
          </w:p>
        </w:tc>
        <w:tc>
          <w:tcPr>
            <w:tcW w:w="240" w:type="dxa"/>
            <w:vAlign w:val="bottom"/>
          </w:tcPr>
          <w:p>
            <w:pPr>
              <w:spacing w:after="0"/>
              <w:rPr>
                <w:sz w:val="19"/>
                <w:szCs w:val="19"/>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w w:val="86"/>
              </w:rPr>
              <w:t>107,420</w:t>
            </w:r>
          </w:p>
        </w:tc>
        <w:tc>
          <w:tcPr>
            <w:tcW w:w="260" w:type="dxa"/>
            <w:vAlign w:val="bottom"/>
          </w:tcPr>
          <w:p>
            <w:pPr>
              <w:spacing w:after="0"/>
              <w:rPr>
                <w:sz w:val="19"/>
                <w:szCs w:val="19"/>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w w:val="90"/>
              </w:rPr>
              <w:t>(523,011)</w:t>
            </w:r>
          </w:p>
        </w:tc>
        <w:tc>
          <w:tcPr>
            <w:tcW w:w="220" w:type="dxa"/>
            <w:vAlign w:val="bottom"/>
          </w:tcPr>
          <w:p>
            <w:pPr>
              <w:spacing w:after="0"/>
              <w:rPr>
                <w:sz w:val="19"/>
                <w:szCs w:val="19"/>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700" w:type="dxa"/>
            <w:vAlign w:val="bottom"/>
            <w:shd w:val="clear" w:color="auto" w:fill="E5E5E5"/>
          </w:tcPr>
          <w:p>
            <w:pPr>
              <w:spacing w:after="0"/>
              <w:rPr>
                <w:sz w:val="20"/>
                <w:szCs w:val="20"/>
                <w:color w:val="auto"/>
              </w:rPr>
            </w:pPr>
            <w:r>
              <w:rPr>
                <w:rFonts w:ascii="Arial" w:cs="Arial" w:eastAsia="Arial" w:hAnsi="Arial"/>
                <w:sz w:val="18"/>
                <w:szCs w:val="18"/>
                <w:color w:val="auto"/>
              </w:rPr>
              <w:t>Property and equipment, net</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204</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31,966</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32,170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Franchise rights</w:t>
            </w:r>
          </w:p>
        </w:tc>
        <w:tc>
          <w:tcPr>
            <w:tcW w:w="26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59,364</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59,364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E5E5E5"/>
          </w:tcPr>
          <w:p>
            <w:pPr>
              <w:spacing w:after="0"/>
              <w:rPr>
                <w:sz w:val="20"/>
                <w:szCs w:val="20"/>
                <w:color w:val="auto"/>
              </w:rPr>
            </w:pPr>
            <w:r>
              <w:rPr>
                <w:rFonts w:ascii="Arial" w:cs="Arial" w:eastAsia="Arial" w:hAnsi="Arial"/>
                <w:sz w:val="18"/>
                <w:szCs w:val="18"/>
                <w:color w:val="auto"/>
              </w:rPr>
              <w:t>Goodwill</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27,492</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27,492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26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16,885</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16,896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Other noncurrent assets, net</w:t>
            </w:r>
          </w:p>
        </w:tc>
        <w:tc>
          <w:tcPr>
            <w:tcW w:w="2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1,248</w:t>
            </w:r>
          </w:p>
        </w:tc>
        <w:tc>
          <w:tcPr>
            <w:tcW w:w="2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149</w:t>
            </w:r>
          </w:p>
        </w:tc>
        <w:tc>
          <w:tcPr>
            <w:tcW w:w="26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rPr>
              <w:t>87</w:t>
            </w:r>
          </w:p>
        </w:tc>
        <w:tc>
          <w:tcPr>
            <w:tcW w:w="24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2,137</w:t>
            </w:r>
          </w:p>
        </w:tc>
        <w:tc>
          <w:tcPr>
            <w:tcW w:w="26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(1,121)</w:t>
            </w:r>
          </w:p>
        </w:tc>
        <w:tc>
          <w:tcPr>
            <w:tcW w:w="2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w w:val="83"/>
              </w:rPr>
              <w:t>86,342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w w:val="89"/>
              </w:rPr>
              <w:t>109,418</w:t>
            </w:r>
          </w:p>
        </w:tc>
        <w:tc>
          <w:tcPr>
            <w:tcW w:w="260" w:type="dxa"/>
            <w:vAlign w:val="bottom"/>
            <w:tcBorders>
              <w:bottom w:val="single" w:sz="8" w:color="auto"/>
            </w:tcBorders>
          </w:tcPr>
          <w:p>
            <w:pPr>
              <w:jc w:val="center"/>
              <w:ind w:left="52"/>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w w:val="82"/>
              </w:rPr>
              <w:t>116,604</w:t>
            </w:r>
          </w:p>
        </w:tc>
        <w:tc>
          <w:tcPr>
            <w:tcW w:w="2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w w:val="83"/>
              </w:rPr>
              <w:t>63,108</w:t>
            </w:r>
          </w:p>
        </w:tc>
        <w:tc>
          <w:tcPr>
            <w:tcW w:w="3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42,946</w:t>
            </w:r>
          </w:p>
        </w:tc>
        <w:tc>
          <w:tcPr>
            <w:tcW w:w="2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w w:val="86"/>
              </w:rPr>
              <w:t>264,672</w:t>
            </w:r>
          </w:p>
        </w:tc>
        <w:tc>
          <w:tcPr>
            <w:tcW w:w="2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w w:val="90"/>
              </w:rPr>
              <w:t>(524,132)</w:t>
            </w:r>
          </w:p>
        </w:tc>
        <w:tc>
          <w:tcPr>
            <w:tcW w:w="2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w w:val="89"/>
              </w:rPr>
              <w:t>158,958</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Liabilities and Equity</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00" w:type="dxa"/>
            <w:vAlign w:val="bottom"/>
          </w:tcPr>
          <w:p>
            <w:pPr>
              <w:ind w:left="200"/>
              <w:spacing w:after="0"/>
              <w:rPr>
                <w:sz w:val="20"/>
                <w:szCs w:val="20"/>
                <w:color w:val="auto"/>
              </w:rPr>
            </w:pPr>
            <w:r>
              <w:rPr>
                <w:rFonts w:ascii="Arial" w:cs="Arial" w:eastAsia="Arial" w:hAnsi="Arial"/>
                <w:sz w:val="18"/>
                <w:szCs w:val="18"/>
                <w:color w:val="auto"/>
                <w:w w:val="89"/>
              </w:rPr>
              <w:t>Accounts payable and accrued expenses related</w:t>
            </w: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00" w:type="dxa"/>
            <w:vAlign w:val="bottom"/>
          </w:tcPr>
          <w:p>
            <w:pPr>
              <w:ind w:left="420"/>
              <w:spacing w:after="0"/>
              <w:rPr>
                <w:sz w:val="20"/>
                <w:szCs w:val="20"/>
                <w:color w:val="auto"/>
              </w:rPr>
            </w:pPr>
            <w:r>
              <w:rPr>
                <w:rFonts w:ascii="Arial" w:cs="Arial" w:eastAsia="Arial" w:hAnsi="Arial"/>
                <w:sz w:val="18"/>
                <w:szCs w:val="18"/>
                <w:color w:val="auto"/>
              </w:rPr>
              <w:t>to trade creditors</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Pr>
          <w:p>
            <w:pPr>
              <w:jc w:val="center"/>
              <w:ind w:left="52"/>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ind w:left="14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60" w:type="dxa"/>
            <w:vAlign w:val="bottom"/>
          </w:tcPr>
          <w:p>
            <w:pPr>
              <w:ind w:left="16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ind w:left="14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5,988</w:t>
            </w:r>
          </w:p>
        </w:tc>
        <w:tc>
          <w:tcPr>
            <w:tcW w:w="260" w:type="dxa"/>
            <w:vAlign w:val="bottom"/>
          </w:tcPr>
          <w:p>
            <w:pPr>
              <w:ind w:left="14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ind w:left="10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5,996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700" w:type="dxa"/>
            <w:vAlign w:val="bottom"/>
            <w:shd w:val="clear" w:color="auto" w:fill="E5E5E5"/>
          </w:tcPr>
          <w:p>
            <w:pPr>
              <w:ind w:left="200"/>
              <w:spacing w:after="0"/>
              <w:rPr>
                <w:sz w:val="20"/>
                <w:szCs w:val="20"/>
                <w:color w:val="auto"/>
              </w:rPr>
            </w:pPr>
            <w:r>
              <w:rPr>
                <w:rFonts w:ascii="Arial" w:cs="Arial" w:eastAsia="Arial" w:hAnsi="Arial"/>
                <w:sz w:val="18"/>
                <w:szCs w:val="18"/>
                <w:color w:val="auto"/>
              </w:rPr>
              <w:t>Accrued participations and residuals</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1,491</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200"/>
              <w:spacing w:after="0"/>
              <w:rPr>
                <w:sz w:val="20"/>
                <w:szCs w:val="20"/>
                <w:color w:val="auto"/>
              </w:rPr>
            </w:pPr>
            <w:r>
              <w:rPr>
                <w:rFonts w:ascii="Arial" w:cs="Arial" w:eastAsia="Arial" w:hAnsi="Arial"/>
                <w:sz w:val="18"/>
                <w:szCs w:val="18"/>
                <w:color w:val="auto"/>
                <w:w w:val="95"/>
              </w:rPr>
              <w:t>Accrued expenses and other current liabilities</w:t>
            </w:r>
          </w:p>
        </w:tc>
        <w:tc>
          <w:tcPr>
            <w:tcW w:w="26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1,634</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335</w:t>
            </w:r>
          </w:p>
        </w:tc>
        <w:tc>
          <w:tcPr>
            <w:tcW w:w="260" w:type="dxa"/>
            <w:vAlign w:val="bottom"/>
          </w:tcPr>
          <w:p>
            <w:pPr>
              <w:spacing w:after="0"/>
              <w:rPr>
                <w:sz w:val="18"/>
                <w:szCs w:val="18"/>
                <w:color w:val="auto"/>
              </w:rPr>
            </w:pPr>
          </w:p>
        </w:tc>
        <w:tc>
          <w:tcPr>
            <w:tcW w:w="700" w:type="dxa"/>
            <w:vAlign w:val="bottom"/>
          </w:tcPr>
          <w:p>
            <w:pPr>
              <w:jc w:val="right"/>
              <w:ind w:right="53"/>
              <w:spacing w:after="0"/>
              <w:rPr>
                <w:sz w:val="20"/>
                <w:szCs w:val="20"/>
                <w:color w:val="auto"/>
              </w:rPr>
            </w:pPr>
            <w:r>
              <w:rPr>
                <w:rFonts w:ascii="Arial" w:cs="Arial" w:eastAsia="Arial" w:hAnsi="Arial"/>
                <w:sz w:val="18"/>
                <w:szCs w:val="18"/>
                <w:color w:val="auto"/>
              </w:rPr>
              <w:t>384</w:t>
            </w:r>
          </w:p>
        </w:tc>
        <w:tc>
          <w:tcPr>
            <w:tcW w:w="24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11</w:t>
            </w:r>
          </w:p>
        </w:tc>
        <w:tc>
          <w:tcPr>
            <w:tcW w:w="36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431</w:t>
            </w:r>
          </w:p>
        </w:tc>
        <w:tc>
          <w:tcPr>
            <w:tcW w:w="24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3,925</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6,720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Current portion of long-term debt</w:t>
            </w:r>
          </w:p>
        </w:tc>
        <w:tc>
          <w:tcPr>
            <w:tcW w:w="2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750</w:t>
            </w:r>
          </w:p>
        </w:tc>
        <w:tc>
          <w:tcPr>
            <w:tcW w:w="2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rPr>
              <w:t>1,007</w:t>
            </w:r>
          </w:p>
        </w:tc>
        <w:tc>
          <w:tcPr>
            <w:tcW w:w="24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1,395</w:t>
            </w:r>
          </w:p>
        </w:tc>
        <w:tc>
          <w:tcPr>
            <w:tcW w:w="26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3,152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26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2,392</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335</w:t>
            </w:r>
          </w:p>
        </w:tc>
        <w:tc>
          <w:tcPr>
            <w:tcW w:w="260" w:type="dxa"/>
            <w:vAlign w:val="bottom"/>
          </w:tcPr>
          <w:p>
            <w:pPr>
              <w:spacing w:after="0"/>
              <w:rPr>
                <w:sz w:val="18"/>
                <w:szCs w:val="18"/>
                <w:color w:val="auto"/>
              </w:rPr>
            </w:pPr>
          </w:p>
        </w:tc>
        <w:tc>
          <w:tcPr>
            <w:tcW w:w="700" w:type="dxa"/>
            <w:vAlign w:val="bottom"/>
          </w:tcPr>
          <w:p>
            <w:pPr>
              <w:jc w:val="right"/>
              <w:ind w:right="53"/>
              <w:spacing w:after="0"/>
              <w:rPr>
                <w:sz w:val="20"/>
                <w:szCs w:val="20"/>
                <w:color w:val="auto"/>
              </w:rPr>
            </w:pPr>
            <w:r>
              <w:rPr>
                <w:rFonts w:ascii="Arial" w:cs="Arial" w:eastAsia="Arial" w:hAnsi="Arial"/>
                <w:sz w:val="18"/>
                <w:szCs w:val="18"/>
                <w:color w:val="auto"/>
              </w:rPr>
              <w:t>384</w:t>
            </w:r>
          </w:p>
        </w:tc>
        <w:tc>
          <w:tcPr>
            <w:tcW w:w="24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11</w:t>
            </w:r>
          </w:p>
        </w:tc>
        <w:tc>
          <w:tcPr>
            <w:tcW w:w="36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1,438</w:t>
            </w:r>
          </w:p>
        </w:tc>
        <w:tc>
          <w:tcPr>
            <w:tcW w:w="24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12,799</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17,359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E5E5E5"/>
          </w:tcPr>
          <w:p>
            <w:pPr>
              <w:spacing w:after="0"/>
              <w:rPr>
                <w:sz w:val="20"/>
                <w:szCs w:val="20"/>
                <w:color w:val="auto"/>
              </w:rPr>
            </w:pPr>
            <w:r>
              <w:rPr>
                <w:rFonts w:ascii="Arial" w:cs="Arial" w:eastAsia="Arial" w:hAnsi="Arial"/>
                <w:sz w:val="18"/>
                <w:szCs w:val="18"/>
                <w:color w:val="auto"/>
              </w:rPr>
              <w:t>Long-term debt, less current portion</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w w:val="83"/>
              </w:rPr>
              <w:t>29,829</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133</w:t>
            </w: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1,828</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822</w:t>
            </w:r>
          </w:p>
        </w:tc>
        <w:tc>
          <w:tcPr>
            <w:tcW w:w="3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8,223</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3,770</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44,605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642</w:t>
            </w:r>
          </w:p>
        </w:tc>
        <w:tc>
          <w:tcPr>
            <w:tcW w:w="260" w:type="dxa"/>
            <w:vAlign w:val="bottom"/>
          </w:tcPr>
          <w:p>
            <w:pPr>
              <w:spacing w:after="0"/>
              <w:rPr>
                <w:sz w:val="18"/>
                <w:szCs w:val="18"/>
                <w:color w:val="auto"/>
              </w:rPr>
            </w:pPr>
          </w:p>
        </w:tc>
        <w:tc>
          <w:tcPr>
            <w:tcW w:w="7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59</w:t>
            </w:r>
          </w:p>
        </w:tc>
        <w:tc>
          <w:tcPr>
            <w:tcW w:w="24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33,405</w:t>
            </w:r>
          </w:p>
        </w:tc>
        <w:tc>
          <w:tcPr>
            <w:tcW w:w="260" w:type="dxa"/>
            <w:vAlign w:val="bottom"/>
          </w:tcPr>
          <w:p>
            <w:pPr>
              <w:spacing w:after="0"/>
              <w:rPr>
                <w:sz w:val="18"/>
                <w:szCs w:val="18"/>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(975)</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33,131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E5E5E5"/>
          </w:tcPr>
          <w:p>
            <w:pPr>
              <w:spacing w:after="0"/>
              <w:rPr>
                <w:sz w:val="20"/>
                <w:szCs w:val="20"/>
                <w:color w:val="auto"/>
              </w:rPr>
            </w:pPr>
            <w:r>
              <w:rPr>
                <w:rFonts w:ascii="Arial" w:cs="Arial" w:eastAsia="Arial" w:hAnsi="Arial"/>
                <w:sz w:val="18"/>
                <w:szCs w:val="18"/>
                <w:color w:val="auto"/>
              </w:rPr>
              <w:t>Other noncurrent liabilities</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2,405</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1,121</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7,314</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(146)</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10,694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Redeemable noncontrolling interests and</w:t>
            </w: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00" w:type="dxa"/>
            <w:vAlign w:val="bottom"/>
          </w:tcPr>
          <w:p>
            <w:pPr>
              <w:ind w:left="200"/>
              <w:spacing w:after="0"/>
              <w:rPr>
                <w:sz w:val="20"/>
                <w:szCs w:val="20"/>
                <w:color w:val="auto"/>
              </w:rPr>
            </w:pPr>
            <w:r>
              <w:rPr>
                <w:rFonts w:ascii="Arial" w:cs="Arial" w:eastAsia="Arial" w:hAnsi="Arial"/>
                <w:sz w:val="18"/>
                <w:szCs w:val="18"/>
                <w:color w:val="auto"/>
              </w:rPr>
              <w:t>redeemable subsidiary preferred stock</w:t>
            </w:r>
          </w:p>
        </w:tc>
        <w:tc>
          <w:tcPr>
            <w:tcW w:w="260" w:type="dxa"/>
            <w:vAlign w:val="bottom"/>
          </w:tcPr>
          <w:p>
            <w:pPr>
              <w:spacing w:after="0"/>
              <w:rPr>
                <w:sz w:val="19"/>
                <w:szCs w:val="19"/>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1,204</w:t>
            </w:r>
          </w:p>
        </w:tc>
        <w:tc>
          <w:tcPr>
            <w:tcW w:w="260" w:type="dxa"/>
            <w:vAlign w:val="bottom"/>
          </w:tcPr>
          <w:p>
            <w:pPr>
              <w:spacing w:after="0"/>
              <w:rPr>
                <w:sz w:val="19"/>
                <w:szCs w:val="19"/>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1,204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700" w:type="dxa"/>
            <w:vAlign w:val="bottom"/>
            <w:shd w:val="clear" w:color="auto" w:fill="E5E5E5"/>
          </w:tcPr>
          <w:p>
            <w:pPr>
              <w:spacing w:after="0"/>
              <w:rPr>
                <w:sz w:val="20"/>
                <w:szCs w:val="20"/>
                <w:color w:val="auto"/>
              </w:rPr>
            </w:pPr>
            <w:r>
              <w:rPr>
                <w:rFonts w:ascii="Arial" w:cs="Arial" w:eastAsia="Arial" w:hAnsi="Arial"/>
                <w:sz w:val="18"/>
                <w:szCs w:val="18"/>
                <w:color w:val="auto"/>
              </w:rPr>
              <w:t>Equity:</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200"/>
              <w:spacing w:after="0"/>
              <w:rPr>
                <w:sz w:val="20"/>
                <w:szCs w:val="20"/>
                <w:color w:val="auto"/>
              </w:rPr>
            </w:pPr>
            <w:r>
              <w:rPr>
                <w:rFonts w:ascii="Arial" w:cs="Arial" w:eastAsia="Arial" w:hAnsi="Arial"/>
                <w:sz w:val="18"/>
                <w:szCs w:val="18"/>
                <w:color w:val="auto"/>
              </w:rPr>
              <w:t>Common stock</w:t>
            </w:r>
          </w:p>
        </w:tc>
        <w:tc>
          <w:tcPr>
            <w:tcW w:w="26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29</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Other shareholders’ equity</w:t>
            </w:r>
          </w:p>
        </w:tc>
        <w:tc>
          <w:tcPr>
            <w:tcW w:w="2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w w:val="83"/>
              </w:rPr>
              <w:t>51,687</w:t>
            </w:r>
          </w:p>
        </w:tc>
        <w:tc>
          <w:tcPr>
            <w:tcW w:w="2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w w:val="89"/>
              </w:rPr>
              <w:t>108,308</w:t>
            </w:r>
          </w:p>
        </w:tc>
        <w:tc>
          <w:tcPr>
            <w:tcW w:w="26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w w:val="82"/>
              </w:rPr>
              <w:t>114,392</w:t>
            </w:r>
          </w:p>
        </w:tc>
        <w:tc>
          <w:tcPr>
            <w:tcW w:w="2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w w:val="83"/>
              </w:rPr>
              <w:t>62,275</w:t>
            </w:r>
          </w:p>
        </w:tc>
        <w:tc>
          <w:tcPr>
            <w:tcW w:w="36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rPr>
              <w:t>32,105</w:t>
            </w:r>
          </w:p>
        </w:tc>
        <w:tc>
          <w:tcPr>
            <w:tcW w:w="24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w w:val="86"/>
              </w:rPr>
              <w:t>205,931</w:t>
            </w:r>
          </w:p>
        </w:tc>
        <w:tc>
          <w:tcPr>
            <w:tcW w:w="26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w w:val="90"/>
              </w:rPr>
              <w:t>(523,011)</w:t>
            </w:r>
          </w:p>
        </w:tc>
        <w:tc>
          <w:tcPr>
            <w:tcW w:w="2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51,687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6"/>
              </w:rPr>
              <w:t>Total Comcast Corporation shareholders’ equity</w:t>
            </w:r>
          </w:p>
        </w:tc>
        <w:tc>
          <w:tcPr>
            <w:tcW w:w="26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w w:val="83"/>
              </w:rPr>
              <w:t>51,716</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w w:val="89"/>
              </w:rPr>
              <w:t>108,308</w:t>
            </w:r>
          </w:p>
        </w:tc>
        <w:tc>
          <w:tcPr>
            <w:tcW w:w="260" w:type="dxa"/>
            <w:vAlign w:val="bottom"/>
          </w:tcPr>
          <w:p>
            <w:pPr>
              <w:spacing w:after="0"/>
              <w:rPr>
                <w:sz w:val="18"/>
                <w:szCs w:val="18"/>
                <w:color w:val="auto"/>
              </w:rPr>
            </w:pPr>
          </w:p>
        </w:tc>
        <w:tc>
          <w:tcPr>
            <w:tcW w:w="700" w:type="dxa"/>
            <w:vAlign w:val="bottom"/>
          </w:tcPr>
          <w:p>
            <w:pPr>
              <w:jc w:val="right"/>
              <w:ind w:right="53"/>
              <w:spacing w:after="0"/>
              <w:rPr>
                <w:sz w:val="20"/>
                <w:szCs w:val="20"/>
                <w:color w:val="auto"/>
              </w:rPr>
            </w:pPr>
            <w:r>
              <w:rPr>
                <w:rFonts w:ascii="Arial" w:cs="Arial" w:eastAsia="Arial" w:hAnsi="Arial"/>
                <w:sz w:val="18"/>
                <w:szCs w:val="18"/>
                <w:color w:val="auto"/>
                <w:w w:val="82"/>
              </w:rPr>
              <w:t>114,392</w:t>
            </w:r>
          </w:p>
        </w:tc>
        <w:tc>
          <w:tcPr>
            <w:tcW w:w="24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w w:val="83"/>
              </w:rPr>
              <w:t>62,275</w:t>
            </w:r>
          </w:p>
        </w:tc>
        <w:tc>
          <w:tcPr>
            <w:tcW w:w="36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32,105</w:t>
            </w:r>
          </w:p>
        </w:tc>
        <w:tc>
          <w:tcPr>
            <w:tcW w:w="24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w w:val="86"/>
              </w:rPr>
              <w:t>205,931</w:t>
            </w:r>
          </w:p>
        </w:tc>
        <w:tc>
          <w:tcPr>
            <w:tcW w:w="260" w:type="dxa"/>
            <w:vAlign w:val="bottom"/>
          </w:tcPr>
          <w:p>
            <w:pPr>
              <w:spacing w:after="0"/>
              <w:rPr>
                <w:sz w:val="18"/>
                <w:szCs w:val="18"/>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w w:val="90"/>
              </w:rPr>
              <w:t>(523,011)</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51,716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Noncontrolling interests</w:t>
            </w:r>
          </w:p>
        </w:tc>
        <w:tc>
          <w:tcPr>
            <w:tcW w:w="2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249</w:t>
            </w:r>
          </w:p>
        </w:tc>
        <w:tc>
          <w:tcPr>
            <w:tcW w:w="26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equity</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w w:val="83"/>
              </w:rPr>
              <w:t>51,716</w:t>
            </w: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w w:val="89"/>
              </w:rPr>
              <w:t>108,308</w:t>
            </w: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w w:val="82"/>
              </w:rPr>
              <w:t>114,392</w:t>
            </w: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w w:val="83"/>
              </w:rPr>
              <w:t>62,275</w:t>
            </w: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32,105</w:t>
            </w: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w w:val="86"/>
              </w:rPr>
              <w:t>206,180</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w w:val="90"/>
              </w:rPr>
              <w:t>(523,011)</w:t>
            </w: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51,965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7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 liabilities and equity</w:t>
            </w:r>
          </w:p>
        </w:tc>
        <w:tc>
          <w:tcPr>
            <w:tcW w:w="2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b w:val="1"/>
                <w:bCs w:val="1"/>
                <w:color w:val="auto"/>
                <w:w w:val="83"/>
              </w:rPr>
              <w:t>86,342</w:t>
            </w:r>
          </w:p>
        </w:tc>
        <w:tc>
          <w:tcPr>
            <w:tcW w:w="2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w w:val="89"/>
              </w:rPr>
              <w:t>109,418</w:t>
            </w:r>
          </w:p>
        </w:tc>
        <w:tc>
          <w:tcPr>
            <w:tcW w:w="260" w:type="dxa"/>
            <w:vAlign w:val="bottom"/>
            <w:tcBorders>
              <w:bottom w:val="single" w:sz="8" w:color="auto"/>
            </w:tcBorders>
            <w:shd w:val="clear" w:color="auto" w:fill="E5E5E5"/>
          </w:tcPr>
          <w:p>
            <w:pPr>
              <w:jc w:val="center"/>
              <w:ind w:left="52"/>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b w:val="1"/>
                <w:bCs w:val="1"/>
                <w:color w:val="auto"/>
                <w:w w:val="82"/>
              </w:rPr>
              <w:t>116,604</w:t>
            </w:r>
          </w:p>
        </w:tc>
        <w:tc>
          <w:tcPr>
            <w:tcW w:w="240" w:type="dxa"/>
            <w:vAlign w:val="bottom"/>
            <w:tcBorders>
              <w:bottom w:val="single" w:sz="8" w:color="auto"/>
            </w:tcBorders>
            <w:shd w:val="clear" w:color="auto" w:fill="E5E5E5"/>
          </w:tcPr>
          <w:p>
            <w:pPr>
              <w:ind w:left="140"/>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b w:val="1"/>
                <w:bCs w:val="1"/>
                <w:color w:val="auto"/>
                <w:w w:val="83"/>
              </w:rPr>
              <w:t>63,108</w:t>
            </w:r>
          </w:p>
        </w:tc>
        <w:tc>
          <w:tcPr>
            <w:tcW w:w="36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b w:val="1"/>
                <w:bCs w:val="1"/>
                <w:color w:val="auto"/>
              </w:rPr>
              <w:t>42,946</w:t>
            </w:r>
          </w:p>
        </w:tc>
        <w:tc>
          <w:tcPr>
            <w:tcW w:w="240" w:type="dxa"/>
            <w:vAlign w:val="bottom"/>
            <w:tcBorders>
              <w:bottom w:val="single" w:sz="8" w:color="auto"/>
            </w:tcBorders>
            <w:shd w:val="clear" w:color="auto" w:fill="E5E5E5"/>
          </w:tcPr>
          <w:p>
            <w:pPr>
              <w:ind w:left="14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b w:val="1"/>
                <w:bCs w:val="1"/>
                <w:color w:val="auto"/>
                <w:w w:val="86"/>
              </w:rPr>
              <w:t>264,672</w:t>
            </w:r>
          </w:p>
        </w:tc>
        <w:tc>
          <w:tcPr>
            <w:tcW w:w="260" w:type="dxa"/>
            <w:vAlign w:val="bottom"/>
            <w:tcBorders>
              <w:bottom w:val="single" w:sz="8" w:color="auto"/>
            </w:tcBorders>
            <w:shd w:val="clear" w:color="auto" w:fill="E5E5E5"/>
          </w:tcPr>
          <w:p>
            <w:pPr>
              <w:ind w:left="14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b w:val="1"/>
                <w:bCs w:val="1"/>
                <w:color w:val="auto"/>
                <w:w w:val="90"/>
              </w:rPr>
              <w:t>(524,132)</w:t>
            </w:r>
          </w:p>
        </w:tc>
        <w:tc>
          <w:tcPr>
            <w:tcW w:w="220" w:type="dxa"/>
            <w:vAlign w:val="bottom"/>
            <w:tcBorders>
              <w:bottom w:val="single" w:sz="8" w:color="auto"/>
            </w:tcBorders>
            <w:shd w:val="clear" w:color="auto" w:fill="E5E5E5"/>
          </w:tcPr>
          <w:p>
            <w:pPr>
              <w:ind w:left="10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w w:val="89"/>
              </w:rPr>
              <w:t>158,958</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60" w:type="dxa"/>
            <w:vAlign w:val="bottom"/>
            <w:gridSpan w:val="2"/>
          </w:tcPr>
          <w:p>
            <w:pPr>
              <w:jc w:val="center"/>
              <w:ind w:right="473"/>
              <w:spacing w:after="0"/>
              <w:rPr>
                <w:sz w:val="20"/>
                <w:szCs w:val="20"/>
                <w:color w:val="auto"/>
              </w:rPr>
            </w:pPr>
            <w:r>
              <w:rPr>
                <w:rFonts w:ascii="Arial" w:cs="Arial" w:eastAsia="Arial" w:hAnsi="Arial"/>
                <w:sz w:val="18"/>
                <w:szCs w:val="18"/>
                <w:color w:val="auto"/>
                <w:w w:val="99"/>
              </w:rPr>
              <w:t>17</w:t>
            </w: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2014</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color w:val="auto"/>
                <w:w w:val="93"/>
              </w:rPr>
              <w:t>Elimination</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Combined</w:t>
            </w: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jc w:val="right"/>
              <w:ind w:right="253"/>
              <w:spacing w:after="0" w:line="149" w:lineRule="exact"/>
              <w:rPr>
                <w:sz w:val="20"/>
                <w:szCs w:val="20"/>
                <w:color w:val="auto"/>
              </w:rPr>
            </w:pPr>
            <w:r>
              <w:rPr>
                <w:rFonts w:ascii="Arial" w:cs="Arial" w:eastAsia="Arial" w:hAnsi="Arial"/>
                <w:sz w:val="14"/>
                <w:szCs w:val="14"/>
                <w:color w:val="auto"/>
              </w:rPr>
              <w:t>Non-</w:t>
            </w:r>
          </w:p>
        </w:tc>
        <w:tc>
          <w:tcPr>
            <w:tcW w:w="260" w:type="dxa"/>
            <w:vAlign w:val="bottom"/>
          </w:tcPr>
          <w:p>
            <w:pPr>
              <w:spacing w:after="0"/>
              <w:rPr>
                <w:sz w:val="12"/>
                <w:szCs w:val="12"/>
                <w:color w:val="auto"/>
              </w:rPr>
            </w:pPr>
          </w:p>
        </w:tc>
        <w:tc>
          <w:tcPr>
            <w:tcW w:w="840" w:type="dxa"/>
            <w:vAlign w:val="bottom"/>
          </w:tcPr>
          <w:p>
            <w:pPr>
              <w:jc w:val="center"/>
              <w:ind w:right="213"/>
              <w:spacing w:after="0" w:line="149" w:lineRule="exact"/>
              <w:rPr>
                <w:sz w:val="20"/>
                <w:szCs w:val="20"/>
                <w:color w:val="auto"/>
              </w:rPr>
            </w:pPr>
            <w:r>
              <w:rPr>
                <w:rFonts w:ascii="Arial" w:cs="Arial" w:eastAsia="Arial" w:hAnsi="Arial"/>
                <w:sz w:val="14"/>
                <w:szCs w:val="14"/>
                <w:color w:val="auto"/>
                <w:w w:val="76"/>
              </w:rPr>
              <w:t>and</w:t>
            </w:r>
          </w:p>
        </w:tc>
        <w:tc>
          <w:tcPr>
            <w:tcW w:w="92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95"/>
              </w:rPr>
              <w:t>Consolidated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880" w:type="dxa"/>
            <w:vAlign w:val="bottom"/>
            <w:gridSpan w:val="2"/>
          </w:tcPr>
          <w:p>
            <w:pPr>
              <w:jc w:val="right"/>
              <w:ind w:right="93"/>
              <w:spacing w:after="0" w:line="149" w:lineRule="exact"/>
              <w:rPr>
                <w:sz w:val="20"/>
                <w:szCs w:val="20"/>
                <w:color w:val="auto"/>
              </w:rPr>
            </w:pPr>
            <w:r>
              <w:rPr>
                <w:rFonts w:ascii="Arial" w:cs="Arial" w:eastAsia="Arial" w:hAnsi="Arial"/>
                <w:sz w:val="14"/>
                <w:szCs w:val="14"/>
                <w:color w:val="auto"/>
              </w:rPr>
              <w:t>Comcast</w:t>
            </w:r>
          </w:p>
        </w:tc>
        <w:tc>
          <w:tcPr>
            <w:tcW w:w="220" w:type="dxa"/>
            <w:vAlign w:val="bottom"/>
          </w:tcPr>
          <w:p>
            <w:pPr>
              <w:spacing w:after="0"/>
              <w:rPr>
                <w:sz w:val="12"/>
                <w:szCs w:val="12"/>
                <w:color w:val="auto"/>
              </w:rPr>
            </w:pPr>
          </w:p>
        </w:tc>
        <w:tc>
          <w:tcPr>
            <w:tcW w:w="700" w:type="dxa"/>
            <w:vAlign w:val="bottom"/>
          </w:tcPr>
          <w:p>
            <w:pPr>
              <w:jc w:val="right"/>
              <w:ind w:right="133"/>
              <w:spacing w:after="0" w:line="149" w:lineRule="exact"/>
              <w:rPr>
                <w:sz w:val="20"/>
                <w:szCs w:val="20"/>
                <w:color w:val="auto"/>
              </w:rPr>
            </w:pPr>
            <w:r>
              <w:rPr>
                <w:rFonts w:ascii="Arial" w:cs="Arial" w:eastAsia="Arial" w:hAnsi="Arial"/>
                <w:sz w:val="14"/>
                <w:szCs w:val="14"/>
                <w:color w:val="auto"/>
                <w:w w:val="83"/>
              </w:rPr>
              <w:t>Comcast</w:t>
            </w:r>
          </w:p>
        </w:tc>
        <w:tc>
          <w:tcPr>
            <w:tcW w:w="260" w:type="dxa"/>
            <w:vAlign w:val="bottom"/>
          </w:tcPr>
          <w:p>
            <w:pPr>
              <w:spacing w:after="0"/>
              <w:rPr>
                <w:sz w:val="12"/>
                <w:szCs w:val="12"/>
                <w:color w:val="auto"/>
              </w:rPr>
            </w:pPr>
          </w:p>
        </w:tc>
        <w:tc>
          <w:tcPr>
            <w:tcW w:w="720" w:type="dxa"/>
            <w:vAlign w:val="bottom"/>
          </w:tcPr>
          <w:p>
            <w:pPr>
              <w:jc w:val="right"/>
              <w:ind w:right="213"/>
              <w:spacing w:after="0" w:line="149" w:lineRule="exact"/>
              <w:rPr>
                <w:sz w:val="20"/>
                <w:szCs w:val="20"/>
                <w:color w:val="auto"/>
              </w:rPr>
            </w:pPr>
            <w:r>
              <w:rPr>
                <w:rFonts w:ascii="Arial" w:cs="Arial" w:eastAsia="Arial" w:hAnsi="Arial"/>
                <w:sz w:val="14"/>
                <w:szCs w:val="14"/>
                <w:color w:val="auto"/>
              </w:rPr>
              <w:t>CCCL</w:t>
            </w:r>
          </w:p>
        </w:tc>
        <w:tc>
          <w:tcPr>
            <w:tcW w:w="840" w:type="dxa"/>
            <w:vAlign w:val="bottom"/>
            <w:gridSpan w:val="2"/>
          </w:tcPr>
          <w:p>
            <w:pPr>
              <w:jc w:val="right"/>
              <w:ind w:right="93"/>
              <w:spacing w:after="0" w:line="149" w:lineRule="exact"/>
              <w:rPr>
                <w:sz w:val="20"/>
                <w:szCs w:val="20"/>
                <w:color w:val="auto"/>
              </w:rPr>
            </w:pPr>
            <w:r>
              <w:rPr>
                <w:rFonts w:ascii="Arial" w:cs="Arial" w:eastAsia="Arial" w:hAnsi="Arial"/>
                <w:sz w:val="14"/>
                <w:szCs w:val="14"/>
                <w:color w:val="auto"/>
              </w:rPr>
              <w:t>CCHMO</w:t>
            </w:r>
          </w:p>
        </w:tc>
        <w:tc>
          <w:tcPr>
            <w:tcW w:w="110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NBCUniversal</w:t>
            </w:r>
          </w:p>
        </w:tc>
        <w:tc>
          <w:tcPr>
            <w:tcW w:w="960" w:type="dxa"/>
            <w:vAlign w:val="bottom"/>
            <w:gridSpan w:val="2"/>
          </w:tcPr>
          <w:p>
            <w:pPr>
              <w:jc w:val="right"/>
              <w:ind w:right="113"/>
              <w:spacing w:after="0" w:line="149" w:lineRule="exact"/>
              <w:rPr>
                <w:sz w:val="20"/>
                <w:szCs w:val="20"/>
                <w:color w:val="auto"/>
              </w:rPr>
            </w:pPr>
            <w:r>
              <w:rPr>
                <w:rFonts w:ascii="Arial" w:cs="Arial" w:eastAsia="Arial" w:hAnsi="Arial"/>
                <w:sz w:val="14"/>
                <w:szCs w:val="14"/>
                <w:color w:val="auto"/>
              </w:rPr>
              <w:t>Guarantor</w:t>
            </w:r>
          </w:p>
        </w:tc>
        <w:tc>
          <w:tcPr>
            <w:tcW w:w="11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Consolidation</w:t>
            </w:r>
          </w:p>
        </w:tc>
        <w:tc>
          <w:tcPr>
            <w:tcW w:w="220" w:type="dxa"/>
            <w:vAlign w:val="bottom"/>
          </w:tcPr>
          <w:p>
            <w:pPr>
              <w:spacing w:after="0"/>
              <w:rPr>
                <w:sz w:val="12"/>
                <w:szCs w:val="12"/>
                <w:color w:val="auto"/>
              </w:rPr>
            </w:pPr>
          </w:p>
        </w:tc>
        <w:tc>
          <w:tcPr>
            <w:tcW w:w="700" w:type="dxa"/>
            <w:vAlign w:val="bottom"/>
          </w:tcPr>
          <w:p>
            <w:pPr>
              <w:jc w:val="right"/>
              <w:ind w:right="133"/>
              <w:spacing w:after="0" w:line="149" w:lineRule="exact"/>
              <w:rPr>
                <w:sz w:val="20"/>
                <w:szCs w:val="20"/>
                <w:color w:val="auto"/>
              </w:rPr>
            </w:pPr>
            <w:r>
              <w:rPr>
                <w:rFonts w:ascii="Arial" w:cs="Arial" w:eastAsia="Arial" w:hAnsi="Arial"/>
                <w:sz w:val="14"/>
                <w:szCs w:val="14"/>
                <w:color w:val="auto"/>
                <w:w w:val="83"/>
              </w:rPr>
              <w:t>Comcast</w:t>
            </w:r>
          </w:p>
        </w:tc>
        <w:tc>
          <w:tcPr>
            <w:tcW w:w="0" w:type="dxa"/>
            <w:vAlign w:val="bottom"/>
          </w:tcPr>
          <w:p>
            <w:pPr>
              <w:spacing w:after="0"/>
              <w:rPr>
                <w:sz w:val="1"/>
                <w:szCs w:val="1"/>
                <w:color w:val="auto"/>
              </w:rPr>
            </w:pPr>
          </w:p>
        </w:tc>
      </w:tr>
      <w:tr>
        <w:trPr>
          <w:trHeight w:val="173"/>
        </w:trPr>
        <w:tc>
          <w:tcPr>
            <w:tcW w:w="372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260" w:type="dxa"/>
            <w:vAlign w:val="bottom"/>
          </w:tcPr>
          <w:p>
            <w:pPr>
              <w:spacing w:after="0"/>
              <w:rPr>
                <w:sz w:val="15"/>
                <w:szCs w:val="15"/>
                <w:color w:val="auto"/>
              </w:rPr>
            </w:pPr>
          </w:p>
        </w:tc>
        <w:tc>
          <w:tcPr>
            <w:tcW w:w="620" w:type="dxa"/>
            <w:vAlign w:val="bottom"/>
          </w:tcPr>
          <w:p>
            <w:pPr>
              <w:jc w:val="right"/>
              <w:ind w:right="173"/>
              <w:spacing w:after="0"/>
              <w:rPr>
                <w:sz w:val="20"/>
                <w:szCs w:val="20"/>
                <w:color w:val="auto"/>
              </w:rPr>
            </w:pPr>
            <w:r>
              <w:rPr>
                <w:rFonts w:ascii="Arial" w:cs="Arial" w:eastAsia="Arial" w:hAnsi="Arial"/>
                <w:sz w:val="14"/>
                <w:szCs w:val="14"/>
                <w:color w:val="auto"/>
                <w:w w:val="82"/>
              </w:rPr>
              <w:t>Parent</w:t>
            </w:r>
          </w:p>
        </w:tc>
        <w:tc>
          <w:tcPr>
            <w:tcW w:w="220" w:type="dxa"/>
            <w:vAlign w:val="bottom"/>
          </w:tcPr>
          <w:p>
            <w:pPr>
              <w:spacing w:after="0"/>
              <w:rPr>
                <w:sz w:val="15"/>
                <w:szCs w:val="15"/>
                <w:color w:val="auto"/>
              </w:rPr>
            </w:pPr>
          </w:p>
        </w:tc>
        <w:tc>
          <w:tcPr>
            <w:tcW w:w="700" w:type="dxa"/>
            <w:vAlign w:val="bottom"/>
          </w:tcPr>
          <w:p>
            <w:pPr>
              <w:jc w:val="right"/>
              <w:ind w:right="113"/>
              <w:spacing w:after="0"/>
              <w:rPr>
                <w:sz w:val="20"/>
                <w:szCs w:val="20"/>
                <w:color w:val="auto"/>
              </w:rPr>
            </w:pPr>
            <w:r>
              <w:rPr>
                <w:rFonts w:ascii="Arial" w:cs="Arial" w:eastAsia="Arial" w:hAnsi="Arial"/>
                <w:sz w:val="14"/>
                <w:szCs w:val="14"/>
                <w:color w:val="auto"/>
                <w:w w:val="88"/>
              </w:rPr>
              <w:t>Holdings</w:t>
            </w:r>
          </w:p>
        </w:tc>
        <w:tc>
          <w:tcPr>
            <w:tcW w:w="260" w:type="dxa"/>
            <w:vAlign w:val="bottom"/>
          </w:tcPr>
          <w:p>
            <w:pPr>
              <w:spacing w:after="0"/>
              <w:rPr>
                <w:sz w:val="15"/>
                <w:szCs w:val="15"/>
                <w:color w:val="auto"/>
              </w:rPr>
            </w:pPr>
          </w:p>
        </w:tc>
        <w:tc>
          <w:tcPr>
            <w:tcW w:w="720" w:type="dxa"/>
            <w:vAlign w:val="bottom"/>
          </w:tcPr>
          <w:p>
            <w:pPr>
              <w:jc w:val="right"/>
              <w:ind w:right="213"/>
              <w:spacing w:after="0"/>
              <w:rPr>
                <w:sz w:val="20"/>
                <w:szCs w:val="20"/>
                <w:color w:val="auto"/>
              </w:rPr>
            </w:pPr>
            <w:r>
              <w:rPr>
                <w:rFonts w:ascii="Arial" w:cs="Arial" w:eastAsia="Arial" w:hAnsi="Arial"/>
                <w:sz w:val="14"/>
                <w:szCs w:val="14"/>
                <w:color w:val="auto"/>
                <w:w w:val="96"/>
              </w:rPr>
              <w:t>Parent</w:t>
            </w:r>
          </w:p>
        </w:tc>
        <w:tc>
          <w:tcPr>
            <w:tcW w:w="220" w:type="dxa"/>
            <w:vAlign w:val="bottom"/>
          </w:tcPr>
          <w:p>
            <w:pPr>
              <w:spacing w:after="0"/>
              <w:rPr>
                <w:sz w:val="15"/>
                <w:szCs w:val="15"/>
                <w:color w:val="auto"/>
              </w:rPr>
            </w:pPr>
          </w:p>
        </w:tc>
        <w:tc>
          <w:tcPr>
            <w:tcW w:w="620" w:type="dxa"/>
            <w:vAlign w:val="bottom"/>
          </w:tcPr>
          <w:p>
            <w:pPr>
              <w:jc w:val="right"/>
              <w:ind w:right="133"/>
              <w:spacing w:after="0"/>
              <w:rPr>
                <w:sz w:val="20"/>
                <w:szCs w:val="20"/>
                <w:color w:val="auto"/>
              </w:rPr>
            </w:pPr>
            <w:r>
              <w:rPr>
                <w:rFonts w:ascii="Arial" w:cs="Arial" w:eastAsia="Arial" w:hAnsi="Arial"/>
                <w:sz w:val="14"/>
                <w:szCs w:val="14"/>
                <w:color w:val="auto"/>
                <w:w w:val="78"/>
              </w:rPr>
              <w:t>Parents</w:t>
            </w:r>
          </w:p>
        </w:tc>
        <w:tc>
          <w:tcPr>
            <w:tcW w:w="1100" w:type="dxa"/>
            <w:vAlign w:val="bottom"/>
            <w:gridSpan w:val="2"/>
          </w:tcPr>
          <w:p>
            <w:pPr>
              <w:jc w:val="right"/>
              <w:ind w:right="92"/>
              <w:spacing w:after="0"/>
              <w:rPr>
                <w:sz w:val="20"/>
                <w:szCs w:val="20"/>
                <w:color w:val="auto"/>
              </w:rPr>
            </w:pPr>
            <w:r>
              <w:rPr>
                <w:rFonts w:ascii="Arial" w:cs="Arial" w:eastAsia="Arial" w:hAnsi="Arial"/>
                <w:sz w:val="14"/>
                <w:szCs w:val="14"/>
                <w:color w:val="auto"/>
              </w:rPr>
              <w:t>Media Parent</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Subsidiaries</w:t>
            </w:r>
          </w:p>
        </w:tc>
        <w:tc>
          <w:tcPr>
            <w:tcW w:w="1100" w:type="dxa"/>
            <w:vAlign w:val="bottom"/>
            <w:gridSpan w:val="2"/>
          </w:tcPr>
          <w:p>
            <w:pPr>
              <w:jc w:val="center"/>
              <w:spacing w:after="0"/>
              <w:rPr>
                <w:sz w:val="20"/>
                <w:szCs w:val="20"/>
                <w:color w:val="auto"/>
              </w:rPr>
            </w:pPr>
            <w:r>
              <w:rPr>
                <w:rFonts w:ascii="Arial" w:cs="Arial" w:eastAsia="Arial" w:hAnsi="Arial"/>
                <w:sz w:val="14"/>
                <w:szCs w:val="14"/>
                <w:color w:val="auto"/>
                <w:w w:val="88"/>
              </w:rPr>
              <w:t>Adjustments</w:t>
            </w:r>
          </w:p>
        </w:tc>
        <w:tc>
          <w:tcPr>
            <w:tcW w:w="920" w:type="dxa"/>
            <w:vAlign w:val="bottom"/>
            <w:gridSpan w:val="2"/>
          </w:tcPr>
          <w:p>
            <w:pPr>
              <w:jc w:val="right"/>
              <w:ind w:right="33"/>
              <w:spacing w:after="0"/>
              <w:rPr>
                <w:sz w:val="20"/>
                <w:szCs w:val="20"/>
                <w:color w:val="auto"/>
              </w:rPr>
            </w:pPr>
            <w:r>
              <w:rPr>
                <w:rFonts w:ascii="Arial" w:cs="Arial" w:eastAsia="Arial" w:hAnsi="Arial"/>
                <w:sz w:val="14"/>
                <w:szCs w:val="14"/>
                <w:color w:val="auto"/>
              </w:rPr>
              <w:t>Corporation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top w:val="single" w:sz="8" w:color="auto"/>
            </w:tcBorders>
            <w:shd w:val="clear" w:color="auto" w:fill="E5E5E5"/>
          </w:tcPr>
          <w:p>
            <w:pPr>
              <w:spacing w:after="0"/>
              <w:rPr>
                <w:sz w:val="18"/>
                <w:szCs w:val="18"/>
                <w:color w:val="auto"/>
              </w:rPr>
            </w:pPr>
          </w:p>
        </w:tc>
        <w:tc>
          <w:tcPr>
            <w:tcW w:w="62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700" w:type="dxa"/>
            <w:vAlign w:val="bottom"/>
            <w:tcBorders>
              <w:top w:val="single" w:sz="8" w:color="auto"/>
            </w:tcBorders>
            <w:shd w:val="clear" w:color="auto" w:fill="E5E5E5"/>
          </w:tcPr>
          <w:p>
            <w:pPr>
              <w:spacing w:after="0"/>
              <w:rPr>
                <w:sz w:val="18"/>
                <w:szCs w:val="18"/>
                <w:color w:val="auto"/>
              </w:rPr>
            </w:pPr>
          </w:p>
        </w:tc>
        <w:tc>
          <w:tcPr>
            <w:tcW w:w="260" w:type="dxa"/>
            <w:vAlign w:val="bottom"/>
            <w:tcBorders>
              <w:top w:val="single" w:sz="8" w:color="auto"/>
            </w:tcBorders>
            <w:shd w:val="clear" w:color="auto" w:fill="E5E5E5"/>
          </w:tcPr>
          <w:p>
            <w:pPr>
              <w:spacing w:after="0"/>
              <w:rPr>
                <w:sz w:val="18"/>
                <w:szCs w:val="18"/>
                <w:color w:val="auto"/>
              </w:rPr>
            </w:pPr>
          </w:p>
        </w:tc>
        <w:tc>
          <w:tcPr>
            <w:tcW w:w="72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620" w:type="dxa"/>
            <w:vAlign w:val="bottom"/>
            <w:tcBorders>
              <w:top w:val="single" w:sz="8" w:color="auto"/>
            </w:tcBorders>
            <w:shd w:val="clear" w:color="auto" w:fill="E5E5E5"/>
          </w:tcPr>
          <w:p>
            <w:pPr>
              <w:spacing w:after="0"/>
              <w:rPr>
                <w:sz w:val="18"/>
                <w:szCs w:val="18"/>
                <w:color w:val="auto"/>
              </w:rPr>
            </w:pPr>
          </w:p>
        </w:tc>
        <w:tc>
          <w:tcPr>
            <w:tcW w:w="360" w:type="dxa"/>
            <w:vAlign w:val="bottom"/>
            <w:tcBorders>
              <w:top w:val="single" w:sz="8" w:color="auto"/>
            </w:tcBorders>
            <w:shd w:val="clear" w:color="auto" w:fill="E5E5E5"/>
          </w:tcPr>
          <w:p>
            <w:pPr>
              <w:spacing w:after="0"/>
              <w:rPr>
                <w:sz w:val="18"/>
                <w:szCs w:val="18"/>
                <w:color w:val="auto"/>
              </w:rPr>
            </w:pPr>
          </w:p>
        </w:tc>
        <w:tc>
          <w:tcPr>
            <w:tcW w:w="740" w:type="dxa"/>
            <w:vAlign w:val="bottom"/>
            <w:tcBorders>
              <w:top w:val="single" w:sz="8" w:color="auto"/>
            </w:tcBorders>
            <w:shd w:val="clear" w:color="auto" w:fill="E5E5E5"/>
          </w:tcPr>
          <w:p>
            <w:pPr>
              <w:spacing w:after="0"/>
              <w:rPr>
                <w:sz w:val="18"/>
                <w:szCs w:val="18"/>
                <w:color w:val="auto"/>
              </w:rPr>
            </w:pPr>
          </w:p>
        </w:tc>
        <w:tc>
          <w:tcPr>
            <w:tcW w:w="240" w:type="dxa"/>
            <w:vAlign w:val="bottom"/>
            <w:tcBorders>
              <w:top w:val="single" w:sz="8" w:color="auto"/>
            </w:tcBorders>
            <w:shd w:val="clear" w:color="auto" w:fill="E5E5E5"/>
          </w:tcPr>
          <w:p>
            <w:pPr>
              <w:spacing w:after="0"/>
              <w:rPr>
                <w:sz w:val="18"/>
                <w:szCs w:val="18"/>
                <w:color w:val="auto"/>
              </w:rPr>
            </w:pPr>
          </w:p>
        </w:tc>
        <w:tc>
          <w:tcPr>
            <w:tcW w:w="720" w:type="dxa"/>
            <w:vAlign w:val="bottom"/>
            <w:tcBorders>
              <w:top w:val="single" w:sz="8" w:color="auto"/>
            </w:tcBorders>
            <w:shd w:val="clear" w:color="auto" w:fill="E5E5E5"/>
          </w:tcPr>
          <w:p>
            <w:pPr>
              <w:spacing w:after="0"/>
              <w:rPr>
                <w:sz w:val="18"/>
                <w:szCs w:val="18"/>
                <w:color w:val="auto"/>
              </w:rPr>
            </w:pPr>
          </w:p>
        </w:tc>
        <w:tc>
          <w:tcPr>
            <w:tcW w:w="260" w:type="dxa"/>
            <w:vAlign w:val="bottom"/>
            <w:tcBorders>
              <w:top w:val="single" w:sz="8" w:color="auto"/>
            </w:tcBorders>
            <w:shd w:val="clear" w:color="auto" w:fill="E5E5E5"/>
          </w:tcPr>
          <w:p>
            <w:pPr>
              <w:spacing w:after="0"/>
              <w:rPr>
                <w:sz w:val="18"/>
                <w:szCs w:val="18"/>
                <w:color w:val="auto"/>
              </w:rPr>
            </w:pPr>
          </w:p>
        </w:tc>
        <w:tc>
          <w:tcPr>
            <w:tcW w:w="84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70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Pr>
          <w:p>
            <w:pPr>
              <w:jc w:val="center"/>
              <w:ind w:left="52"/>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60" w:type="dxa"/>
            <w:vAlign w:val="bottom"/>
          </w:tcPr>
          <w:p>
            <w:pPr>
              <w:ind w:left="16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385</w:t>
            </w:r>
          </w:p>
        </w:tc>
        <w:tc>
          <w:tcPr>
            <w:tcW w:w="240" w:type="dxa"/>
            <w:vAlign w:val="bottom"/>
          </w:tcPr>
          <w:p>
            <w:pPr>
              <w:ind w:left="14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3,525</w:t>
            </w:r>
          </w:p>
        </w:tc>
        <w:tc>
          <w:tcPr>
            <w:tcW w:w="260" w:type="dxa"/>
            <w:vAlign w:val="bottom"/>
          </w:tcPr>
          <w:p>
            <w:pPr>
              <w:ind w:left="14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ind w:left="10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3,910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E5E5E5"/>
          </w:tcPr>
          <w:p>
            <w:pPr>
              <w:ind w:left="200"/>
              <w:spacing w:after="0"/>
              <w:rPr>
                <w:sz w:val="20"/>
                <w:szCs w:val="20"/>
                <w:color w:val="auto"/>
              </w:rPr>
            </w:pPr>
            <w:r>
              <w:rPr>
                <w:rFonts w:ascii="Arial" w:cs="Arial" w:eastAsia="Arial" w:hAnsi="Arial"/>
                <w:sz w:val="18"/>
                <w:szCs w:val="18"/>
                <w:color w:val="auto"/>
              </w:rPr>
              <w:t>Investments</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602</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200"/>
              <w:spacing w:after="0"/>
              <w:rPr>
                <w:sz w:val="20"/>
                <w:szCs w:val="20"/>
                <w:color w:val="auto"/>
              </w:rPr>
            </w:pPr>
            <w:r>
              <w:rPr>
                <w:rFonts w:ascii="Arial" w:cs="Arial" w:eastAsia="Arial" w:hAnsi="Arial"/>
                <w:sz w:val="18"/>
                <w:szCs w:val="18"/>
                <w:color w:val="auto"/>
              </w:rPr>
              <w:t>Receivables, net</w:t>
            </w:r>
          </w:p>
        </w:tc>
        <w:tc>
          <w:tcPr>
            <w:tcW w:w="26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6,321</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6,321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E5E5E5"/>
          </w:tcPr>
          <w:p>
            <w:pPr>
              <w:ind w:left="200"/>
              <w:spacing w:after="0"/>
              <w:rPr>
                <w:sz w:val="20"/>
                <w:szCs w:val="20"/>
                <w:color w:val="auto"/>
              </w:rPr>
            </w:pPr>
            <w:r>
              <w:rPr>
                <w:rFonts w:ascii="Arial" w:cs="Arial" w:eastAsia="Arial" w:hAnsi="Arial"/>
                <w:sz w:val="18"/>
                <w:szCs w:val="18"/>
                <w:color w:val="auto"/>
              </w:rPr>
              <w:t>Programming rights</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839</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 current assets</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267</w:t>
            </w: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41</w:t>
            </w: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1,551</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1,859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shd w:val="clear" w:color="auto" w:fill="E5E5E5"/>
          </w:tcPr>
          <w:p>
            <w:pPr>
              <w:spacing w:after="0"/>
              <w:rPr>
                <w:sz w:val="20"/>
                <w:szCs w:val="20"/>
                <w:color w:val="auto"/>
              </w:rPr>
            </w:pPr>
            <w:r>
              <w:rPr>
                <w:rFonts w:ascii="Arial" w:cs="Arial" w:eastAsia="Arial" w:hAnsi="Arial"/>
                <w:sz w:val="18"/>
                <w:szCs w:val="18"/>
                <w:color w:val="auto"/>
              </w:rPr>
              <w:t>Total current assets</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267</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426</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12,838</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13,531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Film and television costs</w:t>
            </w:r>
          </w:p>
        </w:tc>
        <w:tc>
          <w:tcPr>
            <w:tcW w:w="26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5,727</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5,727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E5E5E5"/>
          </w:tcPr>
          <w:p>
            <w:pPr>
              <w:spacing w:after="0"/>
              <w:rPr>
                <w:sz w:val="20"/>
                <w:szCs w:val="20"/>
                <w:color w:val="auto"/>
              </w:rPr>
            </w:pPr>
            <w:r>
              <w:rPr>
                <w:rFonts w:ascii="Arial" w:cs="Arial" w:eastAsia="Arial" w:hAnsi="Arial"/>
                <w:sz w:val="18"/>
                <w:szCs w:val="18"/>
                <w:color w:val="auto"/>
              </w:rPr>
              <w:t>Investments</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36</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378</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2,721</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3,135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1"/>
              </w:rPr>
              <w:t>Investments in and amounts due from subsidiaries</w:t>
            </w: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00" w:type="dxa"/>
            <w:vAlign w:val="bottom"/>
          </w:tcPr>
          <w:p>
            <w:pPr>
              <w:ind w:left="200"/>
              <w:spacing w:after="0"/>
              <w:rPr>
                <w:sz w:val="20"/>
                <w:szCs w:val="20"/>
                <w:color w:val="auto"/>
              </w:rPr>
            </w:pPr>
            <w:r>
              <w:rPr>
                <w:rFonts w:ascii="Arial" w:cs="Arial" w:eastAsia="Arial" w:hAnsi="Arial"/>
                <w:sz w:val="18"/>
                <w:szCs w:val="18"/>
                <w:color w:val="auto"/>
              </w:rPr>
              <w:t>eliminated upon consolidation</w:t>
            </w:r>
          </w:p>
        </w:tc>
        <w:tc>
          <w:tcPr>
            <w:tcW w:w="260" w:type="dxa"/>
            <w:vAlign w:val="bottom"/>
          </w:tcPr>
          <w:p>
            <w:pPr>
              <w:spacing w:after="0"/>
              <w:rPr>
                <w:sz w:val="19"/>
                <w:szCs w:val="19"/>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w w:val="83"/>
              </w:rPr>
              <w:t>84,142</w:t>
            </w:r>
          </w:p>
        </w:tc>
        <w:tc>
          <w:tcPr>
            <w:tcW w:w="220" w:type="dxa"/>
            <w:vAlign w:val="bottom"/>
          </w:tcPr>
          <w:p>
            <w:pPr>
              <w:spacing w:after="0"/>
              <w:rPr>
                <w:sz w:val="19"/>
                <w:szCs w:val="19"/>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w w:val="89"/>
              </w:rPr>
              <w:t>103,420</w:t>
            </w:r>
          </w:p>
        </w:tc>
        <w:tc>
          <w:tcPr>
            <w:tcW w:w="260" w:type="dxa"/>
            <w:vAlign w:val="bottom"/>
          </w:tcPr>
          <w:p>
            <w:pPr>
              <w:spacing w:after="0"/>
              <w:rPr>
                <w:sz w:val="19"/>
                <w:szCs w:val="19"/>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w w:val="86"/>
              </w:rPr>
              <w:t>110,323</w:t>
            </w:r>
          </w:p>
        </w:tc>
        <w:tc>
          <w:tcPr>
            <w:tcW w:w="220" w:type="dxa"/>
            <w:vAlign w:val="bottom"/>
          </w:tcPr>
          <w:p>
            <w:pPr>
              <w:spacing w:after="0"/>
              <w:rPr>
                <w:sz w:val="19"/>
                <w:szCs w:val="19"/>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w w:val="83"/>
              </w:rPr>
              <w:t>58,677</w:t>
            </w:r>
          </w:p>
        </w:tc>
        <w:tc>
          <w:tcPr>
            <w:tcW w:w="360" w:type="dxa"/>
            <w:vAlign w:val="bottom"/>
          </w:tcPr>
          <w:p>
            <w:pPr>
              <w:spacing w:after="0"/>
              <w:rPr>
                <w:sz w:val="19"/>
                <w:szCs w:val="19"/>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41,239</w:t>
            </w:r>
          </w:p>
        </w:tc>
        <w:tc>
          <w:tcPr>
            <w:tcW w:w="240" w:type="dxa"/>
            <w:vAlign w:val="bottom"/>
          </w:tcPr>
          <w:p>
            <w:pPr>
              <w:spacing w:after="0"/>
              <w:rPr>
                <w:sz w:val="19"/>
                <w:szCs w:val="19"/>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98,152</w:t>
            </w:r>
          </w:p>
        </w:tc>
        <w:tc>
          <w:tcPr>
            <w:tcW w:w="260" w:type="dxa"/>
            <w:vAlign w:val="bottom"/>
          </w:tcPr>
          <w:p>
            <w:pPr>
              <w:spacing w:after="0"/>
              <w:rPr>
                <w:sz w:val="19"/>
                <w:szCs w:val="19"/>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w w:val="90"/>
              </w:rPr>
              <w:t>(495,953)</w:t>
            </w:r>
          </w:p>
        </w:tc>
        <w:tc>
          <w:tcPr>
            <w:tcW w:w="220" w:type="dxa"/>
            <w:vAlign w:val="bottom"/>
          </w:tcPr>
          <w:p>
            <w:pPr>
              <w:spacing w:after="0"/>
              <w:rPr>
                <w:sz w:val="19"/>
                <w:szCs w:val="19"/>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700" w:type="dxa"/>
            <w:vAlign w:val="bottom"/>
            <w:shd w:val="clear" w:color="auto" w:fill="E5E5E5"/>
          </w:tcPr>
          <w:p>
            <w:pPr>
              <w:spacing w:after="0"/>
              <w:rPr>
                <w:sz w:val="20"/>
                <w:szCs w:val="20"/>
                <w:color w:val="auto"/>
              </w:rPr>
            </w:pPr>
            <w:r>
              <w:rPr>
                <w:rFonts w:ascii="Arial" w:cs="Arial" w:eastAsia="Arial" w:hAnsi="Arial"/>
                <w:sz w:val="18"/>
                <w:szCs w:val="18"/>
                <w:color w:val="auto"/>
              </w:rPr>
              <w:t>Property and equipment, net</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199</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30,754</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30,953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Franchise rights</w:t>
            </w:r>
          </w:p>
        </w:tc>
        <w:tc>
          <w:tcPr>
            <w:tcW w:w="26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59,364</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59,364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E5E5E5"/>
          </w:tcPr>
          <w:p>
            <w:pPr>
              <w:spacing w:after="0"/>
              <w:rPr>
                <w:sz w:val="20"/>
                <w:szCs w:val="20"/>
                <w:color w:val="auto"/>
              </w:rPr>
            </w:pPr>
            <w:r>
              <w:rPr>
                <w:rFonts w:ascii="Arial" w:cs="Arial" w:eastAsia="Arial" w:hAnsi="Arial"/>
                <w:sz w:val="18"/>
                <w:szCs w:val="18"/>
                <w:color w:val="auto"/>
              </w:rPr>
              <w:t>Goodwill</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27,316</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27,316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26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16,969</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16,980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Other noncurrent assets, net</w:t>
            </w:r>
          </w:p>
        </w:tc>
        <w:tc>
          <w:tcPr>
            <w:tcW w:w="2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1,224</w:t>
            </w:r>
          </w:p>
        </w:tc>
        <w:tc>
          <w:tcPr>
            <w:tcW w:w="2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148</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rPr>
              <w:t>92</w:t>
            </w:r>
          </w:p>
        </w:tc>
        <w:tc>
          <w:tcPr>
            <w:tcW w:w="24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1,949</w:t>
            </w:r>
          </w:p>
        </w:tc>
        <w:tc>
          <w:tcPr>
            <w:tcW w:w="26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(1,080)</w:t>
            </w:r>
          </w:p>
        </w:tc>
        <w:tc>
          <w:tcPr>
            <w:tcW w:w="2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2,333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w w:val="83"/>
              </w:rPr>
              <w:t>85,879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w w:val="89"/>
              </w:rPr>
              <w:t>103,568</w:t>
            </w:r>
          </w:p>
        </w:tc>
        <w:tc>
          <w:tcPr>
            <w:tcW w:w="260" w:type="dxa"/>
            <w:vAlign w:val="bottom"/>
            <w:tcBorders>
              <w:bottom w:val="single" w:sz="8" w:color="auto"/>
            </w:tcBorders>
          </w:tcPr>
          <w:p>
            <w:pPr>
              <w:jc w:val="center"/>
              <w:ind w:left="52"/>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w w:val="86"/>
              </w:rPr>
              <w:t>110,323</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w w:val="83"/>
              </w:rPr>
              <w:t>58,677</w:t>
            </w:r>
          </w:p>
        </w:tc>
        <w:tc>
          <w:tcPr>
            <w:tcW w:w="3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42,135</w:t>
            </w:r>
          </w:p>
        </w:tc>
        <w:tc>
          <w:tcPr>
            <w:tcW w:w="2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w w:val="86"/>
              </w:rPr>
              <w:t>255,790</w:t>
            </w:r>
          </w:p>
        </w:tc>
        <w:tc>
          <w:tcPr>
            <w:tcW w:w="2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w w:val="90"/>
              </w:rPr>
              <w:t>(497,033)</w:t>
            </w:r>
          </w:p>
        </w:tc>
        <w:tc>
          <w:tcPr>
            <w:tcW w:w="2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w w:val="89"/>
              </w:rPr>
              <w:t>159,339</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Liabilities and Equity</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00" w:type="dxa"/>
            <w:vAlign w:val="bottom"/>
          </w:tcPr>
          <w:p>
            <w:pPr>
              <w:ind w:left="200"/>
              <w:spacing w:after="0"/>
              <w:rPr>
                <w:sz w:val="20"/>
                <w:szCs w:val="20"/>
                <w:color w:val="auto"/>
              </w:rPr>
            </w:pPr>
            <w:r>
              <w:rPr>
                <w:rFonts w:ascii="Arial" w:cs="Arial" w:eastAsia="Arial" w:hAnsi="Arial"/>
                <w:sz w:val="18"/>
                <w:szCs w:val="18"/>
                <w:color w:val="auto"/>
                <w:w w:val="89"/>
              </w:rPr>
              <w:t>Accounts payable and accrued expenses related</w:t>
            </w: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00" w:type="dxa"/>
            <w:vAlign w:val="bottom"/>
          </w:tcPr>
          <w:p>
            <w:pPr>
              <w:ind w:left="420"/>
              <w:spacing w:after="0"/>
              <w:rPr>
                <w:sz w:val="20"/>
                <w:szCs w:val="20"/>
                <w:color w:val="auto"/>
              </w:rPr>
            </w:pPr>
            <w:r>
              <w:rPr>
                <w:rFonts w:ascii="Arial" w:cs="Arial" w:eastAsia="Arial" w:hAnsi="Arial"/>
                <w:sz w:val="18"/>
                <w:szCs w:val="18"/>
                <w:color w:val="auto"/>
              </w:rPr>
              <w:t>to trade creditors</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19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Pr>
          <w:p>
            <w:pPr>
              <w:jc w:val="center"/>
              <w:ind w:left="52"/>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1</w:t>
            </w:r>
          </w:p>
        </w:tc>
        <w:tc>
          <w:tcPr>
            <w:tcW w:w="360" w:type="dxa"/>
            <w:vAlign w:val="bottom"/>
          </w:tcPr>
          <w:p>
            <w:pPr>
              <w:ind w:left="16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ind w:left="14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5,618</w:t>
            </w:r>
          </w:p>
        </w:tc>
        <w:tc>
          <w:tcPr>
            <w:tcW w:w="260" w:type="dxa"/>
            <w:vAlign w:val="bottom"/>
          </w:tcPr>
          <w:p>
            <w:pPr>
              <w:ind w:left="14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ind w:left="10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5,638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700" w:type="dxa"/>
            <w:vAlign w:val="bottom"/>
            <w:shd w:val="clear" w:color="auto" w:fill="E5E5E5"/>
          </w:tcPr>
          <w:p>
            <w:pPr>
              <w:ind w:left="200"/>
              <w:spacing w:after="0"/>
              <w:rPr>
                <w:sz w:val="20"/>
                <w:szCs w:val="20"/>
                <w:color w:val="auto"/>
              </w:rPr>
            </w:pPr>
            <w:r>
              <w:rPr>
                <w:rFonts w:ascii="Arial" w:cs="Arial" w:eastAsia="Arial" w:hAnsi="Arial"/>
                <w:sz w:val="18"/>
                <w:szCs w:val="18"/>
                <w:color w:val="auto"/>
              </w:rPr>
              <w:t>Accrued participations and residuals</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1,347</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200"/>
              <w:spacing w:after="0"/>
              <w:rPr>
                <w:sz w:val="20"/>
                <w:szCs w:val="20"/>
                <w:color w:val="auto"/>
              </w:rPr>
            </w:pPr>
            <w:r>
              <w:rPr>
                <w:rFonts w:ascii="Arial" w:cs="Arial" w:eastAsia="Arial" w:hAnsi="Arial"/>
                <w:sz w:val="18"/>
                <w:szCs w:val="18"/>
                <w:color w:val="auto"/>
                <w:w w:val="95"/>
              </w:rPr>
              <w:t>Accrued expenses and other current liabilities</w:t>
            </w:r>
          </w:p>
        </w:tc>
        <w:tc>
          <w:tcPr>
            <w:tcW w:w="26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1,547</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283</w:t>
            </w:r>
          </w:p>
        </w:tc>
        <w:tc>
          <w:tcPr>
            <w:tcW w:w="26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233</w:t>
            </w:r>
          </w:p>
        </w:tc>
        <w:tc>
          <w:tcPr>
            <w:tcW w:w="22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47</w:t>
            </w:r>
          </w:p>
        </w:tc>
        <w:tc>
          <w:tcPr>
            <w:tcW w:w="36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331</w:t>
            </w:r>
          </w:p>
        </w:tc>
        <w:tc>
          <w:tcPr>
            <w:tcW w:w="24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3,767</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6,208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Current portion of long-term debt</w:t>
            </w:r>
          </w:p>
        </w:tc>
        <w:tc>
          <w:tcPr>
            <w:tcW w:w="2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1,650</w:t>
            </w:r>
          </w:p>
        </w:tc>
        <w:tc>
          <w:tcPr>
            <w:tcW w:w="2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677</w:t>
            </w:r>
          </w:p>
        </w:tc>
        <w:tc>
          <w:tcPr>
            <w:tcW w:w="36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rPr>
              <w:t>1,006</w:t>
            </w:r>
          </w:p>
        </w:tc>
        <w:tc>
          <w:tcPr>
            <w:tcW w:w="24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884</w:t>
            </w:r>
          </w:p>
        </w:tc>
        <w:tc>
          <w:tcPr>
            <w:tcW w:w="26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4,217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26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3,216</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283</w:t>
            </w:r>
          </w:p>
        </w:tc>
        <w:tc>
          <w:tcPr>
            <w:tcW w:w="26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233</w:t>
            </w:r>
          </w:p>
        </w:tc>
        <w:tc>
          <w:tcPr>
            <w:tcW w:w="22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725</w:t>
            </w:r>
          </w:p>
        </w:tc>
        <w:tc>
          <w:tcPr>
            <w:tcW w:w="36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1,337</w:t>
            </w:r>
          </w:p>
        </w:tc>
        <w:tc>
          <w:tcPr>
            <w:tcW w:w="24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11,616</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17,410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E5E5E5"/>
          </w:tcPr>
          <w:p>
            <w:pPr>
              <w:spacing w:after="0"/>
              <w:rPr>
                <w:sz w:val="20"/>
                <w:szCs w:val="20"/>
                <w:color w:val="auto"/>
              </w:rPr>
            </w:pPr>
            <w:r>
              <w:rPr>
                <w:rFonts w:ascii="Arial" w:cs="Arial" w:eastAsia="Arial" w:hAnsi="Arial"/>
                <w:sz w:val="18"/>
                <w:szCs w:val="18"/>
                <w:color w:val="auto"/>
              </w:rPr>
              <w:t>Long-term debt, less current portion</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w w:val="83"/>
              </w:rPr>
              <w:t>27,616</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126</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1,827</w:t>
            </w: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822</w:t>
            </w:r>
          </w:p>
        </w:tc>
        <w:tc>
          <w:tcPr>
            <w:tcW w:w="3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9,218</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4,408</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44,017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701</w:t>
            </w:r>
          </w:p>
        </w:tc>
        <w:tc>
          <w:tcPr>
            <w:tcW w:w="26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67</w:t>
            </w:r>
          </w:p>
        </w:tc>
        <w:tc>
          <w:tcPr>
            <w:tcW w:w="24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33,127</w:t>
            </w:r>
          </w:p>
        </w:tc>
        <w:tc>
          <w:tcPr>
            <w:tcW w:w="260" w:type="dxa"/>
            <w:vAlign w:val="bottom"/>
          </w:tcPr>
          <w:p>
            <w:pPr>
              <w:spacing w:after="0"/>
              <w:rPr>
                <w:sz w:val="18"/>
                <w:szCs w:val="18"/>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(936)</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32,959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E5E5E5"/>
          </w:tcPr>
          <w:p>
            <w:pPr>
              <w:spacing w:after="0"/>
              <w:rPr>
                <w:sz w:val="20"/>
                <w:szCs w:val="20"/>
                <w:color w:val="auto"/>
              </w:rPr>
            </w:pPr>
            <w:r>
              <w:rPr>
                <w:rFonts w:ascii="Arial" w:cs="Arial" w:eastAsia="Arial" w:hAnsi="Arial"/>
                <w:sz w:val="18"/>
                <w:szCs w:val="18"/>
                <w:color w:val="auto"/>
              </w:rPr>
              <w:t>Other noncurrent liabilities</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2,336</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1,143</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7,484</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(144)</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10,819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Redeemable noncontrolling interests and</w:t>
            </w: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00" w:type="dxa"/>
            <w:vAlign w:val="bottom"/>
          </w:tcPr>
          <w:p>
            <w:pPr>
              <w:ind w:left="200"/>
              <w:spacing w:after="0"/>
              <w:rPr>
                <w:sz w:val="20"/>
                <w:szCs w:val="20"/>
                <w:color w:val="auto"/>
              </w:rPr>
            </w:pPr>
            <w:r>
              <w:rPr>
                <w:rFonts w:ascii="Arial" w:cs="Arial" w:eastAsia="Arial" w:hAnsi="Arial"/>
                <w:sz w:val="18"/>
                <w:szCs w:val="18"/>
                <w:color w:val="auto"/>
              </w:rPr>
              <w:t>redeemable subsidiary preferred stock</w:t>
            </w:r>
          </w:p>
        </w:tc>
        <w:tc>
          <w:tcPr>
            <w:tcW w:w="260" w:type="dxa"/>
            <w:vAlign w:val="bottom"/>
          </w:tcPr>
          <w:p>
            <w:pPr>
              <w:spacing w:after="0"/>
              <w:rPr>
                <w:sz w:val="19"/>
                <w:szCs w:val="19"/>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1,066</w:t>
            </w:r>
          </w:p>
        </w:tc>
        <w:tc>
          <w:tcPr>
            <w:tcW w:w="260" w:type="dxa"/>
            <w:vAlign w:val="bottom"/>
          </w:tcPr>
          <w:p>
            <w:pPr>
              <w:spacing w:after="0"/>
              <w:rPr>
                <w:sz w:val="19"/>
                <w:szCs w:val="19"/>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1,066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700" w:type="dxa"/>
            <w:vAlign w:val="bottom"/>
            <w:shd w:val="clear" w:color="auto" w:fill="E5E5E5"/>
          </w:tcPr>
          <w:p>
            <w:pPr>
              <w:spacing w:after="0"/>
              <w:rPr>
                <w:sz w:val="20"/>
                <w:szCs w:val="20"/>
                <w:color w:val="auto"/>
              </w:rPr>
            </w:pPr>
            <w:r>
              <w:rPr>
                <w:rFonts w:ascii="Arial" w:cs="Arial" w:eastAsia="Arial" w:hAnsi="Arial"/>
                <w:sz w:val="18"/>
                <w:szCs w:val="18"/>
                <w:color w:val="auto"/>
              </w:rPr>
              <w:t>Equity:</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200"/>
              <w:spacing w:after="0"/>
              <w:rPr>
                <w:sz w:val="20"/>
                <w:szCs w:val="20"/>
                <w:color w:val="auto"/>
              </w:rPr>
            </w:pPr>
            <w:r>
              <w:rPr>
                <w:rFonts w:ascii="Arial" w:cs="Arial" w:eastAsia="Arial" w:hAnsi="Arial"/>
                <w:sz w:val="18"/>
                <w:szCs w:val="18"/>
                <w:color w:val="auto"/>
              </w:rPr>
              <w:t>Common stock</w:t>
            </w:r>
          </w:p>
        </w:tc>
        <w:tc>
          <w:tcPr>
            <w:tcW w:w="26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Other shareholders’ equity</w:t>
            </w:r>
          </w:p>
        </w:tc>
        <w:tc>
          <w:tcPr>
            <w:tcW w:w="2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w w:val="83"/>
              </w:rPr>
              <w:t>52,681</w:t>
            </w:r>
          </w:p>
        </w:tc>
        <w:tc>
          <w:tcPr>
            <w:tcW w:w="2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w w:val="89"/>
              </w:rPr>
              <w:t>102,458</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w w:val="86"/>
              </w:rPr>
              <w:t>108,263</w:t>
            </w:r>
          </w:p>
        </w:tc>
        <w:tc>
          <w:tcPr>
            <w:tcW w:w="22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w w:val="83"/>
              </w:rPr>
              <w:t>57,130</w:t>
            </w:r>
          </w:p>
        </w:tc>
        <w:tc>
          <w:tcPr>
            <w:tcW w:w="36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rPr>
              <w:t>30,370</w:t>
            </w:r>
          </w:p>
        </w:tc>
        <w:tc>
          <w:tcPr>
            <w:tcW w:w="24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w w:val="86"/>
              </w:rPr>
              <w:t>197,732</w:t>
            </w:r>
          </w:p>
        </w:tc>
        <w:tc>
          <w:tcPr>
            <w:tcW w:w="26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w w:val="90"/>
              </w:rPr>
              <w:t>(495,953)</w:t>
            </w:r>
          </w:p>
        </w:tc>
        <w:tc>
          <w:tcPr>
            <w:tcW w:w="2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52,681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6"/>
              </w:rPr>
              <w:t>Total Comcast Corporation shareholders’ equity</w:t>
            </w:r>
          </w:p>
        </w:tc>
        <w:tc>
          <w:tcPr>
            <w:tcW w:w="26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w w:val="83"/>
              </w:rPr>
              <w:t>52,711</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w w:val="89"/>
              </w:rPr>
              <w:t>102,458</w:t>
            </w:r>
          </w:p>
        </w:tc>
        <w:tc>
          <w:tcPr>
            <w:tcW w:w="26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w w:val="86"/>
              </w:rPr>
              <w:t>108,263</w:t>
            </w:r>
          </w:p>
        </w:tc>
        <w:tc>
          <w:tcPr>
            <w:tcW w:w="22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w w:val="83"/>
              </w:rPr>
              <w:t>57,130</w:t>
            </w:r>
          </w:p>
        </w:tc>
        <w:tc>
          <w:tcPr>
            <w:tcW w:w="36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30,370</w:t>
            </w:r>
          </w:p>
        </w:tc>
        <w:tc>
          <w:tcPr>
            <w:tcW w:w="24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w w:val="86"/>
              </w:rPr>
              <w:t>197,732</w:t>
            </w:r>
          </w:p>
        </w:tc>
        <w:tc>
          <w:tcPr>
            <w:tcW w:w="260" w:type="dxa"/>
            <w:vAlign w:val="bottom"/>
          </w:tcPr>
          <w:p>
            <w:pPr>
              <w:spacing w:after="0"/>
              <w:rPr>
                <w:sz w:val="18"/>
                <w:szCs w:val="18"/>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w w:val="90"/>
              </w:rPr>
              <w:t>(495,953)</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52,711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Noncontrolling interests</w:t>
            </w:r>
          </w:p>
        </w:tc>
        <w:tc>
          <w:tcPr>
            <w:tcW w:w="2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357</w:t>
            </w:r>
          </w:p>
        </w:tc>
        <w:tc>
          <w:tcPr>
            <w:tcW w:w="26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equity</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w w:val="83"/>
              </w:rPr>
              <w:t>52,711</w:t>
            </w: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w w:val="89"/>
              </w:rPr>
              <w:t>102,458</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w w:val="86"/>
              </w:rPr>
              <w:t>108,263</w:t>
            </w:r>
          </w:p>
        </w:tc>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w w:val="83"/>
              </w:rPr>
              <w:t>57,130</w:t>
            </w: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30,370</w:t>
            </w: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w w:val="86"/>
              </w:rPr>
              <w:t>198,089</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w w:val="90"/>
              </w:rPr>
              <w:t>(495,953)</w:t>
            </w: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53,068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7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 liabilities and equity</w:t>
            </w:r>
          </w:p>
        </w:tc>
        <w:tc>
          <w:tcPr>
            <w:tcW w:w="2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b w:val="1"/>
                <w:bCs w:val="1"/>
                <w:color w:val="auto"/>
                <w:w w:val="83"/>
              </w:rPr>
              <w:t>85,879</w:t>
            </w:r>
          </w:p>
        </w:tc>
        <w:tc>
          <w:tcPr>
            <w:tcW w:w="2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w w:val="89"/>
              </w:rPr>
              <w:t>103,568</w:t>
            </w:r>
          </w:p>
        </w:tc>
        <w:tc>
          <w:tcPr>
            <w:tcW w:w="260" w:type="dxa"/>
            <w:vAlign w:val="bottom"/>
            <w:tcBorders>
              <w:bottom w:val="single" w:sz="8" w:color="auto"/>
            </w:tcBorders>
            <w:shd w:val="clear" w:color="auto" w:fill="E5E5E5"/>
          </w:tcPr>
          <w:p>
            <w:pPr>
              <w:jc w:val="center"/>
              <w:ind w:left="52"/>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b w:val="1"/>
                <w:bCs w:val="1"/>
                <w:color w:val="auto"/>
                <w:w w:val="86"/>
              </w:rPr>
              <w:t>110,323</w:t>
            </w:r>
          </w:p>
        </w:tc>
        <w:tc>
          <w:tcPr>
            <w:tcW w:w="22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b w:val="1"/>
                <w:bCs w:val="1"/>
                <w:color w:val="auto"/>
                <w:w w:val="83"/>
              </w:rPr>
              <w:t>58,677</w:t>
            </w:r>
          </w:p>
        </w:tc>
        <w:tc>
          <w:tcPr>
            <w:tcW w:w="36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b w:val="1"/>
                <w:bCs w:val="1"/>
                <w:color w:val="auto"/>
              </w:rPr>
              <w:t>42,135</w:t>
            </w:r>
          </w:p>
        </w:tc>
        <w:tc>
          <w:tcPr>
            <w:tcW w:w="240" w:type="dxa"/>
            <w:vAlign w:val="bottom"/>
            <w:tcBorders>
              <w:bottom w:val="single" w:sz="8" w:color="auto"/>
            </w:tcBorders>
            <w:shd w:val="clear" w:color="auto" w:fill="E5E5E5"/>
          </w:tcPr>
          <w:p>
            <w:pPr>
              <w:ind w:left="14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b w:val="1"/>
                <w:bCs w:val="1"/>
                <w:color w:val="auto"/>
                <w:w w:val="86"/>
              </w:rPr>
              <w:t>255,790</w:t>
            </w:r>
          </w:p>
        </w:tc>
        <w:tc>
          <w:tcPr>
            <w:tcW w:w="260" w:type="dxa"/>
            <w:vAlign w:val="bottom"/>
            <w:tcBorders>
              <w:bottom w:val="single" w:sz="8" w:color="auto"/>
            </w:tcBorders>
            <w:shd w:val="clear" w:color="auto" w:fill="E5E5E5"/>
          </w:tcPr>
          <w:p>
            <w:pPr>
              <w:ind w:left="14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b w:val="1"/>
                <w:bCs w:val="1"/>
                <w:color w:val="auto"/>
                <w:w w:val="90"/>
              </w:rPr>
              <w:t>(497,033)</w:t>
            </w:r>
          </w:p>
        </w:tc>
        <w:tc>
          <w:tcPr>
            <w:tcW w:w="220" w:type="dxa"/>
            <w:vAlign w:val="bottom"/>
            <w:tcBorders>
              <w:bottom w:val="single" w:sz="8" w:color="auto"/>
            </w:tcBorders>
            <w:shd w:val="clear" w:color="auto" w:fill="E5E5E5"/>
          </w:tcPr>
          <w:p>
            <w:pPr>
              <w:ind w:left="10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w w:val="89"/>
              </w:rPr>
              <w:t>159,339</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80" w:type="dxa"/>
            <w:vAlign w:val="bottom"/>
            <w:gridSpan w:val="2"/>
          </w:tcPr>
          <w:p>
            <w:pPr>
              <w:jc w:val="center"/>
              <w:ind w:right="493"/>
              <w:spacing w:after="0"/>
              <w:rPr>
                <w:sz w:val="20"/>
                <w:szCs w:val="20"/>
                <w:color w:val="auto"/>
              </w:rPr>
            </w:pPr>
            <w:r>
              <w:rPr>
                <w:rFonts w:ascii="Arial" w:cs="Arial" w:eastAsia="Arial" w:hAnsi="Arial"/>
                <w:sz w:val="18"/>
                <w:szCs w:val="18"/>
                <w:color w:val="auto"/>
                <w:w w:val="99"/>
              </w:rPr>
              <w:t>18</w:t>
            </w: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67"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Condensed Consolidating Statement of Income</w:t>
      </w:r>
    </w:p>
    <w:p>
      <w:pPr>
        <w:spacing w:after="0" w:line="18"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For the Three Months Ended September 30, 2015</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color w:val="auto"/>
                <w:w w:val="93"/>
              </w:rPr>
              <w:t>Elimination</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49"/>
        </w:trPr>
        <w:tc>
          <w:tcPr>
            <w:tcW w:w="4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6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Combined</w:t>
            </w: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jc w:val="right"/>
              <w:ind w:right="273"/>
              <w:spacing w:after="0" w:line="149" w:lineRule="exact"/>
              <w:rPr>
                <w:sz w:val="20"/>
                <w:szCs w:val="20"/>
                <w:color w:val="auto"/>
              </w:rPr>
            </w:pPr>
            <w:r>
              <w:rPr>
                <w:rFonts w:ascii="Arial" w:cs="Arial" w:eastAsia="Arial" w:hAnsi="Arial"/>
                <w:sz w:val="14"/>
                <w:szCs w:val="14"/>
                <w:color w:val="auto"/>
              </w:rPr>
              <w:t>Non-</w:t>
            </w:r>
          </w:p>
        </w:tc>
        <w:tc>
          <w:tcPr>
            <w:tcW w:w="280" w:type="dxa"/>
            <w:vAlign w:val="bottom"/>
          </w:tcPr>
          <w:p>
            <w:pPr>
              <w:spacing w:after="0"/>
              <w:rPr>
                <w:sz w:val="12"/>
                <w:szCs w:val="12"/>
                <w:color w:val="auto"/>
              </w:rPr>
            </w:pPr>
          </w:p>
        </w:tc>
        <w:tc>
          <w:tcPr>
            <w:tcW w:w="800" w:type="dxa"/>
            <w:vAlign w:val="bottom"/>
          </w:tcPr>
          <w:p>
            <w:pPr>
              <w:jc w:val="center"/>
              <w:ind w:right="233"/>
              <w:spacing w:after="0" w:line="149" w:lineRule="exact"/>
              <w:rPr>
                <w:sz w:val="20"/>
                <w:szCs w:val="20"/>
                <w:color w:val="auto"/>
              </w:rPr>
            </w:pPr>
            <w:r>
              <w:rPr>
                <w:rFonts w:ascii="Arial" w:cs="Arial" w:eastAsia="Arial" w:hAnsi="Arial"/>
                <w:sz w:val="14"/>
                <w:szCs w:val="14"/>
                <w:color w:val="auto"/>
                <w:w w:val="85"/>
              </w:rPr>
              <w:t>and</w:t>
            </w:r>
          </w:p>
        </w:tc>
        <w:tc>
          <w:tcPr>
            <w:tcW w:w="94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97"/>
              </w:rPr>
              <w:t>Consolidated</w:t>
            </w:r>
          </w:p>
        </w:tc>
      </w:tr>
      <w:tr>
        <w:trPr>
          <w:trHeight w:val="149"/>
        </w:trPr>
        <w:tc>
          <w:tcPr>
            <w:tcW w:w="4120" w:type="dxa"/>
            <w:vAlign w:val="bottom"/>
          </w:tcPr>
          <w:p>
            <w:pPr>
              <w:spacing w:after="0"/>
              <w:rPr>
                <w:sz w:val="12"/>
                <w:szCs w:val="12"/>
                <w:color w:val="auto"/>
              </w:rPr>
            </w:pPr>
          </w:p>
        </w:tc>
        <w:tc>
          <w:tcPr>
            <w:tcW w:w="7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Comcast</w:t>
            </w:r>
          </w:p>
        </w:tc>
        <w:tc>
          <w:tcPr>
            <w:tcW w:w="700" w:type="dxa"/>
            <w:vAlign w:val="bottom"/>
            <w:gridSpan w:val="2"/>
          </w:tcPr>
          <w:p>
            <w:pPr>
              <w:ind w:left="140"/>
              <w:spacing w:after="0" w:line="149" w:lineRule="exact"/>
              <w:rPr>
                <w:sz w:val="20"/>
                <w:szCs w:val="20"/>
                <w:color w:val="auto"/>
              </w:rPr>
            </w:pPr>
            <w:r>
              <w:rPr>
                <w:rFonts w:ascii="Arial" w:cs="Arial" w:eastAsia="Arial" w:hAnsi="Arial"/>
                <w:sz w:val="14"/>
                <w:szCs w:val="14"/>
                <w:color w:val="auto"/>
                <w:w w:val="97"/>
              </w:rPr>
              <w:t>Comcast</w:t>
            </w:r>
          </w:p>
        </w:tc>
        <w:tc>
          <w:tcPr>
            <w:tcW w:w="900" w:type="dxa"/>
            <w:vAlign w:val="bottom"/>
            <w:gridSpan w:val="2"/>
          </w:tcPr>
          <w:p>
            <w:pPr>
              <w:jc w:val="right"/>
              <w:ind w:right="172"/>
              <w:spacing w:after="0" w:line="149" w:lineRule="exact"/>
              <w:rPr>
                <w:sz w:val="20"/>
                <w:szCs w:val="20"/>
                <w:color w:val="auto"/>
              </w:rPr>
            </w:pPr>
            <w:r>
              <w:rPr>
                <w:rFonts w:ascii="Arial" w:cs="Arial" w:eastAsia="Arial" w:hAnsi="Arial"/>
                <w:sz w:val="14"/>
                <w:szCs w:val="14"/>
                <w:color w:val="auto"/>
              </w:rPr>
              <w:t>CCCL</w:t>
            </w:r>
          </w:p>
        </w:tc>
        <w:tc>
          <w:tcPr>
            <w:tcW w:w="86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CCHMO</w:t>
            </w:r>
          </w:p>
        </w:tc>
        <w:tc>
          <w:tcPr>
            <w:tcW w:w="11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NBCUniversal</w:t>
            </w:r>
          </w:p>
        </w:tc>
        <w:tc>
          <w:tcPr>
            <w:tcW w:w="940" w:type="dxa"/>
            <w:vAlign w:val="bottom"/>
            <w:gridSpan w:val="2"/>
          </w:tcPr>
          <w:p>
            <w:pPr>
              <w:jc w:val="right"/>
              <w:ind w:right="133"/>
              <w:spacing w:after="0" w:line="149" w:lineRule="exact"/>
              <w:rPr>
                <w:sz w:val="20"/>
                <w:szCs w:val="20"/>
                <w:color w:val="auto"/>
              </w:rPr>
            </w:pPr>
            <w:r>
              <w:rPr>
                <w:rFonts w:ascii="Arial" w:cs="Arial" w:eastAsia="Arial" w:hAnsi="Arial"/>
                <w:sz w:val="14"/>
                <w:szCs w:val="14"/>
                <w:color w:val="auto"/>
              </w:rPr>
              <w:t>Guarantor</w:t>
            </w:r>
          </w:p>
        </w:tc>
        <w:tc>
          <w:tcPr>
            <w:tcW w:w="10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Consolidation</w:t>
            </w:r>
          </w:p>
        </w:tc>
        <w:tc>
          <w:tcPr>
            <w:tcW w:w="220" w:type="dxa"/>
            <w:vAlign w:val="bottom"/>
          </w:tcPr>
          <w:p>
            <w:pPr>
              <w:spacing w:after="0"/>
              <w:rPr>
                <w:sz w:val="12"/>
                <w:szCs w:val="12"/>
                <w:color w:val="auto"/>
              </w:rPr>
            </w:pPr>
          </w:p>
        </w:tc>
        <w:tc>
          <w:tcPr>
            <w:tcW w:w="720" w:type="dxa"/>
            <w:vAlign w:val="bottom"/>
          </w:tcPr>
          <w:p>
            <w:pPr>
              <w:jc w:val="right"/>
              <w:ind w:right="133"/>
              <w:spacing w:after="0" w:line="149" w:lineRule="exact"/>
              <w:rPr>
                <w:sz w:val="20"/>
                <w:szCs w:val="20"/>
                <w:color w:val="auto"/>
              </w:rPr>
            </w:pPr>
            <w:r>
              <w:rPr>
                <w:rFonts w:ascii="Arial" w:cs="Arial" w:eastAsia="Arial" w:hAnsi="Arial"/>
                <w:sz w:val="14"/>
                <w:szCs w:val="14"/>
                <w:color w:val="auto"/>
                <w:w w:val="86"/>
              </w:rPr>
              <w:t>Comcast</w:t>
            </w:r>
          </w:p>
        </w:tc>
      </w:tr>
      <w:tr>
        <w:trPr>
          <w:trHeight w:val="173"/>
        </w:trPr>
        <w:tc>
          <w:tcPr>
            <w:tcW w:w="41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760" w:type="dxa"/>
            <w:vAlign w:val="bottom"/>
            <w:tcBorders>
              <w:bottom w:val="single" w:sz="8" w:color="auto"/>
            </w:tcBorders>
            <w:gridSpan w:val="2"/>
          </w:tcPr>
          <w:p>
            <w:pPr>
              <w:jc w:val="right"/>
              <w:ind w:right="152"/>
              <w:spacing w:after="0"/>
              <w:rPr>
                <w:sz w:val="20"/>
                <w:szCs w:val="20"/>
                <w:color w:val="auto"/>
              </w:rPr>
            </w:pPr>
            <w:r>
              <w:rPr>
                <w:rFonts w:ascii="Arial" w:cs="Arial" w:eastAsia="Arial" w:hAnsi="Arial"/>
                <w:sz w:val="14"/>
                <w:szCs w:val="14"/>
                <w:color w:val="auto"/>
              </w:rPr>
              <w:t>Parent</w:t>
            </w:r>
          </w:p>
        </w:tc>
        <w:tc>
          <w:tcPr>
            <w:tcW w:w="70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color w:val="auto"/>
              </w:rPr>
              <w:t>Holdings</w:t>
            </w:r>
          </w:p>
        </w:tc>
        <w:tc>
          <w:tcPr>
            <w:tcW w:w="900" w:type="dxa"/>
            <w:vAlign w:val="bottom"/>
            <w:tcBorders>
              <w:bottom w:val="single" w:sz="8" w:color="auto"/>
            </w:tcBorders>
            <w:gridSpan w:val="2"/>
          </w:tcPr>
          <w:p>
            <w:pPr>
              <w:jc w:val="right"/>
              <w:ind w:right="172"/>
              <w:spacing w:after="0"/>
              <w:rPr>
                <w:sz w:val="20"/>
                <w:szCs w:val="20"/>
                <w:color w:val="auto"/>
              </w:rPr>
            </w:pPr>
            <w:r>
              <w:rPr>
                <w:rFonts w:ascii="Arial" w:cs="Arial" w:eastAsia="Arial" w:hAnsi="Arial"/>
                <w:sz w:val="14"/>
                <w:szCs w:val="14"/>
                <w:color w:val="auto"/>
              </w:rPr>
              <w:t>Parent</w:t>
            </w:r>
          </w:p>
        </w:tc>
        <w:tc>
          <w:tcPr>
            <w:tcW w:w="860" w:type="dxa"/>
            <w:vAlign w:val="bottom"/>
            <w:tcBorders>
              <w:bottom w:val="single" w:sz="8" w:color="auto"/>
            </w:tcBorders>
            <w:gridSpan w:val="2"/>
          </w:tcPr>
          <w:p>
            <w:pPr>
              <w:jc w:val="right"/>
              <w:ind w:right="172"/>
              <w:spacing w:after="0"/>
              <w:rPr>
                <w:sz w:val="20"/>
                <w:szCs w:val="20"/>
                <w:color w:val="auto"/>
              </w:rPr>
            </w:pPr>
            <w:r>
              <w:rPr>
                <w:rFonts w:ascii="Arial" w:cs="Arial" w:eastAsia="Arial" w:hAnsi="Arial"/>
                <w:sz w:val="14"/>
                <w:szCs w:val="14"/>
                <w:color w:val="auto"/>
              </w:rPr>
              <w:t>Parents</w:t>
            </w:r>
          </w:p>
        </w:tc>
        <w:tc>
          <w:tcPr>
            <w:tcW w:w="1120" w:type="dxa"/>
            <w:vAlign w:val="bottom"/>
            <w:tcBorders>
              <w:bottom w:val="single" w:sz="8" w:color="auto"/>
            </w:tcBorders>
            <w:gridSpan w:val="2"/>
          </w:tcPr>
          <w:p>
            <w:pPr>
              <w:jc w:val="right"/>
              <w:ind w:right="132"/>
              <w:spacing w:after="0"/>
              <w:rPr>
                <w:sz w:val="20"/>
                <w:szCs w:val="20"/>
                <w:color w:val="auto"/>
              </w:rPr>
            </w:pPr>
            <w:r>
              <w:rPr>
                <w:rFonts w:ascii="Arial" w:cs="Arial" w:eastAsia="Arial" w:hAnsi="Arial"/>
                <w:sz w:val="14"/>
                <w:szCs w:val="14"/>
                <w:color w:val="auto"/>
              </w:rPr>
              <w:t>Media Parent</w:t>
            </w:r>
          </w:p>
        </w:tc>
        <w:tc>
          <w:tcPr>
            <w:tcW w:w="9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color w:val="auto"/>
              </w:rPr>
              <w:t>Subsidiaries</w:t>
            </w: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88"/>
              </w:rPr>
              <w:t>Adjustments</w:t>
            </w:r>
          </w:p>
        </w:tc>
        <w:tc>
          <w:tcPr>
            <w:tcW w:w="940" w:type="dxa"/>
            <w:vAlign w:val="bottom"/>
            <w:tcBorders>
              <w:bottom w:val="single" w:sz="8" w:color="auto"/>
            </w:tcBorders>
            <w:gridSpan w:val="2"/>
          </w:tcPr>
          <w:p>
            <w:pPr>
              <w:jc w:val="right"/>
              <w:ind w:right="53"/>
              <w:spacing w:after="0"/>
              <w:rPr>
                <w:sz w:val="20"/>
                <w:szCs w:val="20"/>
                <w:color w:val="auto"/>
              </w:rPr>
            </w:pPr>
            <w:r>
              <w:rPr>
                <w:rFonts w:ascii="Arial" w:cs="Arial" w:eastAsia="Arial" w:hAnsi="Arial"/>
                <w:sz w:val="14"/>
                <w:szCs w:val="14"/>
                <w:color w:val="auto"/>
              </w:rPr>
              <w:t>Corporation</w:t>
            </w:r>
          </w:p>
        </w:tc>
      </w:tr>
      <w:tr>
        <w:trPr>
          <w:trHeight w:val="210"/>
        </w:trPr>
        <w:tc>
          <w:tcPr>
            <w:tcW w:w="412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18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16"/>
        </w:trPr>
        <w:tc>
          <w:tcPr>
            <w:tcW w:w="4120" w:type="dxa"/>
            <w:vAlign w:val="bottom"/>
          </w:tcPr>
          <w:p>
            <w:pPr>
              <w:ind w:left="220"/>
              <w:spacing w:after="0"/>
              <w:rPr>
                <w:sz w:val="20"/>
                <w:szCs w:val="20"/>
                <w:color w:val="auto"/>
              </w:rPr>
            </w:pPr>
            <w:r>
              <w:rPr>
                <w:rFonts w:ascii="Arial" w:cs="Arial" w:eastAsia="Arial" w:hAnsi="Arial"/>
                <w:sz w:val="18"/>
                <w:szCs w:val="18"/>
                <w:color w:val="auto"/>
              </w:rPr>
              <w:t>Service revenue</w:t>
            </w:r>
          </w:p>
        </w:tc>
        <w:tc>
          <w:tcPr>
            <w:tcW w:w="180" w:type="dxa"/>
            <w:vAlign w:val="bottom"/>
          </w:tcPr>
          <w:p>
            <w:pPr>
              <w:ind w:left="8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73"/>
              <w:spacing w:after="0"/>
              <w:rPr>
                <w:sz w:val="20"/>
                <w:szCs w:val="20"/>
                <w:color w:val="auto"/>
              </w:rPr>
            </w:pPr>
            <w:r>
              <w:rPr>
                <w:rFonts w:ascii="Arial" w:cs="Arial" w:eastAsia="Arial" w:hAnsi="Arial"/>
                <w:sz w:val="18"/>
                <w:szCs w:val="18"/>
                <w:color w:val="auto"/>
                <w:w w:val="94"/>
              </w:rPr>
              <w:t>18,669</w:t>
            </w:r>
          </w:p>
        </w:tc>
        <w:tc>
          <w:tcPr>
            <w:tcW w:w="280" w:type="dxa"/>
            <w:vAlign w:val="bottom"/>
          </w:tcPr>
          <w:p>
            <w:pPr>
              <w:ind w:left="1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18,669</w:t>
            </w:r>
          </w:p>
        </w:tc>
      </w:tr>
      <w:tr>
        <w:trPr>
          <w:trHeight w:val="216"/>
        </w:trPr>
        <w:tc>
          <w:tcPr>
            <w:tcW w:w="412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color w:val="auto"/>
              </w:rPr>
              <w:t>Management fee revenue</w:t>
            </w:r>
          </w:p>
        </w:tc>
        <w:tc>
          <w:tcPr>
            <w:tcW w:w="18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251</w:t>
            </w:r>
          </w:p>
        </w:tc>
        <w:tc>
          <w:tcPr>
            <w:tcW w:w="22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244</w:t>
            </w:r>
          </w:p>
        </w:tc>
        <w:tc>
          <w:tcPr>
            <w:tcW w:w="2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151</w:t>
            </w:r>
          </w:p>
        </w:tc>
        <w:tc>
          <w:tcPr>
            <w:tcW w:w="38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(646)</w:t>
            </w:r>
          </w:p>
        </w:tc>
        <w:tc>
          <w:tcPr>
            <w:tcW w:w="2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w:t>
            </w:r>
          </w:p>
        </w:tc>
      </w:tr>
      <w:tr>
        <w:trPr>
          <w:trHeight w:val="210"/>
        </w:trPr>
        <w:tc>
          <w:tcPr>
            <w:tcW w:w="4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251</w:t>
            </w:r>
          </w:p>
        </w:tc>
        <w:tc>
          <w:tcPr>
            <w:tcW w:w="2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244</w:t>
            </w: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151</w:t>
            </w: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w w:val="94"/>
              </w:rPr>
              <w:t>18,669</w:t>
            </w: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(646)</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18,669</w:t>
            </w:r>
          </w:p>
        </w:tc>
      </w:tr>
      <w:tr>
        <w:trPr>
          <w:trHeight w:val="210"/>
        </w:trPr>
        <w:tc>
          <w:tcPr>
            <w:tcW w:w="4120" w:type="dxa"/>
            <w:vAlign w:val="bottom"/>
            <w:shd w:val="clear" w:color="auto" w:fill="E5E5E5"/>
          </w:tcPr>
          <w:p>
            <w:pPr>
              <w:spacing w:after="0"/>
              <w:rPr>
                <w:sz w:val="20"/>
                <w:szCs w:val="20"/>
                <w:color w:val="auto"/>
              </w:rPr>
            </w:pPr>
            <w:r>
              <w:rPr>
                <w:rFonts w:ascii="Arial" w:cs="Arial" w:eastAsia="Arial" w:hAnsi="Arial"/>
                <w:sz w:val="18"/>
                <w:szCs w:val="18"/>
                <w:color w:val="auto"/>
              </w:rPr>
              <w:t>Costs and Expenses:</w:t>
            </w:r>
          </w:p>
        </w:tc>
        <w:tc>
          <w:tcPr>
            <w:tcW w:w="18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16"/>
        </w:trPr>
        <w:tc>
          <w:tcPr>
            <w:tcW w:w="4120" w:type="dxa"/>
            <w:vAlign w:val="bottom"/>
          </w:tcPr>
          <w:p>
            <w:pPr>
              <w:ind w:left="220"/>
              <w:spacing w:after="0"/>
              <w:rPr>
                <w:sz w:val="20"/>
                <w:szCs w:val="20"/>
                <w:color w:val="auto"/>
              </w:rPr>
            </w:pPr>
            <w:r>
              <w:rPr>
                <w:rFonts w:ascii="Arial" w:cs="Arial" w:eastAsia="Arial" w:hAnsi="Arial"/>
                <w:sz w:val="18"/>
                <w:szCs w:val="18"/>
                <w:color w:val="auto"/>
              </w:rPr>
              <w:t>Programming and production</w:t>
            </w:r>
          </w:p>
        </w:tc>
        <w:tc>
          <w:tcPr>
            <w:tcW w:w="18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73"/>
              <w:spacing w:after="0"/>
              <w:rPr>
                <w:sz w:val="20"/>
                <w:szCs w:val="20"/>
                <w:color w:val="auto"/>
              </w:rPr>
            </w:pPr>
            <w:r>
              <w:rPr>
                <w:rFonts w:ascii="Arial" w:cs="Arial" w:eastAsia="Arial" w:hAnsi="Arial"/>
                <w:sz w:val="18"/>
                <w:szCs w:val="18"/>
                <w:color w:val="auto"/>
              </w:rPr>
              <w:t>5,582</w:t>
            </w:r>
          </w:p>
        </w:tc>
        <w:tc>
          <w:tcPr>
            <w:tcW w:w="280" w:type="dxa"/>
            <w:vAlign w:val="bottom"/>
          </w:tcPr>
          <w:p>
            <w:pPr>
              <w:spacing w:after="0"/>
              <w:rPr>
                <w:sz w:val="18"/>
                <w:szCs w:val="18"/>
                <w:color w:val="auto"/>
              </w:rPr>
            </w:pP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5,582</w:t>
            </w:r>
          </w:p>
        </w:tc>
      </w:tr>
      <w:tr>
        <w:trPr>
          <w:trHeight w:val="216"/>
        </w:trPr>
        <w:tc>
          <w:tcPr>
            <w:tcW w:w="4120" w:type="dxa"/>
            <w:vAlign w:val="bottom"/>
            <w:shd w:val="clear" w:color="auto" w:fill="E5E5E5"/>
          </w:tcPr>
          <w:p>
            <w:pPr>
              <w:ind w:left="220"/>
              <w:spacing w:after="0"/>
              <w:rPr>
                <w:sz w:val="20"/>
                <w:szCs w:val="20"/>
                <w:color w:val="auto"/>
              </w:rPr>
            </w:pPr>
            <w:r>
              <w:rPr>
                <w:rFonts w:ascii="Arial" w:cs="Arial" w:eastAsia="Arial" w:hAnsi="Arial"/>
                <w:sz w:val="18"/>
                <w:szCs w:val="18"/>
                <w:color w:val="auto"/>
              </w:rPr>
              <w:t>Other operating and administrative</w:t>
            </w:r>
          </w:p>
        </w:tc>
        <w:tc>
          <w:tcPr>
            <w:tcW w:w="18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146</w:t>
            </w:r>
          </w:p>
        </w:tc>
        <w:tc>
          <w:tcPr>
            <w:tcW w:w="22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244</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151</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235</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5,264</w:t>
            </w:r>
          </w:p>
        </w:tc>
        <w:tc>
          <w:tcPr>
            <w:tcW w:w="28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(646)</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5,394</w:t>
            </w:r>
          </w:p>
        </w:tc>
      </w:tr>
      <w:tr>
        <w:trPr>
          <w:trHeight w:val="216"/>
        </w:trPr>
        <w:tc>
          <w:tcPr>
            <w:tcW w:w="4120" w:type="dxa"/>
            <w:vAlign w:val="bottom"/>
          </w:tcPr>
          <w:p>
            <w:pPr>
              <w:ind w:left="220"/>
              <w:spacing w:after="0"/>
              <w:rPr>
                <w:sz w:val="20"/>
                <w:szCs w:val="20"/>
                <w:color w:val="auto"/>
              </w:rPr>
            </w:pPr>
            <w:r>
              <w:rPr>
                <w:rFonts w:ascii="Arial" w:cs="Arial" w:eastAsia="Arial" w:hAnsi="Arial"/>
                <w:sz w:val="18"/>
                <w:szCs w:val="18"/>
                <w:color w:val="auto"/>
              </w:rPr>
              <w:t>Advertising, marketing and promotion</w:t>
            </w:r>
          </w:p>
        </w:tc>
        <w:tc>
          <w:tcPr>
            <w:tcW w:w="18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73"/>
              <w:spacing w:after="0"/>
              <w:rPr>
                <w:sz w:val="20"/>
                <w:szCs w:val="20"/>
                <w:color w:val="auto"/>
              </w:rPr>
            </w:pPr>
            <w:r>
              <w:rPr>
                <w:rFonts w:ascii="Arial" w:cs="Arial" w:eastAsia="Arial" w:hAnsi="Arial"/>
                <w:sz w:val="18"/>
                <w:szCs w:val="18"/>
                <w:color w:val="auto"/>
              </w:rPr>
              <w:t>1,509</w:t>
            </w:r>
          </w:p>
        </w:tc>
        <w:tc>
          <w:tcPr>
            <w:tcW w:w="280" w:type="dxa"/>
            <w:vAlign w:val="bottom"/>
          </w:tcPr>
          <w:p>
            <w:pPr>
              <w:spacing w:after="0"/>
              <w:rPr>
                <w:sz w:val="18"/>
                <w:szCs w:val="18"/>
                <w:color w:val="auto"/>
              </w:rPr>
            </w:pP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1,509</w:t>
            </w:r>
          </w:p>
        </w:tc>
      </w:tr>
      <w:tr>
        <w:trPr>
          <w:trHeight w:val="216"/>
        </w:trPr>
        <w:tc>
          <w:tcPr>
            <w:tcW w:w="4120" w:type="dxa"/>
            <w:vAlign w:val="bottom"/>
            <w:shd w:val="clear" w:color="auto" w:fill="E5E5E5"/>
          </w:tcPr>
          <w:p>
            <w:pPr>
              <w:ind w:left="220"/>
              <w:spacing w:after="0"/>
              <w:rPr>
                <w:sz w:val="20"/>
                <w:szCs w:val="20"/>
                <w:color w:val="auto"/>
              </w:rPr>
            </w:pPr>
            <w:r>
              <w:rPr>
                <w:rFonts w:ascii="Arial" w:cs="Arial" w:eastAsia="Arial" w:hAnsi="Arial"/>
                <w:sz w:val="18"/>
                <w:szCs w:val="18"/>
                <w:color w:val="auto"/>
              </w:rPr>
              <w:t>Depreciation</w:t>
            </w:r>
          </w:p>
        </w:tc>
        <w:tc>
          <w:tcPr>
            <w:tcW w:w="18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8</w:t>
            </w:r>
          </w:p>
        </w:tc>
        <w:tc>
          <w:tcPr>
            <w:tcW w:w="22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1,689</w:t>
            </w:r>
          </w:p>
        </w:tc>
        <w:tc>
          <w:tcPr>
            <w:tcW w:w="28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1,697</w:t>
            </w:r>
          </w:p>
        </w:tc>
      </w:tr>
      <w:tr>
        <w:trPr>
          <w:trHeight w:val="216"/>
        </w:trPr>
        <w:tc>
          <w:tcPr>
            <w:tcW w:w="41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Amortization</w:t>
            </w: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485</w:t>
            </w: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486</w:t>
            </w:r>
          </w:p>
        </w:tc>
      </w:tr>
      <w:tr>
        <w:trPr>
          <w:trHeight w:val="210"/>
        </w:trPr>
        <w:tc>
          <w:tcPr>
            <w:tcW w:w="4120" w:type="dxa"/>
            <w:vAlign w:val="bottom"/>
            <w:tcBorders>
              <w:bottom w:val="single" w:sz="8" w:color="auto"/>
            </w:tcBorders>
            <w:shd w:val="clear" w:color="auto" w:fill="E5E5E5"/>
          </w:tcPr>
          <w:p>
            <w:pPr>
              <w:spacing w:after="0"/>
              <w:rPr>
                <w:sz w:val="18"/>
                <w:szCs w:val="18"/>
                <w:color w:val="auto"/>
              </w:rPr>
            </w:pPr>
          </w:p>
        </w:tc>
        <w:tc>
          <w:tcPr>
            <w:tcW w:w="18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155</w:t>
            </w:r>
          </w:p>
        </w:tc>
        <w:tc>
          <w:tcPr>
            <w:tcW w:w="22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244</w:t>
            </w:r>
          </w:p>
        </w:tc>
        <w:tc>
          <w:tcPr>
            <w:tcW w:w="2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151</w:t>
            </w:r>
          </w:p>
        </w:tc>
        <w:tc>
          <w:tcPr>
            <w:tcW w:w="38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235</w:t>
            </w:r>
          </w:p>
        </w:tc>
        <w:tc>
          <w:tcPr>
            <w:tcW w:w="2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w w:val="94"/>
              </w:rPr>
              <w:t>14,529</w:t>
            </w:r>
          </w:p>
        </w:tc>
        <w:tc>
          <w:tcPr>
            <w:tcW w:w="28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(646)</w:t>
            </w:r>
          </w:p>
        </w:tc>
        <w:tc>
          <w:tcPr>
            <w:tcW w:w="2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14,668</w:t>
            </w:r>
          </w:p>
        </w:tc>
      </w:tr>
      <w:tr>
        <w:trPr>
          <w:trHeight w:val="210"/>
        </w:trPr>
        <w:tc>
          <w:tcPr>
            <w:tcW w:w="4120" w:type="dxa"/>
            <w:vAlign w:val="bottom"/>
          </w:tcPr>
          <w:p>
            <w:pPr>
              <w:spacing w:after="0"/>
              <w:rPr>
                <w:sz w:val="20"/>
                <w:szCs w:val="20"/>
                <w:color w:val="auto"/>
              </w:rPr>
            </w:pPr>
            <w:r>
              <w:rPr>
                <w:rFonts w:ascii="Arial" w:cs="Arial" w:eastAsia="Arial" w:hAnsi="Arial"/>
                <w:sz w:val="18"/>
                <w:szCs w:val="18"/>
                <w:b w:val="1"/>
                <w:bCs w:val="1"/>
                <w:color w:val="auto"/>
              </w:rPr>
              <w:t>Operating income (loss)</w:t>
            </w:r>
          </w:p>
        </w:tc>
        <w:tc>
          <w:tcPr>
            <w:tcW w:w="18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96</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(235)</w:t>
            </w:r>
          </w:p>
        </w:tc>
        <w:tc>
          <w:tcPr>
            <w:tcW w:w="240" w:type="dxa"/>
            <w:vAlign w:val="bottom"/>
          </w:tcPr>
          <w:p>
            <w:pPr>
              <w:spacing w:after="0"/>
              <w:rPr>
                <w:sz w:val="18"/>
                <w:szCs w:val="18"/>
                <w:color w:val="auto"/>
              </w:rPr>
            </w:pPr>
          </w:p>
        </w:tc>
        <w:tc>
          <w:tcPr>
            <w:tcW w:w="700" w:type="dxa"/>
            <w:vAlign w:val="bottom"/>
          </w:tcPr>
          <w:p>
            <w:pPr>
              <w:jc w:val="right"/>
              <w:ind w:right="73"/>
              <w:spacing w:after="0"/>
              <w:rPr>
                <w:sz w:val="20"/>
                <w:szCs w:val="20"/>
                <w:color w:val="auto"/>
              </w:rPr>
            </w:pPr>
            <w:r>
              <w:rPr>
                <w:rFonts w:ascii="Arial" w:cs="Arial" w:eastAsia="Arial" w:hAnsi="Arial"/>
                <w:sz w:val="18"/>
                <w:szCs w:val="18"/>
                <w:color w:val="auto"/>
              </w:rPr>
              <w:t>4,140</w:t>
            </w:r>
          </w:p>
        </w:tc>
        <w:tc>
          <w:tcPr>
            <w:tcW w:w="280" w:type="dxa"/>
            <w:vAlign w:val="bottom"/>
          </w:tcPr>
          <w:p>
            <w:pPr>
              <w:spacing w:after="0"/>
              <w:rPr>
                <w:sz w:val="18"/>
                <w:szCs w:val="18"/>
                <w:color w:val="auto"/>
              </w:rPr>
            </w:pP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4,001</w:t>
            </w:r>
          </w:p>
        </w:tc>
      </w:tr>
      <w:tr>
        <w:trPr>
          <w:trHeight w:val="216"/>
        </w:trPr>
        <w:tc>
          <w:tcPr>
            <w:tcW w:w="4120" w:type="dxa"/>
            <w:vAlign w:val="bottom"/>
            <w:shd w:val="clear" w:color="auto" w:fill="E5E5E5"/>
          </w:tcPr>
          <w:p>
            <w:pPr>
              <w:spacing w:after="0"/>
              <w:rPr>
                <w:sz w:val="20"/>
                <w:szCs w:val="20"/>
                <w:color w:val="auto"/>
              </w:rPr>
            </w:pPr>
            <w:r>
              <w:rPr>
                <w:rFonts w:ascii="Arial" w:cs="Arial" w:eastAsia="Arial" w:hAnsi="Arial"/>
                <w:sz w:val="18"/>
                <w:szCs w:val="18"/>
                <w:color w:val="auto"/>
              </w:rPr>
              <w:t>Other Income (Expense):</w:t>
            </w:r>
          </w:p>
        </w:tc>
        <w:tc>
          <w:tcPr>
            <w:tcW w:w="18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16"/>
        </w:trPr>
        <w:tc>
          <w:tcPr>
            <w:tcW w:w="412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8"/>
                <w:szCs w:val="18"/>
                <w:color w:val="auto"/>
              </w:rPr>
            </w:pPr>
          </w:p>
        </w:tc>
        <w:tc>
          <w:tcPr>
            <w:tcW w:w="580" w:type="dxa"/>
            <w:vAlign w:val="bottom"/>
          </w:tcPr>
          <w:p>
            <w:pPr>
              <w:jc w:val="right"/>
              <w:ind w:right="32"/>
              <w:spacing w:after="0"/>
              <w:rPr>
                <w:sz w:val="20"/>
                <w:szCs w:val="20"/>
                <w:color w:val="auto"/>
              </w:rPr>
            </w:pPr>
            <w:r>
              <w:rPr>
                <w:rFonts w:ascii="Arial" w:cs="Arial" w:eastAsia="Arial" w:hAnsi="Arial"/>
                <w:sz w:val="18"/>
                <w:szCs w:val="18"/>
                <w:color w:val="auto"/>
              </w:rPr>
              <w:t>(428)</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18"/>
                <w:szCs w:val="18"/>
                <w:color w:val="auto"/>
              </w:rPr>
            </w:pPr>
          </w:p>
        </w:tc>
        <w:tc>
          <w:tcPr>
            <w:tcW w:w="580" w:type="dxa"/>
            <w:vAlign w:val="bottom"/>
          </w:tcPr>
          <w:p>
            <w:pPr>
              <w:jc w:val="right"/>
              <w:ind w:right="32"/>
              <w:spacing w:after="0"/>
              <w:rPr>
                <w:sz w:val="20"/>
                <w:szCs w:val="20"/>
                <w:color w:val="auto"/>
              </w:rPr>
            </w:pPr>
            <w:r>
              <w:rPr>
                <w:rFonts w:ascii="Arial" w:cs="Arial" w:eastAsia="Arial" w:hAnsi="Arial"/>
                <w:sz w:val="18"/>
                <w:szCs w:val="18"/>
                <w:color w:val="auto"/>
              </w:rPr>
              <w:t>(44)</w:t>
            </w:r>
          </w:p>
        </w:tc>
        <w:tc>
          <w:tcPr>
            <w:tcW w:w="240" w:type="dxa"/>
            <w:vAlign w:val="bottom"/>
          </w:tcPr>
          <w:p>
            <w:pPr>
              <w:spacing w:after="0"/>
              <w:rPr>
                <w:sz w:val="18"/>
                <w:szCs w:val="18"/>
                <w:color w:val="auto"/>
              </w:rPr>
            </w:pPr>
          </w:p>
        </w:tc>
        <w:tc>
          <w:tcPr>
            <w:tcW w:w="620" w:type="dxa"/>
            <w:vAlign w:val="bottom"/>
          </w:tcPr>
          <w:p>
            <w:pPr>
              <w:jc w:val="right"/>
              <w:ind w:right="32"/>
              <w:spacing w:after="0"/>
              <w:rPr>
                <w:sz w:val="20"/>
                <w:szCs w:val="20"/>
                <w:color w:val="auto"/>
              </w:rPr>
            </w:pPr>
            <w:r>
              <w:rPr>
                <w:rFonts w:ascii="Arial" w:cs="Arial" w:eastAsia="Arial" w:hAnsi="Arial"/>
                <w:sz w:val="18"/>
                <w:szCs w:val="18"/>
                <w:color w:val="auto"/>
              </w:rPr>
              <w:t>(21)</w:t>
            </w:r>
          </w:p>
        </w:tc>
        <w:tc>
          <w:tcPr>
            <w:tcW w:w="380" w:type="dxa"/>
            <w:vAlign w:val="bottom"/>
          </w:tcPr>
          <w:p>
            <w:pPr>
              <w:spacing w:after="0"/>
              <w:rPr>
                <w:sz w:val="18"/>
                <w:szCs w:val="18"/>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(111)</w:t>
            </w:r>
          </w:p>
        </w:tc>
        <w:tc>
          <w:tcPr>
            <w:tcW w:w="24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(52)</w:t>
            </w:r>
          </w:p>
        </w:tc>
        <w:tc>
          <w:tcPr>
            <w:tcW w:w="280" w:type="dxa"/>
            <w:vAlign w:val="bottom"/>
          </w:tcPr>
          <w:p>
            <w:pPr>
              <w:spacing w:after="0"/>
              <w:rPr>
                <w:sz w:val="18"/>
                <w:szCs w:val="18"/>
                <w:color w:val="auto"/>
              </w:rPr>
            </w:pP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(659)</w:t>
            </w:r>
          </w:p>
        </w:tc>
      </w:tr>
      <w:tr>
        <w:trPr>
          <w:trHeight w:val="216"/>
        </w:trPr>
        <w:tc>
          <w:tcPr>
            <w:tcW w:w="4120" w:type="dxa"/>
            <w:vAlign w:val="bottom"/>
            <w:shd w:val="clear" w:color="auto" w:fill="E5E5E5"/>
          </w:tcPr>
          <w:p>
            <w:pPr>
              <w:ind w:left="220"/>
              <w:spacing w:after="0"/>
              <w:rPr>
                <w:sz w:val="20"/>
                <w:szCs w:val="20"/>
                <w:color w:val="auto"/>
              </w:rPr>
            </w:pPr>
            <w:r>
              <w:rPr>
                <w:rFonts w:ascii="Arial" w:cs="Arial" w:eastAsia="Arial" w:hAnsi="Arial"/>
                <w:sz w:val="18"/>
                <w:szCs w:val="18"/>
                <w:color w:val="auto"/>
              </w:rPr>
              <w:t>Investment income (loss), net</w:t>
            </w:r>
          </w:p>
        </w:tc>
        <w:tc>
          <w:tcPr>
            <w:tcW w:w="18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3</w:t>
            </w:r>
          </w:p>
        </w:tc>
        <w:tc>
          <w:tcPr>
            <w:tcW w:w="22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w:t>
            </w: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(3)</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(22)</w:t>
            </w:r>
          </w:p>
        </w:tc>
        <w:tc>
          <w:tcPr>
            <w:tcW w:w="28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4120" w:type="dxa"/>
            <w:vAlign w:val="bottom"/>
          </w:tcPr>
          <w:p>
            <w:pPr>
              <w:ind w:left="220"/>
              <w:spacing w:after="0"/>
              <w:rPr>
                <w:sz w:val="20"/>
                <w:szCs w:val="20"/>
                <w:color w:val="auto"/>
              </w:rPr>
            </w:pPr>
            <w:r>
              <w:rPr>
                <w:rFonts w:ascii="Arial" w:cs="Arial" w:eastAsia="Arial" w:hAnsi="Arial"/>
                <w:sz w:val="18"/>
                <w:szCs w:val="18"/>
                <w:color w:val="auto"/>
              </w:rPr>
              <w:t>Equity in net income (losses) of investees, net</w:t>
            </w:r>
          </w:p>
        </w:tc>
        <w:tc>
          <w:tcPr>
            <w:tcW w:w="18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w w:val="84"/>
              </w:rPr>
              <w:t>2,210</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4"/>
              </w:rPr>
              <w:t>2,123</w:t>
            </w:r>
          </w:p>
        </w:tc>
        <w:tc>
          <w:tcPr>
            <w:tcW w:w="32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w w:val="84"/>
              </w:rPr>
              <w:t>1,963</w:t>
            </w:r>
          </w:p>
        </w:tc>
        <w:tc>
          <w:tcPr>
            <w:tcW w:w="240" w:type="dxa"/>
            <w:vAlign w:val="bottom"/>
          </w:tcPr>
          <w:p>
            <w:pPr>
              <w:spacing w:after="0"/>
              <w:rPr>
                <w:sz w:val="18"/>
                <w:szCs w:val="18"/>
                <w:color w:val="auto"/>
              </w:rPr>
            </w:pPr>
          </w:p>
        </w:tc>
        <w:tc>
          <w:tcPr>
            <w:tcW w:w="620" w:type="dxa"/>
            <w:vAlign w:val="bottom"/>
          </w:tcPr>
          <w:p>
            <w:pPr>
              <w:jc w:val="right"/>
              <w:ind w:right="92"/>
              <w:spacing w:after="0"/>
              <w:rPr>
                <w:sz w:val="20"/>
                <w:szCs w:val="20"/>
                <w:color w:val="auto"/>
              </w:rPr>
            </w:pPr>
            <w:r>
              <w:rPr>
                <w:rFonts w:ascii="Arial" w:cs="Arial" w:eastAsia="Arial" w:hAnsi="Arial"/>
                <w:sz w:val="18"/>
                <w:szCs w:val="18"/>
                <w:color w:val="auto"/>
                <w:w w:val="93"/>
              </w:rPr>
              <w:t>1,701</w:t>
            </w:r>
          </w:p>
        </w:tc>
        <w:tc>
          <w:tcPr>
            <w:tcW w:w="380" w:type="dxa"/>
            <w:vAlign w:val="bottom"/>
          </w:tcPr>
          <w:p>
            <w:pPr>
              <w:spacing w:after="0"/>
              <w:rPr>
                <w:sz w:val="18"/>
                <w:szCs w:val="18"/>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1,289</w:t>
            </w:r>
          </w:p>
        </w:tc>
        <w:tc>
          <w:tcPr>
            <w:tcW w:w="240" w:type="dxa"/>
            <w:vAlign w:val="bottom"/>
          </w:tcPr>
          <w:p>
            <w:pPr>
              <w:spacing w:after="0"/>
              <w:rPr>
                <w:sz w:val="18"/>
                <w:szCs w:val="18"/>
                <w:color w:val="auto"/>
              </w:rPr>
            </w:pPr>
          </w:p>
        </w:tc>
        <w:tc>
          <w:tcPr>
            <w:tcW w:w="700" w:type="dxa"/>
            <w:vAlign w:val="bottom"/>
          </w:tcPr>
          <w:p>
            <w:pPr>
              <w:jc w:val="right"/>
              <w:ind w:right="73"/>
              <w:spacing w:after="0"/>
              <w:rPr>
                <w:sz w:val="20"/>
                <w:szCs w:val="20"/>
                <w:color w:val="auto"/>
              </w:rPr>
            </w:pPr>
            <w:r>
              <w:rPr>
                <w:rFonts w:ascii="Arial" w:cs="Arial" w:eastAsia="Arial" w:hAnsi="Arial"/>
                <w:sz w:val="18"/>
                <w:szCs w:val="18"/>
                <w:color w:val="auto"/>
              </w:rPr>
              <w:t>928</w:t>
            </w:r>
          </w:p>
        </w:tc>
        <w:tc>
          <w:tcPr>
            <w:tcW w:w="280" w:type="dxa"/>
            <w:vAlign w:val="bottom"/>
          </w:tcPr>
          <w:p>
            <w:pPr>
              <w:spacing w:after="0"/>
              <w:rPr>
                <w:sz w:val="18"/>
                <w:szCs w:val="18"/>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w w:val="98"/>
              </w:rPr>
              <w:t>(10,213)</w:t>
            </w:r>
          </w:p>
        </w:tc>
        <w:tc>
          <w:tcPr>
            <w:tcW w:w="22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w:t>
            </w:r>
          </w:p>
        </w:tc>
      </w:tr>
      <w:tr>
        <w:trPr>
          <w:trHeight w:val="216"/>
        </w:trPr>
        <w:tc>
          <w:tcPr>
            <w:tcW w:w="412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color w:val="auto"/>
              </w:rPr>
              <w:t>Other income (expense), net</w:t>
            </w:r>
          </w:p>
        </w:tc>
        <w:tc>
          <w:tcPr>
            <w:tcW w:w="18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color w:val="auto"/>
              </w:rPr>
              <w:t>(7)</w:t>
            </w:r>
          </w:p>
        </w:tc>
        <w:tc>
          <w:tcPr>
            <w:tcW w:w="2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(46)</w:t>
            </w:r>
          </w:p>
        </w:tc>
        <w:tc>
          <w:tcPr>
            <w:tcW w:w="28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(53)</w:t>
            </w:r>
          </w:p>
        </w:tc>
      </w:tr>
      <w:tr>
        <w:trPr>
          <w:trHeight w:val="210"/>
        </w:trPr>
        <w:tc>
          <w:tcPr>
            <w:tcW w:w="4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84"/>
              </w:rPr>
              <w:t>1,785</w:t>
            </w:r>
          </w:p>
        </w:tc>
        <w:tc>
          <w:tcPr>
            <w:tcW w:w="2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2,116</w:t>
            </w:r>
          </w:p>
        </w:tc>
        <w:tc>
          <w:tcPr>
            <w:tcW w:w="3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84"/>
              </w:rPr>
              <w:t>1,919</w:t>
            </w: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3"/>
              </w:rPr>
              <w:t>1,680</w:t>
            </w: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1,168</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808</w:t>
            </w: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w w:val="98"/>
              </w:rPr>
              <w:t>(10,213)</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w:t>
            </w:r>
          </w:p>
        </w:tc>
      </w:tr>
      <w:tr>
        <w:trPr>
          <w:trHeight w:val="210"/>
        </w:trPr>
        <w:tc>
          <w:tcPr>
            <w:tcW w:w="4120" w:type="dxa"/>
            <w:vAlign w:val="bottom"/>
            <w:shd w:val="clear" w:color="auto" w:fill="E5E5E5"/>
          </w:tcPr>
          <w:p>
            <w:pPr>
              <w:spacing w:after="0"/>
              <w:rPr>
                <w:sz w:val="20"/>
                <w:szCs w:val="20"/>
                <w:color w:val="auto"/>
              </w:rPr>
            </w:pPr>
            <w:r>
              <w:rPr>
                <w:rFonts w:ascii="Arial" w:cs="Arial" w:eastAsia="Arial" w:hAnsi="Arial"/>
                <w:sz w:val="18"/>
                <w:szCs w:val="18"/>
                <w:color w:val="auto"/>
              </w:rPr>
              <w:t>Income (loss) before income taxes</w:t>
            </w:r>
          </w:p>
        </w:tc>
        <w:tc>
          <w:tcPr>
            <w:tcW w:w="18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84"/>
              </w:rPr>
              <w:t>1,881</w:t>
            </w:r>
          </w:p>
        </w:tc>
        <w:tc>
          <w:tcPr>
            <w:tcW w:w="22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w w:val="84"/>
              </w:rPr>
              <w:t>2,116</w:t>
            </w: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84"/>
              </w:rPr>
              <w:t>1,919</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93"/>
              </w:rPr>
              <w:t>1,680</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933</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4,948</w:t>
            </w:r>
          </w:p>
        </w:tc>
        <w:tc>
          <w:tcPr>
            <w:tcW w:w="28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w w:val="98"/>
              </w:rPr>
              <w:t>(10,213)</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3,264</w:t>
            </w:r>
          </w:p>
        </w:tc>
      </w:tr>
      <w:tr>
        <w:trPr>
          <w:trHeight w:val="216"/>
        </w:trPr>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tax (expense) benefit</w:t>
            </w: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115</w:t>
            </w:r>
          </w:p>
        </w:tc>
        <w:tc>
          <w:tcPr>
            <w:tcW w:w="2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3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16</w:t>
            </w: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7</w:t>
            </w: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(1,357)</w:t>
            </w: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(1,223)</w:t>
            </w:r>
          </w:p>
        </w:tc>
      </w:tr>
      <w:tr>
        <w:trPr>
          <w:trHeight w:val="210"/>
        </w:trPr>
        <w:tc>
          <w:tcPr>
            <w:tcW w:w="4120" w:type="dxa"/>
            <w:vAlign w:val="bottom"/>
            <w:shd w:val="clear" w:color="auto" w:fill="E5E5E5"/>
          </w:tcPr>
          <w:p>
            <w:pPr>
              <w:spacing w:after="0"/>
              <w:rPr>
                <w:sz w:val="20"/>
                <w:szCs w:val="20"/>
                <w:color w:val="auto"/>
              </w:rPr>
            </w:pPr>
            <w:r>
              <w:rPr>
                <w:rFonts w:ascii="Arial" w:cs="Arial" w:eastAsia="Arial" w:hAnsi="Arial"/>
                <w:sz w:val="18"/>
                <w:szCs w:val="18"/>
                <w:color w:val="auto"/>
              </w:rPr>
              <w:t>Net income (loss)</w:t>
            </w:r>
          </w:p>
        </w:tc>
        <w:tc>
          <w:tcPr>
            <w:tcW w:w="18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84"/>
              </w:rPr>
              <w:t>1,996</w:t>
            </w:r>
          </w:p>
        </w:tc>
        <w:tc>
          <w:tcPr>
            <w:tcW w:w="22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w w:val="84"/>
              </w:rPr>
              <w:t>2,118</w:t>
            </w: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84"/>
              </w:rPr>
              <w:t>1,935</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93"/>
              </w:rPr>
              <w:t>1,687</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927</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3,591</w:t>
            </w:r>
          </w:p>
        </w:tc>
        <w:tc>
          <w:tcPr>
            <w:tcW w:w="28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w w:val="98"/>
              </w:rPr>
              <w:t>(10,213)</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2,041</w:t>
            </w:r>
          </w:p>
        </w:tc>
      </w:tr>
      <w:tr>
        <w:trPr>
          <w:trHeight w:val="208"/>
        </w:trPr>
        <w:tc>
          <w:tcPr>
            <w:tcW w:w="4120" w:type="dxa"/>
            <w:vAlign w:val="bottom"/>
          </w:tcPr>
          <w:p>
            <w:pPr>
              <w:spacing w:after="0"/>
              <w:rPr>
                <w:sz w:val="20"/>
                <w:szCs w:val="20"/>
                <w:color w:val="auto"/>
              </w:rPr>
            </w:pPr>
            <w:r>
              <w:rPr>
                <w:rFonts w:ascii="Arial" w:cs="Arial" w:eastAsia="Arial" w:hAnsi="Arial"/>
                <w:sz w:val="18"/>
                <w:szCs w:val="18"/>
                <w:color w:val="auto"/>
                <w:w w:val="92"/>
              </w:rPr>
              <w:t>Net (income) loss attributable to noncontrolling interests</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22"/>
        </w:trPr>
        <w:tc>
          <w:tcPr>
            <w:tcW w:w="41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and redeemable subsidiary preferred stock</w:t>
            </w: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(45)</w:t>
            </w: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r>
      <w:tr>
        <w:trPr>
          <w:trHeight w:val="197"/>
        </w:trPr>
        <w:tc>
          <w:tcPr>
            <w:tcW w:w="4120" w:type="dxa"/>
            <w:vAlign w:val="bottom"/>
            <w:shd w:val="clear" w:color="auto" w:fill="E5E5E5"/>
          </w:tcPr>
          <w:p>
            <w:pPr>
              <w:spacing w:after="0" w:line="197" w:lineRule="exact"/>
              <w:rPr>
                <w:sz w:val="20"/>
                <w:szCs w:val="20"/>
                <w:color w:val="auto"/>
              </w:rPr>
            </w:pPr>
            <w:r>
              <w:rPr>
                <w:rFonts w:ascii="Arial" w:cs="Arial" w:eastAsia="Arial" w:hAnsi="Arial"/>
                <w:sz w:val="18"/>
                <w:szCs w:val="18"/>
                <w:b w:val="1"/>
                <w:bCs w:val="1"/>
                <w:color w:val="auto"/>
              </w:rPr>
              <w:t>Net income (loss) attributable to Comcast</w:t>
            </w:r>
          </w:p>
        </w:tc>
        <w:tc>
          <w:tcPr>
            <w:tcW w:w="180" w:type="dxa"/>
            <w:vAlign w:val="bottom"/>
            <w:shd w:val="clear" w:color="auto" w:fill="E5E5E5"/>
          </w:tcPr>
          <w:p>
            <w:pPr>
              <w:spacing w:after="0"/>
              <w:rPr>
                <w:sz w:val="17"/>
                <w:szCs w:val="17"/>
                <w:color w:val="auto"/>
              </w:rPr>
            </w:pPr>
          </w:p>
        </w:tc>
        <w:tc>
          <w:tcPr>
            <w:tcW w:w="58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48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58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620" w:type="dxa"/>
            <w:vAlign w:val="bottom"/>
            <w:shd w:val="clear" w:color="auto" w:fill="E5E5E5"/>
          </w:tcPr>
          <w:p>
            <w:pPr>
              <w:spacing w:after="0"/>
              <w:rPr>
                <w:sz w:val="17"/>
                <w:szCs w:val="17"/>
                <w:color w:val="auto"/>
              </w:rPr>
            </w:pPr>
          </w:p>
        </w:tc>
        <w:tc>
          <w:tcPr>
            <w:tcW w:w="380" w:type="dxa"/>
            <w:vAlign w:val="bottom"/>
            <w:shd w:val="clear" w:color="auto" w:fill="E5E5E5"/>
          </w:tcPr>
          <w:p>
            <w:pPr>
              <w:spacing w:after="0"/>
              <w:rPr>
                <w:sz w:val="17"/>
                <w:szCs w:val="17"/>
                <w:color w:val="auto"/>
              </w:rPr>
            </w:pPr>
          </w:p>
        </w:tc>
        <w:tc>
          <w:tcPr>
            <w:tcW w:w="74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70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80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720" w:type="dxa"/>
            <w:vAlign w:val="bottom"/>
            <w:shd w:val="clear" w:color="auto" w:fill="E5E5E5"/>
          </w:tcPr>
          <w:p>
            <w:pPr>
              <w:spacing w:after="0"/>
              <w:rPr>
                <w:sz w:val="17"/>
                <w:szCs w:val="17"/>
                <w:color w:val="auto"/>
              </w:rPr>
            </w:pPr>
          </w:p>
        </w:tc>
      </w:tr>
      <w:tr>
        <w:trPr>
          <w:trHeight w:val="237"/>
        </w:trPr>
        <w:tc>
          <w:tcPr>
            <w:tcW w:w="412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b w:val="1"/>
                <w:bCs w:val="1"/>
                <w:color w:val="auto"/>
              </w:rPr>
              <w:t>Corporation</w:t>
            </w:r>
          </w:p>
        </w:tc>
        <w:tc>
          <w:tcPr>
            <w:tcW w:w="180" w:type="dxa"/>
            <w:vAlign w:val="bottom"/>
            <w:tcBorders>
              <w:bottom w:val="single" w:sz="8" w:color="auto"/>
            </w:tcBorders>
            <w:shd w:val="clear" w:color="auto" w:fill="E5E5E5"/>
          </w:tcPr>
          <w:p>
            <w:pPr>
              <w:ind w:left="80"/>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b w:val="1"/>
                <w:bCs w:val="1"/>
                <w:color w:val="auto"/>
                <w:w w:val="84"/>
              </w:rPr>
              <w:t>1,996</w:t>
            </w:r>
          </w:p>
        </w:tc>
        <w:tc>
          <w:tcPr>
            <w:tcW w:w="22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w w:val="84"/>
              </w:rPr>
              <w:t>2,118</w:t>
            </w:r>
          </w:p>
        </w:tc>
        <w:tc>
          <w:tcPr>
            <w:tcW w:w="3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b w:val="1"/>
                <w:bCs w:val="1"/>
                <w:color w:val="auto"/>
                <w:w w:val="84"/>
              </w:rPr>
              <w:t>1,935</w:t>
            </w:r>
          </w:p>
        </w:tc>
        <w:tc>
          <w:tcPr>
            <w:tcW w:w="24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b w:val="1"/>
                <w:bCs w:val="1"/>
                <w:color w:val="auto"/>
                <w:w w:val="93"/>
              </w:rPr>
              <w:t>1,687</w:t>
            </w:r>
          </w:p>
        </w:tc>
        <w:tc>
          <w:tcPr>
            <w:tcW w:w="38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b w:val="1"/>
                <w:bCs w:val="1"/>
                <w:color w:val="auto"/>
              </w:rPr>
              <w:t>927</w:t>
            </w:r>
          </w:p>
        </w:tc>
        <w:tc>
          <w:tcPr>
            <w:tcW w:w="24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b w:val="1"/>
                <w:bCs w:val="1"/>
                <w:color w:val="auto"/>
              </w:rPr>
              <w:t>3,546</w:t>
            </w:r>
          </w:p>
        </w:tc>
        <w:tc>
          <w:tcPr>
            <w:tcW w:w="28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b w:val="1"/>
                <w:bCs w:val="1"/>
                <w:color w:val="auto"/>
                <w:w w:val="98"/>
              </w:rPr>
              <w:t>(10,213)</w:t>
            </w:r>
          </w:p>
        </w:tc>
        <w:tc>
          <w:tcPr>
            <w:tcW w:w="22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rPr>
              <w:t>1,996</w:t>
            </w:r>
          </w:p>
        </w:tc>
      </w:tr>
      <w:tr>
        <w:trPr>
          <w:trHeight w:val="202"/>
        </w:trPr>
        <w:tc>
          <w:tcPr>
            <w:tcW w:w="4120" w:type="dxa"/>
            <w:vAlign w:val="bottom"/>
          </w:tcPr>
          <w:p>
            <w:pPr>
              <w:spacing w:after="0" w:line="201" w:lineRule="exact"/>
              <w:rPr>
                <w:sz w:val="20"/>
                <w:szCs w:val="20"/>
                <w:color w:val="auto"/>
              </w:rPr>
            </w:pPr>
            <w:r>
              <w:rPr>
                <w:rFonts w:ascii="Arial" w:cs="Arial" w:eastAsia="Arial" w:hAnsi="Arial"/>
                <w:sz w:val="18"/>
                <w:szCs w:val="18"/>
                <w:b w:val="1"/>
                <w:bCs w:val="1"/>
                <w:color w:val="auto"/>
                <w:w w:val="88"/>
              </w:rPr>
              <w:t>Comprehensive income (loss) attributable to Comcast</w:t>
            </w: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37"/>
        </w:trPr>
        <w:tc>
          <w:tcPr>
            <w:tcW w:w="412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Corporation</w:t>
            </w:r>
          </w:p>
        </w:tc>
        <w:tc>
          <w:tcPr>
            <w:tcW w:w="18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84"/>
              </w:rPr>
              <w:t>1,967</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2,112</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84"/>
              </w:rPr>
              <w:t>1,936</w:t>
            </w:r>
          </w:p>
        </w:tc>
        <w:tc>
          <w:tcPr>
            <w:tcW w:w="2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93"/>
              </w:rPr>
              <w:t>1,687</w:t>
            </w:r>
          </w:p>
        </w:tc>
        <w:tc>
          <w:tcPr>
            <w:tcW w:w="3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902</w:t>
            </w:r>
          </w:p>
        </w:tc>
        <w:tc>
          <w:tcPr>
            <w:tcW w:w="2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3,546</w:t>
            </w:r>
          </w:p>
        </w:tc>
        <w:tc>
          <w:tcPr>
            <w:tcW w:w="2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w w:val="98"/>
              </w:rPr>
              <w:t>(10,183)</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1,967</w:t>
            </w:r>
          </w:p>
        </w:tc>
      </w:tr>
      <w:tr>
        <w:trPr>
          <w:trHeight w:val="363"/>
        </w:trPr>
        <w:tc>
          <w:tcPr>
            <w:tcW w:w="4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19</w:t>
            </w: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67"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Condensed Consolidating Statement of Income</w:t>
      </w:r>
    </w:p>
    <w:p>
      <w:pPr>
        <w:spacing w:after="0" w:line="18"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For the Three Months Ended September 30, 2014</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color w:val="auto"/>
                <w:w w:val="93"/>
              </w:rPr>
              <w:t>Elimination</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49"/>
        </w:trPr>
        <w:tc>
          <w:tcPr>
            <w:tcW w:w="4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6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Combined</w:t>
            </w: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jc w:val="right"/>
              <w:ind w:right="273"/>
              <w:spacing w:after="0" w:line="149" w:lineRule="exact"/>
              <w:rPr>
                <w:sz w:val="20"/>
                <w:szCs w:val="20"/>
                <w:color w:val="auto"/>
              </w:rPr>
            </w:pPr>
            <w:r>
              <w:rPr>
                <w:rFonts w:ascii="Arial" w:cs="Arial" w:eastAsia="Arial" w:hAnsi="Arial"/>
                <w:sz w:val="14"/>
                <w:szCs w:val="14"/>
                <w:color w:val="auto"/>
              </w:rPr>
              <w:t>Non-</w:t>
            </w:r>
          </w:p>
        </w:tc>
        <w:tc>
          <w:tcPr>
            <w:tcW w:w="300" w:type="dxa"/>
            <w:vAlign w:val="bottom"/>
          </w:tcPr>
          <w:p>
            <w:pPr>
              <w:spacing w:after="0"/>
              <w:rPr>
                <w:sz w:val="12"/>
                <w:szCs w:val="12"/>
                <w:color w:val="auto"/>
              </w:rPr>
            </w:pPr>
          </w:p>
        </w:tc>
        <w:tc>
          <w:tcPr>
            <w:tcW w:w="780" w:type="dxa"/>
            <w:vAlign w:val="bottom"/>
          </w:tcPr>
          <w:p>
            <w:pPr>
              <w:jc w:val="center"/>
              <w:ind w:right="253"/>
              <w:spacing w:after="0" w:line="149" w:lineRule="exact"/>
              <w:rPr>
                <w:sz w:val="20"/>
                <w:szCs w:val="20"/>
                <w:color w:val="auto"/>
              </w:rPr>
            </w:pPr>
            <w:r>
              <w:rPr>
                <w:rFonts w:ascii="Arial" w:cs="Arial" w:eastAsia="Arial" w:hAnsi="Arial"/>
                <w:sz w:val="14"/>
                <w:szCs w:val="14"/>
                <w:color w:val="auto"/>
                <w:w w:val="85"/>
              </w:rPr>
              <w:t>and</w:t>
            </w:r>
          </w:p>
        </w:tc>
        <w:tc>
          <w:tcPr>
            <w:tcW w:w="94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97"/>
              </w:rPr>
              <w:t>Consolidated</w:t>
            </w:r>
          </w:p>
        </w:tc>
      </w:tr>
      <w:tr>
        <w:trPr>
          <w:trHeight w:val="149"/>
        </w:trPr>
        <w:tc>
          <w:tcPr>
            <w:tcW w:w="4120" w:type="dxa"/>
            <w:vAlign w:val="bottom"/>
          </w:tcPr>
          <w:p>
            <w:pPr>
              <w:spacing w:after="0"/>
              <w:rPr>
                <w:sz w:val="12"/>
                <w:szCs w:val="12"/>
                <w:color w:val="auto"/>
              </w:rPr>
            </w:pPr>
          </w:p>
        </w:tc>
        <w:tc>
          <w:tcPr>
            <w:tcW w:w="7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Comcast</w:t>
            </w:r>
          </w:p>
        </w:tc>
        <w:tc>
          <w:tcPr>
            <w:tcW w:w="700" w:type="dxa"/>
            <w:vAlign w:val="bottom"/>
            <w:gridSpan w:val="2"/>
          </w:tcPr>
          <w:p>
            <w:pPr>
              <w:ind w:left="140"/>
              <w:spacing w:after="0" w:line="149" w:lineRule="exact"/>
              <w:rPr>
                <w:sz w:val="20"/>
                <w:szCs w:val="20"/>
                <w:color w:val="auto"/>
              </w:rPr>
            </w:pPr>
            <w:r>
              <w:rPr>
                <w:rFonts w:ascii="Arial" w:cs="Arial" w:eastAsia="Arial" w:hAnsi="Arial"/>
                <w:sz w:val="14"/>
                <w:szCs w:val="14"/>
                <w:color w:val="auto"/>
                <w:w w:val="97"/>
              </w:rPr>
              <w:t>Comcast</w:t>
            </w:r>
          </w:p>
        </w:tc>
        <w:tc>
          <w:tcPr>
            <w:tcW w:w="900" w:type="dxa"/>
            <w:vAlign w:val="bottom"/>
            <w:gridSpan w:val="2"/>
          </w:tcPr>
          <w:p>
            <w:pPr>
              <w:jc w:val="right"/>
              <w:ind w:right="172"/>
              <w:spacing w:after="0" w:line="149" w:lineRule="exact"/>
              <w:rPr>
                <w:sz w:val="20"/>
                <w:szCs w:val="20"/>
                <w:color w:val="auto"/>
              </w:rPr>
            </w:pPr>
            <w:r>
              <w:rPr>
                <w:rFonts w:ascii="Arial" w:cs="Arial" w:eastAsia="Arial" w:hAnsi="Arial"/>
                <w:sz w:val="14"/>
                <w:szCs w:val="14"/>
                <w:color w:val="auto"/>
              </w:rPr>
              <w:t>CCCL</w:t>
            </w:r>
          </w:p>
        </w:tc>
        <w:tc>
          <w:tcPr>
            <w:tcW w:w="86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CCHMO</w:t>
            </w:r>
          </w:p>
        </w:tc>
        <w:tc>
          <w:tcPr>
            <w:tcW w:w="11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NBCUniversal</w:t>
            </w:r>
          </w:p>
        </w:tc>
        <w:tc>
          <w:tcPr>
            <w:tcW w:w="940" w:type="dxa"/>
            <w:vAlign w:val="bottom"/>
            <w:gridSpan w:val="2"/>
          </w:tcPr>
          <w:p>
            <w:pPr>
              <w:jc w:val="right"/>
              <w:ind w:right="133"/>
              <w:spacing w:after="0" w:line="149" w:lineRule="exact"/>
              <w:rPr>
                <w:sz w:val="20"/>
                <w:szCs w:val="20"/>
                <w:color w:val="auto"/>
              </w:rPr>
            </w:pPr>
            <w:r>
              <w:rPr>
                <w:rFonts w:ascii="Arial" w:cs="Arial" w:eastAsia="Arial" w:hAnsi="Arial"/>
                <w:sz w:val="14"/>
                <w:szCs w:val="14"/>
                <w:color w:val="auto"/>
              </w:rPr>
              <w:t>Guarantor</w:t>
            </w:r>
          </w:p>
        </w:tc>
        <w:tc>
          <w:tcPr>
            <w:tcW w:w="10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Consolidation</w:t>
            </w:r>
          </w:p>
        </w:tc>
        <w:tc>
          <w:tcPr>
            <w:tcW w:w="220" w:type="dxa"/>
            <w:vAlign w:val="bottom"/>
          </w:tcPr>
          <w:p>
            <w:pPr>
              <w:spacing w:after="0"/>
              <w:rPr>
                <w:sz w:val="12"/>
                <w:szCs w:val="12"/>
                <w:color w:val="auto"/>
              </w:rPr>
            </w:pPr>
          </w:p>
        </w:tc>
        <w:tc>
          <w:tcPr>
            <w:tcW w:w="720" w:type="dxa"/>
            <w:vAlign w:val="bottom"/>
          </w:tcPr>
          <w:p>
            <w:pPr>
              <w:jc w:val="right"/>
              <w:ind w:right="133"/>
              <w:spacing w:after="0" w:line="149" w:lineRule="exact"/>
              <w:rPr>
                <w:sz w:val="20"/>
                <w:szCs w:val="20"/>
                <w:color w:val="auto"/>
              </w:rPr>
            </w:pPr>
            <w:r>
              <w:rPr>
                <w:rFonts w:ascii="Arial" w:cs="Arial" w:eastAsia="Arial" w:hAnsi="Arial"/>
                <w:sz w:val="14"/>
                <w:szCs w:val="14"/>
                <w:color w:val="auto"/>
                <w:w w:val="86"/>
              </w:rPr>
              <w:t>Comcast</w:t>
            </w:r>
          </w:p>
        </w:tc>
      </w:tr>
      <w:tr>
        <w:trPr>
          <w:trHeight w:val="173"/>
        </w:trPr>
        <w:tc>
          <w:tcPr>
            <w:tcW w:w="41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760" w:type="dxa"/>
            <w:vAlign w:val="bottom"/>
            <w:tcBorders>
              <w:bottom w:val="single" w:sz="8" w:color="auto"/>
            </w:tcBorders>
            <w:gridSpan w:val="2"/>
          </w:tcPr>
          <w:p>
            <w:pPr>
              <w:jc w:val="right"/>
              <w:ind w:right="152"/>
              <w:spacing w:after="0"/>
              <w:rPr>
                <w:sz w:val="20"/>
                <w:szCs w:val="20"/>
                <w:color w:val="auto"/>
              </w:rPr>
            </w:pPr>
            <w:r>
              <w:rPr>
                <w:rFonts w:ascii="Arial" w:cs="Arial" w:eastAsia="Arial" w:hAnsi="Arial"/>
                <w:sz w:val="14"/>
                <w:szCs w:val="14"/>
                <w:color w:val="auto"/>
              </w:rPr>
              <w:t>Parent</w:t>
            </w:r>
          </w:p>
        </w:tc>
        <w:tc>
          <w:tcPr>
            <w:tcW w:w="70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color w:val="auto"/>
              </w:rPr>
              <w:t>Holdings</w:t>
            </w:r>
          </w:p>
        </w:tc>
        <w:tc>
          <w:tcPr>
            <w:tcW w:w="900" w:type="dxa"/>
            <w:vAlign w:val="bottom"/>
            <w:tcBorders>
              <w:bottom w:val="single" w:sz="8" w:color="auto"/>
            </w:tcBorders>
            <w:gridSpan w:val="2"/>
          </w:tcPr>
          <w:p>
            <w:pPr>
              <w:jc w:val="right"/>
              <w:ind w:right="172"/>
              <w:spacing w:after="0"/>
              <w:rPr>
                <w:sz w:val="20"/>
                <w:szCs w:val="20"/>
                <w:color w:val="auto"/>
              </w:rPr>
            </w:pPr>
            <w:r>
              <w:rPr>
                <w:rFonts w:ascii="Arial" w:cs="Arial" w:eastAsia="Arial" w:hAnsi="Arial"/>
                <w:sz w:val="14"/>
                <w:szCs w:val="14"/>
                <w:color w:val="auto"/>
              </w:rPr>
              <w:t>Parent</w:t>
            </w:r>
          </w:p>
        </w:tc>
        <w:tc>
          <w:tcPr>
            <w:tcW w:w="860" w:type="dxa"/>
            <w:vAlign w:val="bottom"/>
            <w:tcBorders>
              <w:bottom w:val="single" w:sz="8" w:color="auto"/>
            </w:tcBorders>
            <w:gridSpan w:val="2"/>
          </w:tcPr>
          <w:p>
            <w:pPr>
              <w:jc w:val="right"/>
              <w:ind w:right="172"/>
              <w:spacing w:after="0"/>
              <w:rPr>
                <w:sz w:val="20"/>
                <w:szCs w:val="20"/>
                <w:color w:val="auto"/>
              </w:rPr>
            </w:pPr>
            <w:r>
              <w:rPr>
                <w:rFonts w:ascii="Arial" w:cs="Arial" w:eastAsia="Arial" w:hAnsi="Arial"/>
                <w:sz w:val="14"/>
                <w:szCs w:val="14"/>
                <w:color w:val="auto"/>
              </w:rPr>
              <w:t>Parents</w:t>
            </w:r>
          </w:p>
        </w:tc>
        <w:tc>
          <w:tcPr>
            <w:tcW w:w="1120" w:type="dxa"/>
            <w:vAlign w:val="bottom"/>
            <w:tcBorders>
              <w:bottom w:val="single" w:sz="8" w:color="auto"/>
            </w:tcBorders>
            <w:gridSpan w:val="2"/>
          </w:tcPr>
          <w:p>
            <w:pPr>
              <w:jc w:val="right"/>
              <w:ind w:right="132"/>
              <w:spacing w:after="0"/>
              <w:rPr>
                <w:sz w:val="20"/>
                <w:szCs w:val="20"/>
                <w:color w:val="auto"/>
              </w:rPr>
            </w:pPr>
            <w:r>
              <w:rPr>
                <w:rFonts w:ascii="Arial" w:cs="Arial" w:eastAsia="Arial" w:hAnsi="Arial"/>
                <w:sz w:val="14"/>
                <w:szCs w:val="14"/>
                <w:color w:val="auto"/>
              </w:rPr>
              <w:t>Media Parent</w:t>
            </w:r>
          </w:p>
        </w:tc>
        <w:tc>
          <w:tcPr>
            <w:tcW w:w="9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color w:val="auto"/>
              </w:rPr>
              <w:t>Subsidiaries</w:t>
            </w: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88"/>
              </w:rPr>
              <w:t>Adjustments</w:t>
            </w:r>
          </w:p>
        </w:tc>
        <w:tc>
          <w:tcPr>
            <w:tcW w:w="940" w:type="dxa"/>
            <w:vAlign w:val="bottom"/>
            <w:tcBorders>
              <w:bottom w:val="single" w:sz="8" w:color="auto"/>
            </w:tcBorders>
            <w:gridSpan w:val="2"/>
          </w:tcPr>
          <w:p>
            <w:pPr>
              <w:jc w:val="right"/>
              <w:ind w:right="53"/>
              <w:spacing w:after="0"/>
              <w:rPr>
                <w:sz w:val="20"/>
                <w:szCs w:val="20"/>
                <w:color w:val="auto"/>
              </w:rPr>
            </w:pPr>
            <w:r>
              <w:rPr>
                <w:rFonts w:ascii="Arial" w:cs="Arial" w:eastAsia="Arial" w:hAnsi="Arial"/>
                <w:sz w:val="14"/>
                <w:szCs w:val="14"/>
                <w:color w:val="auto"/>
              </w:rPr>
              <w:t>Corporation</w:t>
            </w:r>
          </w:p>
        </w:tc>
      </w:tr>
      <w:tr>
        <w:trPr>
          <w:trHeight w:val="210"/>
        </w:trPr>
        <w:tc>
          <w:tcPr>
            <w:tcW w:w="412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18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16"/>
        </w:trPr>
        <w:tc>
          <w:tcPr>
            <w:tcW w:w="4120" w:type="dxa"/>
            <w:vAlign w:val="bottom"/>
          </w:tcPr>
          <w:p>
            <w:pPr>
              <w:ind w:left="220"/>
              <w:spacing w:after="0"/>
              <w:rPr>
                <w:sz w:val="20"/>
                <w:szCs w:val="20"/>
                <w:color w:val="auto"/>
              </w:rPr>
            </w:pPr>
            <w:r>
              <w:rPr>
                <w:rFonts w:ascii="Arial" w:cs="Arial" w:eastAsia="Arial" w:hAnsi="Arial"/>
                <w:sz w:val="18"/>
                <w:szCs w:val="18"/>
                <w:color w:val="auto"/>
              </w:rPr>
              <w:t>Service revenue</w:t>
            </w:r>
          </w:p>
        </w:tc>
        <w:tc>
          <w:tcPr>
            <w:tcW w:w="180" w:type="dxa"/>
            <w:vAlign w:val="bottom"/>
          </w:tcPr>
          <w:p>
            <w:pPr>
              <w:ind w:left="8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73"/>
              <w:spacing w:after="0"/>
              <w:rPr>
                <w:sz w:val="20"/>
                <w:szCs w:val="20"/>
                <w:color w:val="auto"/>
              </w:rPr>
            </w:pPr>
            <w:r>
              <w:rPr>
                <w:rFonts w:ascii="Arial" w:cs="Arial" w:eastAsia="Arial" w:hAnsi="Arial"/>
                <w:sz w:val="18"/>
                <w:szCs w:val="18"/>
                <w:color w:val="auto"/>
                <w:w w:val="94"/>
              </w:rPr>
              <w:t>16,791</w:t>
            </w:r>
          </w:p>
        </w:tc>
        <w:tc>
          <w:tcPr>
            <w:tcW w:w="300" w:type="dxa"/>
            <w:vAlign w:val="bottom"/>
          </w:tcPr>
          <w:p>
            <w:pPr>
              <w:ind w:left="1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16,791</w:t>
            </w:r>
          </w:p>
        </w:tc>
      </w:tr>
      <w:tr>
        <w:trPr>
          <w:trHeight w:val="216"/>
        </w:trPr>
        <w:tc>
          <w:tcPr>
            <w:tcW w:w="412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color w:val="auto"/>
              </w:rPr>
              <w:t>Management fee revenue</w:t>
            </w:r>
          </w:p>
        </w:tc>
        <w:tc>
          <w:tcPr>
            <w:tcW w:w="18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237</w:t>
            </w:r>
          </w:p>
        </w:tc>
        <w:tc>
          <w:tcPr>
            <w:tcW w:w="22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237</w:t>
            </w:r>
          </w:p>
        </w:tc>
        <w:tc>
          <w:tcPr>
            <w:tcW w:w="2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146</w:t>
            </w:r>
          </w:p>
        </w:tc>
        <w:tc>
          <w:tcPr>
            <w:tcW w:w="38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(620)</w:t>
            </w:r>
          </w:p>
        </w:tc>
        <w:tc>
          <w:tcPr>
            <w:tcW w:w="2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w:t>
            </w:r>
          </w:p>
        </w:tc>
      </w:tr>
      <w:tr>
        <w:trPr>
          <w:trHeight w:val="210"/>
        </w:trPr>
        <w:tc>
          <w:tcPr>
            <w:tcW w:w="4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237</w:t>
            </w:r>
          </w:p>
        </w:tc>
        <w:tc>
          <w:tcPr>
            <w:tcW w:w="2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237</w:t>
            </w: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146</w:t>
            </w: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w w:val="94"/>
              </w:rPr>
              <w:t>16,791</w:t>
            </w: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(620)</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16,791</w:t>
            </w:r>
          </w:p>
        </w:tc>
      </w:tr>
      <w:tr>
        <w:trPr>
          <w:trHeight w:val="210"/>
        </w:trPr>
        <w:tc>
          <w:tcPr>
            <w:tcW w:w="4120" w:type="dxa"/>
            <w:vAlign w:val="bottom"/>
            <w:shd w:val="clear" w:color="auto" w:fill="E5E5E5"/>
          </w:tcPr>
          <w:p>
            <w:pPr>
              <w:spacing w:after="0"/>
              <w:rPr>
                <w:sz w:val="20"/>
                <w:szCs w:val="20"/>
                <w:color w:val="auto"/>
              </w:rPr>
            </w:pPr>
            <w:r>
              <w:rPr>
                <w:rFonts w:ascii="Arial" w:cs="Arial" w:eastAsia="Arial" w:hAnsi="Arial"/>
                <w:sz w:val="18"/>
                <w:szCs w:val="18"/>
                <w:color w:val="auto"/>
              </w:rPr>
              <w:t>Costs and Expenses:</w:t>
            </w:r>
          </w:p>
        </w:tc>
        <w:tc>
          <w:tcPr>
            <w:tcW w:w="18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16"/>
        </w:trPr>
        <w:tc>
          <w:tcPr>
            <w:tcW w:w="4120" w:type="dxa"/>
            <w:vAlign w:val="bottom"/>
          </w:tcPr>
          <w:p>
            <w:pPr>
              <w:ind w:left="220"/>
              <w:spacing w:after="0"/>
              <w:rPr>
                <w:sz w:val="20"/>
                <w:szCs w:val="20"/>
                <w:color w:val="auto"/>
              </w:rPr>
            </w:pPr>
            <w:r>
              <w:rPr>
                <w:rFonts w:ascii="Arial" w:cs="Arial" w:eastAsia="Arial" w:hAnsi="Arial"/>
                <w:sz w:val="18"/>
                <w:szCs w:val="18"/>
                <w:color w:val="auto"/>
              </w:rPr>
              <w:t>Programming and production</w:t>
            </w:r>
          </w:p>
        </w:tc>
        <w:tc>
          <w:tcPr>
            <w:tcW w:w="18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73"/>
              <w:spacing w:after="0"/>
              <w:rPr>
                <w:sz w:val="20"/>
                <w:szCs w:val="20"/>
                <w:color w:val="auto"/>
              </w:rPr>
            </w:pPr>
            <w:r>
              <w:rPr>
                <w:rFonts w:ascii="Arial" w:cs="Arial" w:eastAsia="Arial" w:hAnsi="Arial"/>
                <w:sz w:val="18"/>
                <w:szCs w:val="18"/>
                <w:color w:val="auto"/>
              </w:rPr>
              <w:t>4,772</w:t>
            </w:r>
          </w:p>
        </w:tc>
        <w:tc>
          <w:tcPr>
            <w:tcW w:w="300" w:type="dxa"/>
            <w:vAlign w:val="bottom"/>
          </w:tcPr>
          <w:p>
            <w:pPr>
              <w:spacing w:after="0"/>
              <w:rPr>
                <w:sz w:val="18"/>
                <w:szCs w:val="18"/>
                <w:color w:val="auto"/>
              </w:rPr>
            </w:pPr>
          </w:p>
        </w:tc>
        <w:tc>
          <w:tcPr>
            <w:tcW w:w="78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4,772</w:t>
            </w:r>
          </w:p>
        </w:tc>
      </w:tr>
      <w:tr>
        <w:trPr>
          <w:trHeight w:val="216"/>
        </w:trPr>
        <w:tc>
          <w:tcPr>
            <w:tcW w:w="4120" w:type="dxa"/>
            <w:vAlign w:val="bottom"/>
            <w:shd w:val="clear" w:color="auto" w:fill="E5E5E5"/>
          </w:tcPr>
          <w:p>
            <w:pPr>
              <w:ind w:left="220"/>
              <w:spacing w:after="0"/>
              <w:rPr>
                <w:sz w:val="20"/>
                <w:szCs w:val="20"/>
                <w:color w:val="auto"/>
              </w:rPr>
            </w:pPr>
            <w:r>
              <w:rPr>
                <w:rFonts w:ascii="Arial" w:cs="Arial" w:eastAsia="Arial" w:hAnsi="Arial"/>
                <w:sz w:val="18"/>
                <w:szCs w:val="18"/>
                <w:color w:val="auto"/>
              </w:rPr>
              <w:t>Other operating and administrative</w:t>
            </w:r>
          </w:p>
        </w:tc>
        <w:tc>
          <w:tcPr>
            <w:tcW w:w="18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197</w:t>
            </w:r>
          </w:p>
        </w:tc>
        <w:tc>
          <w:tcPr>
            <w:tcW w:w="22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237</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146</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203</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4,854</w:t>
            </w:r>
          </w:p>
        </w:tc>
        <w:tc>
          <w:tcPr>
            <w:tcW w:w="30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(620)</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5,017</w:t>
            </w:r>
          </w:p>
        </w:tc>
      </w:tr>
      <w:tr>
        <w:trPr>
          <w:trHeight w:val="216"/>
        </w:trPr>
        <w:tc>
          <w:tcPr>
            <w:tcW w:w="4120" w:type="dxa"/>
            <w:vAlign w:val="bottom"/>
          </w:tcPr>
          <w:p>
            <w:pPr>
              <w:ind w:left="220"/>
              <w:spacing w:after="0"/>
              <w:rPr>
                <w:sz w:val="20"/>
                <w:szCs w:val="20"/>
                <w:color w:val="auto"/>
              </w:rPr>
            </w:pPr>
            <w:r>
              <w:rPr>
                <w:rFonts w:ascii="Arial" w:cs="Arial" w:eastAsia="Arial" w:hAnsi="Arial"/>
                <w:sz w:val="18"/>
                <w:szCs w:val="18"/>
                <w:color w:val="auto"/>
              </w:rPr>
              <w:t>Advertising, marketing and promotion</w:t>
            </w:r>
          </w:p>
        </w:tc>
        <w:tc>
          <w:tcPr>
            <w:tcW w:w="18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73"/>
              <w:spacing w:after="0"/>
              <w:rPr>
                <w:sz w:val="20"/>
                <w:szCs w:val="20"/>
                <w:color w:val="auto"/>
              </w:rPr>
            </w:pPr>
            <w:r>
              <w:rPr>
                <w:rFonts w:ascii="Arial" w:cs="Arial" w:eastAsia="Arial" w:hAnsi="Arial"/>
                <w:sz w:val="18"/>
                <w:szCs w:val="18"/>
                <w:color w:val="auto"/>
              </w:rPr>
              <w:t>1,298</w:t>
            </w:r>
          </w:p>
        </w:tc>
        <w:tc>
          <w:tcPr>
            <w:tcW w:w="300" w:type="dxa"/>
            <w:vAlign w:val="bottom"/>
          </w:tcPr>
          <w:p>
            <w:pPr>
              <w:spacing w:after="0"/>
              <w:rPr>
                <w:sz w:val="18"/>
                <w:szCs w:val="18"/>
                <w:color w:val="auto"/>
              </w:rPr>
            </w:pPr>
          </w:p>
        </w:tc>
        <w:tc>
          <w:tcPr>
            <w:tcW w:w="78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1,298</w:t>
            </w:r>
          </w:p>
        </w:tc>
      </w:tr>
      <w:tr>
        <w:trPr>
          <w:trHeight w:val="216"/>
        </w:trPr>
        <w:tc>
          <w:tcPr>
            <w:tcW w:w="4120" w:type="dxa"/>
            <w:vAlign w:val="bottom"/>
            <w:shd w:val="clear" w:color="auto" w:fill="E5E5E5"/>
          </w:tcPr>
          <w:p>
            <w:pPr>
              <w:ind w:left="220"/>
              <w:spacing w:after="0"/>
              <w:rPr>
                <w:sz w:val="20"/>
                <w:szCs w:val="20"/>
                <w:color w:val="auto"/>
              </w:rPr>
            </w:pPr>
            <w:r>
              <w:rPr>
                <w:rFonts w:ascii="Arial" w:cs="Arial" w:eastAsia="Arial" w:hAnsi="Arial"/>
                <w:sz w:val="18"/>
                <w:szCs w:val="18"/>
                <w:color w:val="auto"/>
              </w:rPr>
              <w:t>Depreciation</w:t>
            </w:r>
          </w:p>
        </w:tc>
        <w:tc>
          <w:tcPr>
            <w:tcW w:w="18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10</w:t>
            </w:r>
          </w:p>
        </w:tc>
        <w:tc>
          <w:tcPr>
            <w:tcW w:w="22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1,529</w:t>
            </w:r>
          </w:p>
        </w:tc>
        <w:tc>
          <w:tcPr>
            <w:tcW w:w="30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1,539</w:t>
            </w:r>
          </w:p>
        </w:tc>
      </w:tr>
      <w:tr>
        <w:trPr>
          <w:trHeight w:val="216"/>
        </w:trPr>
        <w:tc>
          <w:tcPr>
            <w:tcW w:w="41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Amortization</w:t>
            </w: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419</w:t>
            </w: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420</w:t>
            </w:r>
          </w:p>
        </w:tc>
      </w:tr>
      <w:tr>
        <w:trPr>
          <w:trHeight w:val="210"/>
        </w:trPr>
        <w:tc>
          <w:tcPr>
            <w:tcW w:w="4120" w:type="dxa"/>
            <w:vAlign w:val="bottom"/>
            <w:tcBorders>
              <w:bottom w:val="single" w:sz="8" w:color="auto"/>
            </w:tcBorders>
            <w:shd w:val="clear" w:color="auto" w:fill="E5E5E5"/>
          </w:tcPr>
          <w:p>
            <w:pPr>
              <w:spacing w:after="0"/>
              <w:rPr>
                <w:sz w:val="18"/>
                <w:szCs w:val="18"/>
                <w:color w:val="auto"/>
              </w:rPr>
            </w:pPr>
          </w:p>
        </w:tc>
        <w:tc>
          <w:tcPr>
            <w:tcW w:w="18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208</w:t>
            </w:r>
          </w:p>
        </w:tc>
        <w:tc>
          <w:tcPr>
            <w:tcW w:w="22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237</w:t>
            </w:r>
          </w:p>
        </w:tc>
        <w:tc>
          <w:tcPr>
            <w:tcW w:w="2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146</w:t>
            </w:r>
          </w:p>
        </w:tc>
        <w:tc>
          <w:tcPr>
            <w:tcW w:w="38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203</w:t>
            </w:r>
          </w:p>
        </w:tc>
        <w:tc>
          <w:tcPr>
            <w:tcW w:w="2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w w:val="94"/>
              </w:rPr>
              <w:t>12,872</w:t>
            </w:r>
          </w:p>
        </w:tc>
        <w:tc>
          <w:tcPr>
            <w:tcW w:w="30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(620)</w:t>
            </w:r>
          </w:p>
        </w:tc>
        <w:tc>
          <w:tcPr>
            <w:tcW w:w="2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13,046</w:t>
            </w:r>
          </w:p>
        </w:tc>
      </w:tr>
      <w:tr>
        <w:trPr>
          <w:trHeight w:val="210"/>
        </w:trPr>
        <w:tc>
          <w:tcPr>
            <w:tcW w:w="4120" w:type="dxa"/>
            <w:vAlign w:val="bottom"/>
          </w:tcPr>
          <w:p>
            <w:pPr>
              <w:spacing w:after="0"/>
              <w:rPr>
                <w:sz w:val="20"/>
                <w:szCs w:val="20"/>
                <w:color w:val="auto"/>
              </w:rPr>
            </w:pPr>
            <w:r>
              <w:rPr>
                <w:rFonts w:ascii="Arial" w:cs="Arial" w:eastAsia="Arial" w:hAnsi="Arial"/>
                <w:sz w:val="18"/>
                <w:szCs w:val="18"/>
                <w:b w:val="1"/>
                <w:bCs w:val="1"/>
                <w:color w:val="auto"/>
              </w:rPr>
              <w:t>Operating income (loss)</w:t>
            </w:r>
          </w:p>
        </w:tc>
        <w:tc>
          <w:tcPr>
            <w:tcW w:w="18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29</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(203)</w:t>
            </w:r>
          </w:p>
        </w:tc>
        <w:tc>
          <w:tcPr>
            <w:tcW w:w="240" w:type="dxa"/>
            <w:vAlign w:val="bottom"/>
          </w:tcPr>
          <w:p>
            <w:pPr>
              <w:spacing w:after="0"/>
              <w:rPr>
                <w:sz w:val="18"/>
                <w:szCs w:val="18"/>
                <w:color w:val="auto"/>
              </w:rPr>
            </w:pPr>
          </w:p>
        </w:tc>
        <w:tc>
          <w:tcPr>
            <w:tcW w:w="700" w:type="dxa"/>
            <w:vAlign w:val="bottom"/>
          </w:tcPr>
          <w:p>
            <w:pPr>
              <w:jc w:val="right"/>
              <w:ind w:right="73"/>
              <w:spacing w:after="0"/>
              <w:rPr>
                <w:sz w:val="20"/>
                <w:szCs w:val="20"/>
                <w:color w:val="auto"/>
              </w:rPr>
            </w:pPr>
            <w:r>
              <w:rPr>
                <w:rFonts w:ascii="Arial" w:cs="Arial" w:eastAsia="Arial" w:hAnsi="Arial"/>
                <w:sz w:val="18"/>
                <w:szCs w:val="18"/>
                <w:color w:val="auto"/>
              </w:rPr>
              <w:t>3,919</w:t>
            </w:r>
          </w:p>
        </w:tc>
        <w:tc>
          <w:tcPr>
            <w:tcW w:w="300" w:type="dxa"/>
            <w:vAlign w:val="bottom"/>
          </w:tcPr>
          <w:p>
            <w:pPr>
              <w:spacing w:after="0"/>
              <w:rPr>
                <w:sz w:val="18"/>
                <w:szCs w:val="18"/>
                <w:color w:val="auto"/>
              </w:rPr>
            </w:pPr>
          </w:p>
        </w:tc>
        <w:tc>
          <w:tcPr>
            <w:tcW w:w="78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3,745</w:t>
            </w:r>
          </w:p>
        </w:tc>
      </w:tr>
      <w:tr>
        <w:trPr>
          <w:trHeight w:val="216"/>
        </w:trPr>
        <w:tc>
          <w:tcPr>
            <w:tcW w:w="4120" w:type="dxa"/>
            <w:vAlign w:val="bottom"/>
            <w:shd w:val="clear" w:color="auto" w:fill="E5E5E5"/>
          </w:tcPr>
          <w:p>
            <w:pPr>
              <w:spacing w:after="0"/>
              <w:rPr>
                <w:sz w:val="20"/>
                <w:szCs w:val="20"/>
                <w:color w:val="auto"/>
              </w:rPr>
            </w:pPr>
            <w:r>
              <w:rPr>
                <w:rFonts w:ascii="Arial" w:cs="Arial" w:eastAsia="Arial" w:hAnsi="Arial"/>
                <w:sz w:val="18"/>
                <w:szCs w:val="18"/>
                <w:color w:val="auto"/>
              </w:rPr>
              <w:t>Other Income (Expense):</w:t>
            </w:r>
          </w:p>
        </w:tc>
        <w:tc>
          <w:tcPr>
            <w:tcW w:w="18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16"/>
        </w:trPr>
        <w:tc>
          <w:tcPr>
            <w:tcW w:w="412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8"/>
                <w:szCs w:val="18"/>
                <w:color w:val="auto"/>
              </w:rPr>
            </w:pPr>
          </w:p>
        </w:tc>
        <w:tc>
          <w:tcPr>
            <w:tcW w:w="580" w:type="dxa"/>
            <w:vAlign w:val="bottom"/>
          </w:tcPr>
          <w:p>
            <w:pPr>
              <w:jc w:val="right"/>
              <w:ind w:right="32"/>
              <w:spacing w:after="0"/>
              <w:rPr>
                <w:sz w:val="20"/>
                <w:szCs w:val="20"/>
                <w:color w:val="auto"/>
              </w:rPr>
            </w:pPr>
            <w:r>
              <w:rPr>
                <w:rFonts w:ascii="Arial" w:cs="Arial" w:eastAsia="Arial" w:hAnsi="Arial"/>
                <w:sz w:val="18"/>
                <w:szCs w:val="18"/>
                <w:color w:val="auto"/>
              </w:rPr>
              <w:t>(412)</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8"/>
                <w:szCs w:val="18"/>
                <w:color w:val="auto"/>
              </w:rPr>
            </w:pPr>
          </w:p>
        </w:tc>
        <w:tc>
          <w:tcPr>
            <w:tcW w:w="580" w:type="dxa"/>
            <w:vAlign w:val="bottom"/>
          </w:tcPr>
          <w:p>
            <w:pPr>
              <w:jc w:val="right"/>
              <w:ind w:right="32"/>
              <w:spacing w:after="0"/>
              <w:rPr>
                <w:sz w:val="20"/>
                <w:szCs w:val="20"/>
                <w:color w:val="auto"/>
              </w:rPr>
            </w:pPr>
            <w:r>
              <w:rPr>
                <w:rFonts w:ascii="Arial" w:cs="Arial" w:eastAsia="Arial" w:hAnsi="Arial"/>
                <w:sz w:val="18"/>
                <w:szCs w:val="18"/>
                <w:color w:val="auto"/>
              </w:rPr>
              <w:t>(43)</w:t>
            </w:r>
          </w:p>
        </w:tc>
        <w:tc>
          <w:tcPr>
            <w:tcW w:w="240" w:type="dxa"/>
            <w:vAlign w:val="bottom"/>
          </w:tcPr>
          <w:p>
            <w:pPr>
              <w:spacing w:after="0"/>
              <w:rPr>
                <w:sz w:val="18"/>
                <w:szCs w:val="18"/>
                <w:color w:val="auto"/>
              </w:rPr>
            </w:pPr>
          </w:p>
        </w:tc>
        <w:tc>
          <w:tcPr>
            <w:tcW w:w="620" w:type="dxa"/>
            <w:vAlign w:val="bottom"/>
          </w:tcPr>
          <w:p>
            <w:pPr>
              <w:jc w:val="right"/>
              <w:ind w:right="32"/>
              <w:spacing w:after="0"/>
              <w:rPr>
                <w:sz w:val="20"/>
                <w:szCs w:val="20"/>
                <w:color w:val="auto"/>
              </w:rPr>
            </w:pPr>
            <w:r>
              <w:rPr>
                <w:rFonts w:ascii="Arial" w:cs="Arial" w:eastAsia="Arial" w:hAnsi="Arial"/>
                <w:sz w:val="18"/>
                <w:szCs w:val="18"/>
                <w:color w:val="auto"/>
              </w:rPr>
              <w:t>(29)</w:t>
            </w:r>
          </w:p>
        </w:tc>
        <w:tc>
          <w:tcPr>
            <w:tcW w:w="380" w:type="dxa"/>
            <w:vAlign w:val="bottom"/>
          </w:tcPr>
          <w:p>
            <w:pPr>
              <w:spacing w:after="0"/>
              <w:rPr>
                <w:sz w:val="18"/>
                <w:szCs w:val="18"/>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(111)</w:t>
            </w:r>
          </w:p>
        </w:tc>
        <w:tc>
          <w:tcPr>
            <w:tcW w:w="24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(66)</w:t>
            </w:r>
          </w:p>
        </w:tc>
        <w:tc>
          <w:tcPr>
            <w:tcW w:w="300" w:type="dxa"/>
            <w:vAlign w:val="bottom"/>
          </w:tcPr>
          <w:p>
            <w:pPr>
              <w:spacing w:after="0"/>
              <w:rPr>
                <w:sz w:val="18"/>
                <w:szCs w:val="18"/>
                <w:color w:val="auto"/>
              </w:rPr>
            </w:pPr>
          </w:p>
        </w:tc>
        <w:tc>
          <w:tcPr>
            <w:tcW w:w="78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(663)</w:t>
            </w:r>
          </w:p>
        </w:tc>
      </w:tr>
      <w:tr>
        <w:trPr>
          <w:trHeight w:val="216"/>
        </w:trPr>
        <w:tc>
          <w:tcPr>
            <w:tcW w:w="4120" w:type="dxa"/>
            <w:vAlign w:val="bottom"/>
            <w:shd w:val="clear" w:color="auto" w:fill="E5E5E5"/>
          </w:tcPr>
          <w:p>
            <w:pPr>
              <w:ind w:left="220"/>
              <w:spacing w:after="0"/>
              <w:rPr>
                <w:sz w:val="20"/>
                <w:szCs w:val="20"/>
                <w:color w:val="auto"/>
              </w:rPr>
            </w:pPr>
            <w:r>
              <w:rPr>
                <w:rFonts w:ascii="Arial" w:cs="Arial" w:eastAsia="Arial" w:hAnsi="Arial"/>
                <w:sz w:val="18"/>
                <w:szCs w:val="18"/>
                <w:color w:val="auto"/>
              </w:rPr>
              <w:t>Investment income (loss), net</w:t>
            </w:r>
          </w:p>
        </w:tc>
        <w:tc>
          <w:tcPr>
            <w:tcW w:w="18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1</w:t>
            </w:r>
          </w:p>
        </w:tc>
        <w:tc>
          <w:tcPr>
            <w:tcW w:w="22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w:t>
            </w: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(14)</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32</w:t>
            </w:r>
          </w:p>
        </w:tc>
        <w:tc>
          <w:tcPr>
            <w:tcW w:w="30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21</w:t>
            </w:r>
          </w:p>
        </w:tc>
      </w:tr>
      <w:tr>
        <w:trPr>
          <w:trHeight w:val="216"/>
        </w:trPr>
        <w:tc>
          <w:tcPr>
            <w:tcW w:w="4120" w:type="dxa"/>
            <w:vAlign w:val="bottom"/>
          </w:tcPr>
          <w:p>
            <w:pPr>
              <w:ind w:left="220"/>
              <w:spacing w:after="0"/>
              <w:rPr>
                <w:sz w:val="20"/>
                <w:szCs w:val="20"/>
                <w:color w:val="auto"/>
              </w:rPr>
            </w:pPr>
            <w:r>
              <w:rPr>
                <w:rFonts w:ascii="Arial" w:cs="Arial" w:eastAsia="Arial" w:hAnsi="Arial"/>
                <w:sz w:val="18"/>
                <w:szCs w:val="18"/>
                <w:color w:val="auto"/>
              </w:rPr>
              <w:t>Equity in net income (losses) of investees, net</w:t>
            </w:r>
          </w:p>
        </w:tc>
        <w:tc>
          <w:tcPr>
            <w:tcW w:w="18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w w:val="84"/>
              </w:rPr>
              <w:t>2,840</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4"/>
              </w:rPr>
              <w:t>2,556</w:t>
            </w:r>
          </w:p>
        </w:tc>
        <w:tc>
          <w:tcPr>
            <w:tcW w:w="32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w w:val="84"/>
              </w:rPr>
              <w:t>2,362</w:t>
            </w:r>
          </w:p>
        </w:tc>
        <w:tc>
          <w:tcPr>
            <w:tcW w:w="240" w:type="dxa"/>
            <w:vAlign w:val="bottom"/>
          </w:tcPr>
          <w:p>
            <w:pPr>
              <w:spacing w:after="0"/>
              <w:rPr>
                <w:sz w:val="18"/>
                <w:szCs w:val="18"/>
                <w:color w:val="auto"/>
              </w:rPr>
            </w:pPr>
          </w:p>
        </w:tc>
        <w:tc>
          <w:tcPr>
            <w:tcW w:w="620" w:type="dxa"/>
            <w:vAlign w:val="bottom"/>
          </w:tcPr>
          <w:p>
            <w:pPr>
              <w:jc w:val="right"/>
              <w:ind w:right="92"/>
              <w:spacing w:after="0"/>
              <w:rPr>
                <w:sz w:val="20"/>
                <w:szCs w:val="20"/>
                <w:color w:val="auto"/>
              </w:rPr>
            </w:pPr>
            <w:r>
              <w:rPr>
                <w:rFonts w:ascii="Arial" w:cs="Arial" w:eastAsia="Arial" w:hAnsi="Arial"/>
                <w:sz w:val="18"/>
                <w:szCs w:val="18"/>
                <w:color w:val="auto"/>
                <w:w w:val="93"/>
              </w:rPr>
              <w:t>1,801</w:t>
            </w:r>
          </w:p>
        </w:tc>
        <w:tc>
          <w:tcPr>
            <w:tcW w:w="380" w:type="dxa"/>
            <w:vAlign w:val="bottom"/>
          </w:tcPr>
          <w:p>
            <w:pPr>
              <w:spacing w:after="0"/>
              <w:rPr>
                <w:sz w:val="18"/>
                <w:szCs w:val="18"/>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1,144</w:t>
            </w:r>
          </w:p>
        </w:tc>
        <w:tc>
          <w:tcPr>
            <w:tcW w:w="240" w:type="dxa"/>
            <w:vAlign w:val="bottom"/>
          </w:tcPr>
          <w:p>
            <w:pPr>
              <w:spacing w:after="0"/>
              <w:rPr>
                <w:sz w:val="18"/>
                <w:szCs w:val="18"/>
                <w:color w:val="auto"/>
              </w:rPr>
            </w:pPr>
          </w:p>
        </w:tc>
        <w:tc>
          <w:tcPr>
            <w:tcW w:w="700" w:type="dxa"/>
            <w:vAlign w:val="bottom"/>
          </w:tcPr>
          <w:p>
            <w:pPr>
              <w:jc w:val="right"/>
              <w:ind w:right="73"/>
              <w:spacing w:after="0"/>
              <w:rPr>
                <w:sz w:val="20"/>
                <w:szCs w:val="20"/>
                <w:color w:val="auto"/>
              </w:rPr>
            </w:pPr>
            <w:r>
              <w:rPr>
                <w:rFonts w:ascii="Arial" w:cs="Arial" w:eastAsia="Arial" w:hAnsi="Arial"/>
                <w:sz w:val="18"/>
                <w:szCs w:val="18"/>
                <w:color w:val="auto"/>
              </w:rPr>
              <w:t>835</w:t>
            </w:r>
          </w:p>
        </w:tc>
        <w:tc>
          <w:tcPr>
            <w:tcW w:w="300" w:type="dxa"/>
            <w:vAlign w:val="bottom"/>
          </w:tcPr>
          <w:p>
            <w:pPr>
              <w:spacing w:after="0"/>
              <w:rPr>
                <w:sz w:val="18"/>
                <w:szCs w:val="18"/>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w w:val="95"/>
              </w:rPr>
              <w:t>(11,505)</w:t>
            </w:r>
          </w:p>
        </w:tc>
        <w:tc>
          <w:tcPr>
            <w:tcW w:w="22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33</w:t>
            </w:r>
          </w:p>
        </w:tc>
      </w:tr>
      <w:tr>
        <w:trPr>
          <w:trHeight w:val="216"/>
        </w:trPr>
        <w:tc>
          <w:tcPr>
            <w:tcW w:w="412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color w:val="auto"/>
              </w:rPr>
              <w:t>Other income (expense), net</w:t>
            </w:r>
          </w:p>
        </w:tc>
        <w:tc>
          <w:tcPr>
            <w:tcW w:w="18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color w:val="auto"/>
              </w:rPr>
              <w:t>(3)</w:t>
            </w:r>
          </w:p>
        </w:tc>
        <w:tc>
          <w:tcPr>
            <w:tcW w:w="2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(93)</w:t>
            </w:r>
          </w:p>
        </w:tc>
        <w:tc>
          <w:tcPr>
            <w:tcW w:w="30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(96)</w:t>
            </w:r>
          </w:p>
        </w:tc>
      </w:tr>
      <w:tr>
        <w:trPr>
          <w:trHeight w:val="210"/>
        </w:trPr>
        <w:tc>
          <w:tcPr>
            <w:tcW w:w="4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84"/>
              </w:rPr>
              <w:t>2,429</w:t>
            </w:r>
          </w:p>
        </w:tc>
        <w:tc>
          <w:tcPr>
            <w:tcW w:w="2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2,556</w:t>
            </w:r>
          </w:p>
        </w:tc>
        <w:tc>
          <w:tcPr>
            <w:tcW w:w="3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84"/>
              </w:rPr>
              <w:t>2,319</w:t>
            </w: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3"/>
              </w:rPr>
              <w:t>1,772</w:t>
            </w: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1,016</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708</w:t>
            </w: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w w:val="95"/>
              </w:rPr>
              <w:t>(11,505)</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w:t>
            </w:r>
          </w:p>
        </w:tc>
      </w:tr>
      <w:tr>
        <w:trPr>
          <w:trHeight w:val="210"/>
        </w:trPr>
        <w:tc>
          <w:tcPr>
            <w:tcW w:w="4120" w:type="dxa"/>
            <w:vAlign w:val="bottom"/>
            <w:shd w:val="clear" w:color="auto" w:fill="E5E5E5"/>
          </w:tcPr>
          <w:p>
            <w:pPr>
              <w:spacing w:after="0"/>
              <w:rPr>
                <w:sz w:val="20"/>
                <w:szCs w:val="20"/>
                <w:color w:val="auto"/>
              </w:rPr>
            </w:pPr>
            <w:r>
              <w:rPr>
                <w:rFonts w:ascii="Arial" w:cs="Arial" w:eastAsia="Arial" w:hAnsi="Arial"/>
                <w:sz w:val="18"/>
                <w:szCs w:val="18"/>
                <w:color w:val="auto"/>
              </w:rPr>
              <w:t>Income (loss) before income taxes</w:t>
            </w:r>
          </w:p>
        </w:tc>
        <w:tc>
          <w:tcPr>
            <w:tcW w:w="18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84"/>
              </w:rPr>
              <w:t>2,458</w:t>
            </w:r>
          </w:p>
        </w:tc>
        <w:tc>
          <w:tcPr>
            <w:tcW w:w="22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w w:val="84"/>
              </w:rPr>
              <w:t>2,556</w:t>
            </w: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84"/>
              </w:rPr>
              <w:t>2,319</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93"/>
              </w:rPr>
              <w:t>1,772</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813</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4,627</w:t>
            </w:r>
          </w:p>
        </w:tc>
        <w:tc>
          <w:tcPr>
            <w:tcW w:w="30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w w:val="95"/>
              </w:rPr>
              <w:t>(11,505)</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3,040</w:t>
            </w:r>
          </w:p>
        </w:tc>
      </w:tr>
      <w:tr>
        <w:trPr>
          <w:trHeight w:val="216"/>
        </w:trPr>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tax (expense) benefit</w:t>
            </w: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134</w:t>
            </w:r>
          </w:p>
        </w:tc>
        <w:tc>
          <w:tcPr>
            <w:tcW w:w="2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15</w:t>
            </w: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10</w:t>
            </w: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(11)</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(555)</w:t>
            </w: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w:t>
            </w:r>
          </w:p>
        </w:tc>
      </w:tr>
      <w:tr>
        <w:trPr>
          <w:trHeight w:val="210"/>
        </w:trPr>
        <w:tc>
          <w:tcPr>
            <w:tcW w:w="4120" w:type="dxa"/>
            <w:vAlign w:val="bottom"/>
            <w:shd w:val="clear" w:color="auto" w:fill="E5E5E5"/>
          </w:tcPr>
          <w:p>
            <w:pPr>
              <w:spacing w:after="0"/>
              <w:rPr>
                <w:sz w:val="20"/>
                <w:szCs w:val="20"/>
                <w:color w:val="auto"/>
              </w:rPr>
            </w:pPr>
            <w:r>
              <w:rPr>
                <w:rFonts w:ascii="Arial" w:cs="Arial" w:eastAsia="Arial" w:hAnsi="Arial"/>
                <w:sz w:val="18"/>
                <w:szCs w:val="18"/>
                <w:color w:val="auto"/>
              </w:rPr>
              <w:t>Net income (loss)</w:t>
            </w:r>
          </w:p>
        </w:tc>
        <w:tc>
          <w:tcPr>
            <w:tcW w:w="18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84"/>
              </w:rPr>
              <w:t>2,592</w:t>
            </w:r>
          </w:p>
        </w:tc>
        <w:tc>
          <w:tcPr>
            <w:tcW w:w="22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w w:val="84"/>
              </w:rPr>
              <w:t>2,556</w:t>
            </w: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84"/>
              </w:rPr>
              <w:t>2,334</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93"/>
              </w:rPr>
              <w:t>1,782</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802</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4,072</w:t>
            </w:r>
          </w:p>
        </w:tc>
        <w:tc>
          <w:tcPr>
            <w:tcW w:w="30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w w:val="95"/>
              </w:rPr>
              <w:t>(11,505)</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2,633</w:t>
            </w:r>
          </w:p>
        </w:tc>
      </w:tr>
      <w:tr>
        <w:trPr>
          <w:trHeight w:val="208"/>
        </w:trPr>
        <w:tc>
          <w:tcPr>
            <w:tcW w:w="4120" w:type="dxa"/>
            <w:vAlign w:val="bottom"/>
          </w:tcPr>
          <w:p>
            <w:pPr>
              <w:spacing w:after="0"/>
              <w:rPr>
                <w:sz w:val="20"/>
                <w:szCs w:val="20"/>
                <w:color w:val="auto"/>
              </w:rPr>
            </w:pPr>
            <w:r>
              <w:rPr>
                <w:rFonts w:ascii="Arial" w:cs="Arial" w:eastAsia="Arial" w:hAnsi="Arial"/>
                <w:sz w:val="18"/>
                <w:szCs w:val="18"/>
                <w:color w:val="auto"/>
                <w:w w:val="92"/>
              </w:rPr>
              <w:t>Net (income) loss attributable to noncontrolling interests</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22"/>
        </w:trPr>
        <w:tc>
          <w:tcPr>
            <w:tcW w:w="41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and redeemable subsidiary preferred stock</w:t>
            </w: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(41)</w:t>
            </w: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r>
      <w:tr>
        <w:trPr>
          <w:trHeight w:val="197"/>
        </w:trPr>
        <w:tc>
          <w:tcPr>
            <w:tcW w:w="4120" w:type="dxa"/>
            <w:vAlign w:val="bottom"/>
            <w:shd w:val="clear" w:color="auto" w:fill="E5E5E5"/>
          </w:tcPr>
          <w:p>
            <w:pPr>
              <w:spacing w:after="0" w:line="197" w:lineRule="exact"/>
              <w:rPr>
                <w:sz w:val="20"/>
                <w:szCs w:val="20"/>
                <w:color w:val="auto"/>
              </w:rPr>
            </w:pPr>
            <w:r>
              <w:rPr>
                <w:rFonts w:ascii="Arial" w:cs="Arial" w:eastAsia="Arial" w:hAnsi="Arial"/>
                <w:sz w:val="18"/>
                <w:szCs w:val="18"/>
                <w:b w:val="1"/>
                <w:bCs w:val="1"/>
                <w:color w:val="auto"/>
              </w:rPr>
              <w:t>Net income (loss) attributable to Comcast</w:t>
            </w:r>
          </w:p>
        </w:tc>
        <w:tc>
          <w:tcPr>
            <w:tcW w:w="180" w:type="dxa"/>
            <w:vAlign w:val="bottom"/>
            <w:shd w:val="clear" w:color="auto" w:fill="E5E5E5"/>
          </w:tcPr>
          <w:p>
            <w:pPr>
              <w:spacing w:after="0"/>
              <w:rPr>
                <w:sz w:val="17"/>
                <w:szCs w:val="17"/>
                <w:color w:val="auto"/>
              </w:rPr>
            </w:pPr>
          </w:p>
        </w:tc>
        <w:tc>
          <w:tcPr>
            <w:tcW w:w="58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48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58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620" w:type="dxa"/>
            <w:vAlign w:val="bottom"/>
            <w:shd w:val="clear" w:color="auto" w:fill="E5E5E5"/>
          </w:tcPr>
          <w:p>
            <w:pPr>
              <w:spacing w:after="0"/>
              <w:rPr>
                <w:sz w:val="17"/>
                <w:szCs w:val="17"/>
                <w:color w:val="auto"/>
              </w:rPr>
            </w:pPr>
          </w:p>
        </w:tc>
        <w:tc>
          <w:tcPr>
            <w:tcW w:w="380" w:type="dxa"/>
            <w:vAlign w:val="bottom"/>
            <w:shd w:val="clear" w:color="auto" w:fill="E5E5E5"/>
          </w:tcPr>
          <w:p>
            <w:pPr>
              <w:spacing w:after="0"/>
              <w:rPr>
                <w:sz w:val="17"/>
                <w:szCs w:val="17"/>
                <w:color w:val="auto"/>
              </w:rPr>
            </w:pPr>
          </w:p>
        </w:tc>
        <w:tc>
          <w:tcPr>
            <w:tcW w:w="74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70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78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720" w:type="dxa"/>
            <w:vAlign w:val="bottom"/>
            <w:shd w:val="clear" w:color="auto" w:fill="E5E5E5"/>
          </w:tcPr>
          <w:p>
            <w:pPr>
              <w:spacing w:after="0"/>
              <w:rPr>
                <w:sz w:val="17"/>
                <w:szCs w:val="17"/>
                <w:color w:val="auto"/>
              </w:rPr>
            </w:pPr>
          </w:p>
        </w:tc>
      </w:tr>
      <w:tr>
        <w:trPr>
          <w:trHeight w:val="237"/>
        </w:trPr>
        <w:tc>
          <w:tcPr>
            <w:tcW w:w="412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b w:val="1"/>
                <w:bCs w:val="1"/>
                <w:color w:val="auto"/>
              </w:rPr>
              <w:t>Corporation</w:t>
            </w:r>
          </w:p>
        </w:tc>
        <w:tc>
          <w:tcPr>
            <w:tcW w:w="180" w:type="dxa"/>
            <w:vAlign w:val="bottom"/>
            <w:tcBorders>
              <w:bottom w:val="single" w:sz="8" w:color="auto"/>
            </w:tcBorders>
            <w:shd w:val="clear" w:color="auto" w:fill="E5E5E5"/>
          </w:tcPr>
          <w:p>
            <w:pPr>
              <w:ind w:left="80"/>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b w:val="1"/>
                <w:bCs w:val="1"/>
                <w:color w:val="auto"/>
                <w:w w:val="84"/>
              </w:rPr>
              <w:t>2,592</w:t>
            </w:r>
          </w:p>
        </w:tc>
        <w:tc>
          <w:tcPr>
            <w:tcW w:w="22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w w:val="84"/>
              </w:rPr>
              <w:t>2,556</w:t>
            </w:r>
          </w:p>
        </w:tc>
        <w:tc>
          <w:tcPr>
            <w:tcW w:w="3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b w:val="1"/>
                <w:bCs w:val="1"/>
                <w:color w:val="auto"/>
                <w:w w:val="84"/>
              </w:rPr>
              <w:t>2,334</w:t>
            </w:r>
          </w:p>
        </w:tc>
        <w:tc>
          <w:tcPr>
            <w:tcW w:w="24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b w:val="1"/>
                <w:bCs w:val="1"/>
                <w:color w:val="auto"/>
                <w:w w:val="93"/>
              </w:rPr>
              <w:t>1,782</w:t>
            </w:r>
          </w:p>
        </w:tc>
        <w:tc>
          <w:tcPr>
            <w:tcW w:w="38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b w:val="1"/>
                <w:bCs w:val="1"/>
                <w:color w:val="auto"/>
              </w:rPr>
              <w:t>802</w:t>
            </w:r>
          </w:p>
        </w:tc>
        <w:tc>
          <w:tcPr>
            <w:tcW w:w="24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b w:val="1"/>
                <w:bCs w:val="1"/>
                <w:color w:val="auto"/>
              </w:rPr>
              <w:t>4,031</w:t>
            </w:r>
          </w:p>
        </w:tc>
        <w:tc>
          <w:tcPr>
            <w:tcW w:w="30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b w:val="1"/>
                <w:bCs w:val="1"/>
                <w:color w:val="auto"/>
                <w:w w:val="95"/>
              </w:rPr>
              <w:t>(11,505)</w:t>
            </w:r>
          </w:p>
        </w:tc>
        <w:tc>
          <w:tcPr>
            <w:tcW w:w="22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rPr>
              <w:t>2,592</w:t>
            </w:r>
          </w:p>
        </w:tc>
      </w:tr>
      <w:tr>
        <w:trPr>
          <w:trHeight w:val="202"/>
        </w:trPr>
        <w:tc>
          <w:tcPr>
            <w:tcW w:w="4120" w:type="dxa"/>
            <w:vAlign w:val="bottom"/>
          </w:tcPr>
          <w:p>
            <w:pPr>
              <w:spacing w:after="0" w:line="201" w:lineRule="exact"/>
              <w:rPr>
                <w:sz w:val="20"/>
                <w:szCs w:val="20"/>
                <w:color w:val="auto"/>
              </w:rPr>
            </w:pPr>
            <w:r>
              <w:rPr>
                <w:rFonts w:ascii="Arial" w:cs="Arial" w:eastAsia="Arial" w:hAnsi="Arial"/>
                <w:sz w:val="18"/>
                <w:szCs w:val="18"/>
                <w:b w:val="1"/>
                <w:bCs w:val="1"/>
                <w:color w:val="auto"/>
                <w:w w:val="88"/>
              </w:rPr>
              <w:t>Comprehensive income (loss) attributable to Comcast</w:t>
            </w: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37"/>
        </w:trPr>
        <w:tc>
          <w:tcPr>
            <w:tcW w:w="412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Corporation</w:t>
            </w:r>
          </w:p>
        </w:tc>
        <w:tc>
          <w:tcPr>
            <w:tcW w:w="18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84"/>
              </w:rPr>
              <w:t>2,609</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2,551</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84"/>
              </w:rPr>
              <w:t>2,335</w:t>
            </w:r>
          </w:p>
        </w:tc>
        <w:tc>
          <w:tcPr>
            <w:tcW w:w="2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93"/>
              </w:rPr>
              <w:t>1,781</w:t>
            </w:r>
          </w:p>
        </w:tc>
        <w:tc>
          <w:tcPr>
            <w:tcW w:w="3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785</w:t>
            </w:r>
          </w:p>
        </w:tc>
        <w:tc>
          <w:tcPr>
            <w:tcW w:w="2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4,031</w:t>
            </w:r>
          </w:p>
        </w:tc>
        <w:tc>
          <w:tcPr>
            <w:tcW w:w="30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w w:val="95"/>
              </w:rPr>
              <w:t>(11,483)</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2,609</w:t>
            </w:r>
          </w:p>
        </w:tc>
      </w:tr>
      <w:tr>
        <w:trPr>
          <w:trHeight w:val="363"/>
        </w:trPr>
        <w:tc>
          <w:tcPr>
            <w:tcW w:w="4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20</w:t>
            </w: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67"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Condensed Consolidating Statement of Income</w:t>
      </w:r>
    </w:p>
    <w:p>
      <w:pPr>
        <w:spacing w:after="0" w:line="18"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For the Nine Months Ended September 30, 2015</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color w:val="auto"/>
                <w:w w:val="93"/>
              </w:rPr>
              <w:t>Elimination</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49"/>
        </w:trPr>
        <w:tc>
          <w:tcPr>
            <w:tcW w:w="4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6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Combined</w:t>
            </w: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jc w:val="right"/>
              <w:ind w:right="273"/>
              <w:spacing w:after="0" w:line="149" w:lineRule="exact"/>
              <w:rPr>
                <w:sz w:val="20"/>
                <w:szCs w:val="20"/>
                <w:color w:val="auto"/>
              </w:rPr>
            </w:pPr>
            <w:r>
              <w:rPr>
                <w:rFonts w:ascii="Arial" w:cs="Arial" w:eastAsia="Arial" w:hAnsi="Arial"/>
                <w:sz w:val="14"/>
                <w:szCs w:val="14"/>
                <w:color w:val="auto"/>
              </w:rPr>
              <w:t>Non-</w:t>
            </w:r>
          </w:p>
        </w:tc>
        <w:tc>
          <w:tcPr>
            <w:tcW w:w="280" w:type="dxa"/>
            <w:vAlign w:val="bottom"/>
          </w:tcPr>
          <w:p>
            <w:pPr>
              <w:spacing w:after="0"/>
              <w:rPr>
                <w:sz w:val="12"/>
                <w:szCs w:val="12"/>
                <w:color w:val="auto"/>
              </w:rPr>
            </w:pPr>
          </w:p>
        </w:tc>
        <w:tc>
          <w:tcPr>
            <w:tcW w:w="800" w:type="dxa"/>
            <w:vAlign w:val="bottom"/>
          </w:tcPr>
          <w:p>
            <w:pPr>
              <w:jc w:val="center"/>
              <w:ind w:right="233"/>
              <w:spacing w:after="0" w:line="149" w:lineRule="exact"/>
              <w:rPr>
                <w:sz w:val="20"/>
                <w:szCs w:val="20"/>
                <w:color w:val="auto"/>
              </w:rPr>
            </w:pPr>
            <w:r>
              <w:rPr>
                <w:rFonts w:ascii="Arial" w:cs="Arial" w:eastAsia="Arial" w:hAnsi="Arial"/>
                <w:sz w:val="14"/>
                <w:szCs w:val="14"/>
                <w:color w:val="auto"/>
                <w:w w:val="85"/>
              </w:rPr>
              <w:t>and</w:t>
            </w:r>
          </w:p>
        </w:tc>
        <w:tc>
          <w:tcPr>
            <w:tcW w:w="94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97"/>
              </w:rPr>
              <w:t>Consolidated</w:t>
            </w:r>
          </w:p>
        </w:tc>
      </w:tr>
      <w:tr>
        <w:trPr>
          <w:trHeight w:val="149"/>
        </w:trPr>
        <w:tc>
          <w:tcPr>
            <w:tcW w:w="4000" w:type="dxa"/>
            <w:vAlign w:val="bottom"/>
          </w:tcPr>
          <w:p>
            <w:pPr>
              <w:spacing w:after="0"/>
              <w:rPr>
                <w:sz w:val="12"/>
                <w:szCs w:val="12"/>
                <w:color w:val="auto"/>
              </w:rPr>
            </w:pPr>
          </w:p>
        </w:tc>
        <w:tc>
          <w:tcPr>
            <w:tcW w:w="880" w:type="dxa"/>
            <w:vAlign w:val="bottom"/>
            <w:gridSpan w:val="2"/>
          </w:tcPr>
          <w:p>
            <w:pPr>
              <w:jc w:val="right"/>
              <w:ind w:right="133"/>
              <w:spacing w:after="0" w:line="149" w:lineRule="exact"/>
              <w:rPr>
                <w:sz w:val="20"/>
                <w:szCs w:val="20"/>
                <w:color w:val="auto"/>
              </w:rPr>
            </w:pPr>
            <w:r>
              <w:rPr>
                <w:rFonts w:ascii="Arial" w:cs="Arial" w:eastAsia="Arial" w:hAnsi="Arial"/>
                <w:sz w:val="14"/>
                <w:szCs w:val="14"/>
                <w:color w:val="auto"/>
              </w:rPr>
              <w:t>Comcast</w:t>
            </w:r>
          </w:p>
        </w:tc>
        <w:tc>
          <w:tcPr>
            <w:tcW w:w="700" w:type="dxa"/>
            <w:vAlign w:val="bottom"/>
            <w:gridSpan w:val="2"/>
          </w:tcPr>
          <w:p>
            <w:pPr>
              <w:ind w:left="140"/>
              <w:spacing w:after="0" w:line="149" w:lineRule="exact"/>
              <w:rPr>
                <w:sz w:val="20"/>
                <w:szCs w:val="20"/>
                <w:color w:val="auto"/>
              </w:rPr>
            </w:pPr>
            <w:r>
              <w:rPr>
                <w:rFonts w:ascii="Arial" w:cs="Arial" w:eastAsia="Arial" w:hAnsi="Arial"/>
                <w:sz w:val="14"/>
                <w:szCs w:val="14"/>
                <w:color w:val="auto"/>
                <w:w w:val="97"/>
              </w:rPr>
              <w:t>Comcast</w:t>
            </w:r>
          </w:p>
        </w:tc>
        <w:tc>
          <w:tcPr>
            <w:tcW w:w="900" w:type="dxa"/>
            <w:vAlign w:val="bottom"/>
            <w:gridSpan w:val="2"/>
          </w:tcPr>
          <w:p>
            <w:pPr>
              <w:jc w:val="right"/>
              <w:ind w:right="172"/>
              <w:spacing w:after="0" w:line="149" w:lineRule="exact"/>
              <w:rPr>
                <w:sz w:val="20"/>
                <w:szCs w:val="20"/>
                <w:color w:val="auto"/>
              </w:rPr>
            </w:pPr>
            <w:r>
              <w:rPr>
                <w:rFonts w:ascii="Arial" w:cs="Arial" w:eastAsia="Arial" w:hAnsi="Arial"/>
                <w:sz w:val="14"/>
                <w:szCs w:val="14"/>
                <w:color w:val="auto"/>
              </w:rPr>
              <w:t>CCCL</w:t>
            </w:r>
          </w:p>
        </w:tc>
        <w:tc>
          <w:tcPr>
            <w:tcW w:w="86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CCHMO</w:t>
            </w:r>
          </w:p>
        </w:tc>
        <w:tc>
          <w:tcPr>
            <w:tcW w:w="11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NBCUniversal</w:t>
            </w:r>
          </w:p>
        </w:tc>
        <w:tc>
          <w:tcPr>
            <w:tcW w:w="940" w:type="dxa"/>
            <w:vAlign w:val="bottom"/>
            <w:gridSpan w:val="2"/>
          </w:tcPr>
          <w:p>
            <w:pPr>
              <w:jc w:val="right"/>
              <w:ind w:right="133"/>
              <w:spacing w:after="0" w:line="149" w:lineRule="exact"/>
              <w:rPr>
                <w:sz w:val="20"/>
                <w:szCs w:val="20"/>
                <w:color w:val="auto"/>
              </w:rPr>
            </w:pPr>
            <w:r>
              <w:rPr>
                <w:rFonts w:ascii="Arial" w:cs="Arial" w:eastAsia="Arial" w:hAnsi="Arial"/>
                <w:sz w:val="14"/>
                <w:szCs w:val="14"/>
                <w:color w:val="auto"/>
              </w:rPr>
              <w:t>Guarantor</w:t>
            </w:r>
          </w:p>
        </w:tc>
        <w:tc>
          <w:tcPr>
            <w:tcW w:w="10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Consolidation</w:t>
            </w:r>
          </w:p>
        </w:tc>
        <w:tc>
          <w:tcPr>
            <w:tcW w:w="220" w:type="dxa"/>
            <w:vAlign w:val="bottom"/>
          </w:tcPr>
          <w:p>
            <w:pPr>
              <w:spacing w:after="0"/>
              <w:rPr>
                <w:sz w:val="12"/>
                <w:szCs w:val="12"/>
                <w:color w:val="auto"/>
              </w:rPr>
            </w:pPr>
          </w:p>
        </w:tc>
        <w:tc>
          <w:tcPr>
            <w:tcW w:w="720" w:type="dxa"/>
            <w:vAlign w:val="bottom"/>
          </w:tcPr>
          <w:p>
            <w:pPr>
              <w:jc w:val="right"/>
              <w:ind w:right="133"/>
              <w:spacing w:after="0" w:line="149" w:lineRule="exact"/>
              <w:rPr>
                <w:sz w:val="20"/>
                <w:szCs w:val="20"/>
                <w:color w:val="auto"/>
              </w:rPr>
            </w:pPr>
            <w:r>
              <w:rPr>
                <w:rFonts w:ascii="Arial" w:cs="Arial" w:eastAsia="Arial" w:hAnsi="Arial"/>
                <w:sz w:val="14"/>
                <w:szCs w:val="14"/>
                <w:color w:val="auto"/>
                <w:w w:val="86"/>
              </w:rPr>
              <w:t>Comcast</w:t>
            </w:r>
          </w:p>
        </w:tc>
      </w:tr>
      <w:tr>
        <w:trPr>
          <w:trHeight w:val="173"/>
        </w:trPr>
        <w:tc>
          <w:tcPr>
            <w:tcW w:w="40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2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color w:val="auto"/>
                <w:w w:val="82"/>
              </w:rPr>
              <w:t>Parent</w:t>
            </w:r>
          </w:p>
        </w:tc>
        <w:tc>
          <w:tcPr>
            <w:tcW w:w="70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color w:val="auto"/>
              </w:rPr>
              <w:t>Holdings</w:t>
            </w:r>
          </w:p>
        </w:tc>
        <w:tc>
          <w:tcPr>
            <w:tcW w:w="900" w:type="dxa"/>
            <w:vAlign w:val="bottom"/>
            <w:tcBorders>
              <w:bottom w:val="single" w:sz="8" w:color="auto"/>
            </w:tcBorders>
            <w:gridSpan w:val="2"/>
          </w:tcPr>
          <w:p>
            <w:pPr>
              <w:jc w:val="right"/>
              <w:ind w:right="172"/>
              <w:spacing w:after="0"/>
              <w:rPr>
                <w:sz w:val="20"/>
                <w:szCs w:val="20"/>
                <w:color w:val="auto"/>
              </w:rPr>
            </w:pPr>
            <w:r>
              <w:rPr>
                <w:rFonts w:ascii="Arial" w:cs="Arial" w:eastAsia="Arial" w:hAnsi="Arial"/>
                <w:sz w:val="14"/>
                <w:szCs w:val="14"/>
                <w:color w:val="auto"/>
              </w:rPr>
              <w:t>Parent</w:t>
            </w:r>
          </w:p>
        </w:tc>
        <w:tc>
          <w:tcPr>
            <w:tcW w:w="860" w:type="dxa"/>
            <w:vAlign w:val="bottom"/>
            <w:tcBorders>
              <w:bottom w:val="single" w:sz="8" w:color="auto"/>
            </w:tcBorders>
            <w:gridSpan w:val="2"/>
          </w:tcPr>
          <w:p>
            <w:pPr>
              <w:jc w:val="right"/>
              <w:ind w:right="172"/>
              <w:spacing w:after="0"/>
              <w:rPr>
                <w:sz w:val="20"/>
                <w:szCs w:val="20"/>
                <w:color w:val="auto"/>
              </w:rPr>
            </w:pPr>
            <w:r>
              <w:rPr>
                <w:rFonts w:ascii="Arial" w:cs="Arial" w:eastAsia="Arial" w:hAnsi="Arial"/>
                <w:sz w:val="14"/>
                <w:szCs w:val="14"/>
                <w:color w:val="auto"/>
              </w:rPr>
              <w:t>Parents</w:t>
            </w:r>
          </w:p>
        </w:tc>
        <w:tc>
          <w:tcPr>
            <w:tcW w:w="1120" w:type="dxa"/>
            <w:vAlign w:val="bottom"/>
            <w:tcBorders>
              <w:bottom w:val="single" w:sz="8" w:color="auto"/>
            </w:tcBorders>
            <w:gridSpan w:val="2"/>
          </w:tcPr>
          <w:p>
            <w:pPr>
              <w:jc w:val="right"/>
              <w:ind w:right="132"/>
              <w:spacing w:after="0"/>
              <w:rPr>
                <w:sz w:val="20"/>
                <w:szCs w:val="20"/>
                <w:color w:val="auto"/>
              </w:rPr>
            </w:pPr>
            <w:r>
              <w:rPr>
                <w:rFonts w:ascii="Arial" w:cs="Arial" w:eastAsia="Arial" w:hAnsi="Arial"/>
                <w:sz w:val="14"/>
                <w:szCs w:val="14"/>
                <w:color w:val="auto"/>
              </w:rPr>
              <w:t>Media Parent</w:t>
            </w:r>
          </w:p>
        </w:tc>
        <w:tc>
          <w:tcPr>
            <w:tcW w:w="9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color w:val="auto"/>
              </w:rPr>
              <w:t>Subsidiaries</w:t>
            </w: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88"/>
              </w:rPr>
              <w:t>Adjustments</w:t>
            </w:r>
          </w:p>
        </w:tc>
        <w:tc>
          <w:tcPr>
            <w:tcW w:w="940" w:type="dxa"/>
            <w:vAlign w:val="bottom"/>
            <w:tcBorders>
              <w:bottom w:val="single" w:sz="8" w:color="auto"/>
            </w:tcBorders>
            <w:gridSpan w:val="2"/>
          </w:tcPr>
          <w:p>
            <w:pPr>
              <w:jc w:val="right"/>
              <w:ind w:right="53"/>
              <w:spacing w:after="0"/>
              <w:rPr>
                <w:sz w:val="20"/>
                <w:szCs w:val="20"/>
                <w:color w:val="auto"/>
              </w:rPr>
            </w:pPr>
            <w:r>
              <w:rPr>
                <w:rFonts w:ascii="Arial" w:cs="Arial" w:eastAsia="Arial" w:hAnsi="Arial"/>
                <w:sz w:val="14"/>
                <w:szCs w:val="14"/>
                <w:color w:val="auto"/>
              </w:rPr>
              <w:t>Corporation</w:t>
            </w:r>
          </w:p>
        </w:tc>
      </w:tr>
      <w:tr>
        <w:trPr>
          <w:trHeight w:val="210"/>
        </w:trPr>
        <w:tc>
          <w:tcPr>
            <w:tcW w:w="400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16"/>
        </w:trPr>
        <w:tc>
          <w:tcPr>
            <w:tcW w:w="4000" w:type="dxa"/>
            <w:vAlign w:val="bottom"/>
          </w:tcPr>
          <w:p>
            <w:pPr>
              <w:ind w:left="220"/>
              <w:spacing w:after="0"/>
              <w:rPr>
                <w:sz w:val="20"/>
                <w:szCs w:val="20"/>
                <w:color w:val="auto"/>
              </w:rPr>
            </w:pPr>
            <w:r>
              <w:rPr>
                <w:rFonts w:ascii="Arial" w:cs="Arial" w:eastAsia="Arial" w:hAnsi="Arial"/>
                <w:sz w:val="18"/>
                <w:szCs w:val="18"/>
                <w:color w:val="auto"/>
              </w:rPr>
              <w:t>Service revenue</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73"/>
              <w:spacing w:after="0"/>
              <w:rPr>
                <w:sz w:val="20"/>
                <w:szCs w:val="20"/>
                <w:color w:val="auto"/>
              </w:rPr>
            </w:pPr>
            <w:r>
              <w:rPr>
                <w:rFonts w:ascii="Arial" w:cs="Arial" w:eastAsia="Arial" w:hAnsi="Arial"/>
                <w:sz w:val="18"/>
                <w:szCs w:val="18"/>
                <w:color w:val="auto"/>
                <w:w w:val="94"/>
              </w:rPr>
              <w:t>55,265</w:t>
            </w:r>
          </w:p>
        </w:tc>
        <w:tc>
          <w:tcPr>
            <w:tcW w:w="280" w:type="dxa"/>
            <w:vAlign w:val="bottom"/>
          </w:tcPr>
          <w:p>
            <w:pPr>
              <w:ind w:left="1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55,265</w:t>
            </w:r>
          </w:p>
        </w:tc>
      </w:tr>
      <w:tr>
        <w:trPr>
          <w:trHeight w:val="216"/>
        </w:trPr>
        <w:tc>
          <w:tcPr>
            <w:tcW w:w="400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color w:val="auto"/>
              </w:rPr>
              <w:t>Management fee revenue</w:t>
            </w:r>
          </w:p>
        </w:tc>
        <w:tc>
          <w:tcPr>
            <w:tcW w:w="2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747</w:t>
            </w:r>
          </w:p>
        </w:tc>
        <w:tc>
          <w:tcPr>
            <w:tcW w:w="22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727</w:t>
            </w:r>
          </w:p>
        </w:tc>
        <w:tc>
          <w:tcPr>
            <w:tcW w:w="2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457</w:t>
            </w:r>
          </w:p>
        </w:tc>
        <w:tc>
          <w:tcPr>
            <w:tcW w:w="38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(1,931)</w:t>
            </w:r>
          </w:p>
        </w:tc>
        <w:tc>
          <w:tcPr>
            <w:tcW w:w="2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w:t>
            </w:r>
          </w:p>
        </w:tc>
      </w:tr>
      <w:tr>
        <w:trPr>
          <w:trHeight w:val="210"/>
        </w:trPr>
        <w:tc>
          <w:tcPr>
            <w:tcW w:w="40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747</w:t>
            </w:r>
          </w:p>
        </w:tc>
        <w:tc>
          <w:tcPr>
            <w:tcW w:w="2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727</w:t>
            </w: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457</w:t>
            </w: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w w:val="94"/>
              </w:rPr>
              <w:t>55,265</w:t>
            </w: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(1,931)</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55,265</w:t>
            </w:r>
          </w:p>
        </w:tc>
      </w:tr>
      <w:tr>
        <w:trPr>
          <w:trHeight w:val="210"/>
        </w:trPr>
        <w:tc>
          <w:tcPr>
            <w:tcW w:w="4000" w:type="dxa"/>
            <w:vAlign w:val="bottom"/>
            <w:shd w:val="clear" w:color="auto" w:fill="E5E5E5"/>
          </w:tcPr>
          <w:p>
            <w:pPr>
              <w:spacing w:after="0"/>
              <w:rPr>
                <w:sz w:val="20"/>
                <w:szCs w:val="20"/>
                <w:color w:val="auto"/>
              </w:rPr>
            </w:pPr>
            <w:r>
              <w:rPr>
                <w:rFonts w:ascii="Arial" w:cs="Arial" w:eastAsia="Arial" w:hAnsi="Arial"/>
                <w:sz w:val="18"/>
                <w:szCs w:val="18"/>
                <w:color w:val="auto"/>
              </w:rPr>
              <w:t>Costs and Expenses:</w:t>
            </w: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16"/>
        </w:trPr>
        <w:tc>
          <w:tcPr>
            <w:tcW w:w="4000" w:type="dxa"/>
            <w:vAlign w:val="bottom"/>
          </w:tcPr>
          <w:p>
            <w:pPr>
              <w:ind w:left="220"/>
              <w:spacing w:after="0"/>
              <w:rPr>
                <w:sz w:val="20"/>
                <w:szCs w:val="20"/>
                <w:color w:val="auto"/>
              </w:rPr>
            </w:pPr>
            <w:r>
              <w:rPr>
                <w:rFonts w:ascii="Arial" w:cs="Arial" w:eastAsia="Arial" w:hAnsi="Arial"/>
                <w:sz w:val="18"/>
                <w:szCs w:val="18"/>
                <w:color w:val="auto"/>
              </w:rPr>
              <w:t>Programming and production</w:t>
            </w:r>
          </w:p>
        </w:tc>
        <w:tc>
          <w:tcPr>
            <w:tcW w:w="240" w:type="dxa"/>
            <w:vAlign w:val="bottom"/>
          </w:tcPr>
          <w:p>
            <w:pPr>
              <w:spacing w:after="0"/>
              <w:rPr>
                <w:sz w:val="18"/>
                <w:szCs w:val="18"/>
                <w:color w:val="auto"/>
              </w:rPr>
            </w:pPr>
          </w:p>
        </w:tc>
        <w:tc>
          <w:tcPr>
            <w:tcW w:w="6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73"/>
              <w:spacing w:after="0"/>
              <w:rPr>
                <w:sz w:val="20"/>
                <w:szCs w:val="20"/>
                <w:color w:val="auto"/>
              </w:rPr>
            </w:pPr>
            <w:r>
              <w:rPr>
                <w:rFonts w:ascii="Arial" w:cs="Arial" w:eastAsia="Arial" w:hAnsi="Arial"/>
                <w:sz w:val="18"/>
                <w:szCs w:val="18"/>
                <w:color w:val="auto"/>
                <w:w w:val="94"/>
              </w:rPr>
              <w:t>16,714</w:t>
            </w:r>
          </w:p>
        </w:tc>
        <w:tc>
          <w:tcPr>
            <w:tcW w:w="280" w:type="dxa"/>
            <w:vAlign w:val="bottom"/>
          </w:tcPr>
          <w:p>
            <w:pPr>
              <w:spacing w:after="0"/>
              <w:rPr>
                <w:sz w:val="18"/>
                <w:szCs w:val="18"/>
                <w:color w:val="auto"/>
              </w:rPr>
            </w:pP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16,714</w:t>
            </w:r>
          </w:p>
        </w:tc>
      </w:tr>
      <w:tr>
        <w:trPr>
          <w:trHeight w:val="216"/>
        </w:trPr>
        <w:tc>
          <w:tcPr>
            <w:tcW w:w="4000" w:type="dxa"/>
            <w:vAlign w:val="bottom"/>
            <w:shd w:val="clear" w:color="auto" w:fill="E5E5E5"/>
          </w:tcPr>
          <w:p>
            <w:pPr>
              <w:ind w:left="220"/>
              <w:spacing w:after="0"/>
              <w:rPr>
                <w:sz w:val="20"/>
                <w:szCs w:val="20"/>
                <w:color w:val="auto"/>
              </w:rPr>
            </w:pPr>
            <w:r>
              <w:rPr>
                <w:rFonts w:ascii="Arial" w:cs="Arial" w:eastAsia="Arial" w:hAnsi="Arial"/>
                <w:sz w:val="18"/>
                <w:szCs w:val="18"/>
                <w:color w:val="auto"/>
              </w:rPr>
              <w:t>Other operating and administrative</w:t>
            </w: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597</w:t>
            </w:r>
          </w:p>
        </w:tc>
        <w:tc>
          <w:tcPr>
            <w:tcW w:w="22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727</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457</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727</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w w:val="94"/>
              </w:rPr>
              <w:t>15,176</w:t>
            </w:r>
          </w:p>
        </w:tc>
        <w:tc>
          <w:tcPr>
            <w:tcW w:w="28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(1,931)</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15,753</w:t>
            </w:r>
          </w:p>
        </w:tc>
      </w:tr>
      <w:tr>
        <w:trPr>
          <w:trHeight w:val="216"/>
        </w:trPr>
        <w:tc>
          <w:tcPr>
            <w:tcW w:w="4000" w:type="dxa"/>
            <w:vAlign w:val="bottom"/>
          </w:tcPr>
          <w:p>
            <w:pPr>
              <w:ind w:left="220"/>
              <w:spacing w:after="0"/>
              <w:rPr>
                <w:sz w:val="20"/>
                <w:szCs w:val="20"/>
                <w:color w:val="auto"/>
              </w:rPr>
            </w:pPr>
            <w:r>
              <w:rPr>
                <w:rFonts w:ascii="Arial" w:cs="Arial" w:eastAsia="Arial" w:hAnsi="Arial"/>
                <w:sz w:val="18"/>
                <w:szCs w:val="18"/>
                <w:color w:val="auto"/>
              </w:rPr>
              <w:t>Advertising, marketing and promotion</w:t>
            </w:r>
          </w:p>
        </w:tc>
        <w:tc>
          <w:tcPr>
            <w:tcW w:w="240" w:type="dxa"/>
            <w:vAlign w:val="bottom"/>
          </w:tcPr>
          <w:p>
            <w:pPr>
              <w:spacing w:after="0"/>
              <w:rPr>
                <w:sz w:val="18"/>
                <w:szCs w:val="18"/>
                <w:color w:val="auto"/>
              </w:rPr>
            </w:pPr>
          </w:p>
        </w:tc>
        <w:tc>
          <w:tcPr>
            <w:tcW w:w="6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73"/>
              <w:spacing w:after="0"/>
              <w:rPr>
                <w:sz w:val="20"/>
                <w:szCs w:val="20"/>
                <w:color w:val="auto"/>
              </w:rPr>
            </w:pPr>
            <w:r>
              <w:rPr>
                <w:rFonts w:ascii="Arial" w:cs="Arial" w:eastAsia="Arial" w:hAnsi="Arial"/>
                <w:sz w:val="18"/>
                <w:szCs w:val="18"/>
                <w:color w:val="auto"/>
              </w:rPr>
              <w:t>4,392</w:t>
            </w:r>
          </w:p>
        </w:tc>
        <w:tc>
          <w:tcPr>
            <w:tcW w:w="280" w:type="dxa"/>
            <w:vAlign w:val="bottom"/>
          </w:tcPr>
          <w:p>
            <w:pPr>
              <w:spacing w:after="0"/>
              <w:rPr>
                <w:sz w:val="18"/>
                <w:szCs w:val="18"/>
                <w:color w:val="auto"/>
              </w:rPr>
            </w:pP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4,392</w:t>
            </w:r>
          </w:p>
        </w:tc>
      </w:tr>
      <w:tr>
        <w:trPr>
          <w:trHeight w:val="216"/>
        </w:trPr>
        <w:tc>
          <w:tcPr>
            <w:tcW w:w="4000" w:type="dxa"/>
            <w:vAlign w:val="bottom"/>
            <w:shd w:val="clear" w:color="auto" w:fill="E5E5E5"/>
          </w:tcPr>
          <w:p>
            <w:pPr>
              <w:ind w:left="220"/>
              <w:spacing w:after="0"/>
              <w:rPr>
                <w:sz w:val="20"/>
                <w:szCs w:val="20"/>
                <w:color w:val="auto"/>
              </w:rPr>
            </w:pPr>
            <w:r>
              <w:rPr>
                <w:rFonts w:ascii="Arial" w:cs="Arial" w:eastAsia="Arial" w:hAnsi="Arial"/>
                <w:sz w:val="18"/>
                <w:szCs w:val="18"/>
                <w:color w:val="auto"/>
              </w:rPr>
              <w:t>Depreciation</w:t>
            </w: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23</w:t>
            </w:r>
          </w:p>
        </w:tc>
        <w:tc>
          <w:tcPr>
            <w:tcW w:w="22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4,982</w:t>
            </w:r>
          </w:p>
        </w:tc>
        <w:tc>
          <w:tcPr>
            <w:tcW w:w="28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5,005</w:t>
            </w:r>
          </w:p>
        </w:tc>
      </w:tr>
      <w:tr>
        <w:trPr>
          <w:trHeight w:val="216"/>
        </w:trPr>
        <w:tc>
          <w:tcPr>
            <w:tcW w:w="40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Amortization</w:t>
            </w: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4</w:t>
            </w:r>
          </w:p>
        </w:tc>
        <w:tc>
          <w:tcPr>
            <w:tcW w:w="2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1,401</w:t>
            </w: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1,405</w:t>
            </w:r>
          </w:p>
        </w:tc>
      </w:tr>
      <w:tr>
        <w:trPr>
          <w:trHeight w:val="210"/>
        </w:trPr>
        <w:tc>
          <w:tcPr>
            <w:tcW w:w="4000" w:type="dxa"/>
            <w:vAlign w:val="bottom"/>
            <w:tcBorders>
              <w:bottom w:val="single" w:sz="8" w:color="auto"/>
            </w:tcBorders>
            <w:shd w:val="clear" w:color="auto" w:fill="E5E5E5"/>
          </w:tcPr>
          <w:p>
            <w:pPr>
              <w:spacing w:after="0"/>
              <w:rPr>
                <w:sz w:val="18"/>
                <w:szCs w:val="18"/>
                <w:color w:val="auto"/>
              </w:rPr>
            </w:pPr>
          </w:p>
        </w:tc>
        <w:tc>
          <w:tcPr>
            <w:tcW w:w="2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624</w:t>
            </w:r>
          </w:p>
        </w:tc>
        <w:tc>
          <w:tcPr>
            <w:tcW w:w="22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727</w:t>
            </w:r>
          </w:p>
        </w:tc>
        <w:tc>
          <w:tcPr>
            <w:tcW w:w="2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457</w:t>
            </w:r>
          </w:p>
        </w:tc>
        <w:tc>
          <w:tcPr>
            <w:tcW w:w="38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727</w:t>
            </w:r>
          </w:p>
        </w:tc>
        <w:tc>
          <w:tcPr>
            <w:tcW w:w="2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w w:val="94"/>
              </w:rPr>
              <w:t>42,665</w:t>
            </w:r>
          </w:p>
        </w:tc>
        <w:tc>
          <w:tcPr>
            <w:tcW w:w="28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(1,931)</w:t>
            </w:r>
          </w:p>
        </w:tc>
        <w:tc>
          <w:tcPr>
            <w:tcW w:w="2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43,269</w:t>
            </w:r>
          </w:p>
        </w:tc>
      </w:tr>
      <w:tr>
        <w:trPr>
          <w:trHeight w:val="210"/>
        </w:trPr>
        <w:tc>
          <w:tcPr>
            <w:tcW w:w="4000" w:type="dxa"/>
            <w:vAlign w:val="bottom"/>
          </w:tcPr>
          <w:p>
            <w:pPr>
              <w:spacing w:after="0"/>
              <w:rPr>
                <w:sz w:val="20"/>
                <w:szCs w:val="20"/>
                <w:color w:val="auto"/>
              </w:rPr>
            </w:pPr>
            <w:r>
              <w:rPr>
                <w:rFonts w:ascii="Arial" w:cs="Arial" w:eastAsia="Arial" w:hAnsi="Arial"/>
                <w:sz w:val="18"/>
                <w:szCs w:val="18"/>
                <w:b w:val="1"/>
                <w:bCs w:val="1"/>
                <w:color w:val="auto"/>
              </w:rPr>
              <w:t>Operating income (loss)</w:t>
            </w:r>
          </w:p>
        </w:tc>
        <w:tc>
          <w:tcPr>
            <w:tcW w:w="240" w:type="dxa"/>
            <w:vAlign w:val="bottom"/>
          </w:tcPr>
          <w:p>
            <w:pPr>
              <w:spacing w:after="0"/>
              <w:rPr>
                <w:sz w:val="18"/>
                <w:szCs w:val="18"/>
                <w:color w:val="auto"/>
              </w:rPr>
            </w:pPr>
          </w:p>
        </w:tc>
        <w:tc>
          <w:tcPr>
            <w:tcW w:w="640" w:type="dxa"/>
            <w:vAlign w:val="bottom"/>
          </w:tcPr>
          <w:p>
            <w:pPr>
              <w:jc w:val="right"/>
              <w:ind w:right="93"/>
              <w:spacing w:after="0"/>
              <w:rPr>
                <w:sz w:val="20"/>
                <w:szCs w:val="20"/>
                <w:color w:val="auto"/>
              </w:rPr>
            </w:pPr>
            <w:r>
              <w:rPr>
                <w:rFonts w:ascii="Arial" w:cs="Arial" w:eastAsia="Arial" w:hAnsi="Arial"/>
                <w:sz w:val="18"/>
                <w:szCs w:val="18"/>
                <w:color w:val="auto"/>
              </w:rPr>
              <w:t>123</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(727)</w:t>
            </w:r>
          </w:p>
        </w:tc>
        <w:tc>
          <w:tcPr>
            <w:tcW w:w="240" w:type="dxa"/>
            <w:vAlign w:val="bottom"/>
          </w:tcPr>
          <w:p>
            <w:pPr>
              <w:spacing w:after="0"/>
              <w:rPr>
                <w:sz w:val="18"/>
                <w:szCs w:val="18"/>
                <w:color w:val="auto"/>
              </w:rPr>
            </w:pPr>
          </w:p>
        </w:tc>
        <w:tc>
          <w:tcPr>
            <w:tcW w:w="700" w:type="dxa"/>
            <w:vAlign w:val="bottom"/>
          </w:tcPr>
          <w:p>
            <w:pPr>
              <w:jc w:val="right"/>
              <w:ind w:right="73"/>
              <w:spacing w:after="0"/>
              <w:rPr>
                <w:sz w:val="20"/>
                <w:szCs w:val="20"/>
                <w:color w:val="auto"/>
              </w:rPr>
            </w:pPr>
            <w:r>
              <w:rPr>
                <w:rFonts w:ascii="Arial" w:cs="Arial" w:eastAsia="Arial" w:hAnsi="Arial"/>
                <w:sz w:val="18"/>
                <w:szCs w:val="18"/>
                <w:color w:val="auto"/>
                <w:w w:val="94"/>
              </w:rPr>
              <w:t>12,600</w:t>
            </w:r>
          </w:p>
        </w:tc>
        <w:tc>
          <w:tcPr>
            <w:tcW w:w="280" w:type="dxa"/>
            <w:vAlign w:val="bottom"/>
          </w:tcPr>
          <w:p>
            <w:pPr>
              <w:spacing w:after="0"/>
              <w:rPr>
                <w:sz w:val="18"/>
                <w:szCs w:val="18"/>
                <w:color w:val="auto"/>
              </w:rPr>
            </w:pP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11,996</w:t>
            </w:r>
          </w:p>
        </w:tc>
      </w:tr>
      <w:tr>
        <w:trPr>
          <w:trHeight w:val="216"/>
        </w:trPr>
        <w:tc>
          <w:tcPr>
            <w:tcW w:w="4000" w:type="dxa"/>
            <w:vAlign w:val="bottom"/>
            <w:shd w:val="clear" w:color="auto" w:fill="E5E5E5"/>
          </w:tcPr>
          <w:p>
            <w:pPr>
              <w:spacing w:after="0"/>
              <w:rPr>
                <w:sz w:val="20"/>
                <w:szCs w:val="20"/>
                <w:color w:val="auto"/>
              </w:rPr>
            </w:pPr>
            <w:r>
              <w:rPr>
                <w:rFonts w:ascii="Arial" w:cs="Arial" w:eastAsia="Arial" w:hAnsi="Arial"/>
                <w:sz w:val="18"/>
                <w:szCs w:val="18"/>
                <w:color w:val="auto"/>
              </w:rPr>
              <w:t>Other Income (Expense):</w:t>
            </w: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16"/>
        </w:trPr>
        <w:tc>
          <w:tcPr>
            <w:tcW w:w="400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8"/>
                <w:szCs w:val="18"/>
                <w:color w:val="auto"/>
              </w:rPr>
            </w:pPr>
          </w:p>
        </w:tc>
        <w:tc>
          <w:tcPr>
            <w:tcW w:w="640" w:type="dxa"/>
            <w:vAlign w:val="bottom"/>
          </w:tcPr>
          <w:p>
            <w:pPr>
              <w:jc w:val="right"/>
              <w:ind w:right="33"/>
              <w:spacing w:after="0"/>
              <w:rPr>
                <w:sz w:val="20"/>
                <w:szCs w:val="20"/>
                <w:color w:val="auto"/>
              </w:rPr>
            </w:pPr>
            <w:r>
              <w:rPr>
                <w:rFonts w:ascii="Arial" w:cs="Arial" w:eastAsia="Arial" w:hAnsi="Arial"/>
                <w:sz w:val="18"/>
                <w:szCs w:val="18"/>
                <w:color w:val="auto"/>
                <w:w w:val="87"/>
              </w:rPr>
              <w:t>(1,310)</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w:t>
            </w:r>
          </w:p>
        </w:tc>
        <w:tc>
          <w:tcPr>
            <w:tcW w:w="320" w:type="dxa"/>
            <w:vAlign w:val="bottom"/>
          </w:tcPr>
          <w:p>
            <w:pPr>
              <w:spacing w:after="0"/>
              <w:rPr>
                <w:sz w:val="18"/>
                <w:szCs w:val="18"/>
                <w:color w:val="auto"/>
              </w:rPr>
            </w:pPr>
          </w:p>
        </w:tc>
        <w:tc>
          <w:tcPr>
            <w:tcW w:w="580" w:type="dxa"/>
            <w:vAlign w:val="bottom"/>
          </w:tcPr>
          <w:p>
            <w:pPr>
              <w:jc w:val="right"/>
              <w:ind w:right="32"/>
              <w:spacing w:after="0"/>
              <w:rPr>
                <w:sz w:val="20"/>
                <w:szCs w:val="20"/>
                <w:color w:val="auto"/>
              </w:rPr>
            </w:pPr>
            <w:r>
              <w:rPr>
                <w:rFonts w:ascii="Arial" w:cs="Arial" w:eastAsia="Arial" w:hAnsi="Arial"/>
                <w:sz w:val="18"/>
                <w:szCs w:val="18"/>
                <w:color w:val="auto"/>
              </w:rPr>
              <w:t>(131)</w:t>
            </w:r>
          </w:p>
        </w:tc>
        <w:tc>
          <w:tcPr>
            <w:tcW w:w="240" w:type="dxa"/>
            <w:vAlign w:val="bottom"/>
          </w:tcPr>
          <w:p>
            <w:pPr>
              <w:spacing w:after="0"/>
              <w:rPr>
                <w:sz w:val="18"/>
                <w:szCs w:val="18"/>
                <w:color w:val="auto"/>
              </w:rPr>
            </w:pPr>
          </w:p>
        </w:tc>
        <w:tc>
          <w:tcPr>
            <w:tcW w:w="620" w:type="dxa"/>
            <w:vAlign w:val="bottom"/>
          </w:tcPr>
          <w:p>
            <w:pPr>
              <w:jc w:val="right"/>
              <w:ind w:right="32"/>
              <w:spacing w:after="0"/>
              <w:rPr>
                <w:sz w:val="20"/>
                <w:szCs w:val="20"/>
                <w:color w:val="auto"/>
              </w:rPr>
            </w:pPr>
            <w:r>
              <w:rPr>
                <w:rFonts w:ascii="Arial" w:cs="Arial" w:eastAsia="Arial" w:hAnsi="Arial"/>
                <w:sz w:val="18"/>
                <w:szCs w:val="18"/>
                <w:color w:val="auto"/>
              </w:rPr>
              <w:t>(80)</w:t>
            </w:r>
          </w:p>
        </w:tc>
        <w:tc>
          <w:tcPr>
            <w:tcW w:w="380" w:type="dxa"/>
            <w:vAlign w:val="bottom"/>
          </w:tcPr>
          <w:p>
            <w:pPr>
              <w:spacing w:after="0"/>
              <w:rPr>
                <w:sz w:val="18"/>
                <w:szCs w:val="18"/>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(347)</w:t>
            </w:r>
          </w:p>
        </w:tc>
        <w:tc>
          <w:tcPr>
            <w:tcW w:w="24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(151)</w:t>
            </w:r>
          </w:p>
        </w:tc>
        <w:tc>
          <w:tcPr>
            <w:tcW w:w="280" w:type="dxa"/>
            <w:vAlign w:val="bottom"/>
          </w:tcPr>
          <w:p>
            <w:pPr>
              <w:spacing w:after="0"/>
              <w:rPr>
                <w:sz w:val="18"/>
                <w:szCs w:val="18"/>
                <w:color w:val="auto"/>
              </w:rPr>
            </w:pP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(2,028)</w:t>
            </w:r>
          </w:p>
        </w:tc>
      </w:tr>
      <w:tr>
        <w:trPr>
          <w:trHeight w:val="216"/>
        </w:trPr>
        <w:tc>
          <w:tcPr>
            <w:tcW w:w="4000" w:type="dxa"/>
            <w:vAlign w:val="bottom"/>
            <w:shd w:val="clear" w:color="auto" w:fill="E5E5E5"/>
          </w:tcPr>
          <w:p>
            <w:pPr>
              <w:ind w:left="220"/>
              <w:spacing w:after="0"/>
              <w:rPr>
                <w:sz w:val="20"/>
                <w:szCs w:val="20"/>
                <w:color w:val="auto"/>
              </w:rPr>
            </w:pPr>
            <w:r>
              <w:rPr>
                <w:rFonts w:ascii="Arial" w:cs="Arial" w:eastAsia="Arial" w:hAnsi="Arial"/>
                <w:sz w:val="18"/>
                <w:szCs w:val="18"/>
                <w:color w:val="auto"/>
              </w:rPr>
              <w:t>Investment income (loss), net</w:t>
            </w: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4</w:t>
            </w:r>
          </w:p>
        </w:tc>
        <w:tc>
          <w:tcPr>
            <w:tcW w:w="22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w:t>
            </w: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(17)</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40</w:t>
            </w:r>
          </w:p>
        </w:tc>
        <w:tc>
          <w:tcPr>
            <w:tcW w:w="28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24</w:t>
            </w:r>
          </w:p>
        </w:tc>
      </w:tr>
      <w:tr>
        <w:trPr>
          <w:trHeight w:val="216"/>
        </w:trPr>
        <w:tc>
          <w:tcPr>
            <w:tcW w:w="4000" w:type="dxa"/>
            <w:vAlign w:val="bottom"/>
          </w:tcPr>
          <w:p>
            <w:pPr>
              <w:ind w:left="220"/>
              <w:spacing w:after="0"/>
              <w:rPr>
                <w:sz w:val="20"/>
                <w:szCs w:val="20"/>
                <w:color w:val="auto"/>
              </w:rPr>
            </w:pPr>
            <w:r>
              <w:rPr>
                <w:rFonts w:ascii="Arial" w:cs="Arial" w:eastAsia="Arial" w:hAnsi="Arial"/>
                <w:sz w:val="18"/>
                <w:szCs w:val="18"/>
                <w:color w:val="auto"/>
              </w:rPr>
              <w:t>Equity in net income (losses) of investees, net</w:t>
            </w:r>
          </w:p>
        </w:tc>
        <w:tc>
          <w:tcPr>
            <w:tcW w:w="240" w:type="dxa"/>
            <w:vAlign w:val="bottom"/>
          </w:tcPr>
          <w:p>
            <w:pPr>
              <w:spacing w:after="0"/>
              <w:rPr>
                <w:sz w:val="18"/>
                <w:szCs w:val="18"/>
                <w:color w:val="auto"/>
              </w:rPr>
            </w:pPr>
          </w:p>
        </w:tc>
        <w:tc>
          <w:tcPr>
            <w:tcW w:w="640" w:type="dxa"/>
            <w:vAlign w:val="bottom"/>
          </w:tcPr>
          <w:p>
            <w:pPr>
              <w:jc w:val="right"/>
              <w:ind w:right="93"/>
              <w:spacing w:after="0"/>
              <w:rPr>
                <w:sz w:val="20"/>
                <w:szCs w:val="20"/>
                <w:color w:val="auto"/>
              </w:rPr>
            </w:pPr>
            <w:r>
              <w:rPr>
                <w:rFonts w:ascii="Arial" w:cs="Arial" w:eastAsia="Arial" w:hAnsi="Arial"/>
                <w:sz w:val="18"/>
                <w:szCs w:val="18"/>
                <w:color w:val="auto"/>
                <w:w w:val="97"/>
              </w:rPr>
              <w:t>6,963</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4"/>
              </w:rPr>
              <w:t>6,511</w:t>
            </w:r>
          </w:p>
        </w:tc>
        <w:tc>
          <w:tcPr>
            <w:tcW w:w="32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w w:val="84"/>
              </w:rPr>
              <w:t>5,937</w:t>
            </w:r>
          </w:p>
        </w:tc>
        <w:tc>
          <w:tcPr>
            <w:tcW w:w="240" w:type="dxa"/>
            <w:vAlign w:val="bottom"/>
          </w:tcPr>
          <w:p>
            <w:pPr>
              <w:spacing w:after="0"/>
              <w:rPr>
                <w:sz w:val="18"/>
                <w:szCs w:val="18"/>
                <w:color w:val="auto"/>
              </w:rPr>
            </w:pPr>
          </w:p>
        </w:tc>
        <w:tc>
          <w:tcPr>
            <w:tcW w:w="620" w:type="dxa"/>
            <w:vAlign w:val="bottom"/>
          </w:tcPr>
          <w:p>
            <w:pPr>
              <w:jc w:val="right"/>
              <w:ind w:right="92"/>
              <w:spacing w:after="0"/>
              <w:rPr>
                <w:sz w:val="20"/>
                <w:szCs w:val="20"/>
                <w:color w:val="auto"/>
              </w:rPr>
            </w:pPr>
            <w:r>
              <w:rPr>
                <w:rFonts w:ascii="Arial" w:cs="Arial" w:eastAsia="Arial" w:hAnsi="Arial"/>
                <w:sz w:val="18"/>
                <w:szCs w:val="18"/>
                <w:color w:val="auto"/>
                <w:w w:val="93"/>
              </w:rPr>
              <w:t>5,060</w:t>
            </w:r>
          </w:p>
        </w:tc>
        <w:tc>
          <w:tcPr>
            <w:tcW w:w="380" w:type="dxa"/>
            <w:vAlign w:val="bottom"/>
          </w:tcPr>
          <w:p>
            <w:pPr>
              <w:spacing w:after="0"/>
              <w:rPr>
                <w:sz w:val="18"/>
                <w:szCs w:val="18"/>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3,801</w:t>
            </w:r>
          </w:p>
        </w:tc>
        <w:tc>
          <w:tcPr>
            <w:tcW w:w="240" w:type="dxa"/>
            <w:vAlign w:val="bottom"/>
          </w:tcPr>
          <w:p>
            <w:pPr>
              <w:spacing w:after="0"/>
              <w:rPr>
                <w:sz w:val="18"/>
                <w:szCs w:val="18"/>
                <w:color w:val="auto"/>
              </w:rPr>
            </w:pPr>
          </w:p>
        </w:tc>
        <w:tc>
          <w:tcPr>
            <w:tcW w:w="700" w:type="dxa"/>
            <w:vAlign w:val="bottom"/>
          </w:tcPr>
          <w:p>
            <w:pPr>
              <w:jc w:val="right"/>
              <w:ind w:right="73"/>
              <w:spacing w:after="0"/>
              <w:rPr>
                <w:sz w:val="20"/>
                <w:szCs w:val="20"/>
                <w:color w:val="auto"/>
              </w:rPr>
            </w:pPr>
            <w:r>
              <w:rPr>
                <w:rFonts w:ascii="Arial" w:cs="Arial" w:eastAsia="Arial" w:hAnsi="Arial"/>
                <w:sz w:val="18"/>
                <w:szCs w:val="18"/>
                <w:color w:val="auto"/>
              </w:rPr>
              <w:t>2,489</w:t>
            </w:r>
          </w:p>
        </w:tc>
        <w:tc>
          <w:tcPr>
            <w:tcW w:w="280" w:type="dxa"/>
            <w:vAlign w:val="bottom"/>
          </w:tcPr>
          <w:p>
            <w:pPr>
              <w:spacing w:after="0"/>
              <w:rPr>
                <w:sz w:val="18"/>
                <w:szCs w:val="18"/>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w w:val="98"/>
              </w:rPr>
              <w:t>(30,963)</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(202)</w:t>
            </w:r>
          </w:p>
        </w:tc>
      </w:tr>
      <w:tr>
        <w:trPr>
          <w:trHeight w:val="216"/>
        </w:trPr>
        <w:tc>
          <w:tcPr>
            <w:tcW w:w="400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color w:val="auto"/>
              </w:rPr>
              <w:t>Other income (expense), net</w:t>
            </w:r>
          </w:p>
        </w:tc>
        <w:tc>
          <w:tcPr>
            <w:tcW w:w="2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(3)</w:t>
            </w:r>
          </w:p>
        </w:tc>
        <w:tc>
          <w:tcPr>
            <w:tcW w:w="22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color w:val="auto"/>
              </w:rPr>
              <w:t>(2)</w:t>
            </w:r>
          </w:p>
        </w:tc>
        <w:tc>
          <w:tcPr>
            <w:tcW w:w="2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369</w:t>
            </w:r>
          </w:p>
        </w:tc>
        <w:tc>
          <w:tcPr>
            <w:tcW w:w="28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364</w:t>
            </w:r>
          </w:p>
        </w:tc>
      </w:tr>
      <w:tr>
        <w:trPr>
          <w:trHeight w:val="210"/>
        </w:trPr>
        <w:tc>
          <w:tcPr>
            <w:tcW w:w="40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w w:val="97"/>
              </w:rPr>
              <w:t>5,654</w:t>
            </w:r>
          </w:p>
        </w:tc>
        <w:tc>
          <w:tcPr>
            <w:tcW w:w="2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6,499</w:t>
            </w:r>
          </w:p>
        </w:tc>
        <w:tc>
          <w:tcPr>
            <w:tcW w:w="3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84"/>
              </w:rPr>
              <w:t>5,806</w:t>
            </w: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3"/>
              </w:rPr>
              <w:t>4,980</w:t>
            </w: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3,435</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2,747</w:t>
            </w: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w w:val="98"/>
              </w:rPr>
              <w:t>(30,963)</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(1,842)</w:t>
            </w:r>
          </w:p>
        </w:tc>
      </w:tr>
      <w:tr>
        <w:trPr>
          <w:trHeight w:val="210"/>
        </w:trPr>
        <w:tc>
          <w:tcPr>
            <w:tcW w:w="4000" w:type="dxa"/>
            <w:vAlign w:val="bottom"/>
            <w:shd w:val="clear" w:color="auto" w:fill="E5E5E5"/>
          </w:tcPr>
          <w:p>
            <w:pPr>
              <w:spacing w:after="0"/>
              <w:rPr>
                <w:sz w:val="20"/>
                <w:szCs w:val="20"/>
                <w:color w:val="auto"/>
              </w:rPr>
            </w:pPr>
            <w:r>
              <w:rPr>
                <w:rFonts w:ascii="Arial" w:cs="Arial" w:eastAsia="Arial" w:hAnsi="Arial"/>
                <w:sz w:val="18"/>
                <w:szCs w:val="18"/>
                <w:color w:val="auto"/>
              </w:rPr>
              <w:t>Income (loss) before income taxes</w:t>
            </w: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w w:val="97"/>
              </w:rPr>
              <w:t>5,777</w:t>
            </w:r>
          </w:p>
        </w:tc>
        <w:tc>
          <w:tcPr>
            <w:tcW w:w="22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w w:val="84"/>
              </w:rPr>
              <w:t>6,499</w:t>
            </w: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84"/>
              </w:rPr>
              <w:t>5,806</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93"/>
              </w:rPr>
              <w:t>4,980</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2,708</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w w:val="94"/>
              </w:rPr>
              <w:t>15,347</w:t>
            </w:r>
          </w:p>
        </w:tc>
        <w:tc>
          <w:tcPr>
            <w:tcW w:w="28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w w:val="98"/>
              </w:rPr>
              <w:t>(30,963)</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10,154</w:t>
            </w:r>
          </w:p>
        </w:tc>
      </w:tr>
      <w:tr>
        <w:trPr>
          <w:trHeight w:val="216"/>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tax (expense) benefit</w:t>
            </w: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415</w:t>
            </w:r>
          </w:p>
        </w:tc>
        <w:tc>
          <w:tcPr>
            <w:tcW w:w="2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3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46</w:t>
            </w: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28</w:t>
            </w: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(17)</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(4,273)</w:t>
            </w: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(3,797)</w:t>
            </w:r>
          </w:p>
        </w:tc>
      </w:tr>
      <w:tr>
        <w:trPr>
          <w:trHeight w:val="210"/>
        </w:trPr>
        <w:tc>
          <w:tcPr>
            <w:tcW w:w="4000" w:type="dxa"/>
            <w:vAlign w:val="bottom"/>
            <w:shd w:val="clear" w:color="auto" w:fill="E5E5E5"/>
          </w:tcPr>
          <w:p>
            <w:pPr>
              <w:spacing w:after="0"/>
              <w:rPr>
                <w:sz w:val="20"/>
                <w:szCs w:val="20"/>
                <w:color w:val="auto"/>
              </w:rPr>
            </w:pPr>
            <w:r>
              <w:rPr>
                <w:rFonts w:ascii="Arial" w:cs="Arial" w:eastAsia="Arial" w:hAnsi="Arial"/>
                <w:sz w:val="18"/>
                <w:szCs w:val="18"/>
                <w:color w:val="auto"/>
              </w:rPr>
              <w:t>Net income (loss)</w:t>
            </w: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w w:val="97"/>
              </w:rPr>
              <w:t>6,192</w:t>
            </w:r>
          </w:p>
        </w:tc>
        <w:tc>
          <w:tcPr>
            <w:tcW w:w="22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w w:val="84"/>
              </w:rPr>
              <w:t>6,503</w:t>
            </w: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84"/>
              </w:rPr>
              <w:t>5,852</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93"/>
              </w:rPr>
              <w:t>5,008</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2,691</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w w:val="94"/>
              </w:rPr>
              <w:t>11,074</w:t>
            </w:r>
          </w:p>
        </w:tc>
        <w:tc>
          <w:tcPr>
            <w:tcW w:w="28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w w:val="98"/>
              </w:rPr>
              <w:t>(30,963)</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6,357</w:t>
            </w:r>
          </w:p>
        </w:tc>
      </w:tr>
      <w:tr>
        <w:trPr>
          <w:trHeight w:val="208"/>
        </w:trPr>
        <w:tc>
          <w:tcPr>
            <w:tcW w:w="4000" w:type="dxa"/>
            <w:vAlign w:val="bottom"/>
          </w:tcPr>
          <w:p>
            <w:pPr>
              <w:spacing w:after="0"/>
              <w:rPr>
                <w:sz w:val="20"/>
                <w:szCs w:val="20"/>
                <w:color w:val="auto"/>
              </w:rPr>
            </w:pPr>
            <w:r>
              <w:rPr>
                <w:rFonts w:ascii="Arial" w:cs="Arial" w:eastAsia="Arial" w:hAnsi="Arial"/>
                <w:sz w:val="18"/>
                <w:szCs w:val="18"/>
                <w:color w:val="auto"/>
              </w:rPr>
              <w:t>Net (income) loss attributable to noncontrolling</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22"/>
        </w:trPr>
        <w:tc>
          <w:tcPr>
            <w:tcW w:w="40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w w:val="90"/>
              </w:rPr>
              <w:t>interests and redeemable subsidiary preferred stock</w:t>
            </w: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(165)</w:t>
            </w: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r>
      <w:tr>
        <w:trPr>
          <w:trHeight w:val="197"/>
        </w:trPr>
        <w:tc>
          <w:tcPr>
            <w:tcW w:w="4000" w:type="dxa"/>
            <w:vAlign w:val="bottom"/>
            <w:shd w:val="clear" w:color="auto" w:fill="E5E5E5"/>
          </w:tcPr>
          <w:p>
            <w:pPr>
              <w:spacing w:after="0" w:line="197" w:lineRule="exact"/>
              <w:rPr>
                <w:sz w:val="20"/>
                <w:szCs w:val="20"/>
                <w:color w:val="auto"/>
              </w:rPr>
            </w:pPr>
            <w:r>
              <w:rPr>
                <w:rFonts w:ascii="Arial" w:cs="Arial" w:eastAsia="Arial" w:hAnsi="Arial"/>
                <w:sz w:val="18"/>
                <w:szCs w:val="18"/>
                <w:b w:val="1"/>
                <w:bCs w:val="1"/>
                <w:color w:val="auto"/>
              </w:rPr>
              <w:t>Net income (loss) attributable to Comcast</w:t>
            </w:r>
          </w:p>
        </w:tc>
        <w:tc>
          <w:tcPr>
            <w:tcW w:w="240" w:type="dxa"/>
            <w:vAlign w:val="bottom"/>
            <w:shd w:val="clear" w:color="auto" w:fill="E5E5E5"/>
          </w:tcPr>
          <w:p>
            <w:pPr>
              <w:spacing w:after="0"/>
              <w:rPr>
                <w:sz w:val="17"/>
                <w:szCs w:val="17"/>
                <w:color w:val="auto"/>
              </w:rPr>
            </w:pPr>
          </w:p>
        </w:tc>
        <w:tc>
          <w:tcPr>
            <w:tcW w:w="64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48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58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620" w:type="dxa"/>
            <w:vAlign w:val="bottom"/>
            <w:shd w:val="clear" w:color="auto" w:fill="E5E5E5"/>
          </w:tcPr>
          <w:p>
            <w:pPr>
              <w:spacing w:after="0"/>
              <w:rPr>
                <w:sz w:val="17"/>
                <w:szCs w:val="17"/>
                <w:color w:val="auto"/>
              </w:rPr>
            </w:pPr>
          </w:p>
        </w:tc>
        <w:tc>
          <w:tcPr>
            <w:tcW w:w="380" w:type="dxa"/>
            <w:vAlign w:val="bottom"/>
            <w:shd w:val="clear" w:color="auto" w:fill="E5E5E5"/>
          </w:tcPr>
          <w:p>
            <w:pPr>
              <w:spacing w:after="0"/>
              <w:rPr>
                <w:sz w:val="17"/>
                <w:szCs w:val="17"/>
                <w:color w:val="auto"/>
              </w:rPr>
            </w:pPr>
          </w:p>
        </w:tc>
        <w:tc>
          <w:tcPr>
            <w:tcW w:w="74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70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80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720" w:type="dxa"/>
            <w:vAlign w:val="bottom"/>
            <w:shd w:val="clear" w:color="auto" w:fill="E5E5E5"/>
          </w:tcPr>
          <w:p>
            <w:pPr>
              <w:spacing w:after="0"/>
              <w:rPr>
                <w:sz w:val="17"/>
                <w:szCs w:val="17"/>
                <w:color w:val="auto"/>
              </w:rPr>
            </w:pPr>
          </w:p>
        </w:tc>
      </w:tr>
      <w:tr>
        <w:trPr>
          <w:trHeight w:val="237"/>
        </w:trPr>
        <w:tc>
          <w:tcPr>
            <w:tcW w:w="400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b w:val="1"/>
                <w:bCs w:val="1"/>
                <w:color w:val="auto"/>
              </w:rPr>
              <w:t>Corporation</w:t>
            </w:r>
          </w:p>
        </w:tc>
        <w:tc>
          <w:tcPr>
            <w:tcW w:w="2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b w:val="1"/>
                <w:bCs w:val="1"/>
                <w:color w:val="auto"/>
                <w:w w:val="97"/>
              </w:rPr>
              <w:t>6,192</w:t>
            </w:r>
          </w:p>
        </w:tc>
        <w:tc>
          <w:tcPr>
            <w:tcW w:w="22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w w:val="84"/>
              </w:rPr>
              <w:t>6,503</w:t>
            </w:r>
          </w:p>
        </w:tc>
        <w:tc>
          <w:tcPr>
            <w:tcW w:w="3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b w:val="1"/>
                <w:bCs w:val="1"/>
                <w:color w:val="auto"/>
                <w:w w:val="84"/>
              </w:rPr>
              <w:t>5,852</w:t>
            </w:r>
          </w:p>
        </w:tc>
        <w:tc>
          <w:tcPr>
            <w:tcW w:w="24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b w:val="1"/>
                <w:bCs w:val="1"/>
                <w:color w:val="auto"/>
                <w:w w:val="93"/>
              </w:rPr>
              <w:t>5,008</w:t>
            </w:r>
          </w:p>
        </w:tc>
        <w:tc>
          <w:tcPr>
            <w:tcW w:w="38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b w:val="1"/>
                <w:bCs w:val="1"/>
                <w:color w:val="auto"/>
              </w:rPr>
              <w:t>2,691</w:t>
            </w:r>
          </w:p>
        </w:tc>
        <w:tc>
          <w:tcPr>
            <w:tcW w:w="24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b w:val="1"/>
                <w:bCs w:val="1"/>
                <w:color w:val="auto"/>
                <w:w w:val="94"/>
              </w:rPr>
              <w:t>10,909</w:t>
            </w:r>
          </w:p>
        </w:tc>
        <w:tc>
          <w:tcPr>
            <w:tcW w:w="28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b w:val="1"/>
                <w:bCs w:val="1"/>
                <w:color w:val="auto"/>
                <w:w w:val="98"/>
              </w:rPr>
              <w:t>(30,963)</w:t>
            </w:r>
          </w:p>
        </w:tc>
        <w:tc>
          <w:tcPr>
            <w:tcW w:w="22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rPr>
              <w:t>6,192</w:t>
            </w:r>
          </w:p>
        </w:tc>
      </w:tr>
      <w:tr>
        <w:trPr>
          <w:trHeight w:val="202"/>
        </w:trPr>
        <w:tc>
          <w:tcPr>
            <w:tcW w:w="4000" w:type="dxa"/>
            <w:vAlign w:val="bottom"/>
          </w:tcPr>
          <w:p>
            <w:pPr>
              <w:spacing w:after="0" w:line="201" w:lineRule="exact"/>
              <w:rPr>
                <w:sz w:val="20"/>
                <w:szCs w:val="20"/>
                <w:color w:val="auto"/>
              </w:rPr>
            </w:pPr>
            <w:r>
              <w:rPr>
                <w:rFonts w:ascii="Arial" w:cs="Arial" w:eastAsia="Arial" w:hAnsi="Arial"/>
                <w:sz w:val="18"/>
                <w:szCs w:val="18"/>
                <w:b w:val="1"/>
                <w:bCs w:val="1"/>
                <w:color w:val="auto"/>
              </w:rPr>
              <w:t>Comprehensive income (loss) attributable to</w:t>
            </w: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37"/>
        </w:trPr>
        <w:tc>
          <w:tcPr>
            <w:tcW w:w="400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Comcast Corporation</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b w:val="1"/>
                <w:bCs w:val="1"/>
                <w:color w:val="auto"/>
                <w:w w:val="97"/>
              </w:rPr>
              <w:t>6,143</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6,489</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84"/>
              </w:rPr>
              <w:t>5,852</w:t>
            </w:r>
          </w:p>
        </w:tc>
        <w:tc>
          <w:tcPr>
            <w:tcW w:w="2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93"/>
              </w:rPr>
              <w:t>5,007</w:t>
            </w:r>
          </w:p>
        </w:tc>
        <w:tc>
          <w:tcPr>
            <w:tcW w:w="3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2,639</w:t>
            </w:r>
          </w:p>
        </w:tc>
        <w:tc>
          <w:tcPr>
            <w:tcW w:w="2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w w:val="94"/>
              </w:rPr>
              <w:t>10,908</w:t>
            </w:r>
          </w:p>
        </w:tc>
        <w:tc>
          <w:tcPr>
            <w:tcW w:w="2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w w:val="98"/>
              </w:rPr>
              <w:t>(30,895)</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6,143</w:t>
            </w:r>
          </w:p>
        </w:tc>
      </w:tr>
      <w:tr>
        <w:trPr>
          <w:trHeight w:val="363"/>
        </w:trPr>
        <w:tc>
          <w:tcPr>
            <w:tcW w:w="4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21</w:t>
            </w: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67"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Condensed Consolidating Statement of Income</w:t>
      </w:r>
    </w:p>
    <w:p>
      <w:pPr>
        <w:spacing w:after="0" w:line="18"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For the Nine Months Ended September 30, 2014</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color w:val="auto"/>
                <w:w w:val="93"/>
              </w:rPr>
              <w:t>Elimination</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49"/>
        </w:trPr>
        <w:tc>
          <w:tcPr>
            <w:tcW w:w="4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6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Combined</w:t>
            </w: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jc w:val="right"/>
              <w:ind w:right="273"/>
              <w:spacing w:after="0" w:line="149" w:lineRule="exact"/>
              <w:rPr>
                <w:sz w:val="20"/>
                <w:szCs w:val="20"/>
                <w:color w:val="auto"/>
              </w:rPr>
            </w:pPr>
            <w:r>
              <w:rPr>
                <w:rFonts w:ascii="Arial" w:cs="Arial" w:eastAsia="Arial" w:hAnsi="Arial"/>
                <w:sz w:val="14"/>
                <w:szCs w:val="14"/>
                <w:color w:val="auto"/>
              </w:rPr>
              <w:t>Non-</w:t>
            </w:r>
          </w:p>
        </w:tc>
        <w:tc>
          <w:tcPr>
            <w:tcW w:w="280" w:type="dxa"/>
            <w:vAlign w:val="bottom"/>
          </w:tcPr>
          <w:p>
            <w:pPr>
              <w:spacing w:after="0"/>
              <w:rPr>
                <w:sz w:val="12"/>
                <w:szCs w:val="12"/>
                <w:color w:val="auto"/>
              </w:rPr>
            </w:pPr>
          </w:p>
        </w:tc>
        <w:tc>
          <w:tcPr>
            <w:tcW w:w="800" w:type="dxa"/>
            <w:vAlign w:val="bottom"/>
          </w:tcPr>
          <w:p>
            <w:pPr>
              <w:jc w:val="center"/>
              <w:ind w:right="233"/>
              <w:spacing w:after="0" w:line="149" w:lineRule="exact"/>
              <w:rPr>
                <w:sz w:val="20"/>
                <w:szCs w:val="20"/>
                <w:color w:val="auto"/>
              </w:rPr>
            </w:pPr>
            <w:r>
              <w:rPr>
                <w:rFonts w:ascii="Arial" w:cs="Arial" w:eastAsia="Arial" w:hAnsi="Arial"/>
                <w:sz w:val="14"/>
                <w:szCs w:val="14"/>
                <w:color w:val="auto"/>
                <w:w w:val="85"/>
              </w:rPr>
              <w:t>and</w:t>
            </w:r>
          </w:p>
        </w:tc>
        <w:tc>
          <w:tcPr>
            <w:tcW w:w="94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97"/>
              </w:rPr>
              <w:t>Consolidated</w:t>
            </w:r>
          </w:p>
        </w:tc>
      </w:tr>
      <w:tr>
        <w:trPr>
          <w:trHeight w:val="149"/>
        </w:trPr>
        <w:tc>
          <w:tcPr>
            <w:tcW w:w="4000" w:type="dxa"/>
            <w:vAlign w:val="bottom"/>
          </w:tcPr>
          <w:p>
            <w:pPr>
              <w:spacing w:after="0"/>
              <w:rPr>
                <w:sz w:val="12"/>
                <w:szCs w:val="12"/>
                <w:color w:val="auto"/>
              </w:rPr>
            </w:pPr>
          </w:p>
        </w:tc>
        <w:tc>
          <w:tcPr>
            <w:tcW w:w="880" w:type="dxa"/>
            <w:vAlign w:val="bottom"/>
            <w:gridSpan w:val="2"/>
          </w:tcPr>
          <w:p>
            <w:pPr>
              <w:jc w:val="right"/>
              <w:ind w:right="133"/>
              <w:spacing w:after="0" w:line="149" w:lineRule="exact"/>
              <w:rPr>
                <w:sz w:val="20"/>
                <w:szCs w:val="20"/>
                <w:color w:val="auto"/>
              </w:rPr>
            </w:pPr>
            <w:r>
              <w:rPr>
                <w:rFonts w:ascii="Arial" w:cs="Arial" w:eastAsia="Arial" w:hAnsi="Arial"/>
                <w:sz w:val="14"/>
                <w:szCs w:val="14"/>
                <w:color w:val="auto"/>
              </w:rPr>
              <w:t>Comcast</w:t>
            </w:r>
          </w:p>
        </w:tc>
        <w:tc>
          <w:tcPr>
            <w:tcW w:w="700" w:type="dxa"/>
            <w:vAlign w:val="bottom"/>
            <w:gridSpan w:val="2"/>
          </w:tcPr>
          <w:p>
            <w:pPr>
              <w:ind w:left="140"/>
              <w:spacing w:after="0" w:line="149" w:lineRule="exact"/>
              <w:rPr>
                <w:sz w:val="20"/>
                <w:szCs w:val="20"/>
                <w:color w:val="auto"/>
              </w:rPr>
            </w:pPr>
            <w:r>
              <w:rPr>
                <w:rFonts w:ascii="Arial" w:cs="Arial" w:eastAsia="Arial" w:hAnsi="Arial"/>
                <w:sz w:val="14"/>
                <w:szCs w:val="14"/>
                <w:color w:val="auto"/>
                <w:w w:val="97"/>
              </w:rPr>
              <w:t>Comcast</w:t>
            </w:r>
          </w:p>
        </w:tc>
        <w:tc>
          <w:tcPr>
            <w:tcW w:w="900" w:type="dxa"/>
            <w:vAlign w:val="bottom"/>
            <w:gridSpan w:val="2"/>
          </w:tcPr>
          <w:p>
            <w:pPr>
              <w:jc w:val="right"/>
              <w:ind w:right="172"/>
              <w:spacing w:after="0" w:line="149" w:lineRule="exact"/>
              <w:rPr>
                <w:sz w:val="20"/>
                <w:szCs w:val="20"/>
                <w:color w:val="auto"/>
              </w:rPr>
            </w:pPr>
            <w:r>
              <w:rPr>
                <w:rFonts w:ascii="Arial" w:cs="Arial" w:eastAsia="Arial" w:hAnsi="Arial"/>
                <w:sz w:val="14"/>
                <w:szCs w:val="14"/>
                <w:color w:val="auto"/>
              </w:rPr>
              <w:t>CCCL</w:t>
            </w:r>
          </w:p>
        </w:tc>
        <w:tc>
          <w:tcPr>
            <w:tcW w:w="86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CCHMO</w:t>
            </w:r>
          </w:p>
        </w:tc>
        <w:tc>
          <w:tcPr>
            <w:tcW w:w="11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NBCUniversal</w:t>
            </w:r>
          </w:p>
        </w:tc>
        <w:tc>
          <w:tcPr>
            <w:tcW w:w="940" w:type="dxa"/>
            <w:vAlign w:val="bottom"/>
            <w:gridSpan w:val="2"/>
          </w:tcPr>
          <w:p>
            <w:pPr>
              <w:jc w:val="right"/>
              <w:ind w:right="133"/>
              <w:spacing w:after="0" w:line="149" w:lineRule="exact"/>
              <w:rPr>
                <w:sz w:val="20"/>
                <w:szCs w:val="20"/>
                <w:color w:val="auto"/>
              </w:rPr>
            </w:pPr>
            <w:r>
              <w:rPr>
                <w:rFonts w:ascii="Arial" w:cs="Arial" w:eastAsia="Arial" w:hAnsi="Arial"/>
                <w:sz w:val="14"/>
                <w:szCs w:val="14"/>
                <w:color w:val="auto"/>
              </w:rPr>
              <w:t>Guarantor</w:t>
            </w:r>
          </w:p>
        </w:tc>
        <w:tc>
          <w:tcPr>
            <w:tcW w:w="10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Consolidation</w:t>
            </w:r>
          </w:p>
        </w:tc>
        <w:tc>
          <w:tcPr>
            <w:tcW w:w="220" w:type="dxa"/>
            <w:vAlign w:val="bottom"/>
          </w:tcPr>
          <w:p>
            <w:pPr>
              <w:spacing w:after="0"/>
              <w:rPr>
                <w:sz w:val="12"/>
                <w:szCs w:val="12"/>
                <w:color w:val="auto"/>
              </w:rPr>
            </w:pPr>
          </w:p>
        </w:tc>
        <w:tc>
          <w:tcPr>
            <w:tcW w:w="720" w:type="dxa"/>
            <w:vAlign w:val="bottom"/>
          </w:tcPr>
          <w:p>
            <w:pPr>
              <w:jc w:val="right"/>
              <w:ind w:right="133"/>
              <w:spacing w:after="0" w:line="149" w:lineRule="exact"/>
              <w:rPr>
                <w:sz w:val="20"/>
                <w:szCs w:val="20"/>
                <w:color w:val="auto"/>
              </w:rPr>
            </w:pPr>
            <w:r>
              <w:rPr>
                <w:rFonts w:ascii="Arial" w:cs="Arial" w:eastAsia="Arial" w:hAnsi="Arial"/>
                <w:sz w:val="14"/>
                <w:szCs w:val="14"/>
                <w:color w:val="auto"/>
                <w:w w:val="86"/>
              </w:rPr>
              <w:t>Comcast</w:t>
            </w:r>
          </w:p>
        </w:tc>
      </w:tr>
      <w:tr>
        <w:trPr>
          <w:trHeight w:val="173"/>
        </w:trPr>
        <w:tc>
          <w:tcPr>
            <w:tcW w:w="40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2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color w:val="auto"/>
                <w:w w:val="82"/>
              </w:rPr>
              <w:t>Parent</w:t>
            </w:r>
          </w:p>
        </w:tc>
        <w:tc>
          <w:tcPr>
            <w:tcW w:w="70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color w:val="auto"/>
              </w:rPr>
              <w:t>Holdings</w:t>
            </w:r>
          </w:p>
        </w:tc>
        <w:tc>
          <w:tcPr>
            <w:tcW w:w="900" w:type="dxa"/>
            <w:vAlign w:val="bottom"/>
            <w:tcBorders>
              <w:bottom w:val="single" w:sz="8" w:color="auto"/>
            </w:tcBorders>
            <w:gridSpan w:val="2"/>
          </w:tcPr>
          <w:p>
            <w:pPr>
              <w:jc w:val="right"/>
              <w:ind w:right="172"/>
              <w:spacing w:after="0"/>
              <w:rPr>
                <w:sz w:val="20"/>
                <w:szCs w:val="20"/>
                <w:color w:val="auto"/>
              </w:rPr>
            </w:pPr>
            <w:r>
              <w:rPr>
                <w:rFonts w:ascii="Arial" w:cs="Arial" w:eastAsia="Arial" w:hAnsi="Arial"/>
                <w:sz w:val="14"/>
                <w:szCs w:val="14"/>
                <w:color w:val="auto"/>
              </w:rPr>
              <w:t>Parent</w:t>
            </w:r>
          </w:p>
        </w:tc>
        <w:tc>
          <w:tcPr>
            <w:tcW w:w="860" w:type="dxa"/>
            <w:vAlign w:val="bottom"/>
            <w:tcBorders>
              <w:bottom w:val="single" w:sz="8" w:color="auto"/>
            </w:tcBorders>
            <w:gridSpan w:val="2"/>
          </w:tcPr>
          <w:p>
            <w:pPr>
              <w:jc w:val="right"/>
              <w:ind w:right="172"/>
              <w:spacing w:after="0"/>
              <w:rPr>
                <w:sz w:val="20"/>
                <w:szCs w:val="20"/>
                <w:color w:val="auto"/>
              </w:rPr>
            </w:pPr>
            <w:r>
              <w:rPr>
                <w:rFonts w:ascii="Arial" w:cs="Arial" w:eastAsia="Arial" w:hAnsi="Arial"/>
                <w:sz w:val="14"/>
                <w:szCs w:val="14"/>
                <w:color w:val="auto"/>
              </w:rPr>
              <w:t>Parents</w:t>
            </w:r>
          </w:p>
        </w:tc>
        <w:tc>
          <w:tcPr>
            <w:tcW w:w="1120" w:type="dxa"/>
            <w:vAlign w:val="bottom"/>
            <w:tcBorders>
              <w:bottom w:val="single" w:sz="8" w:color="auto"/>
            </w:tcBorders>
            <w:gridSpan w:val="2"/>
          </w:tcPr>
          <w:p>
            <w:pPr>
              <w:jc w:val="right"/>
              <w:ind w:right="132"/>
              <w:spacing w:after="0"/>
              <w:rPr>
                <w:sz w:val="20"/>
                <w:szCs w:val="20"/>
                <w:color w:val="auto"/>
              </w:rPr>
            </w:pPr>
            <w:r>
              <w:rPr>
                <w:rFonts w:ascii="Arial" w:cs="Arial" w:eastAsia="Arial" w:hAnsi="Arial"/>
                <w:sz w:val="14"/>
                <w:szCs w:val="14"/>
                <w:color w:val="auto"/>
              </w:rPr>
              <w:t>Media Parent</w:t>
            </w:r>
          </w:p>
        </w:tc>
        <w:tc>
          <w:tcPr>
            <w:tcW w:w="9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color w:val="auto"/>
              </w:rPr>
              <w:t>Subsidiaries</w:t>
            </w: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88"/>
              </w:rPr>
              <w:t>Adjustments</w:t>
            </w:r>
          </w:p>
        </w:tc>
        <w:tc>
          <w:tcPr>
            <w:tcW w:w="940" w:type="dxa"/>
            <w:vAlign w:val="bottom"/>
            <w:tcBorders>
              <w:bottom w:val="single" w:sz="8" w:color="auto"/>
            </w:tcBorders>
            <w:gridSpan w:val="2"/>
          </w:tcPr>
          <w:p>
            <w:pPr>
              <w:jc w:val="right"/>
              <w:ind w:right="53"/>
              <w:spacing w:after="0"/>
              <w:rPr>
                <w:sz w:val="20"/>
                <w:szCs w:val="20"/>
                <w:color w:val="auto"/>
              </w:rPr>
            </w:pPr>
            <w:r>
              <w:rPr>
                <w:rFonts w:ascii="Arial" w:cs="Arial" w:eastAsia="Arial" w:hAnsi="Arial"/>
                <w:sz w:val="14"/>
                <w:szCs w:val="14"/>
                <w:color w:val="auto"/>
              </w:rPr>
              <w:t>Corporation</w:t>
            </w:r>
          </w:p>
        </w:tc>
      </w:tr>
      <w:tr>
        <w:trPr>
          <w:trHeight w:val="210"/>
        </w:trPr>
        <w:tc>
          <w:tcPr>
            <w:tcW w:w="400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16"/>
        </w:trPr>
        <w:tc>
          <w:tcPr>
            <w:tcW w:w="4000" w:type="dxa"/>
            <w:vAlign w:val="bottom"/>
          </w:tcPr>
          <w:p>
            <w:pPr>
              <w:ind w:left="220"/>
              <w:spacing w:after="0"/>
              <w:rPr>
                <w:sz w:val="20"/>
                <w:szCs w:val="20"/>
                <w:color w:val="auto"/>
              </w:rPr>
            </w:pPr>
            <w:r>
              <w:rPr>
                <w:rFonts w:ascii="Arial" w:cs="Arial" w:eastAsia="Arial" w:hAnsi="Arial"/>
                <w:sz w:val="18"/>
                <w:szCs w:val="18"/>
                <w:color w:val="auto"/>
              </w:rPr>
              <w:t>Service revenue</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73"/>
              <w:spacing w:after="0"/>
              <w:rPr>
                <w:sz w:val="20"/>
                <w:szCs w:val="20"/>
                <w:color w:val="auto"/>
              </w:rPr>
            </w:pPr>
            <w:r>
              <w:rPr>
                <w:rFonts w:ascii="Arial" w:cs="Arial" w:eastAsia="Arial" w:hAnsi="Arial"/>
                <w:sz w:val="18"/>
                <w:szCs w:val="18"/>
                <w:color w:val="auto"/>
                <w:w w:val="94"/>
              </w:rPr>
              <w:t>51,043</w:t>
            </w:r>
          </w:p>
        </w:tc>
        <w:tc>
          <w:tcPr>
            <w:tcW w:w="280" w:type="dxa"/>
            <w:vAlign w:val="bottom"/>
          </w:tcPr>
          <w:p>
            <w:pPr>
              <w:ind w:left="1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51,043</w:t>
            </w:r>
          </w:p>
        </w:tc>
      </w:tr>
      <w:tr>
        <w:trPr>
          <w:trHeight w:val="216"/>
        </w:trPr>
        <w:tc>
          <w:tcPr>
            <w:tcW w:w="400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color w:val="auto"/>
              </w:rPr>
              <w:t>Management fee revenue</w:t>
            </w:r>
          </w:p>
        </w:tc>
        <w:tc>
          <w:tcPr>
            <w:tcW w:w="2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704</w:t>
            </w:r>
          </w:p>
        </w:tc>
        <w:tc>
          <w:tcPr>
            <w:tcW w:w="22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691</w:t>
            </w:r>
          </w:p>
        </w:tc>
        <w:tc>
          <w:tcPr>
            <w:tcW w:w="2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432</w:t>
            </w:r>
          </w:p>
        </w:tc>
        <w:tc>
          <w:tcPr>
            <w:tcW w:w="38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(1,827)</w:t>
            </w:r>
          </w:p>
        </w:tc>
        <w:tc>
          <w:tcPr>
            <w:tcW w:w="2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w:t>
            </w:r>
          </w:p>
        </w:tc>
      </w:tr>
      <w:tr>
        <w:trPr>
          <w:trHeight w:val="210"/>
        </w:trPr>
        <w:tc>
          <w:tcPr>
            <w:tcW w:w="40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704</w:t>
            </w:r>
          </w:p>
        </w:tc>
        <w:tc>
          <w:tcPr>
            <w:tcW w:w="2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691</w:t>
            </w: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432</w:t>
            </w: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w w:val="94"/>
              </w:rPr>
              <w:t>51,043</w:t>
            </w: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(1,827)</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51,043</w:t>
            </w:r>
          </w:p>
        </w:tc>
      </w:tr>
      <w:tr>
        <w:trPr>
          <w:trHeight w:val="210"/>
        </w:trPr>
        <w:tc>
          <w:tcPr>
            <w:tcW w:w="4000" w:type="dxa"/>
            <w:vAlign w:val="bottom"/>
            <w:shd w:val="clear" w:color="auto" w:fill="E5E5E5"/>
          </w:tcPr>
          <w:p>
            <w:pPr>
              <w:spacing w:after="0"/>
              <w:rPr>
                <w:sz w:val="20"/>
                <w:szCs w:val="20"/>
                <w:color w:val="auto"/>
              </w:rPr>
            </w:pPr>
            <w:r>
              <w:rPr>
                <w:rFonts w:ascii="Arial" w:cs="Arial" w:eastAsia="Arial" w:hAnsi="Arial"/>
                <w:sz w:val="18"/>
                <w:szCs w:val="18"/>
                <w:color w:val="auto"/>
              </w:rPr>
              <w:t>Costs and Expenses:</w:t>
            </w: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16"/>
        </w:trPr>
        <w:tc>
          <w:tcPr>
            <w:tcW w:w="4000" w:type="dxa"/>
            <w:vAlign w:val="bottom"/>
          </w:tcPr>
          <w:p>
            <w:pPr>
              <w:ind w:left="220"/>
              <w:spacing w:after="0"/>
              <w:rPr>
                <w:sz w:val="20"/>
                <w:szCs w:val="20"/>
                <w:color w:val="auto"/>
              </w:rPr>
            </w:pPr>
            <w:r>
              <w:rPr>
                <w:rFonts w:ascii="Arial" w:cs="Arial" w:eastAsia="Arial" w:hAnsi="Arial"/>
                <w:sz w:val="18"/>
                <w:szCs w:val="18"/>
                <w:color w:val="auto"/>
              </w:rPr>
              <w:t>Programming and production</w:t>
            </w:r>
          </w:p>
        </w:tc>
        <w:tc>
          <w:tcPr>
            <w:tcW w:w="240" w:type="dxa"/>
            <w:vAlign w:val="bottom"/>
          </w:tcPr>
          <w:p>
            <w:pPr>
              <w:spacing w:after="0"/>
              <w:rPr>
                <w:sz w:val="18"/>
                <w:szCs w:val="18"/>
                <w:color w:val="auto"/>
              </w:rPr>
            </w:pPr>
          </w:p>
        </w:tc>
        <w:tc>
          <w:tcPr>
            <w:tcW w:w="6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73"/>
              <w:spacing w:after="0"/>
              <w:rPr>
                <w:sz w:val="20"/>
                <w:szCs w:val="20"/>
                <w:color w:val="auto"/>
              </w:rPr>
            </w:pPr>
            <w:r>
              <w:rPr>
                <w:rFonts w:ascii="Arial" w:cs="Arial" w:eastAsia="Arial" w:hAnsi="Arial"/>
                <w:sz w:val="18"/>
                <w:szCs w:val="18"/>
                <w:color w:val="auto"/>
                <w:w w:val="94"/>
              </w:rPr>
              <w:t>15,554</w:t>
            </w:r>
          </w:p>
        </w:tc>
        <w:tc>
          <w:tcPr>
            <w:tcW w:w="280" w:type="dxa"/>
            <w:vAlign w:val="bottom"/>
          </w:tcPr>
          <w:p>
            <w:pPr>
              <w:spacing w:after="0"/>
              <w:rPr>
                <w:sz w:val="18"/>
                <w:szCs w:val="18"/>
                <w:color w:val="auto"/>
              </w:rPr>
            </w:pP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15,554</w:t>
            </w:r>
          </w:p>
        </w:tc>
      </w:tr>
      <w:tr>
        <w:trPr>
          <w:trHeight w:val="216"/>
        </w:trPr>
        <w:tc>
          <w:tcPr>
            <w:tcW w:w="4000" w:type="dxa"/>
            <w:vAlign w:val="bottom"/>
            <w:shd w:val="clear" w:color="auto" w:fill="E5E5E5"/>
          </w:tcPr>
          <w:p>
            <w:pPr>
              <w:ind w:left="220"/>
              <w:spacing w:after="0"/>
              <w:rPr>
                <w:sz w:val="20"/>
                <w:szCs w:val="20"/>
                <w:color w:val="auto"/>
              </w:rPr>
            </w:pPr>
            <w:r>
              <w:rPr>
                <w:rFonts w:ascii="Arial" w:cs="Arial" w:eastAsia="Arial" w:hAnsi="Arial"/>
                <w:sz w:val="18"/>
                <w:szCs w:val="18"/>
                <w:color w:val="auto"/>
              </w:rPr>
              <w:t>Other operating and administrative</w:t>
            </w: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471</w:t>
            </w:r>
          </w:p>
        </w:tc>
        <w:tc>
          <w:tcPr>
            <w:tcW w:w="22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691</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432</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697</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w w:val="94"/>
              </w:rPr>
              <w:t>14,224</w:t>
            </w:r>
          </w:p>
        </w:tc>
        <w:tc>
          <w:tcPr>
            <w:tcW w:w="28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(1,827)</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14,688</w:t>
            </w:r>
          </w:p>
        </w:tc>
      </w:tr>
      <w:tr>
        <w:trPr>
          <w:trHeight w:val="216"/>
        </w:trPr>
        <w:tc>
          <w:tcPr>
            <w:tcW w:w="4000" w:type="dxa"/>
            <w:vAlign w:val="bottom"/>
          </w:tcPr>
          <w:p>
            <w:pPr>
              <w:ind w:left="220"/>
              <w:spacing w:after="0"/>
              <w:rPr>
                <w:sz w:val="20"/>
                <w:szCs w:val="20"/>
                <w:color w:val="auto"/>
              </w:rPr>
            </w:pPr>
            <w:r>
              <w:rPr>
                <w:rFonts w:ascii="Arial" w:cs="Arial" w:eastAsia="Arial" w:hAnsi="Arial"/>
                <w:sz w:val="18"/>
                <w:szCs w:val="18"/>
                <w:color w:val="auto"/>
              </w:rPr>
              <w:t>Advertising, marketing and promotion</w:t>
            </w:r>
          </w:p>
        </w:tc>
        <w:tc>
          <w:tcPr>
            <w:tcW w:w="240" w:type="dxa"/>
            <w:vAlign w:val="bottom"/>
          </w:tcPr>
          <w:p>
            <w:pPr>
              <w:spacing w:after="0"/>
              <w:rPr>
                <w:sz w:val="18"/>
                <w:szCs w:val="18"/>
                <w:color w:val="auto"/>
              </w:rPr>
            </w:pPr>
          </w:p>
        </w:tc>
        <w:tc>
          <w:tcPr>
            <w:tcW w:w="6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73"/>
              <w:spacing w:after="0"/>
              <w:rPr>
                <w:sz w:val="20"/>
                <w:szCs w:val="20"/>
                <w:color w:val="auto"/>
              </w:rPr>
            </w:pPr>
            <w:r>
              <w:rPr>
                <w:rFonts w:ascii="Arial" w:cs="Arial" w:eastAsia="Arial" w:hAnsi="Arial"/>
                <w:sz w:val="18"/>
                <w:szCs w:val="18"/>
                <w:color w:val="auto"/>
              </w:rPr>
              <w:t>3,755</w:t>
            </w:r>
          </w:p>
        </w:tc>
        <w:tc>
          <w:tcPr>
            <w:tcW w:w="280" w:type="dxa"/>
            <w:vAlign w:val="bottom"/>
          </w:tcPr>
          <w:p>
            <w:pPr>
              <w:spacing w:after="0"/>
              <w:rPr>
                <w:sz w:val="18"/>
                <w:szCs w:val="18"/>
                <w:color w:val="auto"/>
              </w:rPr>
            </w:pP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3,755</w:t>
            </w:r>
          </w:p>
        </w:tc>
      </w:tr>
      <w:tr>
        <w:trPr>
          <w:trHeight w:val="216"/>
        </w:trPr>
        <w:tc>
          <w:tcPr>
            <w:tcW w:w="4000" w:type="dxa"/>
            <w:vAlign w:val="bottom"/>
            <w:shd w:val="clear" w:color="auto" w:fill="E5E5E5"/>
          </w:tcPr>
          <w:p>
            <w:pPr>
              <w:ind w:left="220"/>
              <w:spacing w:after="0"/>
              <w:rPr>
                <w:sz w:val="20"/>
                <w:szCs w:val="20"/>
                <w:color w:val="auto"/>
              </w:rPr>
            </w:pPr>
            <w:r>
              <w:rPr>
                <w:rFonts w:ascii="Arial" w:cs="Arial" w:eastAsia="Arial" w:hAnsi="Arial"/>
                <w:sz w:val="18"/>
                <w:szCs w:val="18"/>
                <w:color w:val="auto"/>
              </w:rPr>
              <w:t>Depreciation</w:t>
            </w: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25</w:t>
            </w:r>
          </w:p>
        </w:tc>
        <w:tc>
          <w:tcPr>
            <w:tcW w:w="22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4,682</w:t>
            </w:r>
          </w:p>
        </w:tc>
        <w:tc>
          <w:tcPr>
            <w:tcW w:w="28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4,707</w:t>
            </w:r>
          </w:p>
        </w:tc>
      </w:tr>
      <w:tr>
        <w:trPr>
          <w:trHeight w:val="216"/>
        </w:trPr>
        <w:tc>
          <w:tcPr>
            <w:tcW w:w="40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Amortization</w:t>
            </w: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4</w:t>
            </w:r>
          </w:p>
        </w:tc>
        <w:tc>
          <w:tcPr>
            <w:tcW w:w="2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1,218</w:t>
            </w: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1,222</w:t>
            </w:r>
          </w:p>
        </w:tc>
      </w:tr>
      <w:tr>
        <w:trPr>
          <w:trHeight w:val="210"/>
        </w:trPr>
        <w:tc>
          <w:tcPr>
            <w:tcW w:w="4000" w:type="dxa"/>
            <w:vAlign w:val="bottom"/>
            <w:tcBorders>
              <w:bottom w:val="single" w:sz="8" w:color="auto"/>
            </w:tcBorders>
            <w:shd w:val="clear" w:color="auto" w:fill="E5E5E5"/>
          </w:tcPr>
          <w:p>
            <w:pPr>
              <w:spacing w:after="0"/>
              <w:rPr>
                <w:sz w:val="18"/>
                <w:szCs w:val="18"/>
                <w:color w:val="auto"/>
              </w:rPr>
            </w:pPr>
          </w:p>
        </w:tc>
        <w:tc>
          <w:tcPr>
            <w:tcW w:w="2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500</w:t>
            </w:r>
          </w:p>
        </w:tc>
        <w:tc>
          <w:tcPr>
            <w:tcW w:w="22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691</w:t>
            </w:r>
          </w:p>
        </w:tc>
        <w:tc>
          <w:tcPr>
            <w:tcW w:w="2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432</w:t>
            </w:r>
          </w:p>
        </w:tc>
        <w:tc>
          <w:tcPr>
            <w:tcW w:w="38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697</w:t>
            </w:r>
          </w:p>
        </w:tc>
        <w:tc>
          <w:tcPr>
            <w:tcW w:w="2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w w:val="94"/>
              </w:rPr>
              <w:t>39,433</w:t>
            </w:r>
          </w:p>
        </w:tc>
        <w:tc>
          <w:tcPr>
            <w:tcW w:w="28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(1,827)</w:t>
            </w:r>
          </w:p>
        </w:tc>
        <w:tc>
          <w:tcPr>
            <w:tcW w:w="2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39,926</w:t>
            </w:r>
          </w:p>
        </w:tc>
      </w:tr>
      <w:tr>
        <w:trPr>
          <w:trHeight w:val="210"/>
        </w:trPr>
        <w:tc>
          <w:tcPr>
            <w:tcW w:w="4000" w:type="dxa"/>
            <w:vAlign w:val="bottom"/>
          </w:tcPr>
          <w:p>
            <w:pPr>
              <w:spacing w:after="0"/>
              <w:rPr>
                <w:sz w:val="20"/>
                <w:szCs w:val="20"/>
                <w:color w:val="auto"/>
              </w:rPr>
            </w:pPr>
            <w:r>
              <w:rPr>
                <w:rFonts w:ascii="Arial" w:cs="Arial" w:eastAsia="Arial" w:hAnsi="Arial"/>
                <w:sz w:val="18"/>
                <w:szCs w:val="18"/>
                <w:b w:val="1"/>
                <w:bCs w:val="1"/>
                <w:color w:val="auto"/>
              </w:rPr>
              <w:t>Operating income (loss)</w:t>
            </w:r>
          </w:p>
        </w:tc>
        <w:tc>
          <w:tcPr>
            <w:tcW w:w="240" w:type="dxa"/>
            <w:vAlign w:val="bottom"/>
          </w:tcPr>
          <w:p>
            <w:pPr>
              <w:spacing w:after="0"/>
              <w:rPr>
                <w:sz w:val="18"/>
                <w:szCs w:val="18"/>
                <w:color w:val="auto"/>
              </w:rPr>
            </w:pPr>
          </w:p>
        </w:tc>
        <w:tc>
          <w:tcPr>
            <w:tcW w:w="640" w:type="dxa"/>
            <w:vAlign w:val="bottom"/>
          </w:tcPr>
          <w:p>
            <w:pPr>
              <w:jc w:val="right"/>
              <w:ind w:right="93"/>
              <w:spacing w:after="0"/>
              <w:rPr>
                <w:sz w:val="20"/>
                <w:szCs w:val="20"/>
                <w:color w:val="auto"/>
              </w:rPr>
            </w:pPr>
            <w:r>
              <w:rPr>
                <w:rFonts w:ascii="Arial" w:cs="Arial" w:eastAsia="Arial" w:hAnsi="Arial"/>
                <w:sz w:val="18"/>
                <w:szCs w:val="18"/>
                <w:color w:val="auto"/>
              </w:rPr>
              <w:t>204</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(697)</w:t>
            </w:r>
          </w:p>
        </w:tc>
        <w:tc>
          <w:tcPr>
            <w:tcW w:w="240" w:type="dxa"/>
            <w:vAlign w:val="bottom"/>
          </w:tcPr>
          <w:p>
            <w:pPr>
              <w:spacing w:after="0"/>
              <w:rPr>
                <w:sz w:val="18"/>
                <w:szCs w:val="18"/>
                <w:color w:val="auto"/>
              </w:rPr>
            </w:pPr>
          </w:p>
        </w:tc>
        <w:tc>
          <w:tcPr>
            <w:tcW w:w="700" w:type="dxa"/>
            <w:vAlign w:val="bottom"/>
          </w:tcPr>
          <w:p>
            <w:pPr>
              <w:jc w:val="right"/>
              <w:ind w:right="73"/>
              <w:spacing w:after="0"/>
              <w:rPr>
                <w:sz w:val="20"/>
                <w:szCs w:val="20"/>
                <w:color w:val="auto"/>
              </w:rPr>
            </w:pPr>
            <w:r>
              <w:rPr>
                <w:rFonts w:ascii="Arial" w:cs="Arial" w:eastAsia="Arial" w:hAnsi="Arial"/>
                <w:sz w:val="18"/>
                <w:szCs w:val="18"/>
                <w:color w:val="auto"/>
                <w:w w:val="94"/>
              </w:rPr>
              <w:t>11,610</w:t>
            </w:r>
          </w:p>
        </w:tc>
        <w:tc>
          <w:tcPr>
            <w:tcW w:w="280" w:type="dxa"/>
            <w:vAlign w:val="bottom"/>
          </w:tcPr>
          <w:p>
            <w:pPr>
              <w:spacing w:after="0"/>
              <w:rPr>
                <w:sz w:val="18"/>
                <w:szCs w:val="18"/>
                <w:color w:val="auto"/>
              </w:rPr>
            </w:pP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11,117</w:t>
            </w:r>
          </w:p>
        </w:tc>
      </w:tr>
      <w:tr>
        <w:trPr>
          <w:trHeight w:val="216"/>
        </w:trPr>
        <w:tc>
          <w:tcPr>
            <w:tcW w:w="4000" w:type="dxa"/>
            <w:vAlign w:val="bottom"/>
            <w:shd w:val="clear" w:color="auto" w:fill="E5E5E5"/>
          </w:tcPr>
          <w:p>
            <w:pPr>
              <w:spacing w:after="0"/>
              <w:rPr>
                <w:sz w:val="20"/>
                <w:szCs w:val="20"/>
                <w:color w:val="auto"/>
              </w:rPr>
            </w:pPr>
            <w:r>
              <w:rPr>
                <w:rFonts w:ascii="Arial" w:cs="Arial" w:eastAsia="Arial" w:hAnsi="Arial"/>
                <w:sz w:val="18"/>
                <w:szCs w:val="18"/>
                <w:color w:val="auto"/>
              </w:rPr>
              <w:t>Other Income (Expense):</w:t>
            </w: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16"/>
        </w:trPr>
        <w:tc>
          <w:tcPr>
            <w:tcW w:w="400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8"/>
                <w:szCs w:val="18"/>
                <w:color w:val="auto"/>
              </w:rPr>
            </w:pPr>
          </w:p>
        </w:tc>
        <w:tc>
          <w:tcPr>
            <w:tcW w:w="640" w:type="dxa"/>
            <w:vAlign w:val="bottom"/>
          </w:tcPr>
          <w:p>
            <w:pPr>
              <w:jc w:val="right"/>
              <w:ind w:right="33"/>
              <w:spacing w:after="0"/>
              <w:rPr>
                <w:sz w:val="20"/>
                <w:szCs w:val="20"/>
                <w:color w:val="auto"/>
              </w:rPr>
            </w:pPr>
            <w:r>
              <w:rPr>
                <w:rFonts w:ascii="Arial" w:cs="Arial" w:eastAsia="Arial" w:hAnsi="Arial"/>
                <w:sz w:val="18"/>
                <w:szCs w:val="18"/>
                <w:color w:val="auto"/>
                <w:w w:val="87"/>
              </w:rPr>
              <w:t>(1,199)</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w:t>
            </w:r>
          </w:p>
        </w:tc>
        <w:tc>
          <w:tcPr>
            <w:tcW w:w="320" w:type="dxa"/>
            <w:vAlign w:val="bottom"/>
          </w:tcPr>
          <w:p>
            <w:pPr>
              <w:spacing w:after="0"/>
              <w:rPr>
                <w:sz w:val="18"/>
                <w:szCs w:val="18"/>
                <w:color w:val="auto"/>
              </w:rPr>
            </w:pPr>
          </w:p>
        </w:tc>
        <w:tc>
          <w:tcPr>
            <w:tcW w:w="580" w:type="dxa"/>
            <w:vAlign w:val="bottom"/>
          </w:tcPr>
          <w:p>
            <w:pPr>
              <w:jc w:val="right"/>
              <w:ind w:right="32"/>
              <w:spacing w:after="0"/>
              <w:rPr>
                <w:sz w:val="20"/>
                <w:szCs w:val="20"/>
                <w:color w:val="auto"/>
              </w:rPr>
            </w:pPr>
            <w:r>
              <w:rPr>
                <w:rFonts w:ascii="Arial" w:cs="Arial" w:eastAsia="Arial" w:hAnsi="Arial"/>
                <w:sz w:val="18"/>
                <w:szCs w:val="18"/>
                <w:color w:val="auto"/>
              </w:rPr>
              <w:t>(132)</w:t>
            </w:r>
          </w:p>
        </w:tc>
        <w:tc>
          <w:tcPr>
            <w:tcW w:w="240" w:type="dxa"/>
            <w:vAlign w:val="bottom"/>
          </w:tcPr>
          <w:p>
            <w:pPr>
              <w:spacing w:after="0"/>
              <w:rPr>
                <w:sz w:val="18"/>
                <w:szCs w:val="18"/>
                <w:color w:val="auto"/>
              </w:rPr>
            </w:pPr>
          </w:p>
        </w:tc>
        <w:tc>
          <w:tcPr>
            <w:tcW w:w="620" w:type="dxa"/>
            <w:vAlign w:val="bottom"/>
          </w:tcPr>
          <w:p>
            <w:pPr>
              <w:jc w:val="right"/>
              <w:ind w:right="32"/>
              <w:spacing w:after="0"/>
              <w:rPr>
                <w:sz w:val="20"/>
                <w:szCs w:val="20"/>
                <w:color w:val="auto"/>
              </w:rPr>
            </w:pPr>
            <w:r>
              <w:rPr>
                <w:rFonts w:ascii="Arial" w:cs="Arial" w:eastAsia="Arial" w:hAnsi="Arial"/>
                <w:sz w:val="18"/>
                <w:szCs w:val="18"/>
                <w:color w:val="auto"/>
              </w:rPr>
              <w:t>(88)</w:t>
            </w:r>
          </w:p>
        </w:tc>
        <w:tc>
          <w:tcPr>
            <w:tcW w:w="380" w:type="dxa"/>
            <w:vAlign w:val="bottom"/>
          </w:tcPr>
          <w:p>
            <w:pPr>
              <w:spacing w:after="0"/>
              <w:rPr>
                <w:sz w:val="18"/>
                <w:szCs w:val="18"/>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(360)</w:t>
            </w:r>
          </w:p>
        </w:tc>
        <w:tc>
          <w:tcPr>
            <w:tcW w:w="24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(166)</w:t>
            </w:r>
          </w:p>
        </w:tc>
        <w:tc>
          <w:tcPr>
            <w:tcW w:w="280" w:type="dxa"/>
            <w:vAlign w:val="bottom"/>
          </w:tcPr>
          <w:p>
            <w:pPr>
              <w:spacing w:after="0"/>
              <w:rPr>
                <w:sz w:val="18"/>
                <w:szCs w:val="18"/>
                <w:color w:val="auto"/>
              </w:rPr>
            </w:pP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(1,953)</w:t>
            </w:r>
          </w:p>
        </w:tc>
      </w:tr>
      <w:tr>
        <w:trPr>
          <w:trHeight w:val="216"/>
        </w:trPr>
        <w:tc>
          <w:tcPr>
            <w:tcW w:w="4000" w:type="dxa"/>
            <w:vAlign w:val="bottom"/>
            <w:shd w:val="clear" w:color="auto" w:fill="E5E5E5"/>
          </w:tcPr>
          <w:p>
            <w:pPr>
              <w:ind w:left="220"/>
              <w:spacing w:after="0"/>
              <w:rPr>
                <w:sz w:val="20"/>
                <w:szCs w:val="20"/>
                <w:color w:val="auto"/>
              </w:rPr>
            </w:pPr>
            <w:r>
              <w:rPr>
                <w:rFonts w:ascii="Arial" w:cs="Arial" w:eastAsia="Arial" w:hAnsi="Arial"/>
                <w:sz w:val="18"/>
                <w:szCs w:val="18"/>
                <w:color w:val="auto"/>
              </w:rPr>
              <w:t>Investment income (loss), net</w:t>
            </w: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3</w:t>
            </w:r>
          </w:p>
        </w:tc>
        <w:tc>
          <w:tcPr>
            <w:tcW w:w="22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w:t>
            </w: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(9)</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255</w:t>
            </w:r>
          </w:p>
        </w:tc>
        <w:tc>
          <w:tcPr>
            <w:tcW w:w="28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254</w:t>
            </w:r>
          </w:p>
        </w:tc>
      </w:tr>
      <w:tr>
        <w:trPr>
          <w:trHeight w:val="216"/>
        </w:trPr>
        <w:tc>
          <w:tcPr>
            <w:tcW w:w="4000" w:type="dxa"/>
            <w:vAlign w:val="bottom"/>
          </w:tcPr>
          <w:p>
            <w:pPr>
              <w:ind w:left="220"/>
              <w:spacing w:after="0"/>
              <w:rPr>
                <w:sz w:val="20"/>
                <w:szCs w:val="20"/>
                <w:color w:val="auto"/>
              </w:rPr>
            </w:pPr>
            <w:r>
              <w:rPr>
                <w:rFonts w:ascii="Arial" w:cs="Arial" w:eastAsia="Arial" w:hAnsi="Arial"/>
                <w:sz w:val="18"/>
                <w:szCs w:val="18"/>
                <w:color w:val="auto"/>
              </w:rPr>
              <w:t>Equity in net income (losses) of investees, net</w:t>
            </w:r>
          </w:p>
        </w:tc>
        <w:tc>
          <w:tcPr>
            <w:tcW w:w="240" w:type="dxa"/>
            <w:vAlign w:val="bottom"/>
          </w:tcPr>
          <w:p>
            <w:pPr>
              <w:spacing w:after="0"/>
              <w:rPr>
                <w:sz w:val="18"/>
                <w:szCs w:val="18"/>
                <w:color w:val="auto"/>
              </w:rPr>
            </w:pPr>
          </w:p>
        </w:tc>
        <w:tc>
          <w:tcPr>
            <w:tcW w:w="640" w:type="dxa"/>
            <w:vAlign w:val="bottom"/>
          </w:tcPr>
          <w:p>
            <w:pPr>
              <w:jc w:val="right"/>
              <w:ind w:right="93"/>
              <w:spacing w:after="0"/>
              <w:rPr>
                <w:sz w:val="20"/>
                <w:szCs w:val="20"/>
                <w:color w:val="auto"/>
              </w:rPr>
            </w:pPr>
            <w:r>
              <w:rPr>
                <w:rFonts w:ascii="Arial" w:cs="Arial" w:eastAsia="Arial" w:hAnsi="Arial"/>
                <w:sz w:val="18"/>
                <w:szCs w:val="18"/>
                <w:color w:val="auto"/>
                <w:w w:val="97"/>
              </w:rPr>
              <w:t>7,100</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4"/>
              </w:rPr>
              <w:t>6,731</w:t>
            </w:r>
          </w:p>
        </w:tc>
        <w:tc>
          <w:tcPr>
            <w:tcW w:w="32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w w:val="84"/>
              </w:rPr>
              <w:t>6,301</w:t>
            </w:r>
          </w:p>
        </w:tc>
        <w:tc>
          <w:tcPr>
            <w:tcW w:w="240" w:type="dxa"/>
            <w:vAlign w:val="bottom"/>
          </w:tcPr>
          <w:p>
            <w:pPr>
              <w:spacing w:after="0"/>
              <w:rPr>
                <w:sz w:val="18"/>
                <w:szCs w:val="18"/>
                <w:color w:val="auto"/>
              </w:rPr>
            </w:pPr>
          </w:p>
        </w:tc>
        <w:tc>
          <w:tcPr>
            <w:tcW w:w="620" w:type="dxa"/>
            <w:vAlign w:val="bottom"/>
          </w:tcPr>
          <w:p>
            <w:pPr>
              <w:jc w:val="right"/>
              <w:ind w:right="92"/>
              <w:spacing w:after="0"/>
              <w:rPr>
                <w:sz w:val="20"/>
                <w:szCs w:val="20"/>
                <w:color w:val="auto"/>
              </w:rPr>
            </w:pPr>
            <w:r>
              <w:rPr>
                <w:rFonts w:ascii="Arial" w:cs="Arial" w:eastAsia="Arial" w:hAnsi="Arial"/>
                <w:sz w:val="18"/>
                <w:szCs w:val="18"/>
                <w:color w:val="auto"/>
                <w:w w:val="93"/>
              </w:rPr>
              <w:t>4,866</w:t>
            </w:r>
          </w:p>
        </w:tc>
        <w:tc>
          <w:tcPr>
            <w:tcW w:w="380" w:type="dxa"/>
            <w:vAlign w:val="bottom"/>
          </w:tcPr>
          <w:p>
            <w:pPr>
              <w:spacing w:after="0"/>
              <w:rPr>
                <w:sz w:val="18"/>
                <w:szCs w:val="18"/>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3,386</w:t>
            </w:r>
          </w:p>
        </w:tc>
        <w:tc>
          <w:tcPr>
            <w:tcW w:w="240" w:type="dxa"/>
            <w:vAlign w:val="bottom"/>
          </w:tcPr>
          <w:p>
            <w:pPr>
              <w:spacing w:after="0"/>
              <w:rPr>
                <w:sz w:val="18"/>
                <w:szCs w:val="18"/>
                <w:color w:val="auto"/>
              </w:rPr>
            </w:pPr>
          </w:p>
        </w:tc>
        <w:tc>
          <w:tcPr>
            <w:tcW w:w="700" w:type="dxa"/>
            <w:vAlign w:val="bottom"/>
          </w:tcPr>
          <w:p>
            <w:pPr>
              <w:jc w:val="right"/>
              <w:ind w:right="73"/>
              <w:spacing w:after="0"/>
              <w:rPr>
                <w:sz w:val="20"/>
                <w:szCs w:val="20"/>
                <w:color w:val="auto"/>
              </w:rPr>
            </w:pPr>
            <w:r>
              <w:rPr>
                <w:rFonts w:ascii="Arial" w:cs="Arial" w:eastAsia="Arial" w:hAnsi="Arial"/>
                <w:sz w:val="18"/>
                <w:szCs w:val="18"/>
                <w:color w:val="auto"/>
              </w:rPr>
              <w:t>2,385</w:t>
            </w:r>
          </w:p>
        </w:tc>
        <w:tc>
          <w:tcPr>
            <w:tcW w:w="280" w:type="dxa"/>
            <w:vAlign w:val="bottom"/>
          </w:tcPr>
          <w:p>
            <w:pPr>
              <w:spacing w:after="0"/>
              <w:rPr>
                <w:sz w:val="18"/>
                <w:szCs w:val="18"/>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w w:val="98"/>
              </w:rPr>
              <w:t>(30,682)</w:t>
            </w:r>
          </w:p>
        </w:tc>
        <w:tc>
          <w:tcPr>
            <w:tcW w:w="22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87</w:t>
            </w:r>
          </w:p>
        </w:tc>
      </w:tr>
      <w:tr>
        <w:trPr>
          <w:trHeight w:val="216"/>
        </w:trPr>
        <w:tc>
          <w:tcPr>
            <w:tcW w:w="400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color w:val="auto"/>
              </w:rPr>
              <w:t>Other income (expense), net</w:t>
            </w:r>
          </w:p>
        </w:tc>
        <w:tc>
          <w:tcPr>
            <w:tcW w:w="2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(150)</w:t>
            </w:r>
          </w:p>
        </w:tc>
        <w:tc>
          <w:tcPr>
            <w:tcW w:w="28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(150)</w:t>
            </w:r>
          </w:p>
        </w:tc>
      </w:tr>
      <w:tr>
        <w:trPr>
          <w:trHeight w:val="210"/>
        </w:trPr>
        <w:tc>
          <w:tcPr>
            <w:tcW w:w="40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w w:val="97"/>
              </w:rPr>
              <w:t>5,904</w:t>
            </w:r>
          </w:p>
        </w:tc>
        <w:tc>
          <w:tcPr>
            <w:tcW w:w="2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6,728</w:t>
            </w:r>
          </w:p>
        </w:tc>
        <w:tc>
          <w:tcPr>
            <w:tcW w:w="3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84"/>
              </w:rPr>
              <w:t>6,169</w:t>
            </w: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3"/>
              </w:rPr>
              <w:t>4,778</w:t>
            </w: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3,017</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2,324</w:t>
            </w: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w w:val="98"/>
              </w:rPr>
              <w:t>(30,682)</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(1,762)</w:t>
            </w:r>
          </w:p>
        </w:tc>
      </w:tr>
      <w:tr>
        <w:trPr>
          <w:trHeight w:val="210"/>
        </w:trPr>
        <w:tc>
          <w:tcPr>
            <w:tcW w:w="4000" w:type="dxa"/>
            <w:vAlign w:val="bottom"/>
            <w:shd w:val="clear" w:color="auto" w:fill="E5E5E5"/>
          </w:tcPr>
          <w:p>
            <w:pPr>
              <w:spacing w:after="0"/>
              <w:rPr>
                <w:sz w:val="20"/>
                <w:szCs w:val="20"/>
                <w:color w:val="auto"/>
              </w:rPr>
            </w:pPr>
            <w:r>
              <w:rPr>
                <w:rFonts w:ascii="Arial" w:cs="Arial" w:eastAsia="Arial" w:hAnsi="Arial"/>
                <w:sz w:val="18"/>
                <w:szCs w:val="18"/>
                <w:color w:val="auto"/>
              </w:rPr>
              <w:t>Income (loss) before income taxes</w:t>
            </w: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w w:val="97"/>
              </w:rPr>
              <w:t>6,108</w:t>
            </w:r>
          </w:p>
        </w:tc>
        <w:tc>
          <w:tcPr>
            <w:tcW w:w="22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w w:val="84"/>
              </w:rPr>
              <w:t>6,728</w:t>
            </w: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84"/>
              </w:rPr>
              <w:t>6,169</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93"/>
              </w:rPr>
              <w:t>4,778</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2,320</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w w:val="94"/>
              </w:rPr>
              <w:t>13,934</w:t>
            </w:r>
          </w:p>
        </w:tc>
        <w:tc>
          <w:tcPr>
            <w:tcW w:w="28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w w:val="98"/>
              </w:rPr>
              <w:t>(30,682)</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9,355</w:t>
            </w:r>
          </w:p>
        </w:tc>
      </w:tr>
      <w:tr>
        <w:trPr>
          <w:trHeight w:val="216"/>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tax (expense) benefit</w:t>
            </w: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347</w:t>
            </w:r>
          </w:p>
        </w:tc>
        <w:tc>
          <w:tcPr>
            <w:tcW w:w="2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46</w:t>
            </w: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31</w:t>
            </w: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(22)</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(3,162)</w:t>
            </w: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(2,759)</w:t>
            </w:r>
          </w:p>
        </w:tc>
      </w:tr>
      <w:tr>
        <w:trPr>
          <w:trHeight w:val="210"/>
        </w:trPr>
        <w:tc>
          <w:tcPr>
            <w:tcW w:w="4000" w:type="dxa"/>
            <w:vAlign w:val="bottom"/>
            <w:shd w:val="clear" w:color="auto" w:fill="E5E5E5"/>
          </w:tcPr>
          <w:p>
            <w:pPr>
              <w:spacing w:after="0"/>
              <w:rPr>
                <w:sz w:val="20"/>
                <w:szCs w:val="20"/>
                <w:color w:val="auto"/>
              </w:rPr>
            </w:pPr>
            <w:r>
              <w:rPr>
                <w:rFonts w:ascii="Arial" w:cs="Arial" w:eastAsia="Arial" w:hAnsi="Arial"/>
                <w:sz w:val="18"/>
                <w:szCs w:val="18"/>
                <w:color w:val="auto"/>
              </w:rPr>
              <w:t>Net income (loss)</w:t>
            </w: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w w:val="97"/>
              </w:rPr>
              <w:t>6,455</w:t>
            </w:r>
          </w:p>
        </w:tc>
        <w:tc>
          <w:tcPr>
            <w:tcW w:w="22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w w:val="84"/>
              </w:rPr>
              <w:t>6,729</w:t>
            </w: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84"/>
              </w:rPr>
              <w:t>6,215</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93"/>
              </w:rPr>
              <w:t>4,809</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2,298</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w w:val="94"/>
              </w:rPr>
              <w:t>10,772</w:t>
            </w:r>
          </w:p>
        </w:tc>
        <w:tc>
          <w:tcPr>
            <w:tcW w:w="28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w w:val="98"/>
              </w:rPr>
              <w:t>(30,682)</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6,596</w:t>
            </w:r>
          </w:p>
        </w:tc>
      </w:tr>
      <w:tr>
        <w:trPr>
          <w:trHeight w:val="208"/>
        </w:trPr>
        <w:tc>
          <w:tcPr>
            <w:tcW w:w="4000" w:type="dxa"/>
            <w:vAlign w:val="bottom"/>
          </w:tcPr>
          <w:p>
            <w:pPr>
              <w:spacing w:after="0"/>
              <w:rPr>
                <w:sz w:val="20"/>
                <w:szCs w:val="20"/>
                <w:color w:val="auto"/>
              </w:rPr>
            </w:pPr>
            <w:r>
              <w:rPr>
                <w:rFonts w:ascii="Arial" w:cs="Arial" w:eastAsia="Arial" w:hAnsi="Arial"/>
                <w:sz w:val="18"/>
                <w:szCs w:val="18"/>
                <w:color w:val="auto"/>
              </w:rPr>
              <w:t>Net (income) loss attributable to noncontrolling</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22"/>
        </w:trPr>
        <w:tc>
          <w:tcPr>
            <w:tcW w:w="40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w w:val="90"/>
              </w:rPr>
              <w:t>interests and redeemable subsidiary preferred stock</w:t>
            </w: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(141)</w:t>
            </w: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r>
      <w:tr>
        <w:trPr>
          <w:trHeight w:val="197"/>
        </w:trPr>
        <w:tc>
          <w:tcPr>
            <w:tcW w:w="4000" w:type="dxa"/>
            <w:vAlign w:val="bottom"/>
            <w:shd w:val="clear" w:color="auto" w:fill="E5E5E5"/>
          </w:tcPr>
          <w:p>
            <w:pPr>
              <w:spacing w:after="0" w:line="197" w:lineRule="exact"/>
              <w:rPr>
                <w:sz w:val="20"/>
                <w:szCs w:val="20"/>
                <w:color w:val="auto"/>
              </w:rPr>
            </w:pPr>
            <w:r>
              <w:rPr>
                <w:rFonts w:ascii="Arial" w:cs="Arial" w:eastAsia="Arial" w:hAnsi="Arial"/>
                <w:sz w:val="18"/>
                <w:szCs w:val="18"/>
                <w:b w:val="1"/>
                <w:bCs w:val="1"/>
                <w:color w:val="auto"/>
              </w:rPr>
              <w:t>Net income (loss) attributable to Comcast</w:t>
            </w:r>
          </w:p>
        </w:tc>
        <w:tc>
          <w:tcPr>
            <w:tcW w:w="240" w:type="dxa"/>
            <w:vAlign w:val="bottom"/>
            <w:shd w:val="clear" w:color="auto" w:fill="E5E5E5"/>
          </w:tcPr>
          <w:p>
            <w:pPr>
              <w:spacing w:after="0"/>
              <w:rPr>
                <w:sz w:val="17"/>
                <w:szCs w:val="17"/>
                <w:color w:val="auto"/>
              </w:rPr>
            </w:pPr>
          </w:p>
        </w:tc>
        <w:tc>
          <w:tcPr>
            <w:tcW w:w="64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48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58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620" w:type="dxa"/>
            <w:vAlign w:val="bottom"/>
            <w:shd w:val="clear" w:color="auto" w:fill="E5E5E5"/>
          </w:tcPr>
          <w:p>
            <w:pPr>
              <w:spacing w:after="0"/>
              <w:rPr>
                <w:sz w:val="17"/>
                <w:szCs w:val="17"/>
                <w:color w:val="auto"/>
              </w:rPr>
            </w:pPr>
          </w:p>
        </w:tc>
        <w:tc>
          <w:tcPr>
            <w:tcW w:w="380" w:type="dxa"/>
            <w:vAlign w:val="bottom"/>
            <w:shd w:val="clear" w:color="auto" w:fill="E5E5E5"/>
          </w:tcPr>
          <w:p>
            <w:pPr>
              <w:spacing w:after="0"/>
              <w:rPr>
                <w:sz w:val="17"/>
                <w:szCs w:val="17"/>
                <w:color w:val="auto"/>
              </w:rPr>
            </w:pPr>
          </w:p>
        </w:tc>
        <w:tc>
          <w:tcPr>
            <w:tcW w:w="74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70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80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720" w:type="dxa"/>
            <w:vAlign w:val="bottom"/>
            <w:shd w:val="clear" w:color="auto" w:fill="E5E5E5"/>
          </w:tcPr>
          <w:p>
            <w:pPr>
              <w:spacing w:after="0"/>
              <w:rPr>
                <w:sz w:val="17"/>
                <w:szCs w:val="17"/>
                <w:color w:val="auto"/>
              </w:rPr>
            </w:pPr>
          </w:p>
        </w:tc>
      </w:tr>
      <w:tr>
        <w:trPr>
          <w:trHeight w:val="237"/>
        </w:trPr>
        <w:tc>
          <w:tcPr>
            <w:tcW w:w="400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b w:val="1"/>
                <w:bCs w:val="1"/>
                <w:color w:val="auto"/>
              </w:rPr>
              <w:t>Corporation</w:t>
            </w:r>
          </w:p>
        </w:tc>
        <w:tc>
          <w:tcPr>
            <w:tcW w:w="2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b w:val="1"/>
                <w:bCs w:val="1"/>
                <w:color w:val="auto"/>
                <w:w w:val="97"/>
              </w:rPr>
              <w:t>6,455</w:t>
            </w:r>
          </w:p>
        </w:tc>
        <w:tc>
          <w:tcPr>
            <w:tcW w:w="22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w w:val="84"/>
              </w:rPr>
              <w:t>6,729</w:t>
            </w:r>
          </w:p>
        </w:tc>
        <w:tc>
          <w:tcPr>
            <w:tcW w:w="3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b w:val="1"/>
                <w:bCs w:val="1"/>
                <w:color w:val="auto"/>
                <w:w w:val="84"/>
              </w:rPr>
              <w:t>6,215</w:t>
            </w:r>
          </w:p>
        </w:tc>
        <w:tc>
          <w:tcPr>
            <w:tcW w:w="24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b w:val="1"/>
                <w:bCs w:val="1"/>
                <w:color w:val="auto"/>
                <w:w w:val="93"/>
              </w:rPr>
              <w:t>4,809</w:t>
            </w:r>
          </w:p>
        </w:tc>
        <w:tc>
          <w:tcPr>
            <w:tcW w:w="38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b w:val="1"/>
                <w:bCs w:val="1"/>
                <w:color w:val="auto"/>
              </w:rPr>
              <w:t>2,298</w:t>
            </w:r>
          </w:p>
        </w:tc>
        <w:tc>
          <w:tcPr>
            <w:tcW w:w="24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b w:val="1"/>
                <w:bCs w:val="1"/>
                <w:color w:val="auto"/>
                <w:w w:val="94"/>
              </w:rPr>
              <w:t>10,631</w:t>
            </w:r>
          </w:p>
        </w:tc>
        <w:tc>
          <w:tcPr>
            <w:tcW w:w="28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b w:val="1"/>
                <w:bCs w:val="1"/>
                <w:color w:val="auto"/>
                <w:w w:val="98"/>
              </w:rPr>
              <w:t>(30,682)</w:t>
            </w:r>
          </w:p>
        </w:tc>
        <w:tc>
          <w:tcPr>
            <w:tcW w:w="22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rPr>
              <w:t>6,455</w:t>
            </w:r>
          </w:p>
        </w:tc>
      </w:tr>
      <w:tr>
        <w:trPr>
          <w:trHeight w:val="202"/>
        </w:trPr>
        <w:tc>
          <w:tcPr>
            <w:tcW w:w="4000" w:type="dxa"/>
            <w:vAlign w:val="bottom"/>
          </w:tcPr>
          <w:p>
            <w:pPr>
              <w:spacing w:after="0" w:line="201" w:lineRule="exact"/>
              <w:rPr>
                <w:sz w:val="20"/>
                <w:szCs w:val="20"/>
                <w:color w:val="auto"/>
              </w:rPr>
            </w:pPr>
            <w:r>
              <w:rPr>
                <w:rFonts w:ascii="Arial" w:cs="Arial" w:eastAsia="Arial" w:hAnsi="Arial"/>
                <w:sz w:val="18"/>
                <w:szCs w:val="18"/>
                <w:b w:val="1"/>
                <w:bCs w:val="1"/>
                <w:color w:val="auto"/>
              </w:rPr>
              <w:t>Comprehensive income (loss) attributable to</w:t>
            </w: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37"/>
        </w:trPr>
        <w:tc>
          <w:tcPr>
            <w:tcW w:w="400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Comcast Corporation</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b w:val="1"/>
                <w:bCs w:val="1"/>
                <w:color w:val="auto"/>
                <w:w w:val="97"/>
              </w:rPr>
              <w:t>6,402</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6,732</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84"/>
              </w:rPr>
              <w:t>6,217</w:t>
            </w:r>
          </w:p>
        </w:tc>
        <w:tc>
          <w:tcPr>
            <w:tcW w:w="2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93"/>
              </w:rPr>
              <w:t>4,809</w:t>
            </w:r>
          </w:p>
        </w:tc>
        <w:tc>
          <w:tcPr>
            <w:tcW w:w="3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2,302</w:t>
            </w:r>
          </w:p>
        </w:tc>
        <w:tc>
          <w:tcPr>
            <w:tcW w:w="2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w w:val="94"/>
              </w:rPr>
              <w:t>10,566</w:t>
            </w:r>
          </w:p>
        </w:tc>
        <w:tc>
          <w:tcPr>
            <w:tcW w:w="2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w w:val="98"/>
              </w:rPr>
              <w:t>(30,626)</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6,402</w:t>
            </w:r>
          </w:p>
        </w:tc>
      </w:tr>
      <w:tr>
        <w:trPr>
          <w:trHeight w:val="363"/>
        </w:trPr>
        <w:tc>
          <w:tcPr>
            <w:tcW w:w="4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22</w:t>
            </w: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September 30, 2015</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color w:val="auto"/>
                <w:w w:val="93"/>
              </w:rPr>
              <w:t>Elimination</w:t>
            </w: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Combined</w:t>
            </w: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jc w:val="right"/>
              <w:ind w:right="313"/>
              <w:spacing w:after="0" w:line="149" w:lineRule="exact"/>
              <w:rPr>
                <w:sz w:val="20"/>
                <w:szCs w:val="20"/>
                <w:color w:val="auto"/>
              </w:rPr>
            </w:pPr>
            <w:r>
              <w:rPr>
                <w:rFonts w:ascii="Arial" w:cs="Arial" w:eastAsia="Arial" w:hAnsi="Arial"/>
                <w:sz w:val="14"/>
                <w:szCs w:val="14"/>
                <w:color w:val="auto"/>
              </w:rPr>
              <w:t>Non-</w:t>
            </w:r>
          </w:p>
        </w:tc>
        <w:tc>
          <w:tcPr>
            <w:tcW w:w="340" w:type="dxa"/>
            <w:vAlign w:val="bottom"/>
          </w:tcPr>
          <w:p>
            <w:pPr>
              <w:spacing w:after="0"/>
              <w:rPr>
                <w:sz w:val="12"/>
                <w:szCs w:val="12"/>
                <w:color w:val="auto"/>
              </w:rPr>
            </w:pPr>
          </w:p>
        </w:tc>
        <w:tc>
          <w:tcPr>
            <w:tcW w:w="740" w:type="dxa"/>
            <w:vAlign w:val="bottom"/>
          </w:tcPr>
          <w:p>
            <w:pPr>
              <w:jc w:val="center"/>
              <w:ind w:right="253"/>
              <w:spacing w:after="0" w:line="149" w:lineRule="exact"/>
              <w:rPr>
                <w:sz w:val="20"/>
                <w:szCs w:val="20"/>
                <w:color w:val="auto"/>
              </w:rPr>
            </w:pPr>
            <w:r>
              <w:rPr>
                <w:rFonts w:ascii="Arial" w:cs="Arial" w:eastAsia="Arial" w:hAnsi="Arial"/>
                <w:sz w:val="14"/>
                <w:szCs w:val="14"/>
                <w:color w:val="auto"/>
                <w:w w:val="85"/>
              </w:rPr>
              <w:t>and</w:t>
            </w:r>
          </w:p>
        </w:tc>
        <w:tc>
          <w:tcPr>
            <w:tcW w:w="1000" w:type="dxa"/>
            <w:vAlign w:val="bottom"/>
            <w:gridSpan w:val="2"/>
          </w:tcPr>
          <w:p>
            <w:pPr>
              <w:ind w:left="180"/>
              <w:spacing w:after="0" w:line="149" w:lineRule="exact"/>
              <w:rPr>
                <w:sz w:val="20"/>
                <w:szCs w:val="20"/>
                <w:color w:val="auto"/>
              </w:rPr>
            </w:pPr>
            <w:r>
              <w:rPr>
                <w:rFonts w:ascii="Arial" w:cs="Arial" w:eastAsia="Arial" w:hAnsi="Arial"/>
                <w:sz w:val="14"/>
                <w:szCs w:val="14"/>
                <w:color w:val="auto"/>
                <w:w w:val="97"/>
              </w:rPr>
              <w:t>Consolidated</w:t>
            </w:r>
          </w:p>
        </w:tc>
      </w:tr>
      <w:tr>
        <w:trPr>
          <w:trHeight w:val="149"/>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880" w:type="dxa"/>
            <w:vAlign w:val="bottom"/>
            <w:gridSpan w:val="2"/>
          </w:tcPr>
          <w:p>
            <w:pPr>
              <w:jc w:val="right"/>
              <w:ind w:right="153"/>
              <w:spacing w:after="0" w:line="149" w:lineRule="exact"/>
              <w:rPr>
                <w:sz w:val="20"/>
                <w:szCs w:val="20"/>
                <w:color w:val="auto"/>
              </w:rPr>
            </w:pPr>
            <w:r>
              <w:rPr>
                <w:rFonts w:ascii="Arial" w:cs="Arial" w:eastAsia="Arial" w:hAnsi="Arial"/>
                <w:sz w:val="14"/>
                <w:szCs w:val="14"/>
                <w:color w:val="auto"/>
              </w:rPr>
              <w:t>Comcast</w:t>
            </w:r>
          </w:p>
        </w:tc>
        <w:tc>
          <w:tcPr>
            <w:tcW w:w="8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Comcast</w:t>
            </w:r>
          </w:p>
        </w:tc>
        <w:tc>
          <w:tcPr>
            <w:tcW w:w="7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CCCL</w:t>
            </w:r>
          </w:p>
        </w:tc>
        <w:tc>
          <w:tcPr>
            <w:tcW w:w="920" w:type="dxa"/>
            <w:vAlign w:val="bottom"/>
            <w:gridSpan w:val="2"/>
          </w:tcPr>
          <w:p>
            <w:pPr>
              <w:jc w:val="right"/>
              <w:ind w:right="152"/>
              <w:spacing w:after="0" w:line="149" w:lineRule="exact"/>
              <w:rPr>
                <w:sz w:val="20"/>
                <w:szCs w:val="20"/>
                <w:color w:val="auto"/>
              </w:rPr>
            </w:pPr>
            <w:r>
              <w:rPr>
                <w:rFonts w:ascii="Arial" w:cs="Arial" w:eastAsia="Arial" w:hAnsi="Arial"/>
                <w:sz w:val="14"/>
                <w:szCs w:val="14"/>
                <w:color w:val="auto"/>
              </w:rPr>
              <w:t>CCHMO</w:t>
            </w:r>
          </w:p>
        </w:tc>
        <w:tc>
          <w:tcPr>
            <w:tcW w:w="11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NBCUniversal</w:t>
            </w:r>
          </w:p>
        </w:tc>
        <w:tc>
          <w:tcPr>
            <w:tcW w:w="1020" w:type="dxa"/>
            <w:vAlign w:val="bottom"/>
            <w:gridSpan w:val="2"/>
          </w:tcPr>
          <w:p>
            <w:pPr>
              <w:jc w:val="right"/>
              <w:ind w:right="173"/>
              <w:spacing w:after="0" w:line="149" w:lineRule="exact"/>
              <w:rPr>
                <w:sz w:val="20"/>
                <w:szCs w:val="20"/>
                <w:color w:val="auto"/>
              </w:rPr>
            </w:pPr>
            <w:r>
              <w:rPr>
                <w:rFonts w:ascii="Arial" w:cs="Arial" w:eastAsia="Arial" w:hAnsi="Arial"/>
                <w:sz w:val="14"/>
                <w:szCs w:val="14"/>
                <w:color w:val="auto"/>
              </w:rPr>
              <w:t>Guarantor</w:t>
            </w:r>
          </w:p>
        </w:tc>
        <w:tc>
          <w:tcPr>
            <w:tcW w:w="1080" w:type="dxa"/>
            <w:vAlign w:val="bottom"/>
            <w:gridSpan w:val="2"/>
          </w:tcPr>
          <w:p>
            <w:pPr>
              <w:jc w:val="right"/>
              <w:ind w:right="73"/>
              <w:spacing w:after="0" w:line="149" w:lineRule="exact"/>
              <w:rPr>
                <w:sz w:val="20"/>
                <w:szCs w:val="20"/>
                <w:color w:val="auto"/>
              </w:rPr>
            </w:pPr>
            <w:r>
              <w:rPr>
                <w:rFonts w:ascii="Arial" w:cs="Arial" w:eastAsia="Arial" w:hAnsi="Arial"/>
                <w:sz w:val="14"/>
                <w:szCs w:val="14"/>
                <w:color w:val="auto"/>
              </w:rPr>
              <w:t>Consolidation</w:t>
            </w:r>
          </w:p>
        </w:tc>
        <w:tc>
          <w:tcPr>
            <w:tcW w:w="280" w:type="dxa"/>
            <w:vAlign w:val="bottom"/>
          </w:tcPr>
          <w:p>
            <w:pPr>
              <w:spacing w:after="0"/>
              <w:rPr>
                <w:sz w:val="12"/>
                <w:szCs w:val="12"/>
                <w:color w:val="auto"/>
              </w:rPr>
            </w:pPr>
          </w:p>
        </w:tc>
        <w:tc>
          <w:tcPr>
            <w:tcW w:w="720" w:type="dxa"/>
            <w:vAlign w:val="bottom"/>
          </w:tcPr>
          <w:p>
            <w:pPr>
              <w:jc w:val="right"/>
              <w:ind w:right="133"/>
              <w:spacing w:after="0" w:line="149" w:lineRule="exact"/>
              <w:rPr>
                <w:sz w:val="20"/>
                <w:szCs w:val="20"/>
                <w:color w:val="auto"/>
              </w:rPr>
            </w:pPr>
            <w:r>
              <w:rPr>
                <w:rFonts w:ascii="Arial" w:cs="Arial" w:eastAsia="Arial" w:hAnsi="Arial"/>
                <w:sz w:val="14"/>
                <w:szCs w:val="14"/>
                <w:color w:val="auto"/>
                <w:w w:val="86"/>
              </w:rPr>
              <w:t>Comcast</w:t>
            </w:r>
          </w:p>
        </w:tc>
      </w:tr>
      <w:tr>
        <w:trPr>
          <w:trHeight w:val="173"/>
        </w:trPr>
        <w:tc>
          <w:tcPr>
            <w:tcW w:w="380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220" w:type="dxa"/>
            <w:vAlign w:val="bottom"/>
          </w:tcPr>
          <w:p>
            <w:pPr>
              <w:spacing w:after="0"/>
              <w:rPr>
                <w:sz w:val="15"/>
                <w:szCs w:val="15"/>
                <w:color w:val="auto"/>
              </w:rPr>
            </w:pPr>
          </w:p>
        </w:tc>
        <w:tc>
          <w:tcPr>
            <w:tcW w:w="660" w:type="dxa"/>
            <w:vAlign w:val="bottom"/>
          </w:tcPr>
          <w:p>
            <w:pPr>
              <w:jc w:val="right"/>
              <w:ind w:right="213"/>
              <w:spacing w:after="0"/>
              <w:rPr>
                <w:sz w:val="20"/>
                <w:szCs w:val="20"/>
                <w:color w:val="auto"/>
              </w:rPr>
            </w:pPr>
            <w:r>
              <w:rPr>
                <w:rFonts w:ascii="Arial" w:cs="Arial" w:eastAsia="Arial" w:hAnsi="Arial"/>
                <w:sz w:val="14"/>
                <w:szCs w:val="14"/>
                <w:color w:val="auto"/>
                <w:w w:val="82"/>
              </w:rPr>
              <w:t>Parent</w:t>
            </w:r>
          </w:p>
        </w:tc>
        <w:tc>
          <w:tcPr>
            <w:tcW w:w="820" w:type="dxa"/>
            <w:vAlign w:val="bottom"/>
            <w:gridSpan w:val="2"/>
          </w:tcPr>
          <w:p>
            <w:pPr>
              <w:ind w:left="160"/>
              <w:spacing w:after="0"/>
              <w:rPr>
                <w:sz w:val="20"/>
                <w:szCs w:val="20"/>
                <w:color w:val="auto"/>
              </w:rPr>
            </w:pPr>
            <w:r>
              <w:rPr>
                <w:rFonts w:ascii="Arial" w:cs="Arial" w:eastAsia="Arial" w:hAnsi="Arial"/>
                <w:sz w:val="14"/>
                <w:szCs w:val="14"/>
                <w:color w:val="auto"/>
              </w:rPr>
              <w:t>Holdings</w:t>
            </w:r>
          </w:p>
        </w:tc>
        <w:tc>
          <w:tcPr>
            <w:tcW w:w="740" w:type="dxa"/>
            <w:vAlign w:val="bottom"/>
            <w:gridSpan w:val="2"/>
          </w:tcPr>
          <w:p>
            <w:pPr>
              <w:ind w:left="200"/>
              <w:spacing w:after="0"/>
              <w:rPr>
                <w:sz w:val="20"/>
                <w:szCs w:val="20"/>
                <w:color w:val="auto"/>
              </w:rPr>
            </w:pPr>
            <w:r>
              <w:rPr>
                <w:rFonts w:ascii="Arial" w:cs="Arial" w:eastAsia="Arial" w:hAnsi="Arial"/>
                <w:sz w:val="14"/>
                <w:szCs w:val="14"/>
                <w:color w:val="auto"/>
              </w:rPr>
              <w:t>Parent</w:t>
            </w:r>
          </w:p>
        </w:tc>
        <w:tc>
          <w:tcPr>
            <w:tcW w:w="920" w:type="dxa"/>
            <w:vAlign w:val="bottom"/>
            <w:gridSpan w:val="2"/>
          </w:tcPr>
          <w:p>
            <w:pPr>
              <w:jc w:val="right"/>
              <w:ind w:right="192"/>
              <w:spacing w:after="0"/>
              <w:rPr>
                <w:sz w:val="20"/>
                <w:szCs w:val="20"/>
                <w:color w:val="auto"/>
              </w:rPr>
            </w:pPr>
            <w:r>
              <w:rPr>
                <w:rFonts w:ascii="Arial" w:cs="Arial" w:eastAsia="Arial" w:hAnsi="Arial"/>
                <w:sz w:val="14"/>
                <w:szCs w:val="14"/>
                <w:color w:val="auto"/>
              </w:rPr>
              <w:t>Parents</w:t>
            </w:r>
          </w:p>
        </w:tc>
        <w:tc>
          <w:tcPr>
            <w:tcW w:w="1160" w:type="dxa"/>
            <w:vAlign w:val="bottom"/>
            <w:gridSpan w:val="2"/>
          </w:tcPr>
          <w:p>
            <w:pPr>
              <w:jc w:val="right"/>
              <w:ind w:right="152"/>
              <w:spacing w:after="0"/>
              <w:rPr>
                <w:sz w:val="20"/>
                <w:szCs w:val="20"/>
                <w:color w:val="auto"/>
              </w:rPr>
            </w:pPr>
            <w:r>
              <w:rPr>
                <w:rFonts w:ascii="Arial" w:cs="Arial" w:eastAsia="Arial" w:hAnsi="Arial"/>
                <w:sz w:val="14"/>
                <w:szCs w:val="14"/>
                <w:color w:val="auto"/>
              </w:rPr>
              <w:t>Media Parent</w:t>
            </w:r>
          </w:p>
        </w:tc>
        <w:tc>
          <w:tcPr>
            <w:tcW w:w="1020" w:type="dxa"/>
            <w:vAlign w:val="bottom"/>
            <w:gridSpan w:val="2"/>
          </w:tcPr>
          <w:p>
            <w:pPr>
              <w:ind w:left="160"/>
              <w:spacing w:after="0"/>
              <w:rPr>
                <w:sz w:val="20"/>
                <w:szCs w:val="20"/>
                <w:color w:val="auto"/>
              </w:rPr>
            </w:pPr>
            <w:r>
              <w:rPr>
                <w:rFonts w:ascii="Arial" w:cs="Arial" w:eastAsia="Arial" w:hAnsi="Arial"/>
                <w:sz w:val="14"/>
                <w:szCs w:val="14"/>
                <w:color w:val="auto"/>
              </w:rPr>
              <w:t>Subsidiaries</w:t>
            </w:r>
          </w:p>
        </w:tc>
        <w:tc>
          <w:tcPr>
            <w:tcW w:w="1080" w:type="dxa"/>
            <w:vAlign w:val="bottom"/>
            <w:gridSpan w:val="2"/>
          </w:tcPr>
          <w:p>
            <w:pPr>
              <w:jc w:val="center"/>
              <w:spacing w:after="0"/>
              <w:rPr>
                <w:sz w:val="20"/>
                <w:szCs w:val="20"/>
                <w:color w:val="auto"/>
              </w:rPr>
            </w:pPr>
            <w:r>
              <w:rPr>
                <w:rFonts w:ascii="Arial" w:cs="Arial" w:eastAsia="Arial" w:hAnsi="Arial"/>
                <w:sz w:val="14"/>
                <w:szCs w:val="14"/>
                <w:color w:val="auto"/>
                <w:w w:val="88"/>
              </w:rPr>
              <w:t>Adjustments</w:t>
            </w:r>
          </w:p>
        </w:tc>
        <w:tc>
          <w:tcPr>
            <w:tcW w:w="1000" w:type="dxa"/>
            <w:vAlign w:val="bottom"/>
            <w:gridSpan w:val="2"/>
          </w:tcPr>
          <w:p>
            <w:pPr>
              <w:jc w:val="right"/>
              <w:ind w:right="53"/>
              <w:spacing w:after="0"/>
              <w:rPr>
                <w:sz w:val="20"/>
                <w:szCs w:val="20"/>
                <w:color w:val="auto"/>
              </w:rPr>
            </w:pPr>
            <w:r>
              <w:rPr>
                <w:rFonts w:ascii="Arial" w:cs="Arial" w:eastAsia="Arial" w:hAnsi="Arial"/>
                <w:sz w:val="14"/>
                <w:szCs w:val="14"/>
                <w:color w:val="auto"/>
              </w:rPr>
              <w:t>Corporation</w:t>
            </w:r>
          </w:p>
        </w:tc>
      </w:tr>
      <w:tr>
        <w:trPr>
          <w:trHeight w:val="210"/>
        </w:trPr>
        <w:tc>
          <w:tcPr>
            <w:tcW w:w="20" w:type="dxa"/>
            <w:vAlign w:val="bottom"/>
          </w:tcPr>
          <w:p>
            <w:pPr>
              <w:spacing w:after="0"/>
              <w:rPr>
                <w:sz w:val="18"/>
                <w:szCs w:val="18"/>
                <w:color w:val="auto"/>
              </w:rPr>
            </w:pPr>
          </w:p>
        </w:tc>
        <w:tc>
          <w:tcPr>
            <w:tcW w:w="3780" w:type="dxa"/>
            <w:vAlign w:val="bottom"/>
            <w:tcBorders>
              <w:top w:val="single" w:sz="8" w:color="auto"/>
              <w:bottom w:val="single" w:sz="8" w:color="auto"/>
            </w:tcBorders>
            <w:shd w:val="clear" w:color="auto" w:fill="E5E5E5"/>
          </w:tcPr>
          <w:p>
            <w:pPr>
              <w:spacing w:after="0"/>
              <w:rPr>
                <w:sz w:val="20"/>
                <w:szCs w:val="20"/>
                <w:color w:val="auto"/>
              </w:rPr>
            </w:pPr>
            <w:r>
              <w:rPr>
                <w:rFonts w:ascii="Arial" w:cs="Arial" w:eastAsia="Arial" w:hAnsi="Arial"/>
                <w:sz w:val="18"/>
                <w:szCs w:val="18"/>
                <w:color w:val="auto"/>
                <w:w w:val="94"/>
              </w:rPr>
              <w:t>Net cash provided by (used in) operating activities</w:t>
            </w:r>
          </w:p>
        </w:tc>
        <w:tc>
          <w:tcPr>
            <w:tcW w:w="22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(725)</w:t>
            </w:r>
          </w:p>
        </w:tc>
        <w:tc>
          <w:tcPr>
            <w:tcW w:w="320" w:type="dxa"/>
            <w:vAlign w:val="bottom"/>
            <w:tcBorders>
              <w:top w:val="single" w:sz="8" w:color="auto"/>
              <w:bottom w:val="single" w:sz="8" w:color="auto"/>
            </w:tcBorders>
            <w:shd w:val="clear" w:color="auto" w:fill="E5E5E5"/>
          </w:tcPr>
          <w:p>
            <w:pPr>
              <w:ind w:left="140"/>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51</w:t>
            </w:r>
          </w:p>
        </w:tc>
        <w:tc>
          <w:tcPr>
            <w:tcW w:w="320" w:type="dxa"/>
            <w:vAlign w:val="bottom"/>
            <w:tcBorders>
              <w:top w:val="single" w:sz="8" w:color="auto"/>
              <w:bottom w:val="single" w:sz="8" w:color="auto"/>
            </w:tcBorders>
            <w:shd w:val="clear" w:color="auto" w:fill="E5E5E5"/>
          </w:tcPr>
          <w:p>
            <w:pPr>
              <w:ind w:left="180"/>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w w:val="99"/>
              </w:rPr>
              <w:t>69</w:t>
            </w:r>
          </w:p>
        </w:tc>
        <w:tc>
          <w:tcPr>
            <w:tcW w:w="320" w:type="dxa"/>
            <w:vAlign w:val="bottom"/>
            <w:tcBorders>
              <w:top w:val="single" w:sz="8" w:color="auto"/>
              <w:bottom w:val="single" w:sz="8" w:color="auto"/>
            </w:tcBorders>
            <w:shd w:val="clear" w:color="auto" w:fill="E5E5E5"/>
          </w:tcPr>
          <w:p>
            <w:pPr>
              <w:ind w:left="160"/>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rPr>
              <w:t>(93)</w:t>
            </w:r>
          </w:p>
        </w:tc>
        <w:tc>
          <w:tcPr>
            <w:tcW w:w="380" w:type="dxa"/>
            <w:vAlign w:val="bottom"/>
            <w:tcBorders>
              <w:top w:val="single" w:sz="8" w:color="auto"/>
              <w:bottom w:val="single" w:sz="8" w:color="auto"/>
            </w:tcBorders>
            <w:shd w:val="clear" w:color="auto" w:fill="E5E5E5"/>
          </w:tcPr>
          <w:p>
            <w:pPr>
              <w:ind w:left="16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rPr>
              <w:t>(1,019)</w:t>
            </w:r>
          </w:p>
        </w:tc>
        <w:tc>
          <w:tcPr>
            <w:tcW w:w="260" w:type="dxa"/>
            <w:vAlign w:val="bottom"/>
            <w:tcBorders>
              <w:top w:val="single" w:sz="8" w:color="auto"/>
              <w:bottom w:val="single" w:sz="8" w:color="auto"/>
            </w:tcBorders>
            <w:shd w:val="clear" w:color="auto" w:fill="E5E5E5"/>
          </w:tcPr>
          <w:p>
            <w:pPr>
              <w:ind w:left="16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w w:val="98"/>
              </w:rPr>
              <w:t>15,530</w:t>
            </w:r>
          </w:p>
        </w:tc>
        <w:tc>
          <w:tcPr>
            <w:tcW w:w="340" w:type="dxa"/>
            <w:vAlign w:val="bottom"/>
            <w:tcBorders>
              <w:top w:val="single" w:sz="8" w:color="auto"/>
              <w:bottom w:val="single" w:sz="8" w:color="auto"/>
            </w:tcBorders>
            <w:shd w:val="clear" w:color="auto" w:fill="E5E5E5"/>
          </w:tcPr>
          <w:p>
            <w:pPr>
              <w:jc w:val="right"/>
              <w:ind w:right="24"/>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shd w:val="clear" w:color="auto" w:fill="E5E5E5"/>
          </w:tcPr>
          <w:p>
            <w:pPr>
              <w:ind w:left="18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13,813</w:t>
            </w:r>
          </w:p>
        </w:tc>
      </w:tr>
      <w:tr>
        <w:trPr>
          <w:trHeight w:val="210"/>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Net transactions with affiliates</w:t>
            </w:r>
          </w:p>
        </w:tc>
        <w:tc>
          <w:tcPr>
            <w:tcW w:w="22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w w:val="97"/>
              </w:rPr>
              <w:t>6,786</w:t>
            </w:r>
          </w:p>
        </w:tc>
        <w:tc>
          <w:tcPr>
            <w:tcW w:w="32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(51)</w:t>
            </w:r>
          </w:p>
        </w:tc>
        <w:tc>
          <w:tcPr>
            <w:tcW w:w="320" w:type="dxa"/>
            <w:vAlign w:val="bottom"/>
            <w:shd w:val="clear" w:color="auto" w:fill="E5E5E5"/>
          </w:tcPr>
          <w:p>
            <w:pPr>
              <w:spacing w:after="0"/>
              <w:rPr>
                <w:sz w:val="18"/>
                <w:szCs w:val="18"/>
                <w:color w:val="auto"/>
              </w:rPr>
            </w:pPr>
          </w:p>
        </w:tc>
        <w:tc>
          <w:tcPr>
            <w:tcW w:w="42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w w:val="81"/>
              </w:rPr>
              <w:t>(69)</w:t>
            </w:r>
          </w:p>
        </w:tc>
        <w:tc>
          <w:tcPr>
            <w:tcW w:w="3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766</w:t>
            </w:r>
          </w:p>
        </w:tc>
        <w:tc>
          <w:tcPr>
            <w:tcW w:w="38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2,249</w:t>
            </w:r>
          </w:p>
        </w:tc>
        <w:tc>
          <w:tcPr>
            <w:tcW w:w="26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(9,681)</w:t>
            </w: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780" w:type="dxa"/>
            <w:vAlign w:val="bottom"/>
          </w:tcPr>
          <w:p>
            <w:pPr>
              <w:ind w:left="200"/>
              <w:spacing w:after="0"/>
              <w:rPr>
                <w:sz w:val="20"/>
                <w:szCs w:val="20"/>
                <w:color w:val="auto"/>
              </w:rPr>
            </w:pPr>
            <w:r>
              <w:rPr>
                <w:rFonts w:ascii="Arial" w:cs="Arial" w:eastAsia="Arial" w:hAnsi="Arial"/>
                <w:sz w:val="18"/>
                <w:szCs w:val="18"/>
                <w:color w:val="auto"/>
              </w:rPr>
              <w:t>Capital expenditures</w:t>
            </w:r>
          </w:p>
        </w:tc>
        <w:tc>
          <w:tcPr>
            <w:tcW w:w="220" w:type="dxa"/>
            <w:vAlign w:val="bottom"/>
          </w:tcPr>
          <w:p>
            <w:pPr>
              <w:spacing w:after="0"/>
              <w:rPr>
                <w:sz w:val="18"/>
                <w:szCs w:val="18"/>
                <w:color w:val="auto"/>
              </w:rPr>
            </w:pPr>
          </w:p>
        </w:tc>
        <w:tc>
          <w:tcPr>
            <w:tcW w:w="660" w:type="dxa"/>
            <w:vAlign w:val="bottom"/>
          </w:tcPr>
          <w:p>
            <w:pPr>
              <w:jc w:val="right"/>
              <w:ind w:right="53"/>
              <w:spacing w:after="0"/>
              <w:rPr>
                <w:sz w:val="20"/>
                <w:szCs w:val="20"/>
                <w:color w:val="auto"/>
              </w:rPr>
            </w:pPr>
            <w:r>
              <w:rPr>
                <w:rFonts w:ascii="Arial" w:cs="Arial" w:eastAsia="Arial" w:hAnsi="Arial"/>
                <w:sz w:val="18"/>
                <w:szCs w:val="18"/>
                <w:color w:val="auto"/>
              </w:rPr>
              <w:t>(19)</w:t>
            </w:r>
          </w:p>
        </w:tc>
        <w:tc>
          <w:tcPr>
            <w:tcW w:w="320" w:type="dxa"/>
            <w:vAlign w:val="bottom"/>
          </w:tcPr>
          <w:p>
            <w:pPr>
              <w:spacing w:after="0"/>
              <w:rPr>
                <w:sz w:val="18"/>
                <w:szCs w:val="18"/>
                <w:color w:val="auto"/>
              </w:rPr>
            </w:pPr>
          </w:p>
        </w:tc>
        <w:tc>
          <w:tcPr>
            <w:tcW w:w="5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4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60" w:type="dxa"/>
            <w:vAlign w:val="bottom"/>
          </w:tcPr>
          <w:p>
            <w:pPr>
              <w:jc w:val="right"/>
              <w:ind w:right="53"/>
              <w:spacing w:after="0"/>
              <w:rPr>
                <w:sz w:val="20"/>
                <w:szCs w:val="20"/>
                <w:color w:val="auto"/>
              </w:rPr>
            </w:pPr>
            <w:r>
              <w:rPr>
                <w:rFonts w:ascii="Arial" w:cs="Arial" w:eastAsia="Arial" w:hAnsi="Arial"/>
                <w:sz w:val="18"/>
                <w:szCs w:val="18"/>
                <w:color w:val="auto"/>
              </w:rPr>
              <w:t>(5,843)</w:t>
            </w:r>
          </w:p>
        </w:tc>
        <w:tc>
          <w:tcPr>
            <w:tcW w:w="340" w:type="dxa"/>
            <w:vAlign w:val="bottom"/>
          </w:tcPr>
          <w:p>
            <w:pPr>
              <w:spacing w:after="0"/>
              <w:rPr>
                <w:sz w:val="18"/>
                <w:szCs w:val="18"/>
                <w:color w:val="auto"/>
              </w:rPr>
            </w:pP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(5,862)</w:t>
            </w:r>
          </w:p>
        </w:tc>
      </w:tr>
      <w:tr>
        <w:trPr>
          <w:trHeight w:val="216"/>
        </w:trPr>
        <w:tc>
          <w:tcPr>
            <w:tcW w:w="20" w:type="dxa"/>
            <w:vAlign w:val="bottom"/>
          </w:tcPr>
          <w:p>
            <w:pPr>
              <w:spacing w:after="0"/>
              <w:rPr>
                <w:sz w:val="18"/>
                <w:szCs w:val="18"/>
                <w:color w:val="auto"/>
              </w:rPr>
            </w:pPr>
          </w:p>
        </w:tc>
        <w:tc>
          <w:tcPr>
            <w:tcW w:w="37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Cash paid for intangible assets</w:t>
            </w:r>
          </w:p>
        </w:tc>
        <w:tc>
          <w:tcPr>
            <w:tcW w:w="22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(3)</w:t>
            </w:r>
          </w:p>
        </w:tc>
        <w:tc>
          <w:tcPr>
            <w:tcW w:w="32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42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(913)</w:t>
            </w: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(916)</w:t>
            </w:r>
          </w:p>
        </w:tc>
      </w:tr>
      <w:tr>
        <w:trPr>
          <w:trHeight w:val="208"/>
        </w:trPr>
        <w:tc>
          <w:tcPr>
            <w:tcW w:w="20" w:type="dxa"/>
            <w:vAlign w:val="bottom"/>
          </w:tcPr>
          <w:p>
            <w:pPr>
              <w:spacing w:after="0"/>
              <w:rPr>
                <w:sz w:val="18"/>
                <w:szCs w:val="18"/>
                <w:color w:val="auto"/>
              </w:rPr>
            </w:pPr>
          </w:p>
        </w:tc>
        <w:tc>
          <w:tcPr>
            <w:tcW w:w="3780" w:type="dxa"/>
            <w:vAlign w:val="bottom"/>
          </w:tcPr>
          <w:p>
            <w:pPr>
              <w:ind w:left="200"/>
              <w:spacing w:after="0"/>
              <w:rPr>
                <w:sz w:val="20"/>
                <w:szCs w:val="20"/>
                <w:color w:val="auto"/>
              </w:rPr>
            </w:pPr>
            <w:r>
              <w:rPr>
                <w:rFonts w:ascii="Arial" w:cs="Arial" w:eastAsia="Arial" w:hAnsi="Arial"/>
                <w:sz w:val="18"/>
                <w:szCs w:val="18"/>
                <w:color w:val="auto"/>
              </w:rPr>
              <w:t>Acquisitions and construction of real estate</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780" w:type="dxa"/>
            <w:vAlign w:val="bottom"/>
          </w:tcPr>
          <w:p>
            <w:pPr>
              <w:ind w:left="420"/>
              <w:spacing w:after="0"/>
              <w:rPr>
                <w:sz w:val="20"/>
                <w:szCs w:val="20"/>
                <w:color w:val="auto"/>
              </w:rPr>
            </w:pPr>
            <w:r>
              <w:rPr>
                <w:rFonts w:ascii="Arial" w:cs="Arial" w:eastAsia="Arial" w:hAnsi="Arial"/>
                <w:sz w:val="18"/>
                <w:szCs w:val="18"/>
                <w:color w:val="auto"/>
              </w:rPr>
              <w:t>properties</w:t>
            </w:r>
          </w:p>
        </w:tc>
        <w:tc>
          <w:tcPr>
            <w:tcW w:w="220" w:type="dxa"/>
            <w:vAlign w:val="bottom"/>
          </w:tcPr>
          <w:p>
            <w:pPr>
              <w:spacing w:after="0"/>
              <w:rPr>
                <w:sz w:val="19"/>
                <w:szCs w:val="19"/>
                <w:color w:val="auto"/>
              </w:rPr>
            </w:pPr>
          </w:p>
        </w:tc>
        <w:tc>
          <w:tcPr>
            <w:tcW w:w="66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5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4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6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7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60" w:type="dxa"/>
            <w:vAlign w:val="bottom"/>
          </w:tcPr>
          <w:p>
            <w:pPr>
              <w:jc w:val="right"/>
              <w:ind w:right="53"/>
              <w:spacing w:after="0"/>
              <w:rPr>
                <w:sz w:val="20"/>
                <w:szCs w:val="20"/>
                <w:color w:val="auto"/>
              </w:rPr>
            </w:pPr>
            <w:r>
              <w:rPr>
                <w:rFonts w:ascii="Arial" w:cs="Arial" w:eastAsia="Arial" w:hAnsi="Arial"/>
                <w:sz w:val="18"/>
                <w:szCs w:val="18"/>
                <w:color w:val="auto"/>
              </w:rPr>
              <w:t>(116)</w:t>
            </w:r>
          </w:p>
        </w:tc>
        <w:tc>
          <w:tcPr>
            <w:tcW w:w="340" w:type="dxa"/>
            <w:vAlign w:val="bottom"/>
          </w:tcPr>
          <w:p>
            <w:pPr>
              <w:spacing w:after="0"/>
              <w:rPr>
                <w:sz w:val="19"/>
                <w:szCs w:val="19"/>
                <w:color w:val="auto"/>
              </w:rPr>
            </w:pP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17"/>
        </w:trPr>
        <w:tc>
          <w:tcPr>
            <w:tcW w:w="20" w:type="dxa"/>
            <w:vAlign w:val="bottom"/>
          </w:tcPr>
          <w:p>
            <w:pPr>
              <w:spacing w:after="0"/>
              <w:rPr>
                <w:sz w:val="18"/>
                <w:szCs w:val="18"/>
                <w:color w:val="auto"/>
              </w:rPr>
            </w:pPr>
          </w:p>
        </w:tc>
        <w:tc>
          <w:tcPr>
            <w:tcW w:w="37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Acquisitions, net of cash acquired</w:t>
            </w:r>
          </w:p>
        </w:tc>
        <w:tc>
          <w:tcPr>
            <w:tcW w:w="22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42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(286)</w:t>
            </w: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(286)</w:t>
            </w:r>
          </w:p>
        </w:tc>
      </w:tr>
      <w:tr>
        <w:trPr>
          <w:trHeight w:val="208"/>
        </w:trPr>
        <w:tc>
          <w:tcPr>
            <w:tcW w:w="20" w:type="dxa"/>
            <w:vAlign w:val="bottom"/>
          </w:tcPr>
          <w:p>
            <w:pPr>
              <w:spacing w:after="0"/>
              <w:rPr>
                <w:sz w:val="18"/>
                <w:szCs w:val="18"/>
                <w:color w:val="auto"/>
              </w:rPr>
            </w:pPr>
          </w:p>
        </w:tc>
        <w:tc>
          <w:tcPr>
            <w:tcW w:w="3780" w:type="dxa"/>
            <w:vAlign w:val="bottom"/>
          </w:tcPr>
          <w:p>
            <w:pPr>
              <w:ind w:left="200"/>
              <w:spacing w:after="0"/>
              <w:rPr>
                <w:sz w:val="20"/>
                <w:szCs w:val="20"/>
                <w:color w:val="auto"/>
              </w:rPr>
            </w:pPr>
            <w:r>
              <w:rPr>
                <w:rFonts w:ascii="Arial" w:cs="Arial" w:eastAsia="Arial" w:hAnsi="Arial"/>
                <w:sz w:val="18"/>
                <w:szCs w:val="18"/>
                <w:color w:val="auto"/>
              </w:rPr>
              <w:t>Proceeds from sales of businesses and</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780" w:type="dxa"/>
            <w:vAlign w:val="bottom"/>
          </w:tcPr>
          <w:p>
            <w:pPr>
              <w:ind w:left="420"/>
              <w:spacing w:after="0"/>
              <w:rPr>
                <w:sz w:val="20"/>
                <w:szCs w:val="20"/>
                <w:color w:val="auto"/>
              </w:rPr>
            </w:pPr>
            <w:r>
              <w:rPr>
                <w:rFonts w:ascii="Arial" w:cs="Arial" w:eastAsia="Arial" w:hAnsi="Arial"/>
                <w:sz w:val="18"/>
                <w:szCs w:val="18"/>
                <w:color w:val="auto"/>
              </w:rPr>
              <w:t>investments</w:t>
            </w:r>
          </w:p>
        </w:tc>
        <w:tc>
          <w:tcPr>
            <w:tcW w:w="220" w:type="dxa"/>
            <w:vAlign w:val="bottom"/>
          </w:tcPr>
          <w:p>
            <w:pPr>
              <w:spacing w:after="0"/>
              <w:rPr>
                <w:sz w:val="19"/>
                <w:szCs w:val="19"/>
                <w:color w:val="auto"/>
              </w:rPr>
            </w:pPr>
          </w:p>
        </w:tc>
        <w:tc>
          <w:tcPr>
            <w:tcW w:w="66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5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4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6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780" w:type="dxa"/>
            <w:vAlign w:val="bottom"/>
          </w:tcPr>
          <w:p>
            <w:pPr>
              <w:jc w:val="right"/>
              <w:ind w:right="112"/>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9"/>
                <w:szCs w:val="19"/>
                <w:color w:val="auto"/>
              </w:rPr>
            </w:pPr>
          </w:p>
        </w:tc>
        <w:tc>
          <w:tcPr>
            <w:tcW w:w="760" w:type="dxa"/>
            <w:vAlign w:val="bottom"/>
          </w:tcPr>
          <w:p>
            <w:pPr>
              <w:jc w:val="right"/>
              <w:ind w:right="113"/>
              <w:spacing w:after="0"/>
              <w:rPr>
                <w:sz w:val="20"/>
                <w:szCs w:val="20"/>
                <w:color w:val="auto"/>
              </w:rPr>
            </w:pPr>
            <w:r>
              <w:rPr>
                <w:rFonts w:ascii="Arial" w:cs="Arial" w:eastAsia="Arial" w:hAnsi="Arial"/>
                <w:sz w:val="18"/>
                <w:szCs w:val="18"/>
                <w:color w:val="auto"/>
              </w:rPr>
              <w:t>419</w:t>
            </w:r>
          </w:p>
        </w:tc>
        <w:tc>
          <w:tcPr>
            <w:tcW w:w="340" w:type="dxa"/>
            <w:vAlign w:val="bottom"/>
          </w:tcPr>
          <w:p>
            <w:pPr>
              <w:spacing w:after="0"/>
              <w:rPr>
                <w:sz w:val="19"/>
                <w:szCs w:val="19"/>
                <w:color w:val="auto"/>
              </w:rPr>
            </w:pP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420</w:t>
            </w:r>
          </w:p>
        </w:tc>
      </w:tr>
      <w:tr>
        <w:trPr>
          <w:trHeight w:val="217"/>
        </w:trPr>
        <w:tc>
          <w:tcPr>
            <w:tcW w:w="20" w:type="dxa"/>
            <w:vAlign w:val="bottom"/>
          </w:tcPr>
          <w:p>
            <w:pPr>
              <w:spacing w:after="0"/>
              <w:rPr>
                <w:sz w:val="18"/>
                <w:szCs w:val="18"/>
                <w:color w:val="auto"/>
              </w:rPr>
            </w:pPr>
          </w:p>
        </w:tc>
        <w:tc>
          <w:tcPr>
            <w:tcW w:w="37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Purchases of investments</w:t>
            </w:r>
          </w:p>
        </w:tc>
        <w:tc>
          <w:tcPr>
            <w:tcW w:w="22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(3)</w:t>
            </w:r>
          </w:p>
        </w:tc>
        <w:tc>
          <w:tcPr>
            <w:tcW w:w="32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42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(400)</w:t>
            </w:r>
          </w:p>
        </w:tc>
        <w:tc>
          <w:tcPr>
            <w:tcW w:w="26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(309)</w:t>
            </w: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(712)</w:t>
            </w:r>
          </w:p>
        </w:tc>
      </w:tr>
      <w:tr>
        <w:trPr>
          <w:trHeight w:val="216"/>
        </w:trPr>
        <w:tc>
          <w:tcPr>
            <w:tcW w:w="20" w:type="dxa"/>
            <w:vAlign w:val="bottom"/>
          </w:tcPr>
          <w:p>
            <w:pPr>
              <w:spacing w:after="0"/>
              <w:rPr>
                <w:sz w:val="18"/>
                <w:szCs w:val="18"/>
                <w:color w:val="auto"/>
              </w:rPr>
            </w:pPr>
          </w:p>
        </w:tc>
        <w:tc>
          <w:tcPr>
            <w:tcW w:w="37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7</w:t>
            </w:r>
          </w:p>
        </w:tc>
        <w:tc>
          <w:tcPr>
            <w:tcW w:w="3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(5)</w:t>
            </w: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266</w:t>
            </w: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268</w:t>
            </w:r>
          </w:p>
        </w:tc>
      </w:tr>
      <w:tr>
        <w:trPr>
          <w:trHeight w:val="210"/>
        </w:trPr>
        <w:tc>
          <w:tcPr>
            <w:tcW w:w="20" w:type="dxa"/>
            <w:vAlign w:val="bottom"/>
          </w:tcPr>
          <w:p>
            <w:pPr>
              <w:spacing w:after="0"/>
              <w:rPr>
                <w:sz w:val="18"/>
                <w:szCs w:val="18"/>
                <w:color w:val="auto"/>
              </w:rPr>
            </w:pPr>
          </w:p>
        </w:tc>
        <w:tc>
          <w:tcPr>
            <w:tcW w:w="37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w w:val="95"/>
              </w:rPr>
              <w:t>Net cash provided by (used in) investing activities</w:t>
            </w:r>
          </w:p>
        </w:tc>
        <w:tc>
          <w:tcPr>
            <w:tcW w:w="22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w w:val="97"/>
              </w:rPr>
              <w:t>6,768</w:t>
            </w:r>
          </w:p>
        </w:tc>
        <w:tc>
          <w:tcPr>
            <w:tcW w:w="32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color w:val="auto"/>
              </w:rPr>
              <w:t>(51)</w:t>
            </w:r>
          </w:p>
        </w:tc>
        <w:tc>
          <w:tcPr>
            <w:tcW w:w="320" w:type="dxa"/>
            <w:vAlign w:val="bottom"/>
            <w:tcBorders>
              <w:bottom w:val="single" w:sz="8" w:color="auto"/>
            </w:tcBorders>
            <w:shd w:val="clear" w:color="auto" w:fill="E5E5E5"/>
          </w:tcPr>
          <w:p>
            <w:pPr>
              <w:spacing w:after="0"/>
              <w:rPr>
                <w:sz w:val="18"/>
                <w:szCs w:val="18"/>
                <w:color w:val="auto"/>
              </w:rPr>
            </w:pPr>
          </w:p>
        </w:tc>
        <w:tc>
          <w:tcPr>
            <w:tcW w:w="42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w w:val="81"/>
              </w:rPr>
              <w:t>(69)</w:t>
            </w:r>
          </w:p>
        </w:tc>
        <w:tc>
          <w:tcPr>
            <w:tcW w:w="3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766</w:t>
            </w:r>
          </w:p>
        </w:tc>
        <w:tc>
          <w:tcPr>
            <w:tcW w:w="38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1,845</w:t>
            </w:r>
          </w:p>
        </w:tc>
        <w:tc>
          <w:tcPr>
            <w:tcW w:w="26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w w:val="89"/>
              </w:rPr>
              <w:t>(16,463)</w:t>
            </w:r>
          </w:p>
        </w:tc>
        <w:tc>
          <w:tcPr>
            <w:tcW w:w="34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(7,204)</w:t>
            </w:r>
          </w:p>
        </w:tc>
      </w:tr>
      <w:tr>
        <w:trPr>
          <w:trHeight w:val="210"/>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37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Proceeds from (repayments of) short-term</w:t>
            </w:r>
          </w:p>
        </w:tc>
        <w:tc>
          <w:tcPr>
            <w:tcW w:w="22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37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borrowings, net</w:t>
            </w:r>
          </w:p>
        </w:tc>
        <w:tc>
          <w:tcPr>
            <w:tcW w:w="220" w:type="dxa"/>
            <w:vAlign w:val="bottom"/>
            <w:shd w:val="clear" w:color="auto" w:fill="E5E5E5"/>
          </w:tcPr>
          <w:p>
            <w:pPr>
              <w:spacing w:after="0"/>
              <w:rPr>
                <w:sz w:val="19"/>
                <w:szCs w:val="19"/>
                <w:color w:val="auto"/>
              </w:rPr>
            </w:pPr>
          </w:p>
        </w:tc>
        <w:tc>
          <w:tcPr>
            <w:tcW w:w="66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9"/>
                <w:szCs w:val="19"/>
                <w:color w:val="auto"/>
              </w:rPr>
            </w:pPr>
          </w:p>
        </w:tc>
        <w:tc>
          <w:tcPr>
            <w:tcW w:w="50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9"/>
                <w:szCs w:val="19"/>
                <w:color w:val="auto"/>
              </w:rPr>
            </w:pPr>
          </w:p>
        </w:tc>
        <w:tc>
          <w:tcPr>
            <w:tcW w:w="42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9"/>
                <w:szCs w:val="19"/>
                <w:color w:val="auto"/>
              </w:rPr>
            </w:pPr>
          </w:p>
        </w:tc>
        <w:tc>
          <w:tcPr>
            <w:tcW w:w="60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9"/>
                <w:szCs w:val="19"/>
                <w:color w:val="auto"/>
              </w:rPr>
            </w:pPr>
          </w:p>
        </w:tc>
        <w:tc>
          <w:tcPr>
            <w:tcW w:w="78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9"/>
                <w:szCs w:val="19"/>
                <w:color w:val="auto"/>
              </w:rPr>
            </w:pPr>
          </w:p>
        </w:tc>
        <w:tc>
          <w:tcPr>
            <w:tcW w:w="76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(220)</w:t>
            </w:r>
          </w:p>
        </w:tc>
        <w:tc>
          <w:tcPr>
            <w:tcW w:w="340" w:type="dxa"/>
            <w:vAlign w:val="bottom"/>
            <w:shd w:val="clear" w:color="auto" w:fill="E5E5E5"/>
          </w:tcPr>
          <w:p>
            <w:pPr>
              <w:spacing w:after="0"/>
              <w:rPr>
                <w:sz w:val="19"/>
                <w:szCs w:val="19"/>
                <w:color w:val="auto"/>
              </w:rPr>
            </w:pPr>
          </w:p>
        </w:tc>
        <w:tc>
          <w:tcPr>
            <w:tcW w:w="7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9"/>
                <w:szCs w:val="19"/>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(220)</w:t>
            </w:r>
          </w:p>
        </w:tc>
      </w:tr>
      <w:tr>
        <w:trPr>
          <w:trHeight w:val="216"/>
        </w:trPr>
        <w:tc>
          <w:tcPr>
            <w:tcW w:w="20" w:type="dxa"/>
            <w:vAlign w:val="bottom"/>
          </w:tcPr>
          <w:p>
            <w:pPr>
              <w:spacing w:after="0"/>
              <w:rPr>
                <w:sz w:val="18"/>
                <w:szCs w:val="18"/>
                <w:color w:val="auto"/>
              </w:rPr>
            </w:pPr>
          </w:p>
        </w:tc>
        <w:tc>
          <w:tcPr>
            <w:tcW w:w="3780" w:type="dxa"/>
            <w:vAlign w:val="bottom"/>
          </w:tcPr>
          <w:p>
            <w:pPr>
              <w:ind w:left="200"/>
              <w:spacing w:after="0"/>
              <w:rPr>
                <w:sz w:val="20"/>
                <w:szCs w:val="20"/>
                <w:color w:val="auto"/>
              </w:rPr>
            </w:pPr>
            <w:r>
              <w:rPr>
                <w:rFonts w:ascii="Arial" w:cs="Arial" w:eastAsia="Arial" w:hAnsi="Arial"/>
                <w:sz w:val="18"/>
                <w:szCs w:val="18"/>
                <w:color w:val="auto"/>
              </w:rPr>
              <w:t>Proceeds from borrowings</w:t>
            </w:r>
          </w:p>
        </w:tc>
        <w:tc>
          <w:tcPr>
            <w:tcW w:w="220" w:type="dxa"/>
            <w:vAlign w:val="bottom"/>
          </w:tcPr>
          <w:p>
            <w:pPr>
              <w:spacing w:after="0"/>
              <w:rPr>
                <w:sz w:val="18"/>
                <w:szCs w:val="18"/>
                <w:color w:val="auto"/>
              </w:rPr>
            </w:pPr>
          </w:p>
        </w:tc>
        <w:tc>
          <w:tcPr>
            <w:tcW w:w="660" w:type="dxa"/>
            <w:vAlign w:val="bottom"/>
          </w:tcPr>
          <w:p>
            <w:pPr>
              <w:jc w:val="right"/>
              <w:ind w:right="113"/>
              <w:spacing w:after="0"/>
              <w:rPr>
                <w:sz w:val="20"/>
                <w:szCs w:val="20"/>
                <w:color w:val="auto"/>
              </w:rPr>
            </w:pPr>
            <w:r>
              <w:rPr>
                <w:rFonts w:ascii="Arial" w:cs="Arial" w:eastAsia="Arial" w:hAnsi="Arial"/>
                <w:sz w:val="18"/>
                <w:szCs w:val="18"/>
                <w:color w:val="auto"/>
                <w:w w:val="97"/>
              </w:rPr>
              <w:t>3,996</w:t>
            </w:r>
          </w:p>
        </w:tc>
        <w:tc>
          <w:tcPr>
            <w:tcW w:w="320" w:type="dxa"/>
            <w:vAlign w:val="bottom"/>
          </w:tcPr>
          <w:p>
            <w:pPr>
              <w:spacing w:after="0"/>
              <w:rPr>
                <w:sz w:val="18"/>
                <w:szCs w:val="18"/>
                <w:color w:val="auto"/>
              </w:rPr>
            </w:pPr>
          </w:p>
        </w:tc>
        <w:tc>
          <w:tcPr>
            <w:tcW w:w="5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4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6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3,996</w:t>
            </w:r>
          </w:p>
        </w:tc>
      </w:tr>
      <w:tr>
        <w:trPr>
          <w:trHeight w:val="216"/>
        </w:trPr>
        <w:tc>
          <w:tcPr>
            <w:tcW w:w="20" w:type="dxa"/>
            <w:vAlign w:val="bottom"/>
          </w:tcPr>
          <w:p>
            <w:pPr>
              <w:spacing w:after="0"/>
              <w:rPr>
                <w:sz w:val="18"/>
                <w:szCs w:val="18"/>
                <w:color w:val="auto"/>
              </w:rPr>
            </w:pPr>
          </w:p>
        </w:tc>
        <w:tc>
          <w:tcPr>
            <w:tcW w:w="37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Repurchases and repayments of debt</w:t>
            </w:r>
          </w:p>
        </w:tc>
        <w:tc>
          <w:tcPr>
            <w:tcW w:w="22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w w:val="87"/>
              </w:rPr>
              <w:t>(2,650)</w:t>
            </w:r>
          </w:p>
        </w:tc>
        <w:tc>
          <w:tcPr>
            <w:tcW w:w="32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42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(673)</w:t>
            </w:r>
          </w:p>
        </w:tc>
        <w:tc>
          <w:tcPr>
            <w:tcW w:w="38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(1,002)</w:t>
            </w:r>
          </w:p>
        </w:tc>
        <w:tc>
          <w:tcPr>
            <w:tcW w:w="26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(28)</w:t>
            </w: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(4,353)</w:t>
            </w:r>
          </w:p>
        </w:tc>
      </w:tr>
      <w:tr>
        <w:trPr>
          <w:trHeight w:val="216"/>
        </w:trPr>
        <w:tc>
          <w:tcPr>
            <w:tcW w:w="20" w:type="dxa"/>
            <w:vAlign w:val="bottom"/>
          </w:tcPr>
          <w:p>
            <w:pPr>
              <w:spacing w:after="0"/>
              <w:rPr>
                <w:sz w:val="18"/>
                <w:szCs w:val="18"/>
                <w:color w:val="auto"/>
              </w:rPr>
            </w:pPr>
          </w:p>
        </w:tc>
        <w:tc>
          <w:tcPr>
            <w:tcW w:w="3780" w:type="dxa"/>
            <w:vAlign w:val="bottom"/>
          </w:tcPr>
          <w:p>
            <w:pPr>
              <w:ind w:left="200"/>
              <w:spacing w:after="0"/>
              <w:rPr>
                <w:sz w:val="20"/>
                <w:szCs w:val="20"/>
                <w:color w:val="auto"/>
              </w:rPr>
            </w:pPr>
            <w:r>
              <w:rPr>
                <w:rFonts w:ascii="Arial" w:cs="Arial" w:eastAsia="Arial" w:hAnsi="Arial"/>
                <w:sz w:val="18"/>
                <w:szCs w:val="18"/>
                <w:color w:val="auto"/>
                <w:w w:val="94"/>
              </w:rPr>
              <w:t>Repurchases and retirements of common stock</w:t>
            </w:r>
          </w:p>
        </w:tc>
        <w:tc>
          <w:tcPr>
            <w:tcW w:w="220" w:type="dxa"/>
            <w:vAlign w:val="bottom"/>
          </w:tcPr>
          <w:p>
            <w:pPr>
              <w:spacing w:after="0"/>
              <w:rPr>
                <w:sz w:val="18"/>
                <w:szCs w:val="18"/>
                <w:color w:val="auto"/>
              </w:rPr>
            </w:pPr>
          </w:p>
        </w:tc>
        <w:tc>
          <w:tcPr>
            <w:tcW w:w="660" w:type="dxa"/>
            <w:vAlign w:val="bottom"/>
          </w:tcPr>
          <w:p>
            <w:pPr>
              <w:jc w:val="right"/>
              <w:ind w:right="53"/>
              <w:spacing w:after="0"/>
              <w:rPr>
                <w:sz w:val="20"/>
                <w:szCs w:val="20"/>
                <w:color w:val="auto"/>
              </w:rPr>
            </w:pPr>
            <w:r>
              <w:rPr>
                <w:rFonts w:ascii="Arial" w:cs="Arial" w:eastAsia="Arial" w:hAnsi="Arial"/>
                <w:sz w:val="18"/>
                <w:szCs w:val="18"/>
                <w:color w:val="auto"/>
                <w:w w:val="87"/>
              </w:rPr>
              <w:t>(5,770)</w:t>
            </w:r>
          </w:p>
        </w:tc>
        <w:tc>
          <w:tcPr>
            <w:tcW w:w="320" w:type="dxa"/>
            <w:vAlign w:val="bottom"/>
          </w:tcPr>
          <w:p>
            <w:pPr>
              <w:spacing w:after="0"/>
              <w:rPr>
                <w:sz w:val="18"/>
                <w:szCs w:val="18"/>
                <w:color w:val="auto"/>
              </w:rPr>
            </w:pPr>
          </w:p>
        </w:tc>
        <w:tc>
          <w:tcPr>
            <w:tcW w:w="5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4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6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(5,770)</w:t>
            </w:r>
          </w:p>
        </w:tc>
      </w:tr>
      <w:tr>
        <w:trPr>
          <w:trHeight w:val="216"/>
        </w:trPr>
        <w:tc>
          <w:tcPr>
            <w:tcW w:w="20" w:type="dxa"/>
            <w:vAlign w:val="bottom"/>
          </w:tcPr>
          <w:p>
            <w:pPr>
              <w:spacing w:after="0"/>
              <w:rPr>
                <w:sz w:val="18"/>
                <w:szCs w:val="18"/>
                <w:color w:val="auto"/>
              </w:rPr>
            </w:pPr>
          </w:p>
        </w:tc>
        <w:tc>
          <w:tcPr>
            <w:tcW w:w="37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Dividends paid</w:t>
            </w:r>
          </w:p>
        </w:tc>
        <w:tc>
          <w:tcPr>
            <w:tcW w:w="22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w w:val="87"/>
              </w:rPr>
              <w:t>(1,823)</w:t>
            </w:r>
          </w:p>
        </w:tc>
        <w:tc>
          <w:tcPr>
            <w:tcW w:w="32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42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(1,823)</w:t>
            </w:r>
          </w:p>
        </w:tc>
      </w:tr>
      <w:tr>
        <w:trPr>
          <w:trHeight w:val="216"/>
        </w:trPr>
        <w:tc>
          <w:tcPr>
            <w:tcW w:w="20" w:type="dxa"/>
            <w:vAlign w:val="bottom"/>
          </w:tcPr>
          <w:p>
            <w:pPr>
              <w:spacing w:after="0"/>
              <w:rPr>
                <w:sz w:val="18"/>
                <w:szCs w:val="18"/>
                <w:color w:val="auto"/>
              </w:rPr>
            </w:pPr>
          </w:p>
        </w:tc>
        <w:tc>
          <w:tcPr>
            <w:tcW w:w="3780" w:type="dxa"/>
            <w:vAlign w:val="bottom"/>
          </w:tcPr>
          <w:p>
            <w:pPr>
              <w:ind w:left="200"/>
              <w:spacing w:after="0"/>
              <w:rPr>
                <w:sz w:val="20"/>
                <w:szCs w:val="20"/>
                <w:color w:val="auto"/>
              </w:rPr>
            </w:pPr>
            <w:r>
              <w:rPr>
                <w:rFonts w:ascii="Arial" w:cs="Arial" w:eastAsia="Arial" w:hAnsi="Arial"/>
                <w:sz w:val="18"/>
                <w:szCs w:val="18"/>
                <w:color w:val="auto"/>
              </w:rPr>
              <w:t>Issuances of common stock</w:t>
            </w:r>
          </w:p>
        </w:tc>
        <w:tc>
          <w:tcPr>
            <w:tcW w:w="220" w:type="dxa"/>
            <w:vAlign w:val="bottom"/>
          </w:tcPr>
          <w:p>
            <w:pPr>
              <w:spacing w:after="0"/>
              <w:rPr>
                <w:sz w:val="18"/>
                <w:szCs w:val="18"/>
                <w:color w:val="auto"/>
              </w:rPr>
            </w:pPr>
          </w:p>
        </w:tc>
        <w:tc>
          <w:tcPr>
            <w:tcW w:w="660" w:type="dxa"/>
            <w:vAlign w:val="bottom"/>
          </w:tcPr>
          <w:p>
            <w:pPr>
              <w:jc w:val="right"/>
              <w:ind w:right="113"/>
              <w:spacing w:after="0"/>
              <w:rPr>
                <w:sz w:val="20"/>
                <w:szCs w:val="20"/>
                <w:color w:val="auto"/>
              </w:rPr>
            </w:pPr>
            <w:r>
              <w:rPr>
                <w:rFonts w:ascii="Arial" w:cs="Arial" w:eastAsia="Arial" w:hAnsi="Arial"/>
                <w:sz w:val="18"/>
                <w:szCs w:val="18"/>
                <w:color w:val="auto"/>
              </w:rPr>
              <w:t>35</w:t>
            </w:r>
          </w:p>
        </w:tc>
        <w:tc>
          <w:tcPr>
            <w:tcW w:w="320" w:type="dxa"/>
            <w:vAlign w:val="bottom"/>
          </w:tcPr>
          <w:p>
            <w:pPr>
              <w:spacing w:after="0"/>
              <w:rPr>
                <w:sz w:val="18"/>
                <w:szCs w:val="18"/>
                <w:color w:val="auto"/>
              </w:rPr>
            </w:pPr>
          </w:p>
        </w:tc>
        <w:tc>
          <w:tcPr>
            <w:tcW w:w="5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4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6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35</w:t>
            </w:r>
          </w:p>
        </w:tc>
      </w:tr>
      <w:tr>
        <w:trPr>
          <w:trHeight w:val="208"/>
        </w:trPr>
        <w:tc>
          <w:tcPr>
            <w:tcW w:w="20" w:type="dxa"/>
            <w:vAlign w:val="bottom"/>
          </w:tcPr>
          <w:p>
            <w:pPr>
              <w:spacing w:after="0"/>
              <w:rPr>
                <w:sz w:val="18"/>
                <w:szCs w:val="18"/>
                <w:color w:val="auto"/>
              </w:rPr>
            </w:pPr>
          </w:p>
        </w:tc>
        <w:tc>
          <w:tcPr>
            <w:tcW w:w="37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Distributions to noncontrolling interests and</w:t>
            </w:r>
          </w:p>
        </w:tc>
        <w:tc>
          <w:tcPr>
            <w:tcW w:w="22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E5E5E5"/>
          </w:tcPr>
          <w:p>
            <w:pPr>
              <w:ind w:left="420"/>
              <w:spacing w:after="0"/>
              <w:rPr>
                <w:sz w:val="20"/>
                <w:szCs w:val="20"/>
                <w:color w:val="auto"/>
              </w:rPr>
            </w:pPr>
            <w:r>
              <w:rPr>
                <w:rFonts w:ascii="Arial" w:cs="Arial" w:eastAsia="Arial" w:hAnsi="Arial"/>
                <w:sz w:val="18"/>
                <w:szCs w:val="18"/>
                <w:color w:val="auto"/>
                <w:w w:val="91"/>
              </w:rPr>
              <w:t>dividends for redeemable subsidiary preferred</w:t>
            </w:r>
          </w:p>
        </w:tc>
        <w:tc>
          <w:tcPr>
            <w:tcW w:w="22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37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stock</w:t>
            </w:r>
          </w:p>
        </w:tc>
        <w:tc>
          <w:tcPr>
            <w:tcW w:w="220" w:type="dxa"/>
            <w:vAlign w:val="bottom"/>
            <w:shd w:val="clear" w:color="auto" w:fill="E5E5E5"/>
          </w:tcPr>
          <w:p>
            <w:pPr>
              <w:spacing w:after="0"/>
              <w:rPr>
                <w:sz w:val="19"/>
                <w:szCs w:val="19"/>
                <w:color w:val="auto"/>
              </w:rPr>
            </w:pPr>
          </w:p>
        </w:tc>
        <w:tc>
          <w:tcPr>
            <w:tcW w:w="66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9"/>
                <w:szCs w:val="19"/>
                <w:color w:val="auto"/>
              </w:rPr>
            </w:pPr>
          </w:p>
        </w:tc>
        <w:tc>
          <w:tcPr>
            <w:tcW w:w="50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9"/>
                <w:szCs w:val="19"/>
                <w:color w:val="auto"/>
              </w:rPr>
            </w:pPr>
          </w:p>
        </w:tc>
        <w:tc>
          <w:tcPr>
            <w:tcW w:w="42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9"/>
                <w:szCs w:val="19"/>
                <w:color w:val="auto"/>
              </w:rPr>
            </w:pPr>
          </w:p>
        </w:tc>
        <w:tc>
          <w:tcPr>
            <w:tcW w:w="60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9"/>
                <w:szCs w:val="19"/>
                <w:color w:val="auto"/>
              </w:rPr>
            </w:pPr>
          </w:p>
        </w:tc>
        <w:tc>
          <w:tcPr>
            <w:tcW w:w="78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9"/>
                <w:szCs w:val="19"/>
                <w:color w:val="auto"/>
              </w:rPr>
            </w:pPr>
          </w:p>
        </w:tc>
        <w:tc>
          <w:tcPr>
            <w:tcW w:w="76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(178)</w:t>
            </w:r>
          </w:p>
        </w:tc>
        <w:tc>
          <w:tcPr>
            <w:tcW w:w="340" w:type="dxa"/>
            <w:vAlign w:val="bottom"/>
            <w:shd w:val="clear" w:color="auto" w:fill="E5E5E5"/>
          </w:tcPr>
          <w:p>
            <w:pPr>
              <w:spacing w:after="0"/>
              <w:rPr>
                <w:sz w:val="19"/>
                <w:szCs w:val="19"/>
                <w:color w:val="auto"/>
              </w:rPr>
            </w:pPr>
          </w:p>
        </w:tc>
        <w:tc>
          <w:tcPr>
            <w:tcW w:w="7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9"/>
                <w:szCs w:val="19"/>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(178)</w:t>
            </w:r>
          </w:p>
        </w:tc>
      </w:tr>
      <w:tr>
        <w:trPr>
          <w:trHeight w:val="216"/>
        </w:trPr>
        <w:tc>
          <w:tcPr>
            <w:tcW w:w="20" w:type="dxa"/>
            <w:vAlign w:val="bottom"/>
          </w:tcPr>
          <w:p>
            <w:pPr>
              <w:spacing w:after="0"/>
              <w:rPr>
                <w:sz w:val="18"/>
                <w:szCs w:val="18"/>
                <w:color w:val="auto"/>
              </w:rPr>
            </w:pPr>
          </w:p>
        </w:tc>
        <w:tc>
          <w:tcPr>
            <w:tcW w:w="37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169</w:t>
            </w:r>
          </w:p>
        </w:tc>
        <w:tc>
          <w:tcPr>
            <w:tcW w:w="3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(482)</w:t>
            </w: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w:t>
            </w:r>
          </w:p>
        </w:tc>
      </w:tr>
      <w:tr>
        <w:trPr>
          <w:trHeight w:val="210"/>
        </w:trPr>
        <w:tc>
          <w:tcPr>
            <w:tcW w:w="20" w:type="dxa"/>
            <w:vAlign w:val="bottom"/>
          </w:tcPr>
          <w:p>
            <w:pPr>
              <w:spacing w:after="0"/>
              <w:rPr>
                <w:sz w:val="18"/>
                <w:szCs w:val="18"/>
                <w:color w:val="auto"/>
              </w:rPr>
            </w:pPr>
          </w:p>
        </w:tc>
        <w:tc>
          <w:tcPr>
            <w:tcW w:w="37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w w:val="95"/>
              </w:rPr>
              <w:t>Net cash provided by (used in) financing activities</w:t>
            </w:r>
          </w:p>
        </w:tc>
        <w:tc>
          <w:tcPr>
            <w:tcW w:w="22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w w:val="87"/>
              </w:rPr>
              <w:t>(6,043)</w:t>
            </w:r>
          </w:p>
        </w:tc>
        <w:tc>
          <w:tcPr>
            <w:tcW w:w="32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42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rPr>
              <w:t>(673)</w:t>
            </w:r>
          </w:p>
        </w:tc>
        <w:tc>
          <w:tcPr>
            <w:tcW w:w="38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rPr>
              <w:t>(1,002)</w:t>
            </w:r>
          </w:p>
        </w:tc>
        <w:tc>
          <w:tcPr>
            <w:tcW w:w="26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(908)</w:t>
            </w:r>
          </w:p>
        </w:tc>
        <w:tc>
          <w:tcPr>
            <w:tcW w:w="34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(8,626)</w:t>
            </w:r>
          </w:p>
        </w:tc>
      </w:tr>
      <w:tr>
        <w:trPr>
          <w:trHeight w:val="210"/>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w w:val="94"/>
              </w:rPr>
              <w:t>Increase (decrease) in cash and cash equivalents</w:t>
            </w:r>
          </w:p>
        </w:tc>
        <w:tc>
          <w:tcPr>
            <w:tcW w:w="220" w:type="dxa"/>
            <w:vAlign w:val="bottom"/>
          </w:tcPr>
          <w:p>
            <w:pPr>
              <w:spacing w:after="0"/>
              <w:rPr>
                <w:sz w:val="18"/>
                <w:szCs w:val="18"/>
                <w:color w:val="auto"/>
              </w:rPr>
            </w:pPr>
          </w:p>
        </w:tc>
        <w:tc>
          <w:tcPr>
            <w:tcW w:w="66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4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80" w:type="dxa"/>
            <w:vAlign w:val="bottom"/>
          </w:tcPr>
          <w:p>
            <w:pPr>
              <w:jc w:val="right"/>
              <w:ind w:right="52"/>
              <w:spacing w:after="0"/>
              <w:rPr>
                <w:sz w:val="20"/>
                <w:szCs w:val="20"/>
                <w:color w:val="auto"/>
              </w:rPr>
            </w:pPr>
            <w:r>
              <w:rPr>
                <w:rFonts w:ascii="Arial" w:cs="Arial" w:eastAsia="Arial" w:hAnsi="Arial"/>
                <w:sz w:val="18"/>
                <w:szCs w:val="18"/>
                <w:color w:val="auto"/>
              </w:rPr>
              <w:t>(176)</w:t>
            </w:r>
          </w:p>
        </w:tc>
        <w:tc>
          <w:tcPr>
            <w:tcW w:w="260" w:type="dxa"/>
            <w:vAlign w:val="bottom"/>
          </w:tcPr>
          <w:p>
            <w:pPr>
              <w:spacing w:after="0"/>
              <w:rPr>
                <w:sz w:val="18"/>
                <w:szCs w:val="18"/>
                <w:color w:val="auto"/>
              </w:rPr>
            </w:pPr>
          </w:p>
        </w:tc>
        <w:tc>
          <w:tcPr>
            <w:tcW w:w="760" w:type="dxa"/>
            <w:vAlign w:val="bottom"/>
          </w:tcPr>
          <w:p>
            <w:pPr>
              <w:jc w:val="right"/>
              <w:ind w:right="53"/>
              <w:spacing w:after="0"/>
              <w:rPr>
                <w:sz w:val="20"/>
                <w:szCs w:val="20"/>
                <w:color w:val="auto"/>
              </w:rPr>
            </w:pPr>
            <w:r>
              <w:rPr>
                <w:rFonts w:ascii="Arial" w:cs="Arial" w:eastAsia="Arial" w:hAnsi="Arial"/>
                <w:sz w:val="18"/>
                <w:szCs w:val="18"/>
                <w:color w:val="auto"/>
              </w:rPr>
              <w:t>(1,841)</w:t>
            </w:r>
          </w:p>
        </w:tc>
        <w:tc>
          <w:tcPr>
            <w:tcW w:w="340" w:type="dxa"/>
            <w:vAlign w:val="bottom"/>
          </w:tcPr>
          <w:p>
            <w:pPr>
              <w:spacing w:after="0"/>
              <w:rPr>
                <w:sz w:val="18"/>
                <w:szCs w:val="18"/>
                <w:color w:val="auto"/>
              </w:rPr>
            </w:pP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(2,017)</w:t>
            </w:r>
          </w:p>
        </w:tc>
      </w:tr>
      <w:tr>
        <w:trPr>
          <w:trHeight w:val="216"/>
        </w:trPr>
        <w:tc>
          <w:tcPr>
            <w:tcW w:w="20" w:type="dxa"/>
            <w:vAlign w:val="bottom"/>
          </w:tcPr>
          <w:p>
            <w:pPr>
              <w:spacing w:after="0"/>
              <w:rPr>
                <w:sz w:val="18"/>
                <w:szCs w:val="18"/>
                <w:color w:val="auto"/>
              </w:rPr>
            </w:pPr>
          </w:p>
        </w:tc>
        <w:tc>
          <w:tcPr>
            <w:tcW w:w="37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w w:val="99"/>
              </w:rPr>
              <w:t>Cash and cash equivalents, beginning of period</w:t>
            </w:r>
          </w:p>
        </w:tc>
        <w:tc>
          <w:tcPr>
            <w:tcW w:w="22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42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385</w:t>
            </w:r>
          </w:p>
        </w:tc>
        <w:tc>
          <w:tcPr>
            <w:tcW w:w="26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3,525</w:t>
            </w:r>
          </w:p>
        </w:tc>
        <w:tc>
          <w:tcPr>
            <w:tcW w:w="34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3,910</w:t>
            </w:r>
          </w:p>
        </w:tc>
      </w:tr>
      <w:tr>
        <w:trPr>
          <w:trHeight w:val="217"/>
        </w:trPr>
        <w:tc>
          <w:tcPr>
            <w:tcW w:w="20" w:type="dxa"/>
            <w:vAlign w:val="bottom"/>
          </w:tcPr>
          <w:p>
            <w:pPr>
              <w:spacing w:after="0"/>
              <w:rPr>
                <w:sz w:val="18"/>
                <w:szCs w:val="18"/>
                <w:color w:val="auto"/>
              </w:rPr>
            </w:pP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w:t>
            </w:r>
          </w:p>
        </w:tc>
        <w:tc>
          <w:tcPr>
            <w:tcW w:w="5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209</w:t>
            </w:r>
          </w:p>
        </w:tc>
        <w:tc>
          <w:tcPr>
            <w:tcW w:w="2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b w:val="1"/>
                <w:bCs w:val="1"/>
                <w:color w:val="auto"/>
              </w:rPr>
              <w:t>1,684</w:t>
            </w:r>
          </w:p>
        </w:tc>
        <w:tc>
          <w:tcPr>
            <w:tcW w:w="340" w:type="dxa"/>
            <w:vAlign w:val="bottom"/>
            <w:tcBorders>
              <w:bottom w:val="single" w:sz="8" w:color="auto"/>
            </w:tcBorders>
          </w:tcPr>
          <w:p>
            <w:pPr>
              <w:jc w:val="right"/>
              <w:ind w:right="24"/>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1,893</w:t>
            </w:r>
          </w:p>
        </w:tc>
      </w:tr>
      <w:tr>
        <w:trPr>
          <w:trHeight w:val="363"/>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ind w:left="120"/>
              <w:spacing w:after="0"/>
              <w:rPr>
                <w:sz w:val="20"/>
                <w:szCs w:val="20"/>
                <w:color w:val="auto"/>
              </w:rPr>
            </w:pPr>
            <w:r>
              <w:rPr>
                <w:rFonts w:ascii="Arial" w:cs="Arial" w:eastAsia="Arial" w:hAnsi="Arial"/>
                <w:sz w:val="18"/>
                <w:szCs w:val="18"/>
                <w:color w:val="auto"/>
                <w:w w:val="89"/>
              </w:rPr>
              <w:t>23</w:t>
            </w: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September 30, 2014</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color w:val="auto"/>
                <w:w w:val="93"/>
              </w:rPr>
              <w:t>Elimination</w:t>
            </w: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8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Combined</w:t>
            </w:r>
          </w:p>
        </w:tc>
        <w:tc>
          <w:tcPr>
            <w:tcW w:w="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jc w:val="right"/>
              <w:ind w:right="333"/>
              <w:spacing w:after="0" w:line="149" w:lineRule="exact"/>
              <w:rPr>
                <w:sz w:val="20"/>
                <w:szCs w:val="20"/>
                <w:color w:val="auto"/>
              </w:rPr>
            </w:pPr>
            <w:r>
              <w:rPr>
                <w:rFonts w:ascii="Arial" w:cs="Arial" w:eastAsia="Arial" w:hAnsi="Arial"/>
                <w:sz w:val="14"/>
                <w:szCs w:val="14"/>
                <w:color w:val="auto"/>
              </w:rPr>
              <w:t>Non-</w:t>
            </w:r>
          </w:p>
        </w:tc>
        <w:tc>
          <w:tcPr>
            <w:tcW w:w="360" w:type="dxa"/>
            <w:vAlign w:val="bottom"/>
          </w:tcPr>
          <w:p>
            <w:pPr>
              <w:spacing w:after="0"/>
              <w:rPr>
                <w:sz w:val="12"/>
                <w:szCs w:val="12"/>
                <w:color w:val="auto"/>
              </w:rPr>
            </w:pPr>
          </w:p>
        </w:tc>
        <w:tc>
          <w:tcPr>
            <w:tcW w:w="800" w:type="dxa"/>
            <w:vAlign w:val="bottom"/>
          </w:tcPr>
          <w:p>
            <w:pPr>
              <w:jc w:val="center"/>
              <w:ind w:right="313"/>
              <w:spacing w:after="0" w:line="149" w:lineRule="exact"/>
              <w:rPr>
                <w:sz w:val="20"/>
                <w:szCs w:val="20"/>
                <w:color w:val="auto"/>
              </w:rPr>
            </w:pPr>
            <w:r>
              <w:rPr>
                <w:rFonts w:ascii="Arial" w:cs="Arial" w:eastAsia="Arial" w:hAnsi="Arial"/>
                <w:sz w:val="14"/>
                <w:szCs w:val="14"/>
                <w:color w:val="auto"/>
                <w:w w:val="85"/>
              </w:rPr>
              <w:t>and</w:t>
            </w:r>
          </w:p>
        </w:tc>
        <w:tc>
          <w:tcPr>
            <w:tcW w:w="1020" w:type="dxa"/>
            <w:vAlign w:val="bottom"/>
            <w:gridSpan w:val="2"/>
          </w:tcPr>
          <w:p>
            <w:pPr>
              <w:ind w:left="200"/>
              <w:spacing w:after="0" w:line="149" w:lineRule="exact"/>
              <w:rPr>
                <w:sz w:val="20"/>
                <w:szCs w:val="20"/>
                <w:color w:val="auto"/>
              </w:rPr>
            </w:pPr>
            <w:r>
              <w:rPr>
                <w:rFonts w:ascii="Arial" w:cs="Arial" w:eastAsia="Arial" w:hAnsi="Arial"/>
                <w:sz w:val="14"/>
                <w:szCs w:val="14"/>
                <w:color w:val="auto"/>
                <w:w w:val="97"/>
              </w:rPr>
              <w:t>Consolidated</w:t>
            </w:r>
          </w:p>
        </w:tc>
      </w:tr>
      <w:tr>
        <w:trPr>
          <w:trHeight w:val="149"/>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960" w:type="dxa"/>
            <w:vAlign w:val="bottom"/>
            <w:gridSpan w:val="2"/>
          </w:tcPr>
          <w:p>
            <w:pPr>
              <w:jc w:val="right"/>
              <w:ind w:right="193"/>
              <w:spacing w:after="0" w:line="149" w:lineRule="exact"/>
              <w:rPr>
                <w:sz w:val="20"/>
                <w:szCs w:val="20"/>
                <w:color w:val="auto"/>
              </w:rPr>
            </w:pPr>
            <w:r>
              <w:rPr>
                <w:rFonts w:ascii="Arial" w:cs="Arial" w:eastAsia="Arial" w:hAnsi="Arial"/>
                <w:sz w:val="14"/>
                <w:szCs w:val="14"/>
                <w:color w:val="auto"/>
              </w:rPr>
              <w:t>Comcast</w:t>
            </w:r>
          </w:p>
        </w:tc>
        <w:tc>
          <w:tcPr>
            <w:tcW w:w="92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Comcast</w:t>
            </w:r>
          </w:p>
        </w:tc>
        <w:tc>
          <w:tcPr>
            <w:tcW w:w="80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CCCL</w:t>
            </w:r>
          </w:p>
        </w:tc>
        <w:tc>
          <w:tcPr>
            <w:tcW w:w="980" w:type="dxa"/>
            <w:vAlign w:val="bottom"/>
            <w:gridSpan w:val="2"/>
          </w:tcPr>
          <w:p>
            <w:pPr>
              <w:jc w:val="right"/>
              <w:ind w:right="192"/>
              <w:spacing w:after="0" w:line="149" w:lineRule="exact"/>
              <w:rPr>
                <w:sz w:val="20"/>
                <w:szCs w:val="20"/>
                <w:color w:val="auto"/>
              </w:rPr>
            </w:pPr>
            <w:r>
              <w:rPr>
                <w:rFonts w:ascii="Arial" w:cs="Arial" w:eastAsia="Arial" w:hAnsi="Arial"/>
                <w:sz w:val="14"/>
                <w:szCs w:val="14"/>
                <w:color w:val="auto"/>
              </w:rPr>
              <w:t>CCHMO</w:t>
            </w:r>
          </w:p>
        </w:tc>
        <w:tc>
          <w:tcPr>
            <w:tcW w:w="122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NBCUniversal</w:t>
            </w:r>
          </w:p>
        </w:tc>
        <w:tc>
          <w:tcPr>
            <w:tcW w:w="1080" w:type="dxa"/>
            <w:vAlign w:val="bottom"/>
            <w:gridSpan w:val="2"/>
          </w:tcPr>
          <w:p>
            <w:pPr>
              <w:jc w:val="right"/>
              <w:ind w:right="213"/>
              <w:spacing w:after="0" w:line="149" w:lineRule="exact"/>
              <w:rPr>
                <w:sz w:val="20"/>
                <w:szCs w:val="20"/>
                <w:color w:val="auto"/>
              </w:rPr>
            </w:pPr>
            <w:r>
              <w:rPr>
                <w:rFonts w:ascii="Arial" w:cs="Arial" w:eastAsia="Arial" w:hAnsi="Arial"/>
                <w:sz w:val="14"/>
                <w:szCs w:val="14"/>
                <w:color w:val="auto"/>
              </w:rPr>
              <w:t>Guarantor</w:t>
            </w:r>
          </w:p>
        </w:tc>
        <w:tc>
          <w:tcPr>
            <w:tcW w:w="1160" w:type="dxa"/>
            <w:vAlign w:val="bottom"/>
            <w:gridSpan w:val="2"/>
          </w:tcPr>
          <w:p>
            <w:pPr>
              <w:jc w:val="right"/>
              <w:ind w:right="133"/>
              <w:spacing w:after="0" w:line="149" w:lineRule="exact"/>
              <w:rPr>
                <w:sz w:val="20"/>
                <w:szCs w:val="20"/>
                <w:color w:val="auto"/>
              </w:rPr>
            </w:pPr>
            <w:r>
              <w:rPr>
                <w:rFonts w:ascii="Arial" w:cs="Arial" w:eastAsia="Arial" w:hAnsi="Arial"/>
                <w:sz w:val="14"/>
                <w:szCs w:val="14"/>
                <w:color w:val="auto"/>
              </w:rPr>
              <w:t>Consolidation</w:t>
            </w:r>
          </w:p>
        </w:tc>
        <w:tc>
          <w:tcPr>
            <w:tcW w:w="300" w:type="dxa"/>
            <w:vAlign w:val="bottom"/>
          </w:tcPr>
          <w:p>
            <w:pPr>
              <w:spacing w:after="0"/>
              <w:rPr>
                <w:sz w:val="12"/>
                <w:szCs w:val="12"/>
                <w:color w:val="auto"/>
              </w:rPr>
            </w:pPr>
          </w:p>
        </w:tc>
        <w:tc>
          <w:tcPr>
            <w:tcW w:w="720" w:type="dxa"/>
            <w:vAlign w:val="bottom"/>
          </w:tcPr>
          <w:p>
            <w:pPr>
              <w:jc w:val="right"/>
              <w:ind w:right="133"/>
              <w:spacing w:after="0" w:line="149" w:lineRule="exact"/>
              <w:rPr>
                <w:sz w:val="20"/>
                <w:szCs w:val="20"/>
                <w:color w:val="auto"/>
              </w:rPr>
            </w:pPr>
            <w:r>
              <w:rPr>
                <w:rFonts w:ascii="Arial" w:cs="Arial" w:eastAsia="Arial" w:hAnsi="Arial"/>
                <w:sz w:val="14"/>
                <w:szCs w:val="14"/>
                <w:color w:val="auto"/>
                <w:w w:val="86"/>
              </w:rPr>
              <w:t>Comcast</w:t>
            </w:r>
          </w:p>
        </w:tc>
      </w:tr>
      <w:tr>
        <w:trPr>
          <w:trHeight w:val="173"/>
        </w:trPr>
        <w:tc>
          <w:tcPr>
            <w:tcW w:w="328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260" w:type="dxa"/>
            <w:vAlign w:val="bottom"/>
          </w:tcPr>
          <w:p>
            <w:pPr>
              <w:spacing w:after="0"/>
              <w:rPr>
                <w:sz w:val="15"/>
                <w:szCs w:val="15"/>
                <w:color w:val="auto"/>
              </w:rPr>
            </w:pPr>
          </w:p>
        </w:tc>
        <w:tc>
          <w:tcPr>
            <w:tcW w:w="700" w:type="dxa"/>
            <w:vAlign w:val="bottom"/>
          </w:tcPr>
          <w:p>
            <w:pPr>
              <w:jc w:val="right"/>
              <w:ind w:right="253"/>
              <w:spacing w:after="0"/>
              <w:rPr>
                <w:sz w:val="20"/>
                <w:szCs w:val="20"/>
                <w:color w:val="auto"/>
              </w:rPr>
            </w:pPr>
            <w:r>
              <w:rPr>
                <w:rFonts w:ascii="Arial" w:cs="Arial" w:eastAsia="Arial" w:hAnsi="Arial"/>
                <w:sz w:val="14"/>
                <w:szCs w:val="14"/>
                <w:color w:val="auto"/>
                <w:w w:val="82"/>
              </w:rPr>
              <w:t>Parent</w:t>
            </w:r>
          </w:p>
        </w:tc>
        <w:tc>
          <w:tcPr>
            <w:tcW w:w="920" w:type="dxa"/>
            <w:vAlign w:val="bottom"/>
            <w:gridSpan w:val="2"/>
          </w:tcPr>
          <w:p>
            <w:pPr>
              <w:ind w:left="180"/>
              <w:spacing w:after="0"/>
              <w:rPr>
                <w:sz w:val="20"/>
                <w:szCs w:val="20"/>
                <w:color w:val="auto"/>
              </w:rPr>
            </w:pPr>
            <w:r>
              <w:rPr>
                <w:rFonts w:ascii="Arial" w:cs="Arial" w:eastAsia="Arial" w:hAnsi="Arial"/>
                <w:sz w:val="14"/>
                <w:szCs w:val="14"/>
                <w:color w:val="auto"/>
              </w:rPr>
              <w:t>Holdings</w:t>
            </w:r>
          </w:p>
        </w:tc>
        <w:tc>
          <w:tcPr>
            <w:tcW w:w="800" w:type="dxa"/>
            <w:vAlign w:val="bottom"/>
            <w:gridSpan w:val="2"/>
          </w:tcPr>
          <w:p>
            <w:pPr>
              <w:ind w:left="200"/>
              <w:spacing w:after="0"/>
              <w:rPr>
                <w:sz w:val="20"/>
                <w:szCs w:val="20"/>
                <w:color w:val="auto"/>
              </w:rPr>
            </w:pPr>
            <w:r>
              <w:rPr>
                <w:rFonts w:ascii="Arial" w:cs="Arial" w:eastAsia="Arial" w:hAnsi="Arial"/>
                <w:sz w:val="14"/>
                <w:szCs w:val="14"/>
                <w:color w:val="auto"/>
              </w:rPr>
              <w:t>Parent</w:t>
            </w:r>
          </w:p>
        </w:tc>
        <w:tc>
          <w:tcPr>
            <w:tcW w:w="980" w:type="dxa"/>
            <w:vAlign w:val="bottom"/>
            <w:gridSpan w:val="2"/>
          </w:tcPr>
          <w:p>
            <w:pPr>
              <w:jc w:val="right"/>
              <w:ind w:right="252"/>
              <w:spacing w:after="0"/>
              <w:rPr>
                <w:sz w:val="20"/>
                <w:szCs w:val="20"/>
                <w:color w:val="auto"/>
              </w:rPr>
            </w:pPr>
            <w:r>
              <w:rPr>
                <w:rFonts w:ascii="Arial" w:cs="Arial" w:eastAsia="Arial" w:hAnsi="Arial"/>
                <w:sz w:val="14"/>
                <w:szCs w:val="14"/>
                <w:color w:val="auto"/>
              </w:rPr>
              <w:t>Parents</w:t>
            </w:r>
          </w:p>
        </w:tc>
        <w:tc>
          <w:tcPr>
            <w:tcW w:w="1220" w:type="dxa"/>
            <w:vAlign w:val="bottom"/>
            <w:gridSpan w:val="2"/>
          </w:tcPr>
          <w:p>
            <w:pPr>
              <w:jc w:val="right"/>
              <w:ind w:right="192"/>
              <w:spacing w:after="0"/>
              <w:rPr>
                <w:sz w:val="20"/>
                <w:szCs w:val="20"/>
                <w:color w:val="auto"/>
              </w:rPr>
            </w:pPr>
            <w:r>
              <w:rPr>
                <w:rFonts w:ascii="Arial" w:cs="Arial" w:eastAsia="Arial" w:hAnsi="Arial"/>
                <w:sz w:val="14"/>
                <w:szCs w:val="14"/>
                <w:color w:val="auto"/>
              </w:rPr>
              <w:t>Media Parent</w:t>
            </w:r>
          </w:p>
        </w:tc>
        <w:tc>
          <w:tcPr>
            <w:tcW w:w="1080" w:type="dxa"/>
            <w:vAlign w:val="bottom"/>
            <w:gridSpan w:val="2"/>
          </w:tcPr>
          <w:p>
            <w:pPr>
              <w:ind w:left="180"/>
              <w:spacing w:after="0"/>
              <w:rPr>
                <w:sz w:val="20"/>
                <w:szCs w:val="20"/>
                <w:color w:val="auto"/>
              </w:rPr>
            </w:pPr>
            <w:r>
              <w:rPr>
                <w:rFonts w:ascii="Arial" w:cs="Arial" w:eastAsia="Arial" w:hAnsi="Arial"/>
                <w:sz w:val="14"/>
                <w:szCs w:val="14"/>
                <w:color w:val="auto"/>
              </w:rPr>
              <w:t>Subsidiaries</w:t>
            </w:r>
          </w:p>
        </w:tc>
        <w:tc>
          <w:tcPr>
            <w:tcW w:w="1160" w:type="dxa"/>
            <w:vAlign w:val="bottom"/>
            <w:gridSpan w:val="2"/>
          </w:tcPr>
          <w:p>
            <w:pPr>
              <w:jc w:val="center"/>
              <w:spacing w:after="0"/>
              <w:rPr>
                <w:sz w:val="20"/>
                <w:szCs w:val="20"/>
                <w:color w:val="auto"/>
              </w:rPr>
            </w:pPr>
            <w:r>
              <w:rPr>
                <w:rFonts w:ascii="Arial" w:cs="Arial" w:eastAsia="Arial" w:hAnsi="Arial"/>
                <w:sz w:val="14"/>
                <w:szCs w:val="14"/>
                <w:color w:val="auto"/>
                <w:w w:val="88"/>
              </w:rPr>
              <w:t>Adjustments</w:t>
            </w:r>
          </w:p>
        </w:tc>
        <w:tc>
          <w:tcPr>
            <w:tcW w:w="1020" w:type="dxa"/>
            <w:vAlign w:val="bottom"/>
            <w:gridSpan w:val="2"/>
          </w:tcPr>
          <w:p>
            <w:pPr>
              <w:jc w:val="right"/>
              <w:ind w:right="53"/>
              <w:spacing w:after="0"/>
              <w:rPr>
                <w:sz w:val="20"/>
                <w:szCs w:val="20"/>
                <w:color w:val="auto"/>
              </w:rPr>
            </w:pPr>
            <w:r>
              <w:rPr>
                <w:rFonts w:ascii="Arial" w:cs="Arial" w:eastAsia="Arial" w:hAnsi="Arial"/>
                <w:sz w:val="14"/>
                <w:szCs w:val="14"/>
                <w:color w:val="auto"/>
              </w:rPr>
              <w:t>Corporation</w:t>
            </w:r>
          </w:p>
        </w:tc>
      </w:tr>
      <w:tr>
        <w:trPr>
          <w:trHeight w:val="201"/>
        </w:trPr>
        <w:tc>
          <w:tcPr>
            <w:tcW w:w="20" w:type="dxa"/>
            <w:vAlign w:val="bottom"/>
          </w:tcPr>
          <w:p>
            <w:pPr>
              <w:spacing w:after="0"/>
              <w:rPr>
                <w:sz w:val="17"/>
                <w:szCs w:val="17"/>
                <w:color w:val="auto"/>
              </w:rPr>
            </w:pPr>
          </w:p>
        </w:tc>
        <w:tc>
          <w:tcPr>
            <w:tcW w:w="3260" w:type="dxa"/>
            <w:vAlign w:val="bottom"/>
            <w:tcBorders>
              <w:top w:val="single" w:sz="8" w:color="auto"/>
            </w:tcBorders>
            <w:shd w:val="clear" w:color="auto" w:fill="E5E5E5"/>
          </w:tcPr>
          <w:p>
            <w:pPr>
              <w:spacing w:after="0" w:line="201" w:lineRule="exact"/>
              <w:rPr>
                <w:sz w:val="20"/>
                <w:szCs w:val="20"/>
                <w:color w:val="auto"/>
              </w:rPr>
            </w:pPr>
            <w:r>
              <w:rPr>
                <w:rFonts w:ascii="Arial" w:cs="Arial" w:eastAsia="Arial" w:hAnsi="Arial"/>
                <w:sz w:val="18"/>
                <w:szCs w:val="18"/>
                <w:color w:val="auto"/>
                <w:w w:val="99"/>
              </w:rPr>
              <w:t>Net cash provided by (used in) operating</w:t>
            </w:r>
          </w:p>
        </w:tc>
        <w:tc>
          <w:tcPr>
            <w:tcW w:w="260" w:type="dxa"/>
            <w:vAlign w:val="bottom"/>
            <w:tcBorders>
              <w:top w:val="single" w:sz="8" w:color="auto"/>
            </w:tcBorders>
            <w:shd w:val="clear" w:color="auto" w:fill="E5E5E5"/>
          </w:tcPr>
          <w:p>
            <w:pPr>
              <w:spacing w:after="0"/>
              <w:rPr>
                <w:sz w:val="17"/>
                <w:szCs w:val="17"/>
                <w:color w:val="auto"/>
              </w:rPr>
            </w:pPr>
          </w:p>
        </w:tc>
        <w:tc>
          <w:tcPr>
            <w:tcW w:w="700" w:type="dxa"/>
            <w:vAlign w:val="bottom"/>
            <w:tcBorders>
              <w:top w:val="single" w:sz="8" w:color="auto"/>
            </w:tcBorders>
            <w:shd w:val="clear" w:color="auto" w:fill="E5E5E5"/>
          </w:tcPr>
          <w:p>
            <w:pPr>
              <w:spacing w:after="0"/>
              <w:rPr>
                <w:sz w:val="17"/>
                <w:szCs w:val="17"/>
                <w:color w:val="auto"/>
              </w:rPr>
            </w:pPr>
          </w:p>
        </w:tc>
        <w:tc>
          <w:tcPr>
            <w:tcW w:w="360" w:type="dxa"/>
            <w:vAlign w:val="bottom"/>
            <w:tcBorders>
              <w:top w:val="single" w:sz="8" w:color="auto"/>
            </w:tcBorders>
            <w:shd w:val="clear" w:color="auto" w:fill="E5E5E5"/>
          </w:tcPr>
          <w:p>
            <w:pPr>
              <w:spacing w:after="0"/>
              <w:rPr>
                <w:sz w:val="17"/>
                <w:szCs w:val="17"/>
                <w:color w:val="auto"/>
              </w:rPr>
            </w:pPr>
          </w:p>
        </w:tc>
        <w:tc>
          <w:tcPr>
            <w:tcW w:w="560" w:type="dxa"/>
            <w:vAlign w:val="bottom"/>
            <w:tcBorders>
              <w:top w:val="single" w:sz="8" w:color="auto"/>
            </w:tcBorders>
            <w:shd w:val="clear" w:color="auto" w:fill="E5E5E5"/>
          </w:tcPr>
          <w:p>
            <w:pPr>
              <w:spacing w:after="0"/>
              <w:rPr>
                <w:sz w:val="17"/>
                <w:szCs w:val="17"/>
                <w:color w:val="auto"/>
              </w:rPr>
            </w:pPr>
          </w:p>
        </w:tc>
        <w:tc>
          <w:tcPr>
            <w:tcW w:w="300" w:type="dxa"/>
            <w:vAlign w:val="bottom"/>
            <w:tcBorders>
              <w:top w:val="single" w:sz="8" w:color="auto"/>
            </w:tcBorders>
            <w:shd w:val="clear" w:color="auto" w:fill="E5E5E5"/>
          </w:tcPr>
          <w:p>
            <w:pPr>
              <w:spacing w:after="0"/>
              <w:rPr>
                <w:sz w:val="17"/>
                <w:szCs w:val="17"/>
                <w:color w:val="auto"/>
              </w:rPr>
            </w:pPr>
          </w:p>
        </w:tc>
        <w:tc>
          <w:tcPr>
            <w:tcW w:w="500" w:type="dxa"/>
            <w:vAlign w:val="bottom"/>
            <w:tcBorders>
              <w:top w:val="single" w:sz="8" w:color="auto"/>
            </w:tcBorders>
            <w:shd w:val="clear" w:color="auto" w:fill="E5E5E5"/>
          </w:tcPr>
          <w:p>
            <w:pPr>
              <w:spacing w:after="0"/>
              <w:rPr>
                <w:sz w:val="17"/>
                <w:szCs w:val="17"/>
                <w:color w:val="auto"/>
              </w:rPr>
            </w:pPr>
          </w:p>
        </w:tc>
        <w:tc>
          <w:tcPr>
            <w:tcW w:w="380" w:type="dxa"/>
            <w:vAlign w:val="bottom"/>
            <w:tcBorders>
              <w:top w:val="single" w:sz="8" w:color="auto"/>
            </w:tcBorders>
            <w:shd w:val="clear" w:color="auto" w:fill="E5E5E5"/>
          </w:tcPr>
          <w:p>
            <w:pPr>
              <w:spacing w:after="0"/>
              <w:rPr>
                <w:sz w:val="17"/>
                <w:szCs w:val="17"/>
                <w:color w:val="auto"/>
              </w:rPr>
            </w:pPr>
          </w:p>
        </w:tc>
        <w:tc>
          <w:tcPr>
            <w:tcW w:w="600" w:type="dxa"/>
            <w:vAlign w:val="bottom"/>
            <w:tcBorders>
              <w:top w:val="single" w:sz="8" w:color="auto"/>
            </w:tcBorders>
            <w:shd w:val="clear" w:color="auto" w:fill="E5E5E5"/>
          </w:tcPr>
          <w:p>
            <w:pPr>
              <w:spacing w:after="0"/>
              <w:rPr>
                <w:sz w:val="17"/>
                <w:szCs w:val="17"/>
                <w:color w:val="auto"/>
              </w:rPr>
            </w:pPr>
          </w:p>
        </w:tc>
        <w:tc>
          <w:tcPr>
            <w:tcW w:w="420" w:type="dxa"/>
            <w:vAlign w:val="bottom"/>
            <w:tcBorders>
              <w:top w:val="single" w:sz="8" w:color="auto"/>
            </w:tcBorders>
            <w:shd w:val="clear" w:color="auto" w:fill="E5E5E5"/>
          </w:tcPr>
          <w:p>
            <w:pPr>
              <w:spacing w:after="0"/>
              <w:rPr>
                <w:sz w:val="17"/>
                <w:szCs w:val="17"/>
                <w:color w:val="auto"/>
              </w:rPr>
            </w:pPr>
          </w:p>
        </w:tc>
        <w:tc>
          <w:tcPr>
            <w:tcW w:w="800" w:type="dxa"/>
            <w:vAlign w:val="bottom"/>
            <w:tcBorders>
              <w:top w:val="single" w:sz="8" w:color="auto"/>
            </w:tcBorders>
            <w:shd w:val="clear" w:color="auto" w:fill="E5E5E5"/>
          </w:tcPr>
          <w:p>
            <w:pPr>
              <w:spacing w:after="0"/>
              <w:rPr>
                <w:sz w:val="17"/>
                <w:szCs w:val="17"/>
                <w:color w:val="auto"/>
              </w:rPr>
            </w:pPr>
          </w:p>
        </w:tc>
        <w:tc>
          <w:tcPr>
            <w:tcW w:w="280" w:type="dxa"/>
            <w:vAlign w:val="bottom"/>
            <w:tcBorders>
              <w:top w:val="single" w:sz="8" w:color="auto"/>
            </w:tcBorders>
            <w:shd w:val="clear" w:color="auto" w:fill="E5E5E5"/>
          </w:tcPr>
          <w:p>
            <w:pPr>
              <w:spacing w:after="0"/>
              <w:rPr>
                <w:sz w:val="17"/>
                <w:szCs w:val="17"/>
                <w:color w:val="auto"/>
              </w:rPr>
            </w:pPr>
          </w:p>
        </w:tc>
        <w:tc>
          <w:tcPr>
            <w:tcW w:w="800" w:type="dxa"/>
            <w:vAlign w:val="bottom"/>
            <w:tcBorders>
              <w:top w:val="single" w:sz="8" w:color="auto"/>
            </w:tcBorders>
            <w:shd w:val="clear" w:color="auto" w:fill="E5E5E5"/>
          </w:tcPr>
          <w:p>
            <w:pPr>
              <w:spacing w:after="0"/>
              <w:rPr>
                <w:sz w:val="17"/>
                <w:szCs w:val="17"/>
                <w:color w:val="auto"/>
              </w:rPr>
            </w:pPr>
          </w:p>
        </w:tc>
        <w:tc>
          <w:tcPr>
            <w:tcW w:w="360" w:type="dxa"/>
            <w:vAlign w:val="bottom"/>
            <w:tcBorders>
              <w:top w:val="single" w:sz="8" w:color="auto"/>
            </w:tcBorders>
            <w:shd w:val="clear" w:color="auto" w:fill="E5E5E5"/>
          </w:tcPr>
          <w:p>
            <w:pPr>
              <w:spacing w:after="0"/>
              <w:rPr>
                <w:sz w:val="17"/>
                <w:szCs w:val="17"/>
                <w:color w:val="auto"/>
              </w:rPr>
            </w:pPr>
          </w:p>
        </w:tc>
        <w:tc>
          <w:tcPr>
            <w:tcW w:w="800" w:type="dxa"/>
            <w:vAlign w:val="bottom"/>
            <w:tcBorders>
              <w:top w:val="single" w:sz="8" w:color="auto"/>
            </w:tcBorders>
            <w:shd w:val="clear" w:color="auto" w:fill="E5E5E5"/>
          </w:tcPr>
          <w:p>
            <w:pPr>
              <w:spacing w:after="0"/>
              <w:rPr>
                <w:sz w:val="17"/>
                <w:szCs w:val="17"/>
                <w:color w:val="auto"/>
              </w:rPr>
            </w:pPr>
          </w:p>
        </w:tc>
        <w:tc>
          <w:tcPr>
            <w:tcW w:w="300" w:type="dxa"/>
            <w:vAlign w:val="bottom"/>
            <w:tcBorders>
              <w:top w:val="single" w:sz="8" w:color="auto"/>
            </w:tcBorders>
            <w:shd w:val="clear" w:color="auto" w:fill="E5E5E5"/>
          </w:tcPr>
          <w:p>
            <w:pPr>
              <w:spacing w:after="0"/>
              <w:rPr>
                <w:sz w:val="17"/>
                <w:szCs w:val="17"/>
                <w:color w:val="auto"/>
              </w:rPr>
            </w:pPr>
          </w:p>
        </w:tc>
        <w:tc>
          <w:tcPr>
            <w:tcW w:w="720" w:type="dxa"/>
            <w:vAlign w:val="bottom"/>
            <w:tcBorders>
              <w:top w:val="single" w:sz="8" w:color="auto"/>
            </w:tcBorders>
            <w:shd w:val="clear" w:color="auto" w:fill="E5E5E5"/>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326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activities</w:t>
            </w:r>
          </w:p>
        </w:tc>
        <w:tc>
          <w:tcPr>
            <w:tcW w:w="2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(433)</w:t>
            </w:r>
          </w:p>
        </w:tc>
        <w:tc>
          <w:tcPr>
            <w:tcW w:w="360" w:type="dxa"/>
            <w:vAlign w:val="bottom"/>
            <w:tcBorders>
              <w:bottom w:val="single" w:sz="8" w:color="auto"/>
            </w:tcBorders>
            <w:shd w:val="clear" w:color="auto" w:fill="E5E5E5"/>
          </w:tcPr>
          <w:p>
            <w:pPr>
              <w:ind w:left="18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11</w:t>
            </w:r>
          </w:p>
        </w:tc>
        <w:tc>
          <w:tcPr>
            <w:tcW w:w="300" w:type="dxa"/>
            <w:vAlign w:val="bottom"/>
            <w:tcBorders>
              <w:bottom w:val="single" w:sz="8" w:color="auto"/>
            </w:tcBorders>
            <w:shd w:val="clear" w:color="auto" w:fill="E5E5E5"/>
          </w:tcPr>
          <w:p>
            <w:pPr>
              <w:ind w:left="18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84</w:t>
            </w:r>
          </w:p>
        </w:tc>
        <w:tc>
          <w:tcPr>
            <w:tcW w:w="38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(88)</w:t>
            </w:r>
          </w:p>
        </w:tc>
        <w:tc>
          <w:tcPr>
            <w:tcW w:w="420" w:type="dxa"/>
            <w:vAlign w:val="bottom"/>
            <w:tcBorders>
              <w:bottom w:val="single" w:sz="8" w:color="auto"/>
            </w:tcBorders>
            <w:shd w:val="clear" w:color="auto" w:fill="E5E5E5"/>
          </w:tcPr>
          <w:p>
            <w:pPr>
              <w:ind w:left="1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(998)</w:t>
            </w:r>
          </w:p>
        </w:tc>
        <w:tc>
          <w:tcPr>
            <w:tcW w:w="280" w:type="dxa"/>
            <w:vAlign w:val="bottom"/>
            <w:tcBorders>
              <w:bottom w:val="single" w:sz="8" w:color="auto"/>
            </w:tcBorders>
            <w:shd w:val="clear" w:color="auto" w:fill="E5E5E5"/>
          </w:tcPr>
          <w:p>
            <w:pPr>
              <w:ind w:left="18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color w:val="auto"/>
                <w:w w:val="98"/>
              </w:rPr>
              <w:t>13,726</w:t>
            </w:r>
          </w:p>
        </w:tc>
        <w:tc>
          <w:tcPr>
            <w:tcW w:w="360" w:type="dxa"/>
            <w:vAlign w:val="bottom"/>
            <w:tcBorders>
              <w:bottom w:val="single" w:sz="8" w:color="auto"/>
            </w:tcBorders>
            <w:shd w:val="clear" w:color="auto" w:fill="E5E5E5"/>
          </w:tcPr>
          <w:p>
            <w:pPr>
              <w:jc w:val="right"/>
              <w:ind w:right="24"/>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12,302</w:t>
            </w:r>
          </w:p>
        </w:tc>
      </w:tr>
      <w:tr>
        <w:trPr>
          <w:trHeight w:val="212"/>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Net transactions with affiliates</w:t>
            </w: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w w:val="97"/>
              </w:rPr>
              <w:t>2,349</w:t>
            </w:r>
          </w:p>
        </w:tc>
        <w:tc>
          <w:tcPr>
            <w:tcW w:w="36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(11)</w:t>
            </w:r>
          </w:p>
        </w:tc>
        <w:tc>
          <w:tcPr>
            <w:tcW w:w="30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w w:val="87"/>
              </w:rPr>
              <w:t>(84)</w:t>
            </w:r>
          </w:p>
        </w:tc>
        <w:tc>
          <w:tcPr>
            <w:tcW w:w="3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88</w:t>
            </w:r>
          </w:p>
        </w:tc>
        <w:tc>
          <w:tcPr>
            <w:tcW w:w="42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1,761</w:t>
            </w:r>
          </w:p>
        </w:tc>
        <w:tc>
          <w:tcPr>
            <w:tcW w:w="28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(4,103)</w:t>
            </w:r>
          </w:p>
        </w:tc>
        <w:tc>
          <w:tcPr>
            <w:tcW w:w="36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260" w:type="dxa"/>
            <w:vAlign w:val="bottom"/>
          </w:tcPr>
          <w:p>
            <w:pPr>
              <w:ind w:left="200"/>
              <w:spacing w:after="0"/>
              <w:rPr>
                <w:sz w:val="20"/>
                <w:szCs w:val="20"/>
                <w:color w:val="auto"/>
              </w:rPr>
            </w:pPr>
            <w:r>
              <w:rPr>
                <w:rFonts w:ascii="Arial" w:cs="Arial" w:eastAsia="Arial" w:hAnsi="Arial"/>
                <w:sz w:val="18"/>
                <w:szCs w:val="18"/>
                <w:color w:val="auto"/>
              </w:rPr>
              <w:t>Capital expenditures</w:t>
            </w:r>
          </w:p>
        </w:tc>
        <w:tc>
          <w:tcPr>
            <w:tcW w:w="260" w:type="dxa"/>
            <w:vAlign w:val="bottom"/>
          </w:tcPr>
          <w:p>
            <w:pPr>
              <w:spacing w:after="0"/>
              <w:rPr>
                <w:sz w:val="18"/>
                <w:szCs w:val="18"/>
                <w:color w:val="auto"/>
              </w:rPr>
            </w:pP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(3)</w:t>
            </w:r>
          </w:p>
        </w:tc>
        <w:tc>
          <w:tcPr>
            <w:tcW w:w="360" w:type="dxa"/>
            <w:vAlign w:val="bottom"/>
          </w:tcPr>
          <w:p>
            <w:pPr>
              <w:spacing w:after="0"/>
              <w:rPr>
                <w:sz w:val="18"/>
                <w:szCs w:val="18"/>
                <w:color w:val="auto"/>
              </w:rPr>
            </w:pPr>
          </w:p>
        </w:tc>
        <w:tc>
          <w:tcPr>
            <w:tcW w:w="5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6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(5,193)</w:t>
            </w:r>
          </w:p>
        </w:tc>
        <w:tc>
          <w:tcPr>
            <w:tcW w:w="360" w:type="dxa"/>
            <w:vAlign w:val="bottom"/>
          </w:tcPr>
          <w:p>
            <w:pPr>
              <w:spacing w:after="0"/>
              <w:rPr>
                <w:sz w:val="18"/>
                <w:szCs w:val="18"/>
                <w:color w:val="auto"/>
              </w:rPr>
            </w:pPr>
          </w:p>
        </w:tc>
        <w:tc>
          <w:tcPr>
            <w:tcW w:w="80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(5,196)</w:t>
            </w:r>
          </w:p>
        </w:tc>
      </w:tr>
      <w:tr>
        <w:trPr>
          <w:trHeight w:val="216"/>
        </w:trPr>
        <w:tc>
          <w:tcPr>
            <w:tcW w:w="20" w:type="dxa"/>
            <w:vAlign w:val="bottom"/>
          </w:tcPr>
          <w:p>
            <w:pPr>
              <w:spacing w:after="0"/>
              <w:rPr>
                <w:sz w:val="18"/>
                <w:szCs w:val="18"/>
                <w:color w:val="auto"/>
              </w:rPr>
            </w:pPr>
          </w:p>
        </w:tc>
        <w:tc>
          <w:tcPr>
            <w:tcW w:w="32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Cash paid for intangible assets</w:t>
            </w: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(2)</w:t>
            </w:r>
          </w:p>
        </w:tc>
        <w:tc>
          <w:tcPr>
            <w:tcW w:w="36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(733)</w:t>
            </w:r>
          </w:p>
        </w:tc>
        <w:tc>
          <w:tcPr>
            <w:tcW w:w="36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(735)</w:t>
            </w:r>
          </w:p>
        </w:tc>
      </w:tr>
      <w:tr>
        <w:trPr>
          <w:trHeight w:val="208"/>
        </w:trPr>
        <w:tc>
          <w:tcPr>
            <w:tcW w:w="20" w:type="dxa"/>
            <w:vAlign w:val="bottom"/>
          </w:tcPr>
          <w:p>
            <w:pPr>
              <w:spacing w:after="0"/>
              <w:rPr>
                <w:sz w:val="18"/>
                <w:szCs w:val="18"/>
                <w:color w:val="auto"/>
              </w:rPr>
            </w:pPr>
          </w:p>
        </w:tc>
        <w:tc>
          <w:tcPr>
            <w:tcW w:w="3260" w:type="dxa"/>
            <w:vAlign w:val="bottom"/>
          </w:tcPr>
          <w:p>
            <w:pPr>
              <w:ind w:left="200"/>
              <w:spacing w:after="0"/>
              <w:rPr>
                <w:sz w:val="20"/>
                <w:szCs w:val="20"/>
                <w:color w:val="auto"/>
              </w:rPr>
            </w:pPr>
            <w:r>
              <w:rPr>
                <w:rFonts w:ascii="Arial" w:cs="Arial" w:eastAsia="Arial" w:hAnsi="Arial"/>
                <w:sz w:val="18"/>
                <w:szCs w:val="18"/>
                <w:color w:val="auto"/>
              </w:rPr>
              <w:t>Acquisitions and construction of real</w:t>
            </w: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260" w:type="dxa"/>
            <w:vAlign w:val="bottom"/>
          </w:tcPr>
          <w:p>
            <w:pPr>
              <w:ind w:left="420"/>
              <w:spacing w:after="0"/>
              <w:rPr>
                <w:sz w:val="20"/>
                <w:szCs w:val="20"/>
                <w:color w:val="auto"/>
              </w:rPr>
            </w:pPr>
            <w:r>
              <w:rPr>
                <w:rFonts w:ascii="Arial" w:cs="Arial" w:eastAsia="Arial" w:hAnsi="Arial"/>
                <w:sz w:val="18"/>
                <w:szCs w:val="18"/>
                <w:color w:val="auto"/>
              </w:rPr>
              <w:t>estate properties</w:t>
            </w:r>
          </w:p>
        </w:tc>
        <w:tc>
          <w:tcPr>
            <w:tcW w:w="260" w:type="dxa"/>
            <w:vAlign w:val="bottom"/>
          </w:tcPr>
          <w:p>
            <w:pPr>
              <w:spacing w:after="0"/>
              <w:rPr>
                <w:sz w:val="19"/>
                <w:szCs w:val="19"/>
                <w:color w:val="auto"/>
              </w:rPr>
            </w:pPr>
          </w:p>
        </w:tc>
        <w:tc>
          <w:tcPr>
            <w:tcW w:w="70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5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5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6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(28)</w:t>
            </w:r>
          </w:p>
        </w:tc>
        <w:tc>
          <w:tcPr>
            <w:tcW w:w="360" w:type="dxa"/>
            <w:vAlign w:val="bottom"/>
          </w:tcPr>
          <w:p>
            <w:pPr>
              <w:spacing w:after="0"/>
              <w:rPr>
                <w:sz w:val="19"/>
                <w:szCs w:val="19"/>
                <w:color w:val="auto"/>
              </w:rPr>
            </w:pPr>
          </w:p>
        </w:tc>
        <w:tc>
          <w:tcPr>
            <w:tcW w:w="80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7"/>
        </w:trPr>
        <w:tc>
          <w:tcPr>
            <w:tcW w:w="20" w:type="dxa"/>
            <w:vAlign w:val="bottom"/>
          </w:tcPr>
          <w:p>
            <w:pPr>
              <w:spacing w:after="0"/>
              <w:rPr>
                <w:sz w:val="18"/>
                <w:szCs w:val="18"/>
                <w:color w:val="auto"/>
              </w:rPr>
            </w:pPr>
          </w:p>
        </w:tc>
        <w:tc>
          <w:tcPr>
            <w:tcW w:w="32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Acquisitions, net of cash acquired</w:t>
            </w: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(477)</w:t>
            </w:r>
          </w:p>
        </w:tc>
        <w:tc>
          <w:tcPr>
            <w:tcW w:w="36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(477)</w:t>
            </w:r>
          </w:p>
        </w:tc>
      </w:tr>
      <w:tr>
        <w:trPr>
          <w:trHeight w:val="208"/>
        </w:trPr>
        <w:tc>
          <w:tcPr>
            <w:tcW w:w="20" w:type="dxa"/>
            <w:vAlign w:val="bottom"/>
          </w:tcPr>
          <w:p>
            <w:pPr>
              <w:spacing w:after="0"/>
              <w:rPr>
                <w:sz w:val="18"/>
                <w:szCs w:val="18"/>
                <w:color w:val="auto"/>
              </w:rPr>
            </w:pPr>
          </w:p>
        </w:tc>
        <w:tc>
          <w:tcPr>
            <w:tcW w:w="3260" w:type="dxa"/>
            <w:vAlign w:val="bottom"/>
          </w:tcPr>
          <w:p>
            <w:pPr>
              <w:ind w:left="200"/>
              <w:spacing w:after="0"/>
              <w:rPr>
                <w:sz w:val="20"/>
                <w:szCs w:val="20"/>
                <w:color w:val="auto"/>
              </w:rPr>
            </w:pPr>
            <w:r>
              <w:rPr>
                <w:rFonts w:ascii="Arial" w:cs="Arial" w:eastAsia="Arial" w:hAnsi="Arial"/>
                <w:sz w:val="18"/>
                <w:szCs w:val="18"/>
                <w:color w:val="auto"/>
                <w:w w:val="96"/>
              </w:rPr>
              <w:t>Proceeds from sales of businesses and</w:t>
            </w: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260" w:type="dxa"/>
            <w:vAlign w:val="bottom"/>
          </w:tcPr>
          <w:p>
            <w:pPr>
              <w:ind w:left="420"/>
              <w:spacing w:after="0"/>
              <w:rPr>
                <w:sz w:val="20"/>
                <w:szCs w:val="20"/>
                <w:color w:val="auto"/>
              </w:rPr>
            </w:pPr>
            <w:r>
              <w:rPr>
                <w:rFonts w:ascii="Arial" w:cs="Arial" w:eastAsia="Arial" w:hAnsi="Arial"/>
                <w:sz w:val="18"/>
                <w:szCs w:val="18"/>
                <w:color w:val="auto"/>
              </w:rPr>
              <w:t>investments</w:t>
            </w:r>
          </w:p>
        </w:tc>
        <w:tc>
          <w:tcPr>
            <w:tcW w:w="260" w:type="dxa"/>
            <w:vAlign w:val="bottom"/>
          </w:tcPr>
          <w:p>
            <w:pPr>
              <w:spacing w:after="0"/>
              <w:rPr>
                <w:sz w:val="19"/>
                <w:szCs w:val="19"/>
                <w:color w:val="auto"/>
              </w:rPr>
            </w:pPr>
          </w:p>
        </w:tc>
        <w:tc>
          <w:tcPr>
            <w:tcW w:w="70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5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5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6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00" w:type="dxa"/>
            <w:vAlign w:val="bottom"/>
          </w:tcPr>
          <w:p>
            <w:pPr>
              <w:jc w:val="right"/>
              <w:ind w:right="152"/>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9"/>
                <w:szCs w:val="19"/>
                <w:color w:val="auto"/>
              </w:rPr>
            </w:pPr>
          </w:p>
        </w:tc>
        <w:tc>
          <w:tcPr>
            <w:tcW w:w="800" w:type="dxa"/>
            <w:vAlign w:val="bottom"/>
          </w:tcPr>
          <w:p>
            <w:pPr>
              <w:jc w:val="right"/>
              <w:ind w:right="153"/>
              <w:spacing w:after="0"/>
              <w:rPr>
                <w:sz w:val="20"/>
                <w:szCs w:val="20"/>
                <w:color w:val="auto"/>
              </w:rPr>
            </w:pPr>
            <w:r>
              <w:rPr>
                <w:rFonts w:ascii="Arial" w:cs="Arial" w:eastAsia="Arial" w:hAnsi="Arial"/>
                <w:sz w:val="18"/>
                <w:szCs w:val="18"/>
                <w:color w:val="auto"/>
              </w:rPr>
              <w:t>621</w:t>
            </w:r>
          </w:p>
        </w:tc>
        <w:tc>
          <w:tcPr>
            <w:tcW w:w="360" w:type="dxa"/>
            <w:vAlign w:val="bottom"/>
          </w:tcPr>
          <w:p>
            <w:pPr>
              <w:spacing w:after="0"/>
              <w:rPr>
                <w:sz w:val="19"/>
                <w:szCs w:val="19"/>
                <w:color w:val="auto"/>
              </w:rPr>
            </w:pPr>
          </w:p>
        </w:tc>
        <w:tc>
          <w:tcPr>
            <w:tcW w:w="80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622</w:t>
            </w:r>
          </w:p>
        </w:tc>
      </w:tr>
      <w:tr>
        <w:trPr>
          <w:trHeight w:val="217"/>
        </w:trPr>
        <w:tc>
          <w:tcPr>
            <w:tcW w:w="20" w:type="dxa"/>
            <w:vAlign w:val="bottom"/>
          </w:tcPr>
          <w:p>
            <w:pPr>
              <w:spacing w:after="0"/>
              <w:rPr>
                <w:sz w:val="18"/>
                <w:szCs w:val="18"/>
                <w:color w:val="auto"/>
              </w:rPr>
            </w:pPr>
          </w:p>
        </w:tc>
        <w:tc>
          <w:tcPr>
            <w:tcW w:w="32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Purchases of investments</w:t>
            </w: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(10)</w:t>
            </w:r>
          </w:p>
        </w:tc>
        <w:tc>
          <w:tcPr>
            <w:tcW w:w="36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(6)</w:t>
            </w:r>
          </w:p>
        </w:tc>
        <w:tc>
          <w:tcPr>
            <w:tcW w:w="28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(129)</w:t>
            </w:r>
          </w:p>
        </w:tc>
        <w:tc>
          <w:tcPr>
            <w:tcW w:w="36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(145)</w:t>
            </w:r>
          </w:p>
        </w:tc>
      </w:tr>
      <w:tr>
        <w:trPr>
          <w:trHeight w:val="216"/>
        </w:trPr>
        <w:tc>
          <w:tcPr>
            <w:tcW w:w="20" w:type="dxa"/>
            <w:vAlign w:val="bottom"/>
          </w:tcPr>
          <w:p>
            <w:pPr>
              <w:spacing w:after="0"/>
              <w:rPr>
                <w:sz w:val="18"/>
                <w:szCs w:val="18"/>
                <w:color w:val="auto"/>
              </w:rPr>
            </w:pPr>
          </w:p>
        </w:tc>
        <w:tc>
          <w:tcPr>
            <w:tcW w:w="32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4</w:t>
            </w: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(125)</w:t>
            </w: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r>
      <w:tr>
        <w:trPr>
          <w:trHeight w:val="201"/>
        </w:trPr>
        <w:tc>
          <w:tcPr>
            <w:tcW w:w="20" w:type="dxa"/>
            <w:vAlign w:val="bottom"/>
          </w:tcPr>
          <w:p>
            <w:pPr>
              <w:spacing w:after="0"/>
              <w:rPr>
                <w:sz w:val="17"/>
                <w:szCs w:val="17"/>
                <w:color w:val="auto"/>
              </w:rPr>
            </w:pPr>
          </w:p>
        </w:tc>
        <w:tc>
          <w:tcPr>
            <w:tcW w:w="3260" w:type="dxa"/>
            <w:vAlign w:val="bottom"/>
            <w:shd w:val="clear" w:color="auto" w:fill="E5E5E5"/>
          </w:tcPr>
          <w:p>
            <w:pPr>
              <w:spacing w:after="0" w:line="201" w:lineRule="exact"/>
              <w:rPr>
                <w:sz w:val="20"/>
                <w:szCs w:val="20"/>
                <w:color w:val="auto"/>
              </w:rPr>
            </w:pPr>
            <w:r>
              <w:rPr>
                <w:rFonts w:ascii="Arial" w:cs="Arial" w:eastAsia="Arial" w:hAnsi="Arial"/>
                <w:sz w:val="18"/>
                <w:szCs w:val="18"/>
                <w:color w:val="auto"/>
              </w:rPr>
              <w:t>Net cash provided by (used in) investing</w:t>
            </w:r>
          </w:p>
        </w:tc>
        <w:tc>
          <w:tcPr>
            <w:tcW w:w="260" w:type="dxa"/>
            <w:vAlign w:val="bottom"/>
            <w:shd w:val="clear" w:color="auto" w:fill="E5E5E5"/>
          </w:tcPr>
          <w:p>
            <w:pPr>
              <w:spacing w:after="0"/>
              <w:rPr>
                <w:sz w:val="17"/>
                <w:szCs w:val="17"/>
                <w:color w:val="auto"/>
              </w:rPr>
            </w:pPr>
          </w:p>
        </w:tc>
        <w:tc>
          <w:tcPr>
            <w:tcW w:w="70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56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500" w:type="dxa"/>
            <w:vAlign w:val="bottom"/>
            <w:shd w:val="clear" w:color="auto" w:fill="E5E5E5"/>
          </w:tcPr>
          <w:p>
            <w:pPr>
              <w:spacing w:after="0"/>
              <w:rPr>
                <w:sz w:val="17"/>
                <w:szCs w:val="17"/>
                <w:color w:val="auto"/>
              </w:rPr>
            </w:pPr>
          </w:p>
        </w:tc>
        <w:tc>
          <w:tcPr>
            <w:tcW w:w="380" w:type="dxa"/>
            <w:vAlign w:val="bottom"/>
            <w:shd w:val="clear" w:color="auto" w:fill="E5E5E5"/>
          </w:tcPr>
          <w:p>
            <w:pPr>
              <w:spacing w:after="0"/>
              <w:rPr>
                <w:sz w:val="17"/>
                <w:szCs w:val="17"/>
                <w:color w:val="auto"/>
              </w:rPr>
            </w:pPr>
          </w:p>
        </w:tc>
        <w:tc>
          <w:tcPr>
            <w:tcW w:w="600" w:type="dxa"/>
            <w:vAlign w:val="bottom"/>
            <w:shd w:val="clear" w:color="auto" w:fill="E5E5E5"/>
          </w:tcPr>
          <w:p>
            <w:pPr>
              <w:spacing w:after="0"/>
              <w:rPr>
                <w:sz w:val="17"/>
                <w:szCs w:val="17"/>
                <w:color w:val="auto"/>
              </w:rPr>
            </w:pPr>
          </w:p>
        </w:tc>
        <w:tc>
          <w:tcPr>
            <w:tcW w:w="420" w:type="dxa"/>
            <w:vAlign w:val="bottom"/>
            <w:shd w:val="clear" w:color="auto" w:fill="E5E5E5"/>
          </w:tcPr>
          <w:p>
            <w:pPr>
              <w:spacing w:after="0"/>
              <w:rPr>
                <w:sz w:val="17"/>
                <w:szCs w:val="17"/>
                <w:color w:val="auto"/>
              </w:rPr>
            </w:pPr>
          </w:p>
        </w:tc>
        <w:tc>
          <w:tcPr>
            <w:tcW w:w="80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80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80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720" w:type="dxa"/>
            <w:vAlign w:val="bottom"/>
            <w:shd w:val="clear" w:color="auto" w:fill="E5E5E5"/>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326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activities</w:t>
            </w:r>
          </w:p>
        </w:tc>
        <w:tc>
          <w:tcPr>
            <w:tcW w:w="260" w:type="dxa"/>
            <w:vAlign w:val="bottom"/>
            <w:tcBorders>
              <w:bottom w:val="single" w:sz="8" w:color="auto"/>
            </w:tcBorders>
            <w:shd w:val="clear" w:color="auto" w:fill="E5E5E5"/>
          </w:tcPr>
          <w:p>
            <w:pPr>
              <w:spacing w:after="0"/>
              <w:rPr>
                <w:sz w:val="19"/>
                <w:szCs w:val="19"/>
                <w:color w:val="auto"/>
              </w:rPr>
            </w:pPr>
          </w:p>
        </w:tc>
        <w:tc>
          <w:tcPr>
            <w:tcW w:w="70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color w:val="auto"/>
                <w:w w:val="97"/>
              </w:rPr>
              <w:t>2,334</w:t>
            </w:r>
          </w:p>
        </w:tc>
        <w:tc>
          <w:tcPr>
            <w:tcW w:w="360" w:type="dxa"/>
            <w:vAlign w:val="bottom"/>
            <w:tcBorders>
              <w:bottom w:val="single" w:sz="8" w:color="auto"/>
            </w:tcBorders>
            <w:shd w:val="clear" w:color="auto" w:fill="E5E5E5"/>
          </w:tcPr>
          <w:p>
            <w:pPr>
              <w:spacing w:after="0"/>
              <w:rPr>
                <w:sz w:val="19"/>
                <w:szCs w:val="19"/>
                <w:color w:val="auto"/>
              </w:rPr>
            </w:pPr>
          </w:p>
        </w:tc>
        <w:tc>
          <w:tcPr>
            <w:tcW w:w="56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(11)</w:t>
            </w:r>
          </w:p>
        </w:tc>
        <w:tc>
          <w:tcPr>
            <w:tcW w:w="300" w:type="dxa"/>
            <w:vAlign w:val="bottom"/>
            <w:tcBorders>
              <w:bottom w:val="single" w:sz="8" w:color="auto"/>
            </w:tcBorders>
            <w:shd w:val="clear" w:color="auto" w:fill="E5E5E5"/>
          </w:tcPr>
          <w:p>
            <w:pPr>
              <w:spacing w:after="0"/>
              <w:rPr>
                <w:sz w:val="19"/>
                <w:szCs w:val="19"/>
                <w:color w:val="auto"/>
              </w:rPr>
            </w:pPr>
          </w:p>
        </w:tc>
        <w:tc>
          <w:tcPr>
            <w:tcW w:w="50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w w:val="87"/>
              </w:rPr>
              <w:t>(84)</w:t>
            </w:r>
          </w:p>
        </w:tc>
        <w:tc>
          <w:tcPr>
            <w:tcW w:w="380" w:type="dxa"/>
            <w:vAlign w:val="bottom"/>
            <w:tcBorders>
              <w:bottom w:val="single" w:sz="8" w:color="auto"/>
            </w:tcBorders>
            <w:shd w:val="clear" w:color="auto" w:fill="E5E5E5"/>
          </w:tcPr>
          <w:p>
            <w:pPr>
              <w:spacing w:after="0"/>
              <w:rPr>
                <w:sz w:val="19"/>
                <w:szCs w:val="19"/>
                <w:color w:val="auto"/>
              </w:rPr>
            </w:pPr>
          </w:p>
        </w:tc>
        <w:tc>
          <w:tcPr>
            <w:tcW w:w="60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88</w:t>
            </w:r>
          </w:p>
        </w:tc>
        <w:tc>
          <w:tcPr>
            <w:tcW w:w="420" w:type="dxa"/>
            <w:vAlign w:val="bottom"/>
            <w:tcBorders>
              <w:bottom w:val="single" w:sz="8" w:color="auto"/>
            </w:tcBorders>
            <w:shd w:val="clear" w:color="auto" w:fill="E5E5E5"/>
          </w:tcPr>
          <w:p>
            <w:pPr>
              <w:spacing w:after="0"/>
              <w:rPr>
                <w:sz w:val="19"/>
                <w:szCs w:val="19"/>
                <w:color w:val="auto"/>
              </w:rPr>
            </w:pPr>
          </w:p>
        </w:tc>
        <w:tc>
          <w:tcPr>
            <w:tcW w:w="80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1,760</w:t>
            </w:r>
          </w:p>
        </w:tc>
        <w:tc>
          <w:tcPr>
            <w:tcW w:w="280" w:type="dxa"/>
            <w:vAlign w:val="bottom"/>
            <w:tcBorders>
              <w:bottom w:val="single" w:sz="8" w:color="auto"/>
            </w:tcBorders>
            <w:shd w:val="clear" w:color="auto" w:fill="E5E5E5"/>
          </w:tcPr>
          <w:p>
            <w:pPr>
              <w:spacing w:after="0"/>
              <w:rPr>
                <w:sz w:val="19"/>
                <w:szCs w:val="19"/>
                <w:color w:val="auto"/>
              </w:rPr>
            </w:pPr>
          </w:p>
        </w:tc>
        <w:tc>
          <w:tcPr>
            <w:tcW w:w="80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w w:val="89"/>
              </w:rPr>
              <w:t>(10,167)</w:t>
            </w:r>
          </w:p>
        </w:tc>
        <w:tc>
          <w:tcPr>
            <w:tcW w:w="360" w:type="dxa"/>
            <w:vAlign w:val="bottom"/>
            <w:tcBorders>
              <w:bottom w:val="single" w:sz="8" w:color="auto"/>
            </w:tcBorders>
            <w:shd w:val="clear" w:color="auto" w:fill="E5E5E5"/>
          </w:tcPr>
          <w:p>
            <w:pPr>
              <w:spacing w:after="0"/>
              <w:rPr>
                <w:sz w:val="19"/>
                <w:szCs w:val="19"/>
                <w:color w:val="auto"/>
              </w:rPr>
            </w:pPr>
          </w:p>
        </w:tc>
        <w:tc>
          <w:tcPr>
            <w:tcW w:w="80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spacing w:after="0"/>
              <w:rPr>
                <w:sz w:val="19"/>
                <w:szCs w:val="19"/>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(6,080)</w:t>
            </w:r>
          </w:p>
        </w:tc>
      </w:tr>
      <w:tr>
        <w:trPr>
          <w:trHeight w:val="212"/>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32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Proceeds from (repayments of) short-</w:t>
            </w: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32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term borrowings, net</w:t>
            </w:r>
          </w:p>
        </w:tc>
        <w:tc>
          <w:tcPr>
            <w:tcW w:w="260" w:type="dxa"/>
            <w:vAlign w:val="bottom"/>
            <w:shd w:val="clear" w:color="auto" w:fill="E5E5E5"/>
          </w:tcPr>
          <w:p>
            <w:pPr>
              <w:spacing w:after="0"/>
              <w:rPr>
                <w:sz w:val="19"/>
                <w:szCs w:val="19"/>
                <w:color w:val="auto"/>
              </w:rPr>
            </w:pPr>
          </w:p>
        </w:tc>
        <w:tc>
          <w:tcPr>
            <w:tcW w:w="70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w w:val="87"/>
              </w:rPr>
              <w:t>(1,350)</w:t>
            </w:r>
          </w:p>
        </w:tc>
        <w:tc>
          <w:tcPr>
            <w:tcW w:w="360" w:type="dxa"/>
            <w:vAlign w:val="bottom"/>
            <w:shd w:val="clear" w:color="auto" w:fill="E5E5E5"/>
          </w:tcPr>
          <w:p>
            <w:pPr>
              <w:spacing w:after="0"/>
              <w:rPr>
                <w:sz w:val="19"/>
                <w:szCs w:val="19"/>
                <w:color w:val="auto"/>
              </w:rPr>
            </w:pPr>
          </w:p>
        </w:tc>
        <w:tc>
          <w:tcPr>
            <w:tcW w:w="56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9"/>
                <w:szCs w:val="19"/>
                <w:color w:val="auto"/>
              </w:rPr>
            </w:pPr>
          </w:p>
        </w:tc>
        <w:tc>
          <w:tcPr>
            <w:tcW w:w="50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9"/>
                <w:szCs w:val="19"/>
                <w:color w:val="auto"/>
              </w:rPr>
            </w:pPr>
          </w:p>
        </w:tc>
        <w:tc>
          <w:tcPr>
            <w:tcW w:w="60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spacing w:after="0"/>
              <w:rPr>
                <w:sz w:val="19"/>
                <w:szCs w:val="19"/>
                <w:color w:val="auto"/>
              </w:rPr>
            </w:pPr>
          </w:p>
        </w:tc>
        <w:tc>
          <w:tcPr>
            <w:tcW w:w="80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9"/>
                <w:szCs w:val="19"/>
                <w:color w:val="auto"/>
              </w:rPr>
            </w:pPr>
          </w:p>
        </w:tc>
        <w:tc>
          <w:tcPr>
            <w:tcW w:w="80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913</w:t>
            </w:r>
          </w:p>
        </w:tc>
        <w:tc>
          <w:tcPr>
            <w:tcW w:w="360" w:type="dxa"/>
            <w:vAlign w:val="bottom"/>
            <w:shd w:val="clear" w:color="auto" w:fill="E5E5E5"/>
          </w:tcPr>
          <w:p>
            <w:pPr>
              <w:spacing w:after="0"/>
              <w:rPr>
                <w:sz w:val="19"/>
                <w:szCs w:val="19"/>
                <w:color w:val="auto"/>
              </w:rPr>
            </w:pPr>
          </w:p>
        </w:tc>
        <w:tc>
          <w:tcPr>
            <w:tcW w:w="80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9"/>
                <w:szCs w:val="19"/>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(437)</w:t>
            </w:r>
          </w:p>
        </w:tc>
      </w:tr>
      <w:tr>
        <w:trPr>
          <w:trHeight w:val="216"/>
        </w:trPr>
        <w:tc>
          <w:tcPr>
            <w:tcW w:w="20" w:type="dxa"/>
            <w:vAlign w:val="bottom"/>
          </w:tcPr>
          <w:p>
            <w:pPr>
              <w:spacing w:after="0"/>
              <w:rPr>
                <w:sz w:val="18"/>
                <w:szCs w:val="18"/>
                <w:color w:val="auto"/>
              </w:rPr>
            </w:pPr>
          </w:p>
        </w:tc>
        <w:tc>
          <w:tcPr>
            <w:tcW w:w="3260" w:type="dxa"/>
            <w:vAlign w:val="bottom"/>
          </w:tcPr>
          <w:p>
            <w:pPr>
              <w:ind w:left="200"/>
              <w:spacing w:after="0"/>
              <w:rPr>
                <w:sz w:val="20"/>
                <w:szCs w:val="20"/>
                <w:color w:val="auto"/>
              </w:rPr>
            </w:pPr>
            <w:r>
              <w:rPr>
                <w:rFonts w:ascii="Arial" w:cs="Arial" w:eastAsia="Arial" w:hAnsi="Arial"/>
                <w:sz w:val="18"/>
                <w:szCs w:val="18"/>
                <w:color w:val="auto"/>
              </w:rPr>
              <w:t>Proceeds from borrowings</w:t>
            </w:r>
          </w:p>
        </w:tc>
        <w:tc>
          <w:tcPr>
            <w:tcW w:w="260" w:type="dxa"/>
            <w:vAlign w:val="bottom"/>
          </w:tcPr>
          <w:p>
            <w:pPr>
              <w:spacing w:after="0"/>
              <w:rPr>
                <w:sz w:val="18"/>
                <w:szCs w:val="18"/>
                <w:color w:val="auto"/>
              </w:rPr>
            </w:pPr>
          </w:p>
        </w:tc>
        <w:tc>
          <w:tcPr>
            <w:tcW w:w="700" w:type="dxa"/>
            <w:vAlign w:val="bottom"/>
          </w:tcPr>
          <w:p>
            <w:pPr>
              <w:jc w:val="right"/>
              <w:ind w:right="153"/>
              <w:spacing w:after="0"/>
              <w:rPr>
                <w:sz w:val="20"/>
                <w:szCs w:val="20"/>
                <w:color w:val="auto"/>
              </w:rPr>
            </w:pPr>
            <w:r>
              <w:rPr>
                <w:rFonts w:ascii="Arial" w:cs="Arial" w:eastAsia="Arial" w:hAnsi="Arial"/>
                <w:sz w:val="18"/>
                <w:szCs w:val="18"/>
                <w:color w:val="auto"/>
                <w:w w:val="97"/>
              </w:rPr>
              <w:t>4,180</w:t>
            </w:r>
          </w:p>
        </w:tc>
        <w:tc>
          <w:tcPr>
            <w:tcW w:w="360" w:type="dxa"/>
            <w:vAlign w:val="bottom"/>
          </w:tcPr>
          <w:p>
            <w:pPr>
              <w:spacing w:after="0"/>
              <w:rPr>
                <w:sz w:val="18"/>
                <w:szCs w:val="18"/>
                <w:color w:val="auto"/>
              </w:rPr>
            </w:pPr>
          </w:p>
        </w:tc>
        <w:tc>
          <w:tcPr>
            <w:tcW w:w="5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6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0" w:type="dxa"/>
            <w:vAlign w:val="bottom"/>
          </w:tcPr>
          <w:p>
            <w:pPr>
              <w:jc w:val="right"/>
              <w:ind w:right="153"/>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18"/>
                <w:szCs w:val="18"/>
                <w:color w:val="auto"/>
              </w:rPr>
            </w:pPr>
          </w:p>
        </w:tc>
        <w:tc>
          <w:tcPr>
            <w:tcW w:w="80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4,182</w:t>
            </w:r>
          </w:p>
        </w:tc>
      </w:tr>
      <w:tr>
        <w:trPr>
          <w:trHeight w:val="216"/>
        </w:trPr>
        <w:tc>
          <w:tcPr>
            <w:tcW w:w="20" w:type="dxa"/>
            <w:vAlign w:val="bottom"/>
          </w:tcPr>
          <w:p>
            <w:pPr>
              <w:spacing w:after="0"/>
              <w:rPr>
                <w:sz w:val="18"/>
                <w:szCs w:val="18"/>
                <w:color w:val="auto"/>
              </w:rPr>
            </w:pPr>
          </w:p>
        </w:tc>
        <w:tc>
          <w:tcPr>
            <w:tcW w:w="32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Repurchases and repayments of debt</w:t>
            </w: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w w:val="87"/>
              </w:rPr>
              <w:t>(1,000)</w:t>
            </w:r>
          </w:p>
        </w:tc>
        <w:tc>
          <w:tcPr>
            <w:tcW w:w="36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(902)</w:t>
            </w:r>
          </w:p>
        </w:tc>
        <w:tc>
          <w:tcPr>
            <w:tcW w:w="28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(1,270)</w:t>
            </w:r>
          </w:p>
        </w:tc>
        <w:tc>
          <w:tcPr>
            <w:tcW w:w="36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(3,172)</w:t>
            </w:r>
          </w:p>
        </w:tc>
      </w:tr>
      <w:tr>
        <w:trPr>
          <w:trHeight w:val="208"/>
        </w:trPr>
        <w:tc>
          <w:tcPr>
            <w:tcW w:w="20" w:type="dxa"/>
            <w:vAlign w:val="bottom"/>
          </w:tcPr>
          <w:p>
            <w:pPr>
              <w:spacing w:after="0"/>
              <w:rPr>
                <w:sz w:val="18"/>
                <w:szCs w:val="18"/>
                <w:color w:val="auto"/>
              </w:rPr>
            </w:pPr>
          </w:p>
        </w:tc>
        <w:tc>
          <w:tcPr>
            <w:tcW w:w="3260" w:type="dxa"/>
            <w:vAlign w:val="bottom"/>
          </w:tcPr>
          <w:p>
            <w:pPr>
              <w:ind w:left="200"/>
              <w:spacing w:after="0"/>
              <w:rPr>
                <w:sz w:val="20"/>
                <w:szCs w:val="20"/>
                <w:color w:val="auto"/>
              </w:rPr>
            </w:pPr>
            <w:r>
              <w:rPr>
                <w:rFonts w:ascii="Arial" w:cs="Arial" w:eastAsia="Arial" w:hAnsi="Arial"/>
                <w:sz w:val="18"/>
                <w:szCs w:val="18"/>
                <w:color w:val="auto"/>
                <w:w w:val="92"/>
              </w:rPr>
              <w:t>Repurchases and retirements of common</w:t>
            </w: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260" w:type="dxa"/>
            <w:vAlign w:val="bottom"/>
          </w:tcPr>
          <w:p>
            <w:pPr>
              <w:ind w:left="420"/>
              <w:spacing w:after="0"/>
              <w:rPr>
                <w:sz w:val="20"/>
                <w:szCs w:val="20"/>
                <w:color w:val="auto"/>
              </w:rPr>
            </w:pPr>
            <w:r>
              <w:rPr>
                <w:rFonts w:ascii="Arial" w:cs="Arial" w:eastAsia="Arial" w:hAnsi="Arial"/>
                <w:sz w:val="18"/>
                <w:szCs w:val="18"/>
                <w:color w:val="auto"/>
              </w:rPr>
              <w:t>stock</w:t>
            </w:r>
          </w:p>
        </w:tc>
        <w:tc>
          <w:tcPr>
            <w:tcW w:w="260" w:type="dxa"/>
            <w:vAlign w:val="bottom"/>
          </w:tcPr>
          <w:p>
            <w:pPr>
              <w:spacing w:after="0"/>
              <w:rPr>
                <w:sz w:val="19"/>
                <w:szCs w:val="19"/>
                <w:color w:val="auto"/>
              </w:rPr>
            </w:pPr>
          </w:p>
        </w:tc>
        <w:tc>
          <w:tcPr>
            <w:tcW w:w="700" w:type="dxa"/>
            <w:vAlign w:val="bottom"/>
          </w:tcPr>
          <w:p>
            <w:pPr>
              <w:jc w:val="right"/>
              <w:ind w:right="93"/>
              <w:spacing w:after="0"/>
              <w:rPr>
                <w:sz w:val="20"/>
                <w:szCs w:val="20"/>
                <w:color w:val="auto"/>
              </w:rPr>
            </w:pPr>
            <w:r>
              <w:rPr>
                <w:rFonts w:ascii="Arial" w:cs="Arial" w:eastAsia="Arial" w:hAnsi="Arial"/>
                <w:sz w:val="18"/>
                <w:szCs w:val="18"/>
                <w:color w:val="auto"/>
                <w:w w:val="87"/>
              </w:rPr>
              <w:t>(2,250)</w:t>
            </w:r>
          </w:p>
        </w:tc>
        <w:tc>
          <w:tcPr>
            <w:tcW w:w="360" w:type="dxa"/>
            <w:vAlign w:val="bottom"/>
          </w:tcPr>
          <w:p>
            <w:pPr>
              <w:spacing w:after="0"/>
              <w:rPr>
                <w:sz w:val="19"/>
                <w:szCs w:val="19"/>
                <w:color w:val="auto"/>
              </w:rPr>
            </w:pPr>
          </w:p>
        </w:tc>
        <w:tc>
          <w:tcPr>
            <w:tcW w:w="5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5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6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0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0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(2,250)</w:t>
            </w:r>
          </w:p>
        </w:tc>
      </w:tr>
      <w:tr>
        <w:trPr>
          <w:trHeight w:val="217"/>
        </w:trPr>
        <w:tc>
          <w:tcPr>
            <w:tcW w:w="20" w:type="dxa"/>
            <w:vAlign w:val="bottom"/>
          </w:tcPr>
          <w:p>
            <w:pPr>
              <w:spacing w:after="0"/>
              <w:rPr>
                <w:sz w:val="18"/>
                <w:szCs w:val="18"/>
                <w:color w:val="auto"/>
              </w:rPr>
            </w:pPr>
          </w:p>
        </w:tc>
        <w:tc>
          <w:tcPr>
            <w:tcW w:w="32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Dividends paid</w:t>
            </w: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w w:val="87"/>
              </w:rPr>
              <w:t>(1,676)</w:t>
            </w:r>
          </w:p>
        </w:tc>
        <w:tc>
          <w:tcPr>
            <w:tcW w:w="36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(1,676)</w:t>
            </w:r>
          </w:p>
        </w:tc>
      </w:tr>
      <w:tr>
        <w:trPr>
          <w:trHeight w:val="216"/>
        </w:trPr>
        <w:tc>
          <w:tcPr>
            <w:tcW w:w="20" w:type="dxa"/>
            <w:vAlign w:val="bottom"/>
          </w:tcPr>
          <w:p>
            <w:pPr>
              <w:spacing w:after="0"/>
              <w:rPr>
                <w:sz w:val="18"/>
                <w:szCs w:val="18"/>
                <w:color w:val="auto"/>
              </w:rPr>
            </w:pPr>
          </w:p>
        </w:tc>
        <w:tc>
          <w:tcPr>
            <w:tcW w:w="3260" w:type="dxa"/>
            <w:vAlign w:val="bottom"/>
          </w:tcPr>
          <w:p>
            <w:pPr>
              <w:ind w:left="200"/>
              <w:spacing w:after="0"/>
              <w:rPr>
                <w:sz w:val="20"/>
                <w:szCs w:val="20"/>
                <w:color w:val="auto"/>
              </w:rPr>
            </w:pPr>
            <w:r>
              <w:rPr>
                <w:rFonts w:ascii="Arial" w:cs="Arial" w:eastAsia="Arial" w:hAnsi="Arial"/>
                <w:sz w:val="18"/>
                <w:szCs w:val="18"/>
                <w:color w:val="auto"/>
              </w:rPr>
              <w:t>Issuances of common stock</w:t>
            </w:r>
          </w:p>
        </w:tc>
        <w:tc>
          <w:tcPr>
            <w:tcW w:w="260" w:type="dxa"/>
            <w:vAlign w:val="bottom"/>
          </w:tcPr>
          <w:p>
            <w:pPr>
              <w:spacing w:after="0"/>
              <w:rPr>
                <w:sz w:val="18"/>
                <w:szCs w:val="18"/>
                <w:color w:val="auto"/>
              </w:rPr>
            </w:pPr>
          </w:p>
        </w:tc>
        <w:tc>
          <w:tcPr>
            <w:tcW w:w="700" w:type="dxa"/>
            <w:vAlign w:val="bottom"/>
          </w:tcPr>
          <w:p>
            <w:pPr>
              <w:jc w:val="right"/>
              <w:ind w:right="153"/>
              <w:spacing w:after="0"/>
              <w:rPr>
                <w:sz w:val="20"/>
                <w:szCs w:val="20"/>
                <w:color w:val="auto"/>
              </w:rPr>
            </w:pPr>
            <w:r>
              <w:rPr>
                <w:rFonts w:ascii="Arial" w:cs="Arial" w:eastAsia="Arial" w:hAnsi="Arial"/>
                <w:sz w:val="18"/>
                <w:szCs w:val="18"/>
                <w:color w:val="auto"/>
              </w:rPr>
              <w:t>33</w:t>
            </w:r>
          </w:p>
        </w:tc>
        <w:tc>
          <w:tcPr>
            <w:tcW w:w="360" w:type="dxa"/>
            <w:vAlign w:val="bottom"/>
          </w:tcPr>
          <w:p>
            <w:pPr>
              <w:spacing w:after="0"/>
              <w:rPr>
                <w:sz w:val="18"/>
                <w:szCs w:val="18"/>
                <w:color w:val="auto"/>
              </w:rPr>
            </w:pPr>
          </w:p>
        </w:tc>
        <w:tc>
          <w:tcPr>
            <w:tcW w:w="5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6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0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33</w:t>
            </w:r>
          </w:p>
        </w:tc>
      </w:tr>
      <w:tr>
        <w:trPr>
          <w:trHeight w:val="208"/>
        </w:trPr>
        <w:tc>
          <w:tcPr>
            <w:tcW w:w="20" w:type="dxa"/>
            <w:vAlign w:val="bottom"/>
          </w:tcPr>
          <w:p>
            <w:pPr>
              <w:spacing w:after="0"/>
              <w:rPr>
                <w:sz w:val="18"/>
                <w:szCs w:val="18"/>
                <w:color w:val="auto"/>
              </w:rPr>
            </w:pPr>
          </w:p>
        </w:tc>
        <w:tc>
          <w:tcPr>
            <w:tcW w:w="3260" w:type="dxa"/>
            <w:vAlign w:val="bottom"/>
            <w:shd w:val="clear" w:color="auto" w:fill="E5E5E5"/>
          </w:tcPr>
          <w:p>
            <w:pPr>
              <w:ind w:left="200"/>
              <w:spacing w:after="0"/>
              <w:rPr>
                <w:sz w:val="20"/>
                <w:szCs w:val="20"/>
                <w:color w:val="auto"/>
              </w:rPr>
            </w:pPr>
            <w:r>
              <w:rPr>
                <w:rFonts w:ascii="Arial" w:cs="Arial" w:eastAsia="Arial" w:hAnsi="Arial"/>
                <w:sz w:val="18"/>
                <w:szCs w:val="18"/>
                <w:color w:val="auto"/>
                <w:w w:val="98"/>
              </w:rPr>
              <w:t>Distributions to noncontrolling interests</w:t>
            </w: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and dividends for redeemable</w:t>
            </w: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32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subsidiary preferred stock</w:t>
            </w:r>
          </w:p>
        </w:tc>
        <w:tc>
          <w:tcPr>
            <w:tcW w:w="260" w:type="dxa"/>
            <w:vAlign w:val="bottom"/>
            <w:shd w:val="clear" w:color="auto" w:fill="E5E5E5"/>
          </w:tcPr>
          <w:p>
            <w:pPr>
              <w:spacing w:after="0"/>
              <w:rPr>
                <w:sz w:val="19"/>
                <w:szCs w:val="19"/>
                <w:color w:val="auto"/>
              </w:rPr>
            </w:pPr>
          </w:p>
        </w:tc>
        <w:tc>
          <w:tcPr>
            <w:tcW w:w="70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9"/>
                <w:szCs w:val="19"/>
                <w:color w:val="auto"/>
              </w:rPr>
            </w:pPr>
          </w:p>
        </w:tc>
        <w:tc>
          <w:tcPr>
            <w:tcW w:w="56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9"/>
                <w:szCs w:val="19"/>
                <w:color w:val="auto"/>
              </w:rPr>
            </w:pPr>
          </w:p>
        </w:tc>
        <w:tc>
          <w:tcPr>
            <w:tcW w:w="50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9"/>
                <w:szCs w:val="19"/>
                <w:color w:val="auto"/>
              </w:rPr>
            </w:pPr>
          </w:p>
        </w:tc>
        <w:tc>
          <w:tcPr>
            <w:tcW w:w="60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spacing w:after="0"/>
              <w:rPr>
                <w:sz w:val="19"/>
                <w:szCs w:val="19"/>
                <w:color w:val="auto"/>
              </w:rPr>
            </w:pPr>
          </w:p>
        </w:tc>
        <w:tc>
          <w:tcPr>
            <w:tcW w:w="80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9"/>
                <w:szCs w:val="19"/>
                <w:color w:val="auto"/>
              </w:rPr>
            </w:pPr>
          </w:p>
        </w:tc>
        <w:tc>
          <w:tcPr>
            <w:tcW w:w="80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(170)</w:t>
            </w:r>
          </w:p>
        </w:tc>
        <w:tc>
          <w:tcPr>
            <w:tcW w:w="360" w:type="dxa"/>
            <w:vAlign w:val="bottom"/>
            <w:shd w:val="clear" w:color="auto" w:fill="E5E5E5"/>
          </w:tcPr>
          <w:p>
            <w:pPr>
              <w:spacing w:after="0"/>
              <w:rPr>
                <w:sz w:val="19"/>
                <w:szCs w:val="19"/>
                <w:color w:val="auto"/>
              </w:rPr>
            </w:pPr>
          </w:p>
        </w:tc>
        <w:tc>
          <w:tcPr>
            <w:tcW w:w="80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9"/>
                <w:szCs w:val="19"/>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(170)</w:t>
            </w:r>
          </w:p>
        </w:tc>
      </w:tr>
      <w:tr>
        <w:trPr>
          <w:trHeight w:val="216"/>
        </w:trPr>
        <w:tc>
          <w:tcPr>
            <w:tcW w:w="20" w:type="dxa"/>
            <w:vAlign w:val="bottom"/>
          </w:tcPr>
          <w:p>
            <w:pPr>
              <w:spacing w:after="0"/>
              <w:rPr>
                <w:sz w:val="18"/>
                <w:szCs w:val="18"/>
                <w:color w:val="auto"/>
              </w:rPr>
            </w:pPr>
          </w:p>
        </w:tc>
        <w:tc>
          <w:tcPr>
            <w:tcW w:w="32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162</w:t>
            </w:r>
          </w:p>
        </w:tc>
        <w:tc>
          <w:tcPr>
            <w:tcW w:w="3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(65)</w:t>
            </w: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97</w:t>
            </w:r>
          </w:p>
        </w:tc>
      </w:tr>
      <w:tr>
        <w:trPr>
          <w:trHeight w:val="201"/>
        </w:trPr>
        <w:tc>
          <w:tcPr>
            <w:tcW w:w="20" w:type="dxa"/>
            <w:vAlign w:val="bottom"/>
          </w:tcPr>
          <w:p>
            <w:pPr>
              <w:spacing w:after="0"/>
              <w:rPr>
                <w:sz w:val="17"/>
                <w:szCs w:val="17"/>
                <w:color w:val="auto"/>
              </w:rPr>
            </w:pPr>
          </w:p>
        </w:tc>
        <w:tc>
          <w:tcPr>
            <w:tcW w:w="3260" w:type="dxa"/>
            <w:vAlign w:val="bottom"/>
            <w:shd w:val="clear" w:color="auto" w:fill="E5E5E5"/>
          </w:tcPr>
          <w:p>
            <w:pPr>
              <w:spacing w:after="0" w:line="201" w:lineRule="exact"/>
              <w:rPr>
                <w:sz w:val="20"/>
                <w:szCs w:val="20"/>
                <w:color w:val="auto"/>
              </w:rPr>
            </w:pPr>
            <w:r>
              <w:rPr>
                <w:rFonts w:ascii="Arial" w:cs="Arial" w:eastAsia="Arial" w:hAnsi="Arial"/>
                <w:sz w:val="18"/>
                <w:szCs w:val="18"/>
                <w:color w:val="auto"/>
              </w:rPr>
              <w:t>Net cash provided by (used in) financing</w:t>
            </w:r>
          </w:p>
        </w:tc>
        <w:tc>
          <w:tcPr>
            <w:tcW w:w="260" w:type="dxa"/>
            <w:vAlign w:val="bottom"/>
            <w:shd w:val="clear" w:color="auto" w:fill="E5E5E5"/>
          </w:tcPr>
          <w:p>
            <w:pPr>
              <w:spacing w:after="0"/>
              <w:rPr>
                <w:sz w:val="17"/>
                <w:szCs w:val="17"/>
                <w:color w:val="auto"/>
              </w:rPr>
            </w:pPr>
          </w:p>
        </w:tc>
        <w:tc>
          <w:tcPr>
            <w:tcW w:w="70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56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500" w:type="dxa"/>
            <w:vAlign w:val="bottom"/>
            <w:shd w:val="clear" w:color="auto" w:fill="E5E5E5"/>
          </w:tcPr>
          <w:p>
            <w:pPr>
              <w:spacing w:after="0"/>
              <w:rPr>
                <w:sz w:val="17"/>
                <w:szCs w:val="17"/>
                <w:color w:val="auto"/>
              </w:rPr>
            </w:pPr>
          </w:p>
        </w:tc>
        <w:tc>
          <w:tcPr>
            <w:tcW w:w="380" w:type="dxa"/>
            <w:vAlign w:val="bottom"/>
            <w:shd w:val="clear" w:color="auto" w:fill="E5E5E5"/>
          </w:tcPr>
          <w:p>
            <w:pPr>
              <w:spacing w:after="0"/>
              <w:rPr>
                <w:sz w:val="17"/>
                <w:szCs w:val="17"/>
                <w:color w:val="auto"/>
              </w:rPr>
            </w:pPr>
          </w:p>
        </w:tc>
        <w:tc>
          <w:tcPr>
            <w:tcW w:w="600" w:type="dxa"/>
            <w:vAlign w:val="bottom"/>
            <w:shd w:val="clear" w:color="auto" w:fill="E5E5E5"/>
          </w:tcPr>
          <w:p>
            <w:pPr>
              <w:spacing w:after="0"/>
              <w:rPr>
                <w:sz w:val="17"/>
                <w:szCs w:val="17"/>
                <w:color w:val="auto"/>
              </w:rPr>
            </w:pPr>
          </w:p>
        </w:tc>
        <w:tc>
          <w:tcPr>
            <w:tcW w:w="420" w:type="dxa"/>
            <w:vAlign w:val="bottom"/>
            <w:shd w:val="clear" w:color="auto" w:fill="E5E5E5"/>
          </w:tcPr>
          <w:p>
            <w:pPr>
              <w:spacing w:after="0"/>
              <w:rPr>
                <w:sz w:val="17"/>
                <w:szCs w:val="17"/>
                <w:color w:val="auto"/>
              </w:rPr>
            </w:pPr>
          </w:p>
        </w:tc>
        <w:tc>
          <w:tcPr>
            <w:tcW w:w="80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80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80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720" w:type="dxa"/>
            <w:vAlign w:val="bottom"/>
            <w:shd w:val="clear" w:color="auto" w:fill="E5E5E5"/>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326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activities</w:t>
            </w:r>
          </w:p>
        </w:tc>
        <w:tc>
          <w:tcPr>
            <w:tcW w:w="260" w:type="dxa"/>
            <w:vAlign w:val="bottom"/>
            <w:tcBorders>
              <w:bottom w:val="single" w:sz="8" w:color="auto"/>
            </w:tcBorders>
            <w:shd w:val="clear" w:color="auto" w:fill="E5E5E5"/>
          </w:tcPr>
          <w:p>
            <w:pPr>
              <w:spacing w:after="0"/>
              <w:rPr>
                <w:sz w:val="19"/>
                <w:szCs w:val="19"/>
                <w:color w:val="auto"/>
              </w:rPr>
            </w:pPr>
          </w:p>
        </w:tc>
        <w:tc>
          <w:tcPr>
            <w:tcW w:w="70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w w:val="87"/>
              </w:rPr>
              <w:t>(1,901)</w:t>
            </w:r>
          </w:p>
        </w:tc>
        <w:tc>
          <w:tcPr>
            <w:tcW w:w="360" w:type="dxa"/>
            <w:vAlign w:val="bottom"/>
            <w:tcBorders>
              <w:bottom w:val="single" w:sz="8" w:color="auto"/>
            </w:tcBorders>
            <w:shd w:val="clear" w:color="auto" w:fill="E5E5E5"/>
          </w:tcPr>
          <w:p>
            <w:pPr>
              <w:spacing w:after="0"/>
              <w:rPr>
                <w:sz w:val="19"/>
                <w:szCs w:val="19"/>
                <w:color w:val="auto"/>
              </w:rPr>
            </w:pPr>
          </w:p>
        </w:tc>
        <w:tc>
          <w:tcPr>
            <w:tcW w:w="56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spacing w:after="0"/>
              <w:rPr>
                <w:sz w:val="19"/>
                <w:szCs w:val="19"/>
                <w:color w:val="auto"/>
              </w:rPr>
            </w:pPr>
          </w:p>
        </w:tc>
        <w:tc>
          <w:tcPr>
            <w:tcW w:w="50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E5E5E5"/>
          </w:tcPr>
          <w:p>
            <w:pPr>
              <w:spacing w:after="0"/>
              <w:rPr>
                <w:sz w:val="19"/>
                <w:szCs w:val="19"/>
                <w:color w:val="auto"/>
              </w:rPr>
            </w:pPr>
          </w:p>
        </w:tc>
        <w:tc>
          <w:tcPr>
            <w:tcW w:w="60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E5E5E5"/>
          </w:tcPr>
          <w:p>
            <w:pPr>
              <w:spacing w:after="0"/>
              <w:rPr>
                <w:sz w:val="19"/>
                <w:szCs w:val="19"/>
                <w:color w:val="auto"/>
              </w:rPr>
            </w:pPr>
          </w:p>
        </w:tc>
        <w:tc>
          <w:tcPr>
            <w:tcW w:w="80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(902)</w:t>
            </w:r>
          </w:p>
        </w:tc>
        <w:tc>
          <w:tcPr>
            <w:tcW w:w="280" w:type="dxa"/>
            <w:vAlign w:val="bottom"/>
            <w:tcBorders>
              <w:bottom w:val="single" w:sz="8" w:color="auto"/>
            </w:tcBorders>
            <w:shd w:val="clear" w:color="auto" w:fill="E5E5E5"/>
          </w:tcPr>
          <w:p>
            <w:pPr>
              <w:spacing w:after="0"/>
              <w:rPr>
                <w:sz w:val="19"/>
                <w:szCs w:val="19"/>
                <w:color w:val="auto"/>
              </w:rPr>
            </w:pPr>
          </w:p>
        </w:tc>
        <w:tc>
          <w:tcPr>
            <w:tcW w:w="80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(590)</w:t>
            </w:r>
          </w:p>
        </w:tc>
        <w:tc>
          <w:tcPr>
            <w:tcW w:w="360" w:type="dxa"/>
            <w:vAlign w:val="bottom"/>
            <w:tcBorders>
              <w:bottom w:val="single" w:sz="8" w:color="auto"/>
            </w:tcBorders>
            <w:shd w:val="clear" w:color="auto" w:fill="E5E5E5"/>
          </w:tcPr>
          <w:p>
            <w:pPr>
              <w:spacing w:after="0"/>
              <w:rPr>
                <w:sz w:val="19"/>
                <w:szCs w:val="19"/>
                <w:color w:val="auto"/>
              </w:rPr>
            </w:pPr>
          </w:p>
        </w:tc>
        <w:tc>
          <w:tcPr>
            <w:tcW w:w="80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spacing w:after="0"/>
              <w:rPr>
                <w:sz w:val="19"/>
                <w:szCs w:val="19"/>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(3,393)</w:t>
            </w:r>
          </w:p>
        </w:tc>
      </w:tr>
      <w:tr>
        <w:trPr>
          <w:trHeight w:val="202"/>
        </w:trPr>
        <w:tc>
          <w:tcPr>
            <w:tcW w:w="20" w:type="dxa"/>
            <w:vAlign w:val="bottom"/>
          </w:tcPr>
          <w:p>
            <w:pPr>
              <w:spacing w:after="0"/>
              <w:rPr>
                <w:sz w:val="17"/>
                <w:szCs w:val="17"/>
                <w:color w:val="auto"/>
              </w:rPr>
            </w:pPr>
          </w:p>
        </w:tc>
        <w:tc>
          <w:tcPr>
            <w:tcW w:w="3260" w:type="dxa"/>
            <w:vAlign w:val="bottom"/>
          </w:tcPr>
          <w:p>
            <w:pPr>
              <w:spacing w:after="0" w:line="202" w:lineRule="exact"/>
              <w:rPr>
                <w:sz w:val="20"/>
                <w:szCs w:val="20"/>
                <w:color w:val="auto"/>
              </w:rPr>
            </w:pPr>
            <w:r>
              <w:rPr>
                <w:rFonts w:ascii="Arial" w:cs="Arial" w:eastAsia="Arial" w:hAnsi="Arial"/>
                <w:sz w:val="18"/>
                <w:szCs w:val="18"/>
                <w:color w:val="auto"/>
              </w:rPr>
              <w:t>Increase (decrease) in cash and cash</w:t>
            </w: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3260" w:type="dxa"/>
            <w:vAlign w:val="bottom"/>
          </w:tcPr>
          <w:p>
            <w:pPr>
              <w:ind w:left="200"/>
              <w:spacing w:after="0"/>
              <w:rPr>
                <w:sz w:val="20"/>
                <w:szCs w:val="20"/>
                <w:color w:val="auto"/>
              </w:rPr>
            </w:pPr>
            <w:r>
              <w:rPr>
                <w:rFonts w:ascii="Arial" w:cs="Arial" w:eastAsia="Arial" w:hAnsi="Arial"/>
                <w:sz w:val="18"/>
                <w:szCs w:val="18"/>
                <w:color w:val="auto"/>
              </w:rPr>
              <w:t>equivalents</w:t>
            </w:r>
          </w:p>
        </w:tc>
        <w:tc>
          <w:tcPr>
            <w:tcW w:w="260" w:type="dxa"/>
            <w:vAlign w:val="bottom"/>
          </w:tcPr>
          <w:p>
            <w:pPr>
              <w:spacing w:after="0"/>
              <w:rPr>
                <w:sz w:val="19"/>
                <w:szCs w:val="19"/>
                <w:color w:val="auto"/>
              </w:rPr>
            </w:pPr>
          </w:p>
        </w:tc>
        <w:tc>
          <w:tcPr>
            <w:tcW w:w="70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5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5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6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00" w:type="dxa"/>
            <w:vAlign w:val="bottom"/>
          </w:tcPr>
          <w:p>
            <w:pPr>
              <w:jc w:val="right"/>
              <w:ind w:right="92"/>
              <w:spacing w:after="0"/>
              <w:rPr>
                <w:sz w:val="20"/>
                <w:szCs w:val="20"/>
                <w:color w:val="auto"/>
              </w:rPr>
            </w:pPr>
            <w:r>
              <w:rPr>
                <w:rFonts w:ascii="Arial" w:cs="Arial" w:eastAsia="Arial" w:hAnsi="Arial"/>
                <w:sz w:val="18"/>
                <w:szCs w:val="18"/>
                <w:color w:val="auto"/>
              </w:rPr>
              <w:t>(140)</w:t>
            </w:r>
          </w:p>
        </w:tc>
        <w:tc>
          <w:tcPr>
            <w:tcW w:w="280" w:type="dxa"/>
            <w:vAlign w:val="bottom"/>
          </w:tcPr>
          <w:p>
            <w:pPr>
              <w:spacing w:after="0"/>
              <w:rPr>
                <w:sz w:val="19"/>
                <w:szCs w:val="19"/>
                <w:color w:val="auto"/>
              </w:rPr>
            </w:pPr>
          </w:p>
        </w:tc>
        <w:tc>
          <w:tcPr>
            <w:tcW w:w="800" w:type="dxa"/>
            <w:vAlign w:val="bottom"/>
          </w:tcPr>
          <w:p>
            <w:pPr>
              <w:jc w:val="right"/>
              <w:ind w:right="153"/>
              <w:spacing w:after="0"/>
              <w:rPr>
                <w:sz w:val="20"/>
                <w:szCs w:val="20"/>
                <w:color w:val="auto"/>
              </w:rPr>
            </w:pPr>
            <w:r>
              <w:rPr>
                <w:rFonts w:ascii="Arial" w:cs="Arial" w:eastAsia="Arial" w:hAnsi="Arial"/>
                <w:sz w:val="18"/>
                <w:szCs w:val="18"/>
                <w:color w:val="auto"/>
              </w:rPr>
              <w:t>2,969</w:t>
            </w:r>
          </w:p>
        </w:tc>
        <w:tc>
          <w:tcPr>
            <w:tcW w:w="360" w:type="dxa"/>
            <w:vAlign w:val="bottom"/>
          </w:tcPr>
          <w:p>
            <w:pPr>
              <w:spacing w:after="0"/>
              <w:rPr>
                <w:sz w:val="19"/>
                <w:szCs w:val="19"/>
                <w:color w:val="auto"/>
              </w:rPr>
            </w:pPr>
          </w:p>
        </w:tc>
        <w:tc>
          <w:tcPr>
            <w:tcW w:w="80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2,829</w:t>
            </w:r>
          </w:p>
        </w:tc>
      </w:tr>
      <w:tr>
        <w:trPr>
          <w:trHeight w:val="210"/>
        </w:trPr>
        <w:tc>
          <w:tcPr>
            <w:tcW w:w="20" w:type="dxa"/>
            <w:vAlign w:val="bottom"/>
          </w:tcPr>
          <w:p>
            <w:pPr>
              <w:spacing w:after="0"/>
              <w:rPr>
                <w:sz w:val="18"/>
                <w:szCs w:val="18"/>
                <w:color w:val="auto"/>
              </w:rPr>
            </w:pPr>
          </w:p>
        </w:tc>
        <w:tc>
          <w:tcPr>
            <w:tcW w:w="3260" w:type="dxa"/>
            <w:vAlign w:val="bottom"/>
            <w:shd w:val="clear" w:color="auto" w:fill="E5E5E5"/>
          </w:tcPr>
          <w:p>
            <w:pPr>
              <w:spacing w:after="0"/>
              <w:rPr>
                <w:sz w:val="20"/>
                <w:szCs w:val="20"/>
                <w:color w:val="auto"/>
              </w:rPr>
            </w:pPr>
            <w:r>
              <w:rPr>
                <w:rFonts w:ascii="Arial" w:cs="Arial" w:eastAsia="Arial" w:hAnsi="Arial"/>
                <w:sz w:val="18"/>
                <w:szCs w:val="18"/>
                <w:color w:val="auto"/>
                <w:w w:val="99"/>
              </w:rPr>
              <w:t>Cash and cash equivalents, beginning of</w:t>
            </w: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26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period</w:t>
            </w:r>
          </w:p>
        </w:tc>
        <w:tc>
          <w:tcPr>
            <w:tcW w:w="260" w:type="dxa"/>
            <w:vAlign w:val="bottom"/>
            <w:tcBorders>
              <w:bottom w:val="single" w:sz="8" w:color="auto"/>
            </w:tcBorders>
            <w:shd w:val="clear" w:color="auto" w:fill="E5E5E5"/>
          </w:tcPr>
          <w:p>
            <w:pPr>
              <w:spacing w:after="0"/>
              <w:rPr>
                <w:sz w:val="19"/>
                <w:szCs w:val="19"/>
                <w:color w:val="auto"/>
              </w:rPr>
            </w:pPr>
          </w:p>
        </w:tc>
        <w:tc>
          <w:tcPr>
            <w:tcW w:w="70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E5E5E5"/>
          </w:tcPr>
          <w:p>
            <w:pPr>
              <w:spacing w:after="0"/>
              <w:rPr>
                <w:sz w:val="19"/>
                <w:szCs w:val="19"/>
                <w:color w:val="auto"/>
              </w:rPr>
            </w:pPr>
          </w:p>
        </w:tc>
        <w:tc>
          <w:tcPr>
            <w:tcW w:w="56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spacing w:after="0"/>
              <w:rPr>
                <w:sz w:val="19"/>
                <w:szCs w:val="19"/>
                <w:color w:val="auto"/>
              </w:rPr>
            </w:pPr>
          </w:p>
        </w:tc>
        <w:tc>
          <w:tcPr>
            <w:tcW w:w="50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E5E5E5"/>
          </w:tcPr>
          <w:p>
            <w:pPr>
              <w:spacing w:after="0"/>
              <w:rPr>
                <w:sz w:val="19"/>
                <w:szCs w:val="19"/>
                <w:color w:val="auto"/>
              </w:rPr>
            </w:pPr>
          </w:p>
        </w:tc>
        <w:tc>
          <w:tcPr>
            <w:tcW w:w="60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E5E5E5"/>
          </w:tcPr>
          <w:p>
            <w:pPr>
              <w:spacing w:after="0"/>
              <w:rPr>
                <w:sz w:val="19"/>
                <w:szCs w:val="19"/>
                <w:color w:val="auto"/>
              </w:rPr>
            </w:pPr>
          </w:p>
        </w:tc>
        <w:tc>
          <w:tcPr>
            <w:tcW w:w="80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336</w:t>
            </w:r>
          </w:p>
        </w:tc>
        <w:tc>
          <w:tcPr>
            <w:tcW w:w="280" w:type="dxa"/>
            <w:vAlign w:val="bottom"/>
            <w:tcBorders>
              <w:bottom w:val="single" w:sz="8" w:color="auto"/>
            </w:tcBorders>
            <w:shd w:val="clear" w:color="auto" w:fill="E5E5E5"/>
          </w:tcPr>
          <w:p>
            <w:pPr>
              <w:spacing w:after="0"/>
              <w:rPr>
                <w:sz w:val="19"/>
                <w:szCs w:val="19"/>
                <w:color w:val="auto"/>
              </w:rPr>
            </w:pPr>
          </w:p>
        </w:tc>
        <w:tc>
          <w:tcPr>
            <w:tcW w:w="80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color w:val="auto"/>
              </w:rPr>
              <w:t>1,382</w:t>
            </w:r>
          </w:p>
        </w:tc>
        <w:tc>
          <w:tcPr>
            <w:tcW w:w="360" w:type="dxa"/>
            <w:vAlign w:val="bottom"/>
            <w:tcBorders>
              <w:bottom w:val="single" w:sz="8" w:color="auto"/>
            </w:tcBorders>
            <w:shd w:val="clear" w:color="auto" w:fill="E5E5E5"/>
          </w:tcPr>
          <w:p>
            <w:pPr>
              <w:spacing w:after="0"/>
              <w:rPr>
                <w:sz w:val="19"/>
                <w:szCs w:val="19"/>
                <w:color w:val="auto"/>
              </w:rPr>
            </w:pPr>
          </w:p>
        </w:tc>
        <w:tc>
          <w:tcPr>
            <w:tcW w:w="80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spacing w:after="0"/>
              <w:rPr>
                <w:sz w:val="19"/>
                <w:szCs w:val="19"/>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1,718</w:t>
            </w:r>
          </w:p>
        </w:tc>
      </w:tr>
      <w:tr>
        <w:trPr>
          <w:trHeight w:val="219"/>
        </w:trPr>
        <w:tc>
          <w:tcPr>
            <w:tcW w:w="20" w:type="dxa"/>
            <w:vAlign w:val="bottom"/>
          </w:tcPr>
          <w:p>
            <w:pPr>
              <w:spacing w:after="0"/>
              <w:rPr>
                <w:sz w:val="19"/>
                <w:szCs w:val="19"/>
                <w:color w:val="auto"/>
              </w:rPr>
            </w:pPr>
          </w:p>
        </w:tc>
        <w:tc>
          <w:tcPr>
            <w:tcW w:w="3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Cash and cash equivalents, end of period</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196</w:t>
            </w:r>
          </w:p>
        </w:tc>
        <w:tc>
          <w:tcPr>
            <w:tcW w:w="2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b w:val="1"/>
                <w:bCs w:val="1"/>
                <w:color w:val="auto"/>
              </w:rPr>
              <w:t>4,351</w:t>
            </w:r>
          </w:p>
        </w:tc>
        <w:tc>
          <w:tcPr>
            <w:tcW w:w="360" w:type="dxa"/>
            <w:vAlign w:val="bottom"/>
            <w:tcBorders>
              <w:bottom w:val="single" w:sz="8" w:color="auto"/>
            </w:tcBorders>
          </w:tcPr>
          <w:p>
            <w:pPr>
              <w:jc w:val="right"/>
              <w:ind w:right="24"/>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4,547</w:t>
            </w:r>
          </w:p>
        </w:tc>
      </w:tr>
      <w:tr>
        <w:trPr>
          <w:trHeight w:val="363"/>
        </w:trPr>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jc w:val="right"/>
              <w:ind w:right="52"/>
              <w:spacing w:after="0"/>
              <w:rPr>
                <w:sz w:val="20"/>
                <w:szCs w:val="20"/>
                <w:color w:val="auto"/>
              </w:rPr>
            </w:pPr>
            <w:r>
              <w:rPr>
                <w:rFonts w:ascii="Arial" w:cs="Arial" w:eastAsia="Arial" w:hAnsi="Arial"/>
                <w:sz w:val="18"/>
                <w:szCs w:val="18"/>
                <w:color w:val="auto"/>
              </w:rPr>
              <w:t>24</w:t>
            </w: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right="940"/>
        <w:spacing w:after="0" w:line="261" w:lineRule="auto"/>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82"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We are a global media and technology company with two primary businesses, Comcast Cable and NBCUniversal. We present our operations for Comcast Cable in one reportable business segment, referred to as Cable Communications, and our operations for NBCUniversal in four reportable business segments.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 Segment</w:t>
      </w:r>
    </w:p>
    <w:p>
      <w:pPr>
        <w:spacing w:after="0" w:line="7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Comcast Cable is one of the nation’s largest providers of video, high-speed Internet and voice services (“cable services”) to residential customers under the XFINITY brand, and we also provide these and other services to businesses. As of September 30, 2015, our cable systems had 27.4 million total customer relationships, served 22.3 million video customers, 22.9 million high-speed Internet customers and 11.3 million voice customers, and passed more than 55 million homes and businesses. Our Cable Communications segment generates revenue primarily from subscriptions to our cable services, which we market individually and as bundled services, and from the sale of advertising. During the nine months ended September 30, 2015, our Cable Communications segment generated 63% of our consolidated revenue and 77% of our operating income before depreciation and amortization.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Segments</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NBCUniversal is one of the world’s leading media and entertainment companies that develops, produces and distributes entertainment, news and information, sports, and other content for global audiences. The Cable Networks, Broadcast Television, Filmed Entertainment and Theme Parks segments comprise the NBCUniversal businesses (collectively, the “NBCUniversal segments”).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Cable Networks</w:t>
      </w:r>
    </w:p>
    <w:p>
      <w:pPr>
        <w:spacing w:after="0" w:line="7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Cable Networks segment consists primarily of a diversified portfolio of cable television networks. Our cable networks are comprised of our national cable networks, which provide a variety of entertainment, news and information, and sports content, our regional sports and news networks, various international cable networks, our cable television production operations, and related digital media properties. Our Cable Networks segment generates revenue primarily from the distribution of our cable network programming to multichannel video providers, from the sale of advertising on our cable networks and related digital media properties, from the licensing of our owned programming through distribution to subscription video on demand services and various other distribution platforms, and from the sale of our owned programming through digital distributors such as iTunes.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Broadcast Television</w:t>
      </w:r>
    </w:p>
    <w:p>
      <w:pPr>
        <w:spacing w:after="0" w:line="7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Our Broadcast Television segment consists primarily of the NBC and Telemundo broadcast networks, our NBC and Telemundo owned local broadcast television stations, the NBC Universo national cable network, our broadcast television production operations, and related digital media properties. Our Broadcast Television segment generates revenue primarily from the sale of advertising on our broadcast networks, owned local broadcast television stations and related digital media properties, from the licensing of our owned programming through various distribution platforms, including to cable and broadcast networks and to subscription video on demand services, and from fees received under retransmission consent agreements.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Filmed Entertainment</w:t>
      </w:r>
    </w:p>
    <w:p>
      <w:pPr>
        <w:spacing w:after="0" w:line="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Filmed Entertainment segment primarily produces, acquires, markets and distributes filmed entertainment worldwide, and it also develops, produces and licenses live stage plays. Our films are produced primarily under the Universal Pictures, Focus Features and Illumination names. Our Filmed Entertainment segment generates revenue primarily from the worldwide distribution of our produced and acquired films for exhibition in movie theaters, from the licensing of our owned and acquired films through various distribution platforms, and from</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sale of our owned and acquired films on standard-definition video discs and Blu-ray discs (together, “DVDs”) and through digital distributors. Our Filmed Entertainment segment also generates revenue from the production and licensing of live stage plays, from the distribution of filmed entertainment produced by third parties, and from Fandango, our movie ticketing and entertainment business.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Theme Parks</w:t>
      </w:r>
    </w:p>
    <w:p>
      <w:pPr>
        <w:spacing w:after="0" w:line="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Theme Parks segment consists primarily of our Universal theme parks in Orlando, Florida and Hollywood, California. Our Theme Parks segment generates revenue primarily from theme park attendance and per capita spending. Per capita spending includes ticket price and in-park spending on food, beverages and merchandise. Our Theme Parks segment also receives fees from third parties that own and operate Universal Studios Japan and Universal Studios Singapore for intellectual property licenses and other services.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7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Our other business interests primarily include Comcast Spectacor, which owns the Philadelphia Flyers and the Wells Fargo Center arena in Philadelphia, Pennsylvania and operates arena management-related businesses.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Time Warner Cable Merger and Related Divestiture Transactions</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auto"/>
        </w:rPr>
        <w:t>On April 24, 2015, we and Time Warner Cable Inc. terminated our planned merger and we terminated our related agreement with Charter Communications, Inc.</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to spin off, exchange and sell certain cable systems.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results of operations of our reportable business segments are affected by competition, as all of our businesses operate in intensely competitive, consumer-driven and rapidly changing environments and compete with a growing number of companies that provide a broad range of communications products and services and entertainment, news and information content to consumers.</w:t>
      </w:r>
    </w:p>
    <w:p>
      <w:pPr>
        <w:spacing w:after="0" w:line="4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Competition for our bundled cable services that include video, high-speed Internet and/or voice services consists primarily of direct broadcast satellite (“DBS”) providers and phone companies with fiber-based networks. Our video business primarily competes with DBS providers, which have a national footprint and compete in all of our service areas, and phone companies with fiber-based networks, which overlap over 55% of our service areas and are continuing to expand their fiber-based networks. Our high-speed Internet services business primarily competes with phone companies with fiber-based networks, which overlap over 60% of our service areas and also are continuing to expand their fiber-based networks. Many of these competitors offer features, pricing and packaging for these services, individually and in bundles, comparable to what we offer. In July 2015, AT&amp;T, our largest phone company competitor, acquired DirecTV, the nation’s largest DBS provider, which created an even larger competitor for our cable services that will have the ability to expand its cable service offerings to include bundled wireless offerings.</w:t>
      </w:r>
    </w:p>
    <w:p>
      <w:pPr>
        <w:spacing w:after="0" w:line="5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There also continue to be companies, some with significant financial resources, that potentially may compete on a larger scale with some or all of our cable services. For example, companies continue to emerge that provide Internet streaming and downloading of video programming, and existing companies have launched or announced plans to launch online video services that involve both linear and on-demand programming, some of which charge a lower, or even a nominal or no, fee. Google is offering high-speed Internet and video services in a limited number of areas in which we operate and recently announced plans to expand into additional geographic areas. Wireless Internet services, such as 3G and 4G wireless broadband services and Wi-Fi networks, may compete with our video and high-speed Internet services, and our voice services are facing increased competition as customers replace wireline phones with mobile phones and Internet-based phone services such as Skype.</w:t>
      </w:r>
    </w:p>
    <w:p>
      <w:pPr>
        <w:spacing w:after="0" w:line="53"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Each of NBCUniversal’s businesses also faces substantial and increasing competition from providers of similar types of content, as well as from other forms of entertainment and recreational activities. NBCUniversal also must compete to obtain talent, programming and other resources required in operating these businesses.</w:t>
      </w:r>
    </w:p>
    <w:p>
      <w:pPr>
        <w:spacing w:after="0" w:line="4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Technological changes are further intensifying and complicating the competitive landscape for all of our businesses by challenging existing business models and affecting consumer behavior. Services and devices that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enable online digital distribution of movies, television shows, and other cable and broadcast video programming continue to gain consumer acceptance and evolve. Several traditional providers of video services have begun to offer smaller packages of programming networks, including some services that are delivered directly to customers over the Internet, at prices lower than our traditional video services. These services and devices may negatively affect demand for our video services, as well as demand for content from our cable networks, broadcast television and filmed entertainment businesses, as the number of entertainment choices available to consumers increases and the challenges posed by audience fragmentation intensify and audience ratings are pressured. In addition, delayed viewing and advertising skipping have become more common as the penetration of digital video recorders (“DVRs”) and similar products has increased and as content has become increasingly available via video on demand services and Internet sources, which may have a negative impact on our advertising revenue.</w:t>
      </w:r>
    </w:p>
    <w:p>
      <w:pPr>
        <w:spacing w:after="0" w:line="2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our Cable Communications segment, we believe that adding more content and delivering it through an increasing variety of platforms will assist in attracting and retaining customers for our cable services. To further enhance our video and high-speed Internet services, we continue to develop and launch new technology initiatives, such as our X1 platform and Cloud DVR technology, and deploy wireless gateways. In our NBCUniversal segments, to compete for consumers of our content and for customers at our theme parks, we have invested, and will continue to invest, substantial amounts in acquiring content and producing original content for our cable networks and broadcast television networks and our owned local broadcast television stations, including the acquisition of sports programming rights. We will also continue to invest in our film productions and in the development of new theme park attractions.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Cyclicality</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of our businesses is subject to seasonal and cyclical variations. In our Cable Communications segment, our results are impacted by the seasonal nature of customers receiving our cable services in college and vacation markets. This generally results in a reduction in net customer additions in the second quarter and an increase in net customer additions in the third and fourth quarters of each year.</w:t>
      </w:r>
    </w:p>
    <w:p>
      <w:pPr>
        <w:spacing w:after="0" w:line="46"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Revenue in our Cable Communications, Cable Networks and Broadcast Television segments is subject to cyclical advertising patterns and changes in viewership levels. Our U.S. advertising revenue is generally higher in the second and fourth quarters of each year, due in part to increases in consumer advertising in the spring and in the period leading up to and including the holiday season. U.S. advertising revenue is also cyclical, with a benefit in even-numbered years due to advertising related to candidates running for political office and issue-oriented advertising. Revenue in our Cable Networks and Broadcast Television segments fluctuates depending on the timing of when our programming is aired on television, which typically results in higher advertising revenue in the second and fourth quarters of each year. Our revenue and operating costs and expenses, excluding depreciation and amortization (“operating costs and expenses”) are cyclical as a result of our periodic broadcasts of major sporting events such as the Olympic Games, which affect our Cable Networks and Broadcast Television segments, and the Super Bowl, which affect our Broadcast Television segment. Our advertising revenue generally increases in the period of these broadcasts due to increased demand for advertising time, and our operating costs and expenses also increase as a result of our production costs and the amortization of the related rights fees.</w:t>
      </w:r>
    </w:p>
    <w:p>
      <w:pPr>
        <w:spacing w:after="0" w:line="1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Revenue in our Filmed Entertainment segment fluctuates due to the timing of the release of films in movie theaters, on DVD and through digital distributors. Release dates are determined by several factors, including competition and the timing of vacation and holiday periods. As a result, revenue tends to be seasonal, with increases experienced each year during the summer months and around the holidays. Revenue in our Cable Networks, Broadcast Television and Filmed Entertainment segments also fluctuates due to the timing of when our content is made available to licensees.</w:t>
      </w:r>
    </w:p>
    <w:p>
      <w:pPr>
        <w:spacing w:after="0" w:line="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 in our Theme Parks segment fluctuates with changes in theme park attendance that result from the seasonal nature of vacation travel, local entertainment offerings and seasonal weather variations. Our theme parks generally experience peak attendance during the summer months when schools are closed and during early winter and spring holiday periods.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Operating Results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40" w:type="dxa"/>
            <w:vAlign w:val="bottom"/>
            <w:gridSpan w:val="3"/>
          </w:tcPr>
          <w:p>
            <w:pPr>
              <w:jc w:val="right"/>
              <w:ind w:right="274"/>
              <w:spacing w:after="0"/>
              <w:rPr>
                <w:sz w:val="20"/>
                <w:szCs w:val="20"/>
                <w:color w:val="auto"/>
              </w:rPr>
            </w:pPr>
            <w:r>
              <w:rPr>
                <w:rFonts w:ascii="Arial" w:cs="Arial" w:eastAsia="Arial" w:hAnsi="Arial"/>
                <w:sz w:val="14"/>
                <w:szCs w:val="14"/>
                <w:color w:val="auto"/>
                <w:w w:val="96"/>
              </w:rPr>
              <w:t>Three Months Ended</w:t>
            </w:r>
          </w:p>
        </w:tc>
        <w:tc>
          <w:tcPr>
            <w:tcW w:w="1080" w:type="dxa"/>
            <w:vAlign w:val="bottom"/>
          </w:tcPr>
          <w:p>
            <w:pPr>
              <w:jc w:val="right"/>
              <w:ind w:right="375"/>
              <w:spacing w:after="0"/>
              <w:rPr>
                <w:sz w:val="20"/>
                <w:szCs w:val="20"/>
                <w:color w:val="auto"/>
              </w:rPr>
            </w:pPr>
            <w:r>
              <w:rPr>
                <w:rFonts w:ascii="Arial" w:cs="Arial" w:eastAsia="Arial" w:hAnsi="Arial"/>
                <w:sz w:val="14"/>
                <w:szCs w:val="14"/>
                <w:color w:val="auto"/>
              </w:rPr>
              <w:t>Increase/</w:t>
            </w:r>
          </w:p>
        </w:tc>
        <w:tc>
          <w:tcPr>
            <w:tcW w:w="280" w:type="dxa"/>
            <w:vAlign w:val="bottom"/>
          </w:tcPr>
          <w:p>
            <w:pPr>
              <w:spacing w:after="0"/>
              <w:rPr>
                <w:sz w:val="14"/>
                <w:szCs w:val="14"/>
                <w:color w:val="auto"/>
              </w:rPr>
            </w:pPr>
          </w:p>
        </w:tc>
        <w:tc>
          <w:tcPr>
            <w:tcW w:w="1640" w:type="dxa"/>
            <w:vAlign w:val="bottom"/>
            <w:gridSpan w:val="3"/>
          </w:tcPr>
          <w:p>
            <w:pPr>
              <w:jc w:val="right"/>
              <w:ind w:right="294"/>
              <w:spacing w:after="0"/>
              <w:rPr>
                <w:sz w:val="20"/>
                <w:szCs w:val="20"/>
                <w:color w:val="auto"/>
              </w:rPr>
            </w:pPr>
            <w:r>
              <w:rPr>
                <w:rFonts w:ascii="Arial" w:cs="Arial" w:eastAsia="Arial" w:hAnsi="Arial"/>
                <w:sz w:val="14"/>
                <w:szCs w:val="14"/>
                <w:color w:val="auto"/>
              </w:rPr>
              <w:t>Nine Months Ended</w:t>
            </w:r>
          </w:p>
        </w:tc>
        <w:tc>
          <w:tcPr>
            <w:tcW w:w="960" w:type="dxa"/>
            <w:vAlign w:val="bottom"/>
          </w:tcPr>
          <w:p>
            <w:pPr>
              <w:jc w:val="right"/>
              <w:ind w:right="255"/>
              <w:spacing w:after="0"/>
              <w:rPr>
                <w:sz w:val="20"/>
                <w:szCs w:val="20"/>
                <w:color w:val="auto"/>
              </w:rPr>
            </w:pPr>
            <w:r>
              <w:rPr>
                <w:rFonts w:ascii="Arial" w:cs="Arial" w:eastAsia="Arial" w:hAnsi="Arial"/>
                <w:sz w:val="14"/>
                <w:szCs w:val="14"/>
                <w:color w:val="auto"/>
              </w:rPr>
              <w:t>Increase/</w:t>
            </w:r>
          </w:p>
        </w:tc>
      </w:tr>
      <w:tr>
        <w:trPr>
          <w:trHeight w:val="159"/>
        </w:trPr>
        <w:tc>
          <w:tcPr>
            <w:tcW w:w="20" w:type="dxa"/>
            <w:vAlign w:val="bottom"/>
          </w:tcPr>
          <w:p>
            <w:pPr>
              <w:spacing w:after="0"/>
              <w:rPr>
                <w:sz w:val="13"/>
                <w:szCs w:val="13"/>
                <w:color w:val="auto"/>
              </w:rPr>
            </w:pPr>
          </w:p>
        </w:tc>
        <w:tc>
          <w:tcPr>
            <w:tcW w:w="540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3"/>
          </w:tcPr>
          <w:p>
            <w:pPr>
              <w:jc w:val="right"/>
              <w:ind w:right="474"/>
              <w:spacing w:after="0" w:line="159" w:lineRule="exact"/>
              <w:rPr>
                <w:sz w:val="20"/>
                <w:szCs w:val="20"/>
                <w:color w:val="auto"/>
              </w:rPr>
            </w:pPr>
            <w:r>
              <w:rPr>
                <w:rFonts w:ascii="Arial" w:cs="Arial" w:eastAsia="Arial" w:hAnsi="Arial"/>
                <w:sz w:val="14"/>
                <w:szCs w:val="14"/>
                <w:color w:val="auto"/>
              </w:rPr>
              <w:t>September 30</w:t>
            </w:r>
          </w:p>
        </w:tc>
        <w:tc>
          <w:tcPr>
            <w:tcW w:w="1080" w:type="dxa"/>
            <w:vAlign w:val="bottom"/>
            <w:tcBorders>
              <w:bottom w:val="single" w:sz="8" w:color="auto"/>
            </w:tcBorders>
          </w:tcPr>
          <w:p>
            <w:pPr>
              <w:jc w:val="right"/>
              <w:ind w:right="335"/>
              <w:spacing w:after="0" w:line="159" w:lineRule="exact"/>
              <w:rPr>
                <w:sz w:val="20"/>
                <w:szCs w:val="20"/>
                <w:color w:val="auto"/>
              </w:rPr>
            </w:pPr>
            <w:r>
              <w:rPr>
                <w:rFonts w:ascii="Arial" w:cs="Arial" w:eastAsia="Arial" w:hAnsi="Arial"/>
                <w:sz w:val="14"/>
                <w:szCs w:val="14"/>
                <w:color w:val="auto"/>
                <w:w w:val="92"/>
              </w:rPr>
              <w:t>(Decrease)</w:t>
            </w:r>
          </w:p>
        </w:tc>
        <w:tc>
          <w:tcPr>
            <w:tcW w:w="28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3"/>
          </w:tcPr>
          <w:p>
            <w:pPr>
              <w:jc w:val="right"/>
              <w:ind w:right="474"/>
              <w:spacing w:after="0" w:line="159" w:lineRule="exact"/>
              <w:rPr>
                <w:sz w:val="20"/>
                <w:szCs w:val="20"/>
                <w:color w:val="auto"/>
              </w:rPr>
            </w:pPr>
            <w:r>
              <w:rPr>
                <w:rFonts w:ascii="Arial" w:cs="Arial" w:eastAsia="Arial" w:hAnsi="Arial"/>
                <w:sz w:val="14"/>
                <w:szCs w:val="14"/>
                <w:color w:val="auto"/>
              </w:rPr>
              <w:t>September 30</w:t>
            </w:r>
          </w:p>
        </w:tc>
        <w:tc>
          <w:tcPr>
            <w:tcW w:w="960" w:type="dxa"/>
            <w:vAlign w:val="bottom"/>
            <w:tcBorders>
              <w:bottom w:val="single" w:sz="8" w:color="auto"/>
            </w:tcBorders>
          </w:tcPr>
          <w:p>
            <w:pPr>
              <w:jc w:val="right"/>
              <w:ind w:right="195"/>
              <w:spacing w:after="0" w:line="159" w:lineRule="exact"/>
              <w:rPr>
                <w:sz w:val="20"/>
                <w:szCs w:val="20"/>
                <w:color w:val="auto"/>
              </w:rPr>
            </w:pPr>
            <w:r>
              <w:rPr>
                <w:rFonts w:ascii="Arial" w:cs="Arial" w:eastAsia="Arial" w:hAnsi="Arial"/>
                <w:sz w:val="14"/>
                <w:szCs w:val="14"/>
                <w:color w:val="auto"/>
                <w:w w:val="95"/>
              </w:rPr>
              <w:t>(Decrease)</w:t>
            </w:r>
          </w:p>
        </w:tc>
      </w:tr>
      <w:tr>
        <w:trPr>
          <w:trHeight w:val="237"/>
        </w:trPr>
        <w:tc>
          <w:tcPr>
            <w:tcW w:w="542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400" w:type="dxa"/>
            <w:vAlign w:val="bottom"/>
          </w:tcPr>
          <w:p>
            <w:pPr>
              <w:spacing w:after="0"/>
              <w:rPr>
                <w:sz w:val="20"/>
                <w:szCs w:val="20"/>
                <w:color w:val="auto"/>
              </w:rPr>
            </w:pPr>
          </w:p>
        </w:tc>
        <w:tc>
          <w:tcPr>
            <w:tcW w:w="740" w:type="dxa"/>
            <w:vAlign w:val="bottom"/>
          </w:tcPr>
          <w:p>
            <w:pPr>
              <w:jc w:val="right"/>
              <w:ind w:right="316"/>
              <w:spacing w:after="0"/>
              <w:rPr>
                <w:sz w:val="20"/>
                <w:szCs w:val="20"/>
                <w:color w:val="auto"/>
              </w:rPr>
            </w:pPr>
            <w:r>
              <w:rPr>
                <w:rFonts w:ascii="Arial" w:cs="Arial" w:eastAsia="Arial" w:hAnsi="Arial"/>
                <w:sz w:val="14"/>
                <w:szCs w:val="14"/>
                <w:color w:val="auto"/>
              </w:rPr>
              <w:t>2015</w:t>
            </w:r>
          </w:p>
        </w:tc>
        <w:tc>
          <w:tcPr>
            <w:tcW w:w="260" w:type="dxa"/>
            <w:vAlign w:val="bottom"/>
          </w:tcPr>
          <w:p>
            <w:pPr>
              <w:spacing w:after="0"/>
              <w:rPr>
                <w:sz w:val="20"/>
                <w:szCs w:val="20"/>
                <w:color w:val="auto"/>
              </w:rPr>
            </w:pPr>
          </w:p>
        </w:tc>
        <w:tc>
          <w:tcPr>
            <w:tcW w:w="640" w:type="dxa"/>
            <w:vAlign w:val="bottom"/>
          </w:tcPr>
          <w:p>
            <w:pPr>
              <w:jc w:val="right"/>
              <w:ind w:right="214"/>
              <w:spacing w:after="0"/>
              <w:rPr>
                <w:sz w:val="20"/>
                <w:szCs w:val="20"/>
                <w:color w:val="auto"/>
              </w:rPr>
            </w:pPr>
            <w:r>
              <w:rPr>
                <w:rFonts w:ascii="Arial" w:cs="Arial" w:eastAsia="Arial" w:hAnsi="Arial"/>
                <w:sz w:val="14"/>
                <w:szCs w:val="14"/>
                <w:color w:val="auto"/>
              </w:rPr>
              <w:t>2014</w:t>
            </w: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ind w:right="316"/>
              <w:spacing w:after="0"/>
              <w:rPr>
                <w:sz w:val="20"/>
                <w:szCs w:val="20"/>
                <w:color w:val="auto"/>
              </w:rPr>
            </w:pPr>
            <w:r>
              <w:rPr>
                <w:rFonts w:ascii="Arial" w:cs="Arial" w:eastAsia="Arial" w:hAnsi="Arial"/>
                <w:sz w:val="14"/>
                <w:szCs w:val="14"/>
                <w:color w:val="auto"/>
              </w:rPr>
              <w:t>2015</w:t>
            </w:r>
          </w:p>
        </w:tc>
        <w:tc>
          <w:tcPr>
            <w:tcW w:w="280" w:type="dxa"/>
            <w:vAlign w:val="bottom"/>
          </w:tcPr>
          <w:p>
            <w:pPr>
              <w:spacing w:after="0"/>
              <w:rPr>
                <w:sz w:val="20"/>
                <w:szCs w:val="20"/>
                <w:color w:val="auto"/>
              </w:rPr>
            </w:pPr>
          </w:p>
        </w:tc>
        <w:tc>
          <w:tcPr>
            <w:tcW w:w="620" w:type="dxa"/>
            <w:vAlign w:val="bottom"/>
          </w:tcPr>
          <w:p>
            <w:pPr>
              <w:jc w:val="right"/>
              <w:ind w:right="194"/>
              <w:spacing w:after="0"/>
              <w:rPr>
                <w:sz w:val="20"/>
                <w:szCs w:val="20"/>
                <w:color w:val="auto"/>
              </w:rPr>
            </w:pPr>
            <w:r>
              <w:rPr>
                <w:rFonts w:ascii="Arial" w:cs="Arial" w:eastAsia="Arial" w:hAnsi="Arial"/>
                <w:sz w:val="14"/>
                <w:szCs w:val="14"/>
                <w:color w:val="auto"/>
              </w:rPr>
              <w:t>2014</w:t>
            </w:r>
          </w:p>
        </w:tc>
        <w:tc>
          <w:tcPr>
            <w:tcW w:w="96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540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4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E5E5E5"/>
          </w:tcPr>
          <w:p>
            <w:pPr>
              <w:jc w:val="right"/>
              <w:ind w:right="156"/>
              <w:spacing w:after="0"/>
              <w:rPr>
                <w:sz w:val="20"/>
                <w:szCs w:val="20"/>
                <w:color w:val="auto"/>
              </w:rPr>
            </w:pPr>
            <w:r>
              <w:rPr>
                <w:rFonts w:ascii="Arial" w:cs="Arial" w:eastAsia="Arial" w:hAnsi="Arial"/>
                <w:sz w:val="18"/>
                <w:szCs w:val="18"/>
                <w:color w:val="auto"/>
                <w:w w:val="87"/>
              </w:rPr>
              <w:t>18,669</w:t>
            </w:r>
          </w:p>
        </w:tc>
        <w:tc>
          <w:tcPr>
            <w:tcW w:w="2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E5E5E5"/>
          </w:tcPr>
          <w:p>
            <w:pPr>
              <w:jc w:val="right"/>
              <w:ind w:right="54"/>
              <w:spacing w:after="0"/>
              <w:rPr>
                <w:sz w:val="20"/>
                <w:szCs w:val="20"/>
                <w:color w:val="auto"/>
              </w:rPr>
            </w:pPr>
            <w:r>
              <w:rPr>
                <w:rFonts w:ascii="Arial" w:cs="Arial" w:eastAsia="Arial" w:hAnsi="Arial"/>
                <w:sz w:val="18"/>
                <w:szCs w:val="18"/>
                <w:color w:val="auto"/>
                <w:w w:val="87"/>
              </w:rPr>
              <w:t>16,791</w:t>
            </w:r>
          </w:p>
        </w:tc>
        <w:tc>
          <w:tcPr>
            <w:tcW w:w="1080" w:type="dxa"/>
            <w:vAlign w:val="bottom"/>
            <w:tcBorders>
              <w:top w:val="single" w:sz="8" w:color="auto"/>
            </w:tcBorders>
            <w:shd w:val="clear" w:color="auto" w:fill="E5E5E5"/>
          </w:tcPr>
          <w:p>
            <w:pPr>
              <w:jc w:val="right"/>
              <w:ind w:right="175"/>
              <w:spacing w:after="0"/>
              <w:rPr>
                <w:sz w:val="20"/>
                <w:szCs w:val="20"/>
                <w:color w:val="auto"/>
              </w:rPr>
            </w:pPr>
            <w:r>
              <w:rPr>
                <w:rFonts w:ascii="Arial" w:cs="Arial" w:eastAsia="Arial" w:hAnsi="Arial"/>
                <w:sz w:val="18"/>
                <w:szCs w:val="18"/>
                <w:color w:val="auto"/>
              </w:rPr>
              <w:t>11.2%</w:t>
            </w:r>
          </w:p>
        </w:tc>
        <w:tc>
          <w:tcPr>
            <w:tcW w:w="2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E5E5E5"/>
          </w:tcPr>
          <w:p>
            <w:pPr>
              <w:jc w:val="right"/>
              <w:ind w:right="156"/>
              <w:spacing w:after="0"/>
              <w:rPr>
                <w:sz w:val="20"/>
                <w:szCs w:val="20"/>
                <w:color w:val="auto"/>
              </w:rPr>
            </w:pPr>
            <w:r>
              <w:rPr>
                <w:rFonts w:ascii="Arial" w:cs="Arial" w:eastAsia="Arial" w:hAnsi="Arial"/>
                <w:sz w:val="18"/>
                <w:szCs w:val="18"/>
                <w:color w:val="auto"/>
                <w:w w:val="87"/>
              </w:rPr>
              <w:t>55,265</w:t>
            </w:r>
          </w:p>
        </w:tc>
        <w:tc>
          <w:tcPr>
            <w:tcW w:w="2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E5E5E5"/>
          </w:tcPr>
          <w:p>
            <w:pPr>
              <w:jc w:val="right"/>
              <w:ind w:right="54"/>
              <w:spacing w:after="0"/>
              <w:rPr>
                <w:sz w:val="20"/>
                <w:szCs w:val="20"/>
                <w:color w:val="auto"/>
              </w:rPr>
            </w:pPr>
            <w:r>
              <w:rPr>
                <w:rFonts w:ascii="Arial" w:cs="Arial" w:eastAsia="Arial" w:hAnsi="Arial"/>
                <w:sz w:val="18"/>
                <w:szCs w:val="18"/>
                <w:color w:val="auto"/>
                <w:w w:val="83"/>
              </w:rPr>
              <w:t>51,043</w:t>
            </w:r>
          </w:p>
        </w:tc>
        <w:tc>
          <w:tcPr>
            <w:tcW w:w="960" w:type="dxa"/>
            <w:vAlign w:val="bottom"/>
            <w:tcBorders>
              <w:top w:val="single" w:sz="8" w:color="auto"/>
            </w:tcBorders>
            <w:shd w:val="clear" w:color="auto" w:fill="E5E5E5"/>
          </w:tcPr>
          <w:p>
            <w:pPr>
              <w:jc w:val="right"/>
              <w:ind w:right="55"/>
              <w:spacing w:after="0"/>
              <w:rPr>
                <w:sz w:val="20"/>
                <w:szCs w:val="20"/>
                <w:color w:val="auto"/>
              </w:rPr>
            </w:pPr>
            <w:r>
              <w:rPr>
                <w:rFonts w:ascii="Arial" w:cs="Arial" w:eastAsia="Arial" w:hAnsi="Arial"/>
                <w:sz w:val="18"/>
                <w:szCs w:val="18"/>
                <w:color w:val="auto"/>
              </w:rPr>
              <w:t>8.3%</w:t>
            </w: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Costs and Expenses:</w:t>
            </w: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Programming and production</w:t>
            </w:r>
          </w:p>
        </w:tc>
        <w:tc>
          <w:tcPr>
            <w:tcW w:w="40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56"/>
              <w:spacing w:after="0"/>
              <w:rPr>
                <w:sz w:val="20"/>
                <w:szCs w:val="20"/>
                <w:color w:val="auto"/>
              </w:rPr>
            </w:pPr>
            <w:r>
              <w:rPr>
                <w:rFonts w:ascii="Arial" w:cs="Arial" w:eastAsia="Arial" w:hAnsi="Arial"/>
                <w:sz w:val="18"/>
                <w:szCs w:val="18"/>
                <w:color w:val="auto"/>
              </w:rPr>
              <w:t>5,582</w:t>
            </w:r>
          </w:p>
        </w:tc>
        <w:tc>
          <w:tcPr>
            <w:tcW w:w="26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54"/>
              <w:spacing w:after="0"/>
              <w:rPr>
                <w:sz w:val="20"/>
                <w:szCs w:val="20"/>
                <w:color w:val="auto"/>
              </w:rPr>
            </w:pPr>
            <w:r>
              <w:rPr>
                <w:rFonts w:ascii="Arial" w:cs="Arial" w:eastAsia="Arial" w:hAnsi="Arial"/>
                <w:sz w:val="18"/>
                <w:szCs w:val="18"/>
                <w:color w:val="auto"/>
              </w:rPr>
              <w:t>4,772</w:t>
            </w:r>
          </w:p>
        </w:tc>
        <w:tc>
          <w:tcPr>
            <w:tcW w:w="1080" w:type="dxa"/>
            <w:vAlign w:val="bottom"/>
            <w:shd w:val="clear" w:color="auto" w:fill="E5E5E5"/>
          </w:tcPr>
          <w:p>
            <w:pPr>
              <w:jc w:val="right"/>
              <w:ind w:right="335"/>
              <w:spacing w:after="0"/>
              <w:rPr>
                <w:sz w:val="20"/>
                <w:szCs w:val="20"/>
                <w:color w:val="auto"/>
              </w:rPr>
            </w:pPr>
            <w:r>
              <w:rPr>
                <w:rFonts w:ascii="Arial" w:cs="Arial" w:eastAsia="Arial" w:hAnsi="Arial"/>
                <w:sz w:val="18"/>
                <w:szCs w:val="18"/>
                <w:color w:val="auto"/>
              </w:rPr>
              <w:t>17.0</w:t>
            </w:r>
          </w:p>
        </w:tc>
        <w:tc>
          <w:tcPr>
            <w:tcW w:w="2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56"/>
              <w:spacing w:after="0"/>
              <w:rPr>
                <w:sz w:val="20"/>
                <w:szCs w:val="20"/>
                <w:color w:val="auto"/>
              </w:rPr>
            </w:pPr>
            <w:r>
              <w:rPr>
                <w:rFonts w:ascii="Arial" w:cs="Arial" w:eastAsia="Arial" w:hAnsi="Arial"/>
                <w:sz w:val="18"/>
                <w:szCs w:val="18"/>
                <w:color w:val="auto"/>
                <w:w w:val="87"/>
              </w:rPr>
              <w:t>16,714</w:t>
            </w:r>
          </w:p>
        </w:tc>
        <w:tc>
          <w:tcPr>
            <w:tcW w:w="28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4"/>
              <w:spacing w:after="0"/>
              <w:rPr>
                <w:sz w:val="20"/>
                <w:szCs w:val="20"/>
                <w:color w:val="auto"/>
              </w:rPr>
            </w:pPr>
            <w:r>
              <w:rPr>
                <w:rFonts w:ascii="Arial" w:cs="Arial" w:eastAsia="Arial" w:hAnsi="Arial"/>
                <w:sz w:val="18"/>
                <w:szCs w:val="18"/>
                <w:color w:val="auto"/>
                <w:w w:val="83"/>
              </w:rPr>
              <w:t>15,554</w:t>
            </w:r>
          </w:p>
        </w:tc>
        <w:tc>
          <w:tcPr>
            <w:tcW w:w="960" w:type="dxa"/>
            <w:vAlign w:val="bottom"/>
            <w:shd w:val="clear" w:color="auto" w:fill="E5E5E5"/>
          </w:tcPr>
          <w:p>
            <w:pPr>
              <w:jc w:val="right"/>
              <w:ind w:right="195"/>
              <w:spacing w:after="0"/>
              <w:rPr>
                <w:sz w:val="20"/>
                <w:szCs w:val="20"/>
                <w:color w:val="auto"/>
              </w:rPr>
            </w:pPr>
            <w:r>
              <w:rPr>
                <w:rFonts w:ascii="Arial" w:cs="Arial" w:eastAsia="Arial" w:hAnsi="Arial"/>
                <w:sz w:val="18"/>
                <w:szCs w:val="18"/>
                <w:color w:val="auto"/>
              </w:rPr>
              <w:t>7.5</w:t>
            </w:r>
          </w:p>
        </w:tc>
      </w:tr>
      <w:tr>
        <w:trPr>
          <w:trHeight w:val="216"/>
        </w:trPr>
        <w:tc>
          <w:tcPr>
            <w:tcW w:w="20" w:type="dxa"/>
            <w:vAlign w:val="bottom"/>
          </w:tcPr>
          <w:p>
            <w:pPr>
              <w:spacing w:after="0"/>
              <w:rPr>
                <w:sz w:val="18"/>
                <w:szCs w:val="18"/>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rPr>
              <w:t>Other operating and administrative</w:t>
            </w:r>
          </w:p>
        </w:tc>
        <w:tc>
          <w:tcPr>
            <w:tcW w:w="400" w:type="dxa"/>
            <w:vAlign w:val="bottom"/>
          </w:tcPr>
          <w:p>
            <w:pPr>
              <w:spacing w:after="0"/>
              <w:rPr>
                <w:sz w:val="18"/>
                <w:szCs w:val="18"/>
                <w:color w:val="auto"/>
              </w:rPr>
            </w:pPr>
          </w:p>
        </w:tc>
        <w:tc>
          <w:tcPr>
            <w:tcW w:w="740" w:type="dxa"/>
            <w:vAlign w:val="bottom"/>
          </w:tcPr>
          <w:p>
            <w:pPr>
              <w:jc w:val="right"/>
              <w:ind w:right="156"/>
              <w:spacing w:after="0"/>
              <w:rPr>
                <w:sz w:val="20"/>
                <w:szCs w:val="20"/>
                <w:color w:val="auto"/>
              </w:rPr>
            </w:pPr>
            <w:r>
              <w:rPr>
                <w:rFonts w:ascii="Arial" w:cs="Arial" w:eastAsia="Arial" w:hAnsi="Arial"/>
                <w:sz w:val="18"/>
                <w:szCs w:val="18"/>
                <w:color w:val="auto"/>
              </w:rPr>
              <w:t>5,394</w:t>
            </w:r>
          </w:p>
        </w:tc>
        <w:tc>
          <w:tcPr>
            <w:tcW w:w="260" w:type="dxa"/>
            <w:vAlign w:val="bottom"/>
          </w:tcPr>
          <w:p>
            <w:pPr>
              <w:spacing w:after="0"/>
              <w:rPr>
                <w:sz w:val="18"/>
                <w:szCs w:val="18"/>
                <w:color w:val="auto"/>
              </w:rPr>
            </w:pPr>
          </w:p>
        </w:tc>
        <w:tc>
          <w:tcPr>
            <w:tcW w:w="640" w:type="dxa"/>
            <w:vAlign w:val="bottom"/>
          </w:tcPr>
          <w:p>
            <w:pPr>
              <w:jc w:val="right"/>
              <w:ind w:right="54"/>
              <w:spacing w:after="0"/>
              <w:rPr>
                <w:sz w:val="20"/>
                <w:szCs w:val="20"/>
                <w:color w:val="auto"/>
              </w:rPr>
            </w:pPr>
            <w:r>
              <w:rPr>
                <w:rFonts w:ascii="Arial" w:cs="Arial" w:eastAsia="Arial" w:hAnsi="Arial"/>
                <w:sz w:val="18"/>
                <w:szCs w:val="18"/>
                <w:color w:val="auto"/>
              </w:rPr>
              <w:t>5,017</w:t>
            </w:r>
          </w:p>
        </w:tc>
        <w:tc>
          <w:tcPr>
            <w:tcW w:w="1080" w:type="dxa"/>
            <w:vAlign w:val="bottom"/>
          </w:tcPr>
          <w:p>
            <w:pPr>
              <w:jc w:val="right"/>
              <w:ind w:right="335"/>
              <w:spacing w:after="0"/>
              <w:rPr>
                <w:sz w:val="20"/>
                <w:szCs w:val="20"/>
                <w:color w:val="auto"/>
              </w:rPr>
            </w:pPr>
            <w:r>
              <w:rPr>
                <w:rFonts w:ascii="Arial" w:cs="Arial" w:eastAsia="Arial" w:hAnsi="Arial"/>
                <w:sz w:val="18"/>
                <w:szCs w:val="18"/>
                <w:color w:val="auto"/>
              </w:rPr>
              <w:t>7.5</w:t>
            </w:r>
          </w:p>
        </w:tc>
        <w:tc>
          <w:tcPr>
            <w:tcW w:w="280" w:type="dxa"/>
            <w:vAlign w:val="bottom"/>
          </w:tcPr>
          <w:p>
            <w:pPr>
              <w:spacing w:after="0"/>
              <w:rPr>
                <w:sz w:val="18"/>
                <w:szCs w:val="18"/>
                <w:color w:val="auto"/>
              </w:rPr>
            </w:pPr>
          </w:p>
        </w:tc>
        <w:tc>
          <w:tcPr>
            <w:tcW w:w="740" w:type="dxa"/>
            <w:vAlign w:val="bottom"/>
          </w:tcPr>
          <w:p>
            <w:pPr>
              <w:jc w:val="right"/>
              <w:ind w:right="156"/>
              <w:spacing w:after="0"/>
              <w:rPr>
                <w:sz w:val="20"/>
                <w:szCs w:val="20"/>
                <w:color w:val="auto"/>
              </w:rPr>
            </w:pPr>
            <w:r>
              <w:rPr>
                <w:rFonts w:ascii="Arial" w:cs="Arial" w:eastAsia="Arial" w:hAnsi="Arial"/>
                <w:sz w:val="18"/>
                <w:szCs w:val="18"/>
                <w:color w:val="auto"/>
                <w:w w:val="87"/>
              </w:rPr>
              <w:t>15,753</w:t>
            </w:r>
          </w:p>
        </w:tc>
        <w:tc>
          <w:tcPr>
            <w:tcW w:w="280" w:type="dxa"/>
            <w:vAlign w:val="bottom"/>
          </w:tcPr>
          <w:p>
            <w:pPr>
              <w:spacing w:after="0"/>
              <w:rPr>
                <w:sz w:val="18"/>
                <w:szCs w:val="18"/>
                <w:color w:val="auto"/>
              </w:rPr>
            </w:pPr>
          </w:p>
        </w:tc>
        <w:tc>
          <w:tcPr>
            <w:tcW w:w="620" w:type="dxa"/>
            <w:vAlign w:val="bottom"/>
          </w:tcPr>
          <w:p>
            <w:pPr>
              <w:jc w:val="right"/>
              <w:ind w:right="54"/>
              <w:spacing w:after="0"/>
              <w:rPr>
                <w:sz w:val="20"/>
                <w:szCs w:val="20"/>
                <w:color w:val="auto"/>
              </w:rPr>
            </w:pPr>
            <w:r>
              <w:rPr>
                <w:rFonts w:ascii="Arial" w:cs="Arial" w:eastAsia="Arial" w:hAnsi="Arial"/>
                <w:sz w:val="18"/>
                <w:szCs w:val="18"/>
                <w:color w:val="auto"/>
                <w:w w:val="83"/>
              </w:rPr>
              <w:t>14,688</w:t>
            </w:r>
          </w:p>
        </w:tc>
        <w:tc>
          <w:tcPr>
            <w:tcW w:w="960" w:type="dxa"/>
            <w:vAlign w:val="bottom"/>
          </w:tcPr>
          <w:p>
            <w:pPr>
              <w:jc w:val="right"/>
              <w:ind w:right="195"/>
              <w:spacing w:after="0"/>
              <w:rPr>
                <w:sz w:val="20"/>
                <w:szCs w:val="20"/>
                <w:color w:val="auto"/>
              </w:rPr>
            </w:pPr>
            <w:r>
              <w:rPr>
                <w:rFonts w:ascii="Arial" w:cs="Arial" w:eastAsia="Arial" w:hAnsi="Arial"/>
                <w:sz w:val="18"/>
                <w:szCs w:val="18"/>
                <w:color w:val="auto"/>
              </w:rPr>
              <w:t>7.2</w:t>
            </w:r>
          </w:p>
        </w:tc>
      </w:tr>
      <w:tr>
        <w:trPr>
          <w:trHeight w:val="216"/>
        </w:trPr>
        <w:tc>
          <w:tcPr>
            <w:tcW w:w="20" w:type="dxa"/>
            <w:vAlign w:val="bottom"/>
          </w:tcPr>
          <w:p>
            <w:pPr>
              <w:spacing w:after="0"/>
              <w:rPr>
                <w:sz w:val="18"/>
                <w:szCs w:val="18"/>
                <w:color w:val="auto"/>
              </w:rPr>
            </w:pPr>
          </w:p>
        </w:tc>
        <w:tc>
          <w:tcPr>
            <w:tcW w:w="540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Advertising, marketing and promotion</w:t>
            </w:r>
          </w:p>
        </w:tc>
        <w:tc>
          <w:tcPr>
            <w:tcW w:w="40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56"/>
              <w:spacing w:after="0"/>
              <w:rPr>
                <w:sz w:val="20"/>
                <w:szCs w:val="20"/>
                <w:color w:val="auto"/>
              </w:rPr>
            </w:pPr>
            <w:r>
              <w:rPr>
                <w:rFonts w:ascii="Arial" w:cs="Arial" w:eastAsia="Arial" w:hAnsi="Arial"/>
                <w:sz w:val="18"/>
                <w:szCs w:val="18"/>
                <w:color w:val="auto"/>
              </w:rPr>
              <w:t>1,509</w:t>
            </w:r>
          </w:p>
        </w:tc>
        <w:tc>
          <w:tcPr>
            <w:tcW w:w="26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54"/>
              <w:spacing w:after="0"/>
              <w:rPr>
                <w:sz w:val="20"/>
                <w:szCs w:val="20"/>
                <w:color w:val="auto"/>
              </w:rPr>
            </w:pPr>
            <w:r>
              <w:rPr>
                <w:rFonts w:ascii="Arial" w:cs="Arial" w:eastAsia="Arial" w:hAnsi="Arial"/>
                <w:sz w:val="18"/>
                <w:szCs w:val="18"/>
                <w:color w:val="auto"/>
              </w:rPr>
              <w:t>1,298</w:t>
            </w:r>
          </w:p>
        </w:tc>
        <w:tc>
          <w:tcPr>
            <w:tcW w:w="1080" w:type="dxa"/>
            <w:vAlign w:val="bottom"/>
            <w:shd w:val="clear" w:color="auto" w:fill="E5E5E5"/>
          </w:tcPr>
          <w:p>
            <w:pPr>
              <w:jc w:val="right"/>
              <w:ind w:right="335"/>
              <w:spacing w:after="0"/>
              <w:rPr>
                <w:sz w:val="20"/>
                <w:szCs w:val="20"/>
                <w:color w:val="auto"/>
              </w:rPr>
            </w:pPr>
            <w:r>
              <w:rPr>
                <w:rFonts w:ascii="Arial" w:cs="Arial" w:eastAsia="Arial" w:hAnsi="Arial"/>
                <w:sz w:val="18"/>
                <w:szCs w:val="18"/>
                <w:color w:val="auto"/>
              </w:rPr>
              <w:t>16.2</w:t>
            </w:r>
          </w:p>
        </w:tc>
        <w:tc>
          <w:tcPr>
            <w:tcW w:w="2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56"/>
              <w:spacing w:after="0"/>
              <w:rPr>
                <w:sz w:val="20"/>
                <w:szCs w:val="20"/>
                <w:color w:val="auto"/>
              </w:rPr>
            </w:pPr>
            <w:r>
              <w:rPr>
                <w:rFonts w:ascii="Arial" w:cs="Arial" w:eastAsia="Arial" w:hAnsi="Arial"/>
                <w:sz w:val="18"/>
                <w:szCs w:val="18"/>
                <w:color w:val="auto"/>
              </w:rPr>
              <w:t>4,392</w:t>
            </w:r>
          </w:p>
        </w:tc>
        <w:tc>
          <w:tcPr>
            <w:tcW w:w="28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4"/>
              <w:spacing w:after="0"/>
              <w:rPr>
                <w:sz w:val="20"/>
                <w:szCs w:val="20"/>
                <w:color w:val="auto"/>
              </w:rPr>
            </w:pPr>
            <w:r>
              <w:rPr>
                <w:rFonts w:ascii="Arial" w:cs="Arial" w:eastAsia="Arial" w:hAnsi="Arial"/>
                <w:sz w:val="18"/>
                <w:szCs w:val="18"/>
                <w:color w:val="auto"/>
              </w:rPr>
              <w:t>3,755</w:t>
            </w:r>
          </w:p>
        </w:tc>
        <w:tc>
          <w:tcPr>
            <w:tcW w:w="960" w:type="dxa"/>
            <w:vAlign w:val="bottom"/>
            <w:shd w:val="clear" w:color="auto" w:fill="E5E5E5"/>
          </w:tcPr>
          <w:p>
            <w:pPr>
              <w:jc w:val="right"/>
              <w:ind w:right="195"/>
              <w:spacing w:after="0"/>
              <w:rPr>
                <w:sz w:val="20"/>
                <w:szCs w:val="20"/>
                <w:color w:val="auto"/>
              </w:rPr>
            </w:pPr>
            <w:r>
              <w:rPr>
                <w:rFonts w:ascii="Arial" w:cs="Arial" w:eastAsia="Arial" w:hAnsi="Arial"/>
                <w:sz w:val="18"/>
                <w:szCs w:val="18"/>
                <w:color w:val="auto"/>
              </w:rPr>
              <w:t>17.0</w:t>
            </w:r>
          </w:p>
        </w:tc>
      </w:tr>
      <w:tr>
        <w:trPr>
          <w:trHeight w:val="216"/>
        </w:trPr>
        <w:tc>
          <w:tcPr>
            <w:tcW w:w="20" w:type="dxa"/>
            <w:vAlign w:val="bottom"/>
          </w:tcPr>
          <w:p>
            <w:pPr>
              <w:spacing w:after="0"/>
              <w:rPr>
                <w:sz w:val="18"/>
                <w:szCs w:val="18"/>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rPr>
              <w:t>Depreciation</w:t>
            </w:r>
          </w:p>
        </w:tc>
        <w:tc>
          <w:tcPr>
            <w:tcW w:w="400" w:type="dxa"/>
            <w:vAlign w:val="bottom"/>
          </w:tcPr>
          <w:p>
            <w:pPr>
              <w:spacing w:after="0"/>
              <w:rPr>
                <w:sz w:val="18"/>
                <w:szCs w:val="18"/>
                <w:color w:val="auto"/>
              </w:rPr>
            </w:pPr>
          </w:p>
        </w:tc>
        <w:tc>
          <w:tcPr>
            <w:tcW w:w="740" w:type="dxa"/>
            <w:vAlign w:val="bottom"/>
          </w:tcPr>
          <w:p>
            <w:pPr>
              <w:jc w:val="right"/>
              <w:ind w:right="156"/>
              <w:spacing w:after="0"/>
              <w:rPr>
                <w:sz w:val="20"/>
                <w:szCs w:val="20"/>
                <w:color w:val="auto"/>
              </w:rPr>
            </w:pPr>
            <w:r>
              <w:rPr>
                <w:rFonts w:ascii="Arial" w:cs="Arial" w:eastAsia="Arial" w:hAnsi="Arial"/>
                <w:sz w:val="18"/>
                <w:szCs w:val="18"/>
                <w:color w:val="auto"/>
              </w:rPr>
              <w:t>1,697</w:t>
            </w:r>
          </w:p>
        </w:tc>
        <w:tc>
          <w:tcPr>
            <w:tcW w:w="260" w:type="dxa"/>
            <w:vAlign w:val="bottom"/>
          </w:tcPr>
          <w:p>
            <w:pPr>
              <w:spacing w:after="0"/>
              <w:rPr>
                <w:sz w:val="18"/>
                <w:szCs w:val="18"/>
                <w:color w:val="auto"/>
              </w:rPr>
            </w:pPr>
          </w:p>
        </w:tc>
        <w:tc>
          <w:tcPr>
            <w:tcW w:w="640" w:type="dxa"/>
            <w:vAlign w:val="bottom"/>
          </w:tcPr>
          <w:p>
            <w:pPr>
              <w:jc w:val="right"/>
              <w:ind w:right="54"/>
              <w:spacing w:after="0"/>
              <w:rPr>
                <w:sz w:val="20"/>
                <w:szCs w:val="20"/>
                <w:color w:val="auto"/>
              </w:rPr>
            </w:pPr>
            <w:r>
              <w:rPr>
                <w:rFonts w:ascii="Arial" w:cs="Arial" w:eastAsia="Arial" w:hAnsi="Arial"/>
                <w:sz w:val="18"/>
                <w:szCs w:val="18"/>
                <w:color w:val="auto"/>
              </w:rPr>
              <w:t>1,539</w:t>
            </w:r>
          </w:p>
        </w:tc>
        <w:tc>
          <w:tcPr>
            <w:tcW w:w="1080" w:type="dxa"/>
            <w:vAlign w:val="bottom"/>
          </w:tcPr>
          <w:p>
            <w:pPr>
              <w:jc w:val="right"/>
              <w:ind w:right="335"/>
              <w:spacing w:after="0"/>
              <w:rPr>
                <w:sz w:val="20"/>
                <w:szCs w:val="20"/>
                <w:color w:val="auto"/>
              </w:rPr>
            </w:pPr>
            <w:r>
              <w:rPr>
                <w:rFonts w:ascii="Arial" w:cs="Arial" w:eastAsia="Arial" w:hAnsi="Arial"/>
                <w:sz w:val="18"/>
                <w:szCs w:val="18"/>
                <w:color w:val="auto"/>
              </w:rPr>
              <w:t>10.2</w:t>
            </w:r>
          </w:p>
        </w:tc>
        <w:tc>
          <w:tcPr>
            <w:tcW w:w="280" w:type="dxa"/>
            <w:vAlign w:val="bottom"/>
          </w:tcPr>
          <w:p>
            <w:pPr>
              <w:spacing w:after="0"/>
              <w:rPr>
                <w:sz w:val="18"/>
                <w:szCs w:val="18"/>
                <w:color w:val="auto"/>
              </w:rPr>
            </w:pPr>
          </w:p>
        </w:tc>
        <w:tc>
          <w:tcPr>
            <w:tcW w:w="740" w:type="dxa"/>
            <w:vAlign w:val="bottom"/>
          </w:tcPr>
          <w:p>
            <w:pPr>
              <w:jc w:val="right"/>
              <w:ind w:right="156"/>
              <w:spacing w:after="0"/>
              <w:rPr>
                <w:sz w:val="20"/>
                <w:szCs w:val="20"/>
                <w:color w:val="auto"/>
              </w:rPr>
            </w:pPr>
            <w:r>
              <w:rPr>
                <w:rFonts w:ascii="Arial" w:cs="Arial" w:eastAsia="Arial" w:hAnsi="Arial"/>
                <w:sz w:val="18"/>
                <w:szCs w:val="18"/>
                <w:color w:val="auto"/>
              </w:rPr>
              <w:t>5,005</w:t>
            </w:r>
          </w:p>
        </w:tc>
        <w:tc>
          <w:tcPr>
            <w:tcW w:w="280" w:type="dxa"/>
            <w:vAlign w:val="bottom"/>
          </w:tcPr>
          <w:p>
            <w:pPr>
              <w:spacing w:after="0"/>
              <w:rPr>
                <w:sz w:val="18"/>
                <w:szCs w:val="18"/>
                <w:color w:val="auto"/>
              </w:rPr>
            </w:pPr>
          </w:p>
        </w:tc>
        <w:tc>
          <w:tcPr>
            <w:tcW w:w="620" w:type="dxa"/>
            <w:vAlign w:val="bottom"/>
          </w:tcPr>
          <w:p>
            <w:pPr>
              <w:jc w:val="right"/>
              <w:ind w:right="54"/>
              <w:spacing w:after="0"/>
              <w:rPr>
                <w:sz w:val="20"/>
                <w:szCs w:val="20"/>
                <w:color w:val="auto"/>
              </w:rPr>
            </w:pPr>
            <w:r>
              <w:rPr>
                <w:rFonts w:ascii="Arial" w:cs="Arial" w:eastAsia="Arial" w:hAnsi="Arial"/>
                <w:sz w:val="18"/>
                <w:szCs w:val="18"/>
                <w:color w:val="auto"/>
              </w:rPr>
              <w:t>4,707</w:t>
            </w:r>
          </w:p>
        </w:tc>
        <w:tc>
          <w:tcPr>
            <w:tcW w:w="960" w:type="dxa"/>
            <w:vAlign w:val="bottom"/>
          </w:tcPr>
          <w:p>
            <w:pPr>
              <w:jc w:val="right"/>
              <w:ind w:right="195"/>
              <w:spacing w:after="0"/>
              <w:rPr>
                <w:sz w:val="20"/>
                <w:szCs w:val="20"/>
                <w:color w:val="auto"/>
              </w:rPr>
            </w:pPr>
            <w:r>
              <w:rPr>
                <w:rFonts w:ascii="Arial" w:cs="Arial" w:eastAsia="Arial" w:hAnsi="Arial"/>
                <w:sz w:val="18"/>
                <w:szCs w:val="18"/>
                <w:color w:val="auto"/>
              </w:rPr>
              <w:t>6.3</w:t>
            </w:r>
          </w:p>
        </w:tc>
      </w:tr>
      <w:tr>
        <w:trPr>
          <w:trHeight w:val="216"/>
        </w:trPr>
        <w:tc>
          <w:tcPr>
            <w:tcW w:w="20" w:type="dxa"/>
            <w:vAlign w:val="bottom"/>
          </w:tcPr>
          <w:p>
            <w:pPr>
              <w:spacing w:after="0"/>
              <w:rPr>
                <w:sz w:val="18"/>
                <w:szCs w:val="18"/>
                <w:color w:val="auto"/>
              </w:rPr>
            </w:pPr>
          </w:p>
        </w:tc>
        <w:tc>
          <w:tcPr>
            <w:tcW w:w="540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Amortization</w:t>
            </w:r>
          </w:p>
        </w:tc>
        <w:tc>
          <w:tcPr>
            <w:tcW w:w="40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56"/>
              <w:spacing w:after="0"/>
              <w:rPr>
                <w:sz w:val="20"/>
                <w:szCs w:val="20"/>
                <w:color w:val="auto"/>
              </w:rPr>
            </w:pPr>
            <w:r>
              <w:rPr>
                <w:rFonts w:ascii="Arial" w:cs="Arial" w:eastAsia="Arial" w:hAnsi="Arial"/>
                <w:sz w:val="18"/>
                <w:szCs w:val="18"/>
                <w:color w:val="auto"/>
              </w:rPr>
              <w:t>486</w:t>
            </w:r>
          </w:p>
        </w:tc>
        <w:tc>
          <w:tcPr>
            <w:tcW w:w="26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54"/>
              <w:spacing w:after="0"/>
              <w:rPr>
                <w:sz w:val="20"/>
                <w:szCs w:val="20"/>
                <w:color w:val="auto"/>
              </w:rPr>
            </w:pPr>
            <w:r>
              <w:rPr>
                <w:rFonts w:ascii="Arial" w:cs="Arial" w:eastAsia="Arial" w:hAnsi="Arial"/>
                <w:sz w:val="18"/>
                <w:szCs w:val="18"/>
                <w:color w:val="auto"/>
              </w:rPr>
              <w:t>420</w:t>
            </w:r>
          </w:p>
        </w:tc>
        <w:tc>
          <w:tcPr>
            <w:tcW w:w="1080" w:type="dxa"/>
            <w:vAlign w:val="bottom"/>
            <w:tcBorders>
              <w:bottom w:val="single" w:sz="8" w:color="auto"/>
            </w:tcBorders>
            <w:shd w:val="clear" w:color="auto" w:fill="E5E5E5"/>
          </w:tcPr>
          <w:p>
            <w:pPr>
              <w:jc w:val="right"/>
              <w:ind w:right="335"/>
              <w:spacing w:after="0"/>
              <w:rPr>
                <w:sz w:val="20"/>
                <w:szCs w:val="20"/>
                <w:color w:val="auto"/>
              </w:rPr>
            </w:pPr>
            <w:r>
              <w:rPr>
                <w:rFonts w:ascii="Arial" w:cs="Arial" w:eastAsia="Arial" w:hAnsi="Arial"/>
                <w:sz w:val="18"/>
                <w:szCs w:val="18"/>
                <w:color w:val="auto"/>
              </w:rPr>
              <w:t>15.8</w:t>
            </w:r>
          </w:p>
        </w:tc>
        <w:tc>
          <w:tcPr>
            <w:tcW w:w="28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56"/>
              <w:spacing w:after="0"/>
              <w:rPr>
                <w:sz w:val="20"/>
                <w:szCs w:val="20"/>
                <w:color w:val="auto"/>
              </w:rPr>
            </w:pPr>
            <w:r>
              <w:rPr>
                <w:rFonts w:ascii="Arial" w:cs="Arial" w:eastAsia="Arial" w:hAnsi="Arial"/>
                <w:sz w:val="18"/>
                <w:szCs w:val="18"/>
                <w:color w:val="auto"/>
              </w:rPr>
              <w:t>1,405</w:t>
            </w:r>
          </w:p>
        </w:tc>
        <w:tc>
          <w:tcPr>
            <w:tcW w:w="28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54"/>
              <w:spacing w:after="0"/>
              <w:rPr>
                <w:sz w:val="20"/>
                <w:szCs w:val="20"/>
                <w:color w:val="auto"/>
              </w:rPr>
            </w:pPr>
            <w:r>
              <w:rPr>
                <w:rFonts w:ascii="Arial" w:cs="Arial" w:eastAsia="Arial" w:hAnsi="Arial"/>
                <w:sz w:val="18"/>
                <w:szCs w:val="18"/>
                <w:color w:val="auto"/>
              </w:rPr>
              <w:t>1,222</w:t>
            </w:r>
          </w:p>
        </w:tc>
        <w:tc>
          <w:tcPr>
            <w:tcW w:w="960" w:type="dxa"/>
            <w:vAlign w:val="bottom"/>
            <w:tcBorders>
              <w:bottom w:val="single" w:sz="8" w:color="auto"/>
            </w:tcBorders>
            <w:shd w:val="clear" w:color="auto" w:fill="E5E5E5"/>
          </w:tcPr>
          <w:p>
            <w:pPr>
              <w:jc w:val="right"/>
              <w:ind w:right="195"/>
              <w:spacing w:after="0"/>
              <w:rPr>
                <w:sz w:val="20"/>
                <w:szCs w:val="20"/>
                <w:color w:val="auto"/>
              </w:rPr>
            </w:pPr>
            <w:r>
              <w:rPr>
                <w:rFonts w:ascii="Arial" w:cs="Arial" w:eastAsia="Arial" w:hAnsi="Arial"/>
                <w:sz w:val="18"/>
                <w:szCs w:val="18"/>
                <w:color w:val="auto"/>
              </w:rPr>
              <w:t>15.0</w:t>
            </w:r>
          </w:p>
        </w:tc>
      </w:tr>
      <w:tr>
        <w:trPr>
          <w:trHeight w:val="210"/>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400" w:type="dxa"/>
            <w:vAlign w:val="bottom"/>
          </w:tcPr>
          <w:p>
            <w:pPr>
              <w:spacing w:after="0"/>
              <w:rPr>
                <w:sz w:val="18"/>
                <w:szCs w:val="18"/>
                <w:color w:val="auto"/>
              </w:rPr>
            </w:pPr>
          </w:p>
        </w:tc>
        <w:tc>
          <w:tcPr>
            <w:tcW w:w="740" w:type="dxa"/>
            <w:vAlign w:val="bottom"/>
          </w:tcPr>
          <w:p>
            <w:pPr>
              <w:jc w:val="right"/>
              <w:ind w:right="156"/>
              <w:spacing w:after="0"/>
              <w:rPr>
                <w:sz w:val="20"/>
                <w:szCs w:val="20"/>
                <w:color w:val="auto"/>
              </w:rPr>
            </w:pPr>
            <w:r>
              <w:rPr>
                <w:rFonts w:ascii="Arial" w:cs="Arial" w:eastAsia="Arial" w:hAnsi="Arial"/>
                <w:sz w:val="18"/>
                <w:szCs w:val="18"/>
                <w:color w:val="auto"/>
              </w:rPr>
              <w:t>4,001</w:t>
            </w:r>
          </w:p>
        </w:tc>
        <w:tc>
          <w:tcPr>
            <w:tcW w:w="260" w:type="dxa"/>
            <w:vAlign w:val="bottom"/>
          </w:tcPr>
          <w:p>
            <w:pPr>
              <w:spacing w:after="0"/>
              <w:rPr>
                <w:sz w:val="18"/>
                <w:szCs w:val="18"/>
                <w:color w:val="auto"/>
              </w:rPr>
            </w:pPr>
          </w:p>
        </w:tc>
        <w:tc>
          <w:tcPr>
            <w:tcW w:w="640" w:type="dxa"/>
            <w:vAlign w:val="bottom"/>
          </w:tcPr>
          <w:p>
            <w:pPr>
              <w:jc w:val="right"/>
              <w:ind w:right="54"/>
              <w:spacing w:after="0"/>
              <w:rPr>
                <w:sz w:val="20"/>
                <w:szCs w:val="20"/>
                <w:color w:val="auto"/>
              </w:rPr>
            </w:pPr>
            <w:r>
              <w:rPr>
                <w:rFonts w:ascii="Arial" w:cs="Arial" w:eastAsia="Arial" w:hAnsi="Arial"/>
                <w:sz w:val="18"/>
                <w:szCs w:val="18"/>
                <w:color w:val="auto"/>
              </w:rPr>
              <w:t>3,745</w:t>
            </w:r>
          </w:p>
        </w:tc>
        <w:tc>
          <w:tcPr>
            <w:tcW w:w="1080" w:type="dxa"/>
            <w:vAlign w:val="bottom"/>
          </w:tcPr>
          <w:p>
            <w:pPr>
              <w:jc w:val="right"/>
              <w:ind w:right="335"/>
              <w:spacing w:after="0"/>
              <w:rPr>
                <w:sz w:val="20"/>
                <w:szCs w:val="20"/>
                <w:color w:val="auto"/>
              </w:rPr>
            </w:pPr>
            <w:r>
              <w:rPr>
                <w:rFonts w:ascii="Arial" w:cs="Arial" w:eastAsia="Arial" w:hAnsi="Arial"/>
                <w:sz w:val="18"/>
                <w:szCs w:val="18"/>
                <w:color w:val="auto"/>
              </w:rPr>
              <w:t>6.9</w:t>
            </w:r>
          </w:p>
        </w:tc>
        <w:tc>
          <w:tcPr>
            <w:tcW w:w="280" w:type="dxa"/>
            <w:vAlign w:val="bottom"/>
          </w:tcPr>
          <w:p>
            <w:pPr>
              <w:spacing w:after="0"/>
              <w:rPr>
                <w:sz w:val="18"/>
                <w:szCs w:val="18"/>
                <w:color w:val="auto"/>
              </w:rPr>
            </w:pPr>
          </w:p>
        </w:tc>
        <w:tc>
          <w:tcPr>
            <w:tcW w:w="740" w:type="dxa"/>
            <w:vAlign w:val="bottom"/>
          </w:tcPr>
          <w:p>
            <w:pPr>
              <w:jc w:val="right"/>
              <w:ind w:right="156"/>
              <w:spacing w:after="0"/>
              <w:rPr>
                <w:sz w:val="20"/>
                <w:szCs w:val="20"/>
                <w:color w:val="auto"/>
              </w:rPr>
            </w:pPr>
            <w:r>
              <w:rPr>
                <w:rFonts w:ascii="Arial" w:cs="Arial" w:eastAsia="Arial" w:hAnsi="Arial"/>
                <w:sz w:val="18"/>
                <w:szCs w:val="18"/>
                <w:color w:val="auto"/>
                <w:w w:val="87"/>
              </w:rPr>
              <w:t>11,996</w:t>
            </w:r>
          </w:p>
        </w:tc>
        <w:tc>
          <w:tcPr>
            <w:tcW w:w="280" w:type="dxa"/>
            <w:vAlign w:val="bottom"/>
          </w:tcPr>
          <w:p>
            <w:pPr>
              <w:spacing w:after="0"/>
              <w:rPr>
                <w:sz w:val="18"/>
                <w:szCs w:val="18"/>
                <w:color w:val="auto"/>
              </w:rPr>
            </w:pPr>
          </w:p>
        </w:tc>
        <w:tc>
          <w:tcPr>
            <w:tcW w:w="620" w:type="dxa"/>
            <w:vAlign w:val="bottom"/>
          </w:tcPr>
          <w:p>
            <w:pPr>
              <w:jc w:val="right"/>
              <w:ind w:right="54"/>
              <w:spacing w:after="0"/>
              <w:rPr>
                <w:sz w:val="20"/>
                <w:szCs w:val="20"/>
                <w:color w:val="auto"/>
              </w:rPr>
            </w:pPr>
            <w:r>
              <w:rPr>
                <w:rFonts w:ascii="Arial" w:cs="Arial" w:eastAsia="Arial" w:hAnsi="Arial"/>
                <w:sz w:val="18"/>
                <w:szCs w:val="18"/>
                <w:color w:val="auto"/>
                <w:w w:val="83"/>
              </w:rPr>
              <w:t>11,117</w:t>
            </w:r>
          </w:p>
        </w:tc>
        <w:tc>
          <w:tcPr>
            <w:tcW w:w="960" w:type="dxa"/>
            <w:vAlign w:val="bottom"/>
          </w:tcPr>
          <w:p>
            <w:pPr>
              <w:jc w:val="right"/>
              <w:ind w:right="195"/>
              <w:spacing w:after="0"/>
              <w:rPr>
                <w:sz w:val="20"/>
                <w:szCs w:val="20"/>
                <w:color w:val="auto"/>
              </w:rPr>
            </w:pPr>
            <w:r>
              <w:rPr>
                <w:rFonts w:ascii="Arial" w:cs="Arial" w:eastAsia="Arial" w:hAnsi="Arial"/>
                <w:sz w:val="18"/>
                <w:szCs w:val="18"/>
                <w:color w:val="auto"/>
              </w:rPr>
              <w:t>7.9</w:t>
            </w:r>
          </w:p>
        </w:tc>
      </w:tr>
      <w:tr>
        <w:trPr>
          <w:trHeight w:val="216"/>
        </w:trPr>
        <w:tc>
          <w:tcPr>
            <w:tcW w:w="20" w:type="dxa"/>
            <w:vAlign w:val="bottom"/>
          </w:tcPr>
          <w:p>
            <w:pPr>
              <w:spacing w:after="0"/>
              <w:rPr>
                <w:sz w:val="18"/>
                <w:szCs w:val="18"/>
                <w:color w:val="auto"/>
              </w:rPr>
            </w:pPr>
          </w:p>
        </w:tc>
        <w:tc>
          <w:tcPr>
            <w:tcW w:w="54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Other income (expense) items, net</w:t>
            </w:r>
          </w:p>
        </w:tc>
        <w:tc>
          <w:tcPr>
            <w:tcW w:w="40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96"/>
              <w:spacing w:after="0"/>
              <w:rPr>
                <w:sz w:val="20"/>
                <w:szCs w:val="20"/>
                <w:color w:val="auto"/>
              </w:rPr>
            </w:pPr>
            <w:r>
              <w:rPr>
                <w:rFonts w:ascii="Arial" w:cs="Arial" w:eastAsia="Arial" w:hAnsi="Arial"/>
                <w:sz w:val="18"/>
                <w:szCs w:val="18"/>
                <w:color w:val="auto"/>
              </w:rPr>
              <w:t>(737)</w:t>
            </w:r>
          </w:p>
        </w:tc>
        <w:tc>
          <w:tcPr>
            <w:tcW w:w="26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(705)</w:t>
            </w:r>
          </w:p>
        </w:tc>
        <w:tc>
          <w:tcPr>
            <w:tcW w:w="1080" w:type="dxa"/>
            <w:vAlign w:val="bottom"/>
            <w:tcBorders>
              <w:bottom w:val="single" w:sz="8" w:color="auto"/>
            </w:tcBorders>
            <w:shd w:val="clear" w:color="auto" w:fill="E5E5E5"/>
          </w:tcPr>
          <w:p>
            <w:pPr>
              <w:jc w:val="right"/>
              <w:ind w:right="335"/>
              <w:spacing w:after="0"/>
              <w:rPr>
                <w:sz w:val="20"/>
                <w:szCs w:val="20"/>
                <w:color w:val="auto"/>
              </w:rPr>
            </w:pPr>
            <w:r>
              <w:rPr>
                <w:rFonts w:ascii="Arial" w:cs="Arial" w:eastAsia="Arial" w:hAnsi="Arial"/>
                <w:sz w:val="18"/>
                <w:szCs w:val="18"/>
                <w:color w:val="auto"/>
              </w:rPr>
              <w:t>4.8</w:t>
            </w:r>
          </w:p>
        </w:tc>
        <w:tc>
          <w:tcPr>
            <w:tcW w:w="28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96"/>
              <w:spacing w:after="0"/>
              <w:rPr>
                <w:sz w:val="20"/>
                <w:szCs w:val="20"/>
                <w:color w:val="auto"/>
              </w:rPr>
            </w:pPr>
            <w:r>
              <w:rPr>
                <w:rFonts w:ascii="Arial" w:cs="Arial" w:eastAsia="Arial" w:hAnsi="Arial"/>
                <w:sz w:val="18"/>
                <w:szCs w:val="18"/>
                <w:color w:val="auto"/>
                <w:w w:val="94"/>
              </w:rPr>
              <w:t>(1,842)</w:t>
            </w:r>
          </w:p>
        </w:tc>
        <w:tc>
          <w:tcPr>
            <w:tcW w:w="28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91"/>
              </w:rPr>
              <w:t>(1,762)</w:t>
            </w:r>
          </w:p>
        </w:tc>
        <w:tc>
          <w:tcPr>
            <w:tcW w:w="960" w:type="dxa"/>
            <w:vAlign w:val="bottom"/>
            <w:tcBorders>
              <w:bottom w:val="single" w:sz="8" w:color="auto"/>
            </w:tcBorders>
            <w:shd w:val="clear" w:color="auto" w:fill="E5E5E5"/>
          </w:tcPr>
          <w:p>
            <w:pPr>
              <w:jc w:val="right"/>
              <w:ind w:right="195"/>
              <w:spacing w:after="0"/>
              <w:rPr>
                <w:sz w:val="20"/>
                <w:szCs w:val="20"/>
                <w:color w:val="auto"/>
              </w:rPr>
            </w:pPr>
            <w:r>
              <w:rPr>
                <w:rFonts w:ascii="Arial" w:cs="Arial" w:eastAsia="Arial" w:hAnsi="Arial"/>
                <w:sz w:val="18"/>
                <w:szCs w:val="18"/>
                <w:color w:val="auto"/>
              </w:rPr>
              <w:t>4.6</w:t>
            </w:r>
          </w:p>
        </w:tc>
      </w:tr>
      <w:tr>
        <w:trPr>
          <w:trHeight w:val="210"/>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400" w:type="dxa"/>
            <w:vAlign w:val="bottom"/>
          </w:tcPr>
          <w:p>
            <w:pPr>
              <w:spacing w:after="0"/>
              <w:rPr>
                <w:sz w:val="18"/>
                <w:szCs w:val="18"/>
                <w:color w:val="auto"/>
              </w:rPr>
            </w:pPr>
          </w:p>
        </w:tc>
        <w:tc>
          <w:tcPr>
            <w:tcW w:w="740" w:type="dxa"/>
            <w:vAlign w:val="bottom"/>
          </w:tcPr>
          <w:p>
            <w:pPr>
              <w:jc w:val="right"/>
              <w:ind w:right="156"/>
              <w:spacing w:after="0"/>
              <w:rPr>
                <w:sz w:val="20"/>
                <w:szCs w:val="20"/>
                <w:color w:val="auto"/>
              </w:rPr>
            </w:pPr>
            <w:r>
              <w:rPr>
                <w:rFonts w:ascii="Arial" w:cs="Arial" w:eastAsia="Arial" w:hAnsi="Arial"/>
                <w:sz w:val="18"/>
                <w:szCs w:val="18"/>
                <w:color w:val="auto"/>
              </w:rPr>
              <w:t>3,264</w:t>
            </w:r>
          </w:p>
        </w:tc>
        <w:tc>
          <w:tcPr>
            <w:tcW w:w="260" w:type="dxa"/>
            <w:vAlign w:val="bottom"/>
          </w:tcPr>
          <w:p>
            <w:pPr>
              <w:spacing w:after="0"/>
              <w:rPr>
                <w:sz w:val="18"/>
                <w:szCs w:val="18"/>
                <w:color w:val="auto"/>
              </w:rPr>
            </w:pPr>
          </w:p>
        </w:tc>
        <w:tc>
          <w:tcPr>
            <w:tcW w:w="640" w:type="dxa"/>
            <w:vAlign w:val="bottom"/>
          </w:tcPr>
          <w:p>
            <w:pPr>
              <w:jc w:val="right"/>
              <w:ind w:right="54"/>
              <w:spacing w:after="0"/>
              <w:rPr>
                <w:sz w:val="20"/>
                <w:szCs w:val="20"/>
                <w:color w:val="auto"/>
              </w:rPr>
            </w:pPr>
            <w:r>
              <w:rPr>
                <w:rFonts w:ascii="Arial" w:cs="Arial" w:eastAsia="Arial" w:hAnsi="Arial"/>
                <w:sz w:val="18"/>
                <w:szCs w:val="18"/>
                <w:color w:val="auto"/>
              </w:rPr>
              <w:t>3,040</w:t>
            </w:r>
          </w:p>
        </w:tc>
        <w:tc>
          <w:tcPr>
            <w:tcW w:w="1080" w:type="dxa"/>
            <w:vAlign w:val="bottom"/>
          </w:tcPr>
          <w:p>
            <w:pPr>
              <w:jc w:val="right"/>
              <w:ind w:right="335"/>
              <w:spacing w:after="0"/>
              <w:rPr>
                <w:sz w:val="20"/>
                <w:szCs w:val="20"/>
                <w:color w:val="auto"/>
              </w:rPr>
            </w:pPr>
            <w:r>
              <w:rPr>
                <w:rFonts w:ascii="Arial" w:cs="Arial" w:eastAsia="Arial" w:hAnsi="Arial"/>
                <w:sz w:val="18"/>
                <w:szCs w:val="18"/>
                <w:color w:val="auto"/>
              </w:rPr>
              <w:t>7.3</w:t>
            </w:r>
          </w:p>
        </w:tc>
        <w:tc>
          <w:tcPr>
            <w:tcW w:w="280" w:type="dxa"/>
            <w:vAlign w:val="bottom"/>
          </w:tcPr>
          <w:p>
            <w:pPr>
              <w:spacing w:after="0"/>
              <w:rPr>
                <w:sz w:val="18"/>
                <w:szCs w:val="18"/>
                <w:color w:val="auto"/>
              </w:rPr>
            </w:pPr>
          </w:p>
        </w:tc>
        <w:tc>
          <w:tcPr>
            <w:tcW w:w="740" w:type="dxa"/>
            <w:vAlign w:val="bottom"/>
          </w:tcPr>
          <w:p>
            <w:pPr>
              <w:jc w:val="right"/>
              <w:ind w:right="156"/>
              <w:spacing w:after="0"/>
              <w:rPr>
                <w:sz w:val="20"/>
                <w:szCs w:val="20"/>
                <w:color w:val="auto"/>
              </w:rPr>
            </w:pPr>
            <w:r>
              <w:rPr>
                <w:rFonts w:ascii="Arial" w:cs="Arial" w:eastAsia="Arial" w:hAnsi="Arial"/>
                <w:sz w:val="18"/>
                <w:szCs w:val="18"/>
                <w:color w:val="auto"/>
                <w:w w:val="87"/>
              </w:rPr>
              <w:t>10,154</w:t>
            </w:r>
          </w:p>
        </w:tc>
        <w:tc>
          <w:tcPr>
            <w:tcW w:w="280" w:type="dxa"/>
            <w:vAlign w:val="bottom"/>
          </w:tcPr>
          <w:p>
            <w:pPr>
              <w:spacing w:after="0"/>
              <w:rPr>
                <w:sz w:val="18"/>
                <w:szCs w:val="18"/>
                <w:color w:val="auto"/>
              </w:rPr>
            </w:pPr>
          </w:p>
        </w:tc>
        <w:tc>
          <w:tcPr>
            <w:tcW w:w="620" w:type="dxa"/>
            <w:vAlign w:val="bottom"/>
          </w:tcPr>
          <w:p>
            <w:pPr>
              <w:jc w:val="right"/>
              <w:ind w:right="54"/>
              <w:spacing w:after="0"/>
              <w:rPr>
                <w:sz w:val="20"/>
                <w:szCs w:val="20"/>
                <w:color w:val="auto"/>
              </w:rPr>
            </w:pPr>
            <w:r>
              <w:rPr>
                <w:rFonts w:ascii="Arial" w:cs="Arial" w:eastAsia="Arial" w:hAnsi="Arial"/>
                <w:sz w:val="18"/>
                <w:szCs w:val="18"/>
                <w:color w:val="auto"/>
              </w:rPr>
              <w:t>9,355</w:t>
            </w:r>
          </w:p>
        </w:tc>
        <w:tc>
          <w:tcPr>
            <w:tcW w:w="960" w:type="dxa"/>
            <w:vAlign w:val="bottom"/>
          </w:tcPr>
          <w:p>
            <w:pPr>
              <w:jc w:val="right"/>
              <w:ind w:right="195"/>
              <w:spacing w:after="0"/>
              <w:rPr>
                <w:sz w:val="20"/>
                <w:szCs w:val="20"/>
                <w:color w:val="auto"/>
              </w:rPr>
            </w:pPr>
            <w:r>
              <w:rPr>
                <w:rFonts w:ascii="Arial" w:cs="Arial" w:eastAsia="Arial" w:hAnsi="Arial"/>
                <w:sz w:val="18"/>
                <w:szCs w:val="18"/>
                <w:color w:val="auto"/>
              </w:rPr>
              <w:t>8.5</w:t>
            </w:r>
          </w:p>
        </w:tc>
      </w:tr>
      <w:tr>
        <w:trPr>
          <w:trHeight w:val="216"/>
        </w:trPr>
        <w:tc>
          <w:tcPr>
            <w:tcW w:w="20" w:type="dxa"/>
            <w:vAlign w:val="bottom"/>
          </w:tcPr>
          <w:p>
            <w:pPr>
              <w:spacing w:after="0"/>
              <w:rPr>
                <w:sz w:val="18"/>
                <w:szCs w:val="18"/>
                <w:color w:val="auto"/>
              </w:rPr>
            </w:pPr>
          </w:p>
        </w:tc>
        <w:tc>
          <w:tcPr>
            <w:tcW w:w="54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Income tax expense</w:t>
            </w:r>
          </w:p>
        </w:tc>
        <w:tc>
          <w:tcPr>
            <w:tcW w:w="40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96"/>
              <w:spacing w:after="0"/>
              <w:rPr>
                <w:sz w:val="20"/>
                <w:szCs w:val="20"/>
                <w:color w:val="auto"/>
              </w:rPr>
            </w:pPr>
            <w:r>
              <w:rPr>
                <w:rFonts w:ascii="Arial" w:cs="Arial" w:eastAsia="Arial" w:hAnsi="Arial"/>
                <w:sz w:val="18"/>
                <w:szCs w:val="18"/>
                <w:color w:val="auto"/>
                <w:w w:val="94"/>
              </w:rPr>
              <w:t>(1,223)</w:t>
            </w:r>
          </w:p>
        </w:tc>
        <w:tc>
          <w:tcPr>
            <w:tcW w:w="26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(407)</w:t>
            </w:r>
          </w:p>
        </w:tc>
        <w:tc>
          <w:tcPr>
            <w:tcW w:w="1080" w:type="dxa"/>
            <w:vAlign w:val="bottom"/>
            <w:tcBorders>
              <w:bottom w:val="single" w:sz="8" w:color="auto"/>
            </w:tcBorders>
            <w:shd w:val="clear" w:color="auto" w:fill="E5E5E5"/>
          </w:tcPr>
          <w:p>
            <w:pPr>
              <w:jc w:val="right"/>
              <w:ind w:right="335"/>
              <w:spacing w:after="0"/>
              <w:rPr>
                <w:sz w:val="20"/>
                <w:szCs w:val="20"/>
                <w:color w:val="auto"/>
              </w:rPr>
            </w:pPr>
            <w:r>
              <w:rPr>
                <w:rFonts w:ascii="Arial" w:cs="Arial" w:eastAsia="Arial" w:hAnsi="Arial"/>
                <w:sz w:val="18"/>
                <w:szCs w:val="18"/>
                <w:color w:val="auto"/>
              </w:rPr>
              <w:t>200.0</w:t>
            </w:r>
          </w:p>
        </w:tc>
        <w:tc>
          <w:tcPr>
            <w:tcW w:w="28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96"/>
              <w:spacing w:after="0"/>
              <w:rPr>
                <w:sz w:val="20"/>
                <w:szCs w:val="20"/>
                <w:color w:val="auto"/>
              </w:rPr>
            </w:pPr>
            <w:r>
              <w:rPr>
                <w:rFonts w:ascii="Arial" w:cs="Arial" w:eastAsia="Arial" w:hAnsi="Arial"/>
                <w:sz w:val="18"/>
                <w:szCs w:val="18"/>
                <w:color w:val="auto"/>
                <w:w w:val="94"/>
              </w:rPr>
              <w:t>(3,797)</w:t>
            </w:r>
          </w:p>
        </w:tc>
        <w:tc>
          <w:tcPr>
            <w:tcW w:w="28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91"/>
              </w:rPr>
              <w:t>(2,759)</w:t>
            </w:r>
          </w:p>
        </w:tc>
        <w:tc>
          <w:tcPr>
            <w:tcW w:w="960" w:type="dxa"/>
            <w:vAlign w:val="bottom"/>
            <w:tcBorders>
              <w:bottom w:val="single" w:sz="8" w:color="auto"/>
            </w:tcBorders>
            <w:shd w:val="clear" w:color="auto" w:fill="E5E5E5"/>
          </w:tcPr>
          <w:p>
            <w:pPr>
              <w:jc w:val="right"/>
              <w:ind w:right="195"/>
              <w:spacing w:after="0"/>
              <w:rPr>
                <w:sz w:val="20"/>
                <w:szCs w:val="20"/>
                <w:color w:val="auto"/>
              </w:rPr>
            </w:pPr>
            <w:r>
              <w:rPr>
                <w:rFonts w:ascii="Arial" w:cs="Arial" w:eastAsia="Arial" w:hAnsi="Arial"/>
                <w:sz w:val="18"/>
                <w:szCs w:val="18"/>
                <w:color w:val="auto"/>
              </w:rPr>
              <w:t>37.6</w:t>
            </w:r>
          </w:p>
        </w:tc>
      </w:tr>
      <w:tr>
        <w:trPr>
          <w:trHeight w:val="210"/>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Net income</w:t>
            </w:r>
          </w:p>
        </w:tc>
        <w:tc>
          <w:tcPr>
            <w:tcW w:w="400" w:type="dxa"/>
            <w:vAlign w:val="bottom"/>
          </w:tcPr>
          <w:p>
            <w:pPr>
              <w:spacing w:after="0"/>
              <w:rPr>
                <w:sz w:val="18"/>
                <w:szCs w:val="18"/>
                <w:color w:val="auto"/>
              </w:rPr>
            </w:pPr>
          </w:p>
        </w:tc>
        <w:tc>
          <w:tcPr>
            <w:tcW w:w="740" w:type="dxa"/>
            <w:vAlign w:val="bottom"/>
          </w:tcPr>
          <w:p>
            <w:pPr>
              <w:jc w:val="right"/>
              <w:ind w:right="156"/>
              <w:spacing w:after="0"/>
              <w:rPr>
                <w:sz w:val="20"/>
                <w:szCs w:val="20"/>
                <w:color w:val="auto"/>
              </w:rPr>
            </w:pPr>
            <w:r>
              <w:rPr>
                <w:rFonts w:ascii="Arial" w:cs="Arial" w:eastAsia="Arial" w:hAnsi="Arial"/>
                <w:sz w:val="18"/>
                <w:szCs w:val="18"/>
                <w:color w:val="auto"/>
              </w:rPr>
              <w:t>2,041</w:t>
            </w:r>
          </w:p>
        </w:tc>
        <w:tc>
          <w:tcPr>
            <w:tcW w:w="260" w:type="dxa"/>
            <w:vAlign w:val="bottom"/>
          </w:tcPr>
          <w:p>
            <w:pPr>
              <w:spacing w:after="0"/>
              <w:rPr>
                <w:sz w:val="18"/>
                <w:szCs w:val="18"/>
                <w:color w:val="auto"/>
              </w:rPr>
            </w:pPr>
          </w:p>
        </w:tc>
        <w:tc>
          <w:tcPr>
            <w:tcW w:w="640" w:type="dxa"/>
            <w:vAlign w:val="bottom"/>
          </w:tcPr>
          <w:p>
            <w:pPr>
              <w:jc w:val="right"/>
              <w:ind w:right="54"/>
              <w:spacing w:after="0"/>
              <w:rPr>
                <w:sz w:val="20"/>
                <w:szCs w:val="20"/>
                <w:color w:val="auto"/>
              </w:rPr>
            </w:pPr>
            <w:r>
              <w:rPr>
                <w:rFonts w:ascii="Arial" w:cs="Arial" w:eastAsia="Arial" w:hAnsi="Arial"/>
                <w:sz w:val="18"/>
                <w:szCs w:val="18"/>
                <w:color w:val="auto"/>
              </w:rPr>
              <w:t>2,633</w:t>
            </w:r>
          </w:p>
        </w:tc>
        <w:tc>
          <w:tcPr>
            <w:tcW w:w="1080" w:type="dxa"/>
            <w:vAlign w:val="bottom"/>
          </w:tcPr>
          <w:p>
            <w:pPr>
              <w:jc w:val="right"/>
              <w:ind w:right="275"/>
              <w:spacing w:after="0"/>
              <w:rPr>
                <w:sz w:val="20"/>
                <w:szCs w:val="20"/>
                <w:color w:val="auto"/>
              </w:rPr>
            </w:pPr>
            <w:r>
              <w:rPr>
                <w:rFonts w:ascii="Arial" w:cs="Arial" w:eastAsia="Arial" w:hAnsi="Arial"/>
                <w:sz w:val="18"/>
                <w:szCs w:val="18"/>
                <w:color w:val="auto"/>
              </w:rPr>
              <w:t>(22.5)</w:t>
            </w:r>
          </w:p>
        </w:tc>
        <w:tc>
          <w:tcPr>
            <w:tcW w:w="280" w:type="dxa"/>
            <w:vAlign w:val="bottom"/>
          </w:tcPr>
          <w:p>
            <w:pPr>
              <w:spacing w:after="0"/>
              <w:rPr>
                <w:sz w:val="18"/>
                <w:szCs w:val="18"/>
                <w:color w:val="auto"/>
              </w:rPr>
            </w:pPr>
          </w:p>
        </w:tc>
        <w:tc>
          <w:tcPr>
            <w:tcW w:w="740" w:type="dxa"/>
            <w:vAlign w:val="bottom"/>
          </w:tcPr>
          <w:p>
            <w:pPr>
              <w:jc w:val="right"/>
              <w:ind w:right="156"/>
              <w:spacing w:after="0"/>
              <w:rPr>
                <w:sz w:val="20"/>
                <w:szCs w:val="20"/>
                <w:color w:val="auto"/>
              </w:rPr>
            </w:pPr>
            <w:r>
              <w:rPr>
                <w:rFonts w:ascii="Arial" w:cs="Arial" w:eastAsia="Arial" w:hAnsi="Arial"/>
                <w:sz w:val="18"/>
                <w:szCs w:val="18"/>
                <w:color w:val="auto"/>
              </w:rPr>
              <w:t>6,357</w:t>
            </w:r>
          </w:p>
        </w:tc>
        <w:tc>
          <w:tcPr>
            <w:tcW w:w="280" w:type="dxa"/>
            <w:vAlign w:val="bottom"/>
          </w:tcPr>
          <w:p>
            <w:pPr>
              <w:spacing w:after="0"/>
              <w:rPr>
                <w:sz w:val="18"/>
                <w:szCs w:val="18"/>
                <w:color w:val="auto"/>
              </w:rPr>
            </w:pPr>
          </w:p>
        </w:tc>
        <w:tc>
          <w:tcPr>
            <w:tcW w:w="620" w:type="dxa"/>
            <w:vAlign w:val="bottom"/>
          </w:tcPr>
          <w:p>
            <w:pPr>
              <w:jc w:val="right"/>
              <w:ind w:right="54"/>
              <w:spacing w:after="0"/>
              <w:rPr>
                <w:sz w:val="20"/>
                <w:szCs w:val="20"/>
                <w:color w:val="auto"/>
              </w:rPr>
            </w:pPr>
            <w:r>
              <w:rPr>
                <w:rFonts w:ascii="Arial" w:cs="Arial" w:eastAsia="Arial" w:hAnsi="Arial"/>
                <w:sz w:val="18"/>
                <w:szCs w:val="18"/>
                <w:color w:val="auto"/>
              </w:rPr>
              <w:t>6,596</w:t>
            </w:r>
          </w:p>
        </w:tc>
        <w:tc>
          <w:tcPr>
            <w:tcW w:w="960" w:type="dxa"/>
            <w:vAlign w:val="bottom"/>
          </w:tcPr>
          <w:p>
            <w:pPr>
              <w:jc w:val="right"/>
              <w:ind w:right="135"/>
              <w:spacing w:after="0"/>
              <w:rPr>
                <w:sz w:val="20"/>
                <w:szCs w:val="20"/>
                <w:color w:val="auto"/>
              </w:rPr>
            </w:pPr>
            <w:r>
              <w:rPr>
                <w:rFonts w:ascii="Arial" w:cs="Arial" w:eastAsia="Arial" w:hAnsi="Arial"/>
                <w:sz w:val="18"/>
                <w:szCs w:val="18"/>
                <w:color w:val="auto"/>
              </w:rPr>
              <w:t>(3.6)</w:t>
            </w:r>
          </w:p>
        </w:tc>
      </w:tr>
      <w:tr>
        <w:trPr>
          <w:trHeight w:val="208"/>
        </w:trPr>
        <w:tc>
          <w:tcPr>
            <w:tcW w:w="20" w:type="dxa"/>
            <w:vAlign w:val="bottom"/>
          </w:tcPr>
          <w:p>
            <w:pPr>
              <w:spacing w:after="0"/>
              <w:rPr>
                <w:sz w:val="18"/>
                <w:szCs w:val="18"/>
                <w:color w:val="auto"/>
              </w:rPr>
            </w:pPr>
          </w:p>
        </w:tc>
        <w:tc>
          <w:tcPr>
            <w:tcW w:w="5400" w:type="dxa"/>
            <w:vAlign w:val="bottom"/>
            <w:shd w:val="clear" w:color="auto" w:fill="E5E5E5"/>
          </w:tcPr>
          <w:p>
            <w:pPr>
              <w:spacing w:after="0"/>
              <w:rPr>
                <w:sz w:val="20"/>
                <w:szCs w:val="20"/>
                <w:color w:val="auto"/>
              </w:rPr>
            </w:pPr>
            <w:r>
              <w:rPr>
                <w:rFonts w:ascii="Arial" w:cs="Arial" w:eastAsia="Arial" w:hAnsi="Arial"/>
                <w:sz w:val="18"/>
                <w:szCs w:val="18"/>
                <w:color w:val="auto"/>
                <w:w w:val="92"/>
              </w:rPr>
              <w:t>Net (income) loss attributable to noncontrolling interests and redeemable</w:t>
            </w:r>
          </w:p>
        </w:tc>
        <w:tc>
          <w:tcPr>
            <w:tcW w:w="40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108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960" w:type="dxa"/>
            <w:vAlign w:val="bottom"/>
            <w:shd w:val="clear" w:color="auto" w:fill="E5E5E5"/>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540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subsidiary preferred stock</w:t>
            </w:r>
          </w:p>
        </w:tc>
        <w:tc>
          <w:tcPr>
            <w:tcW w:w="400" w:type="dxa"/>
            <w:vAlign w:val="bottom"/>
            <w:tcBorders>
              <w:bottom w:val="single" w:sz="8" w:color="auto"/>
            </w:tcBorders>
            <w:shd w:val="clear" w:color="auto" w:fill="E5E5E5"/>
          </w:tcPr>
          <w:p>
            <w:pPr>
              <w:spacing w:after="0"/>
              <w:rPr>
                <w:sz w:val="19"/>
                <w:szCs w:val="19"/>
                <w:color w:val="auto"/>
              </w:rPr>
            </w:pPr>
          </w:p>
        </w:tc>
        <w:tc>
          <w:tcPr>
            <w:tcW w:w="740" w:type="dxa"/>
            <w:vAlign w:val="bottom"/>
            <w:tcBorders>
              <w:bottom w:val="single" w:sz="8" w:color="auto"/>
            </w:tcBorders>
            <w:shd w:val="clear" w:color="auto" w:fill="E5E5E5"/>
          </w:tcPr>
          <w:p>
            <w:pPr>
              <w:jc w:val="right"/>
              <w:ind w:right="96"/>
              <w:spacing w:after="0"/>
              <w:rPr>
                <w:sz w:val="20"/>
                <w:szCs w:val="20"/>
                <w:color w:val="auto"/>
              </w:rPr>
            </w:pPr>
            <w:r>
              <w:rPr>
                <w:rFonts w:ascii="Arial" w:cs="Arial" w:eastAsia="Arial" w:hAnsi="Arial"/>
                <w:sz w:val="18"/>
                <w:szCs w:val="18"/>
                <w:color w:val="auto"/>
              </w:rPr>
              <w:t>(45)</w:t>
            </w:r>
          </w:p>
        </w:tc>
        <w:tc>
          <w:tcPr>
            <w:tcW w:w="260" w:type="dxa"/>
            <w:vAlign w:val="bottom"/>
            <w:tcBorders>
              <w:bottom w:val="single" w:sz="8" w:color="auto"/>
            </w:tcBorders>
            <w:shd w:val="clear" w:color="auto" w:fill="E5E5E5"/>
          </w:tcPr>
          <w:p>
            <w:pPr>
              <w:spacing w:after="0"/>
              <w:rPr>
                <w:sz w:val="19"/>
                <w:szCs w:val="19"/>
                <w:color w:val="auto"/>
              </w:rPr>
            </w:pPr>
          </w:p>
        </w:tc>
        <w:tc>
          <w:tcPr>
            <w:tcW w:w="6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(41)</w:t>
            </w:r>
          </w:p>
        </w:tc>
        <w:tc>
          <w:tcPr>
            <w:tcW w:w="1080" w:type="dxa"/>
            <w:vAlign w:val="bottom"/>
            <w:tcBorders>
              <w:bottom w:val="single" w:sz="8" w:color="auto"/>
            </w:tcBorders>
            <w:shd w:val="clear" w:color="auto" w:fill="E5E5E5"/>
          </w:tcPr>
          <w:p>
            <w:pPr>
              <w:jc w:val="right"/>
              <w:ind w:right="335"/>
              <w:spacing w:after="0"/>
              <w:rPr>
                <w:sz w:val="20"/>
                <w:szCs w:val="20"/>
                <w:color w:val="auto"/>
              </w:rPr>
            </w:pPr>
            <w:r>
              <w:rPr>
                <w:rFonts w:ascii="Arial" w:cs="Arial" w:eastAsia="Arial" w:hAnsi="Arial"/>
                <w:sz w:val="18"/>
                <w:szCs w:val="18"/>
                <w:color w:val="auto"/>
              </w:rPr>
              <w:t>12.7</w:t>
            </w:r>
          </w:p>
        </w:tc>
        <w:tc>
          <w:tcPr>
            <w:tcW w:w="280" w:type="dxa"/>
            <w:vAlign w:val="bottom"/>
            <w:tcBorders>
              <w:bottom w:val="single" w:sz="8" w:color="auto"/>
            </w:tcBorders>
            <w:shd w:val="clear" w:color="auto" w:fill="E5E5E5"/>
          </w:tcPr>
          <w:p>
            <w:pPr>
              <w:spacing w:after="0"/>
              <w:rPr>
                <w:sz w:val="19"/>
                <w:szCs w:val="19"/>
                <w:color w:val="auto"/>
              </w:rPr>
            </w:pPr>
          </w:p>
        </w:tc>
        <w:tc>
          <w:tcPr>
            <w:tcW w:w="740" w:type="dxa"/>
            <w:vAlign w:val="bottom"/>
            <w:tcBorders>
              <w:bottom w:val="single" w:sz="8" w:color="auto"/>
            </w:tcBorders>
            <w:shd w:val="clear" w:color="auto" w:fill="E5E5E5"/>
          </w:tcPr>
          <w:p>
            <w:pPr>
              <w:jc w:val="right"/>
              <w:ind w:right="96"/>
              <w:spacing w:after="0"/>
              <w:rPr>
                <w:sz w:val="20"/>
                <w:szCs w:val="20"/>
                <w:color w:val="auto"/>
              </w:rPr>
            </w:pPr>
            <w:r>
              <w:rPr>
                <w:rFonts w:ascii="Arial" w:cs="Arial" w:eastAsia="Arial" w:hAnsi="Arial"/>
                <w:sz w:val="18"/>
                <w:szCs w:val="18"/>
                <w:color w:val="auto"/>
              </w:rPr>
              <w:t>(165)</w:t>
            </w:r>
          </w:p>
        </w:tc>
        <w:tc>
          <w:tcPr>
            <w:tcW w:w="280" w:type="dxa"/>
            <w:vAlign w:val="bottom"/>
            <w:tcBorders>
              <w:bottom w:val="single" w:sz="8" w:color="auto"/>
            </w:tcBorders>
            <w:shd w:val="clear" w:color="auto" w:fill="E5E5E5"/>
          </w:tcPr>
          <w:p>
            <w:pPr>
              <w:spacing w:after="0"/>
              <w:rPr>
                <w:sz w:val="19"/>
                <w:szCs w:val="19"/>
                <w:color w:val="auto"/>
              </w:rPr>
            </w:pPr>
          </w:p>
        </w:tc>
        <w:tc>
          <w:tcPr>
            <w:tcW w:w="6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(141)</w:t>
            </w:r>
          </w:p>
        </w:tc>
        <w:tc>
          <w:tcPr>
            <w:tcW w:w="960" w:type="dxa"/>
            <w:vAlign w:val="bottom"/>
            <w:tcBorders>
              <w:bottom w:val="single" w:sz="8" w:color="auto"/>
            </w:tcBorders>
            <w:shd w:val="clear" w:color="auto" w:fill="E5E5E5"/>
          </w:tcPr>
          <w:p>
            <w:pPr>
              <w:jc w:val="right"/>
              <w:ind w:right="195"/>
              <w:spacing w:after="0"/>
              <w:rPr>
                <w:sz w:val="20"/>
                <w:szCs w:val="20"/>
                <w:color w:val="auto"/>
              </w:rPr>
            </w:pPr>
            <w:r>
              <w:rPr>
                <w:rFonts w:ascii="Arial" w:cs="Arial" w:eastAsia="Arial" w:hAnsi="Arial"/>
                <w:sz w:val="18"/>
                <w:szCs w:val="18"/>
                <w:color w:val="auto"/>
              </w:rPr>
              <w:t>17.5</w:t>
            </w:r>
          </w:p>
        </w:tc>
      </w:tr>
      <w:tr>
        <w:trPr>
          <w:trHeight w:val="219"/>
        </w:trPr>
        <w:tc>
          <w:tcPr>
            <w:tcW w:w="20" w:type="dxa"/>
            <w:vAlign w:val="bottom"/>
            <w:tcBorders>
              <w:bottom w:val="single" w:sz="8" w:color="auto"/>
            </w:tcBorders>
          </w:tcPr>
          <w:p>
            <w:pPr>
              <w:spacing w:after="0"/>
              <w:rPr>
                <w:sz w:val="19"/>
                <w:szCs w:val="19"/>
                <w:color w:val="auto"/>
              </w:rPr>
            </w:pPr>
          </w:p>
        </w:tc>
        <w:tc>
          <w:tcPr>
            <w:tcW w:w="5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income attributable to Comcast Corporation</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b w:val="1"/>
                <w:bCs w:val="1"/>
                <w:color w:val="auto"/>
              </w:rPr>
              <w:t>1,996</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2,592</w:t>
            </w:r>
          </w:p>
        </w:tc>
        <w:tc>
          <w:tcPr>
            <w:tcW w:w="108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b w:val="1"/>
                <w:bCs w:val="1"/>
                <w:color w:val="auto"/>
              </w:rPr>
              <w:t>(23.0)%</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b w:val="1"/>
                <w:bCs w:val="1"/>
                <w:color w:val="auto"/>
              </w:rPr>
              <w:t>6,192</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6,455</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w:t>
            </w: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All percentages are calculated based on actual amounts. Minor differences may exist due to rounding.</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Percentage changes that are considered not meaningful are denoted with NM.</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Revenue</w:t>
      </w:r>
    </w:p>
    <w:p>
      <w:pPr>
        <w:spacing w:after="0" w:line="7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Cable Communications, Filmed Entertainment, Broadcast Television and Cable Networks segments accounted for substantially all of the increase in consolidated revenue for the three months ended September 30, 2015. Our Cable Communications, Filmed Entertainment and Theme Parks segments accounted for the increase in consolidated revenue for the nine months ended September 30, 2015. The increase in consolidated revenue for the nine months ended September 30, 2015 was partially offset by a decrease in revenue in our Broadcast Television segment. Consolidated revenue for the nine months ended September 30, 2015 includes $376 million of revenue associated with our broadcast of the 2015 Super Bowl in February 2015 and consolidated revenue for the nine months ended September 30, 2014 includes $1.1 billion of revenue associated with our broadcast of the 2014 Sochi Olympics in February 2014. Excluding the impact of these events, consolidated revenue increased 9.9% for the nine months ended September 30, 2015.</w:t>
      </w:r>
    </w:p>
    <w:p>
      <w:pPr>
        <w:spacing w:after="0" w:line="2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Revenue for our Cable Communications and NBCUniversal segments is discussed separately below under the heading “Segment Operating Results.” Revenue for our other businesses is discussed separately below under the heading “Corporate and Other Results of Operations.”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Costs and Expenses</w:t>
      </w:r>
    </w:p>
    <w:p>
      <w:pPr>
        <w:spacing w:after="0" w:line="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Cable Communications, Filmed Entertainment, Broadcast Television and Cable Networks segments accounted for substantially all of the increase in consolidated operating costs and expenses for the three months ended September 30, 2015. Our Cable Communications and Filmed Entertainment segments accounted for substantially all of the increase in consolidated operating costs and expenses for the nine months ended September 30, 2015. The increase for the nine months ended September 30, 2015 was partially offset by lower operating costs and expenses in our Broadcast Television segment, which were primarily due to our broadcast of the 2014 Sochi Olympics in February 2014.</w:t>
      </w:r>
    </w:p>
    <w:p>
      <w:pPr>
        <w:spacing w:after="0" w:line="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consolidated operating costs and expenses for the nine months ended September 30, 2015 also included $178 million of transaction-related costs associated with the Time Warner Cable merger and related divestiture transactions. These costs were $77 million and $138 million for the three and nine months ended September 30, 2014, respectively.</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costs and expenses for our Cable Communications and NBCUniversal segments are discussed separately below under the heading “Segment Operating Results.” Operating costs and expenses for our corporate and other businesses are discussed separately below under the heading “Corporate and Other Results of Operations.”</w:t>
      </w:r>
    </w:p>
    <w:p>
      <w:pPr>
        <w:spacing w:after="0" w:line="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Consolidated depreciation and amortization expenses increased for the three and nine months ended September 30, 2015 primarily due to increases in capital spending in our Cable Communications segment. Consolidated depreciation and amortization expenses also increased for the nine months ended September 30, 2015 due to the acceleration of amortization for certain intangible assets in the current year period. In addition, our consolidated depreciation and amortization expenses for the nine months ended September 30, 2015 included $20 million related to the write-off of certain capitalized costs associated with the Time Warner Cable merger and related divestiture transactions.</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Segment Operating Results</w:t>
      </w:r>
    </w:p>
    <w:p>
      <w:pPr>
        <w:spacing w:after="0" w:line="8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Our segment operating results are presented based on how we assess operating performance and internally report financial information. We use operating income (loss) before depreciation and amortization, excluding impairment charges related to fixed and intangible assets and gains or losses from the sale of assets, if any, as the measure of profit or loss for our operating segments. This measure eliminates the significant level of noncash depreciation and amortization expense that results from the capital-intensive nature of certain of our businesses and from intangible assets recognized in business combinations. Additionally, it is unaffected by our capital structure or investment activities. We use this measure to evaluate our consolidated operating performance and the operating performance of our operating segments and to allocate resources and capital to our operating segments. It is also a significant performance measure in our annual incentive compensation programs. We believe that this measure is useful to investors because it is one of the bases for comparing our operating performance with that of other companies in our industries, although our measure may not be directly comparable to similar measures used by other companies. Because we use operating income (loss) before depreciation and amortization to measure our segment profit or loss, we reconcile it to operating income, the most directly comparable financial measure calculated and presented in accordance with generally accepted accounting principles in the United States (“GAAP”), in the business segment footnote to our condensed consolidated financial statements (see Note 12 to Comcast’s condensed consolidated financial statements and Note 10 to NBCUniversal’s condensed consolidated financial statements). This measure should not be considered a substitute for operating income (loss), net income (loss) attributable to Comcast Corporation or NBCUniversal, net cash provided by operating activities, or other measures of performance or liquidity we have reported in accordance with GAAP.</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Cable Communications Segment Results of Operations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760" w:type="dxa"/>
            <w:vAlign w:val="bottom"/>
            <w:gridSpan w:val="3"/>
          </w:tcPr>
          <w:p>
            <w:pPr>
              <w:jc w:val="right"/>
              <w:ind w:right="353"/>
              <w:spacing w:after="0"/>
              <w:rPr>
                <w:sz w:val="20"/>
                <w:szCs w:val="20"/>
                <w:color w:val="auto"/>
              </w:rPr>
            </w:pPr>
            <w:r>
              <w:rPr>
                <w:rFonts w:ascii="Arial" w:cs="Arial" w:eastAsia="Arial" w:hAnsi="Arial"/>
                <w:sz w:val="14"/>
                <w:szCs w:val="14"/>
                <w:color w:val="auto"/>
                <w:w w:val="99"/>
              </w:rPr>
              <w:t>Three Months Ended</w:t>
            </w:r>
          </w:p>
        </w:tc>
        <w:tc>
          <w:tcPr>
            <w:tcW w:w="280" w:type="dxa"/>
            <w:vAlign w:val="bottom"/>
          </w:tcPr>
          <w:p>
            <w:pPr>
              <w:spacing w:after="0"/>
              <w:rPr>
                <w:sz w:val="14"/>
                <w:szCs w:val="14"/>
                <w:color w:val="auto"/>
              </w:rPr>
            </w:pPr>
          </w:p>
        </w:tc>
        <w:tc>
          <w:tcPr>
            <w:tcW w:w="1320" w:type="dxa"/>
            <w:vAlign w:val="bottom"/>
            <w:gridSpan w:val="2"/>
          </w:tcPr>
          <w:p>
            <w:pPr>
              <w:jc w:val="right"/>
              <w:ind w:right="413"/>
              <w:spacing w:after="0"/>
              <w:rPr>
                <w:sz w:val="20"/>
                <w:szCs w:val="20"/>
                <w:color w:val="auto"/>
              </w:rPr>
            </w:pPr>
            <w:r>
              <w:rPr>
                <w:rFonts w:ascii="Arial" w:cs="Arial" w:eastAsia="Arial" w:hAnsi="Arial"/>
                <w:sz w:val="14"/>
                <w:szCs w:val="14"/>
                <w:color w:val="auto"/>
              </w:rPr>
              <w:t>Increase/</w:t>
            </w:r>
          </w:p>
        </w:tc>
        <w:tc>
          <w:tcPr>
            <w:tcW w:w="0" w:type="dxa"/>
            <w:vAlign w:val="bottom"/>
          </w:tcPr>
          <w:p>
            <w:pPr>
              <w:spacing w:after="0"/>
              <w:rPr>
                <w:sz w:val="1"/>
                <w:szCs w:val="1"/>
                <w:color w:val="auto"/>
              </w:rPr>
            </w:pPr>
          </w:p>
        </w:tc>
      </w:tr>
      <w:tr>
        <w:trPr>
          <w:trHeight w:val="159"/>
        </w:trPr>
        <w:tc>
          <w:tcPr>
            <w:tcW w:w="490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2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3"/>
          </w:tcPr>
          <w:p>
            <w:pPr>
              <w:jc w:val="right"/>
              <w:ind w:right="553"/>
              <w:spacing w:after="0" w:line="159" w:lineRule="exact"/>
              <w:rPr>
                <w:sz w:val="20"/>
                <w:szCs w:val="20"/>
                <w:color w:val="auto"/>
              </w:rPr>
            </w:pPr>
            <w:r>
              <w:rPr>
                <w:rFonts w:ascii="Arial" w:cs="Arial" w:eastAsia="Arial" w:hAnsi="Arial"/>
                <w:sz w:val="14"/>
                <w:szCs w:val="14"/>
                <w:color w:val="auto"/>
              </w:rPr>
              <w:t>September 30</w:t>
            </w:r>
          </w:p>
        </w:tc>
        <w:tc>
          <w:tcPr>
            <w:tcW w:w="2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2"/>
          </w:tcPr>
          <w:p>
            <w:pPr>
              <w:jc w:val="right"/>
              <w:ind w:right="373"/>
              <w:spacing w:after="0" w:line="159" w:lineRule="exact"/>
              <w:rPr>
                <w:sz w:val="20"/>
                <w:szCs w:val="20"/>
                <w:color w:val="auto"/>
              </w:rPr>
            </w:pPr>
            <w:r>
              <w:rPr>
                <w:rFonts w:ascii="Arial" w:cs="Arial" w:eastAsia="Arial" w:hAnsi="Arial"/>
                <w:sz w:val="14"/>
                <w:szCs w:val="14"/>
                <w:color w:val="auto"/>
              </w:rPr>
              <w:t>(Decrease)</w:t>
            </w:r>
          </w:p>
        </w:tc>
        <w:tc>
          <w:tcPr>
            <w:tcW w:w="0" w:type="dxa"/>
            <w:vAlign w:val="bottom"/>
          </w:tcPr>
          <w:p>
            <w:pPr>
              <w:spacing w:after="0"/>
              <w:rPr>
                <w:sz w:val="1"/>
                <w:szCs w:val="1"/>
                <w:color w:val="auto"/>
              </w:rPr>
            </w:pPr>
          </w:p>
        </w:tc>
      </w:tr>
      <w:tr>
        <w:trPr>
          <w:trHeight w:val="142"/>
        </w:trPr>
        <w:tc>
          <w:tcPr>
            <w:tcW w:w="4900" w:type="dxa"/>
            <w:vAlign w:val="bottom"/>
            <w:tcBorders>
              <w:bottom w:val="single" w:sz="8" w:color="auto"/>
            </w:tcBorders>
            <w:vMerge w:val="continue"/>
          </w:tcPr>
          <w:p>
            <w:pPr>
              <w:spacing w:after="0"/>
              <w:rPr>
                <w:sz w:val="12"/>
                <w:szCs w:val="12"/>
                <w:color w:val="auto"/>
              </w:rPr>
            </w:pPr>
          </w:p>
        </w:tc>
        <w:tc>
          <w:tcPr>
            <w:tcW w:w="25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57"/>
              <w:spacing w:after="0" w:line="142" w:lineRule="exact"/>
              <w:rPr>
                <w:sz w:val="20"/>
                <w:szCs w:val="20"/>
                <w:color w:val="auto"/>
              </w:rPr>
            </w:pPr>
            <w:r>
              <w:rPr>
                <w:rFonts w:ascii="Arial" w:cs="Arial" w:eastAsia="Arial" w:hAnsi="Arial"/>
                <w:sz w:val="14"/>
                <w:szCs w:val="14"/>
                <w:color w:val="auto"/>
                <w:w w:val="96"/>
              </w:rPr>
              <w:t>2015</w:t>
            </w:r>
          </w:p>
        </w:tc>
        <w:tc>
          <w:tcPr>
            <w:tcW w:w="4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color w:val="auto"/>
                <w:w w:val="96"/>
              </w:rPr>
              <w:t>2014</w:t>
            </w:r>
          </w:p>
        </w:tc>
        <w:tc>
          <w:tcPr>
            <w:tcW w:w="2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ind w:left="200"/>
              <w:spacing w:after="0" w:line="142" w:lineRule="exact"/>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490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250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440"/>
              <w:spacing w:after="0"/>
              <w:rPr>
                <w:sz w:val="20"/>
                <w:szCs w:val="20"/>
                <w:color w:val="auto"/>
              </w:rPr>
            </w:pPr>
            <w:r>
              <w:rPr>
                <w:rFonts w:ascii="Arial" w:cs="Arial" w:eastAsia="Arial" w:hAnsi="Arial"/>
                <w:sz w:val="18"/>
                <w:szCs w:val="18"/>
                <w:color w:val="auto"/>
              </w:rPr>
              <w:t>Residential:</w:t>
            </w:r>
          </w:p>
        </w:tc>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E5E5E5"/>
          </w:tcPr>
          <w:p>
            <w:pPr>
              <w:ind w:left="880"/>
              <w:spacing w:after="0"/>
              <w:rPr>
                <w:sz w:val="20"/>
                <w:szCs w:val="20"/>
                <w:color w:val="auto"/>
              </w:rPr>
            </w:pPr>
            <w:r>
              <w:rPr>
                <w:rFonts w:ascii="Arial" w:cs="Arial" w:eastAsia="Arial" w:hAnsi="Arial"/>
                <w:sz w:val="18"/>
                <w:szCs w:val="18"/>
                <w:color w:val="auto"/>
              </w:rPr>
              <w:t>Video</w:t>
            </w:r>
          </w:p>
        </w:tc>
        <w:tc>
          <w:tcPr>
            <w:tcW w:w="3160" w:type="dxa"/>
            <w:vAlign w:val="bottom"/>
            <w:gridSpan w:val="3"/>
            <w:shd w:val="clear" w:color="auto" w:fill="E5E5E5"/>
          </w:tcPr>
          <w:p>
            <w:pPr>
              <w:ind w:left="306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E5E5E5"/>
          </w:tcPr>
          <w:p>
            <w:pPr>
              <w:jc w:val="right"/>
              <w:ind w:right="97"/>
              <w:spacing w:after="0"/>
              <w:rPr>
                <w:sz w:val="20"/>
                <w:szCs w:val="20"/>
                <w:color w:val="auto"/>
              </w:rPr>
            </w:pPr>
            <w:r>
              <w:rPr>
                <w:rFonts w:ascii="Arial" w:cs="Arial" w:eastAsia="Arial" w:hAnsi="Arial"/>
                <w:sz w:val="18"/>
                <w:szCs w:val="18"/>
                <w:color w:val="auto"/>
              </w:rPr>
              <w:t>5,348</w:t>
            </w:r>
          </w:p>
        </w:tc>
        <w:tc>
          <w:tcPr>
            <w:tcW w:w="440" w:type="dxa"/>
            <w:vAlign w:val="bottom"/>
            <w:shd w:val="clear" w:color="auto" w:fill="E5E5E5"/>
          </w:tcPr>
          <w:p>
            <w:pPr>
              <w:ind w:left="34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5,179</w:t>
            </w:r>
          </w:p>
        </w:tc>
        <w:tc>
          <w:tcPr>
            <w:tcW w:w="28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256"/>
              <w:spacing w:after="0"/>
              <w:rPr>
                <w:sz w:val="20"/>
                <w:szCs w:val="20"/>
                <w:color w:val="auto"/>
              </w:rPr>
            </w:pPr>
            <w:r>
              <w:rPr>
                <w:rFonts w:ascii="Arial" w:cs="Arial" w:eastAsia="Arial" w:hAnsi="Arial"/>
                <w:sz w:val="18"/>
                <w:szCs w:val="18"/>
                <w:color w:val="auto"/>
                <w:w w:val="99"/>
              </w:rPr>
              <w:t>$169</w:t>
            </w: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4900" w:type="dxa"/>
            <w:vAlign w:val="bottom"/>
          </w:tcPr>
          <w:p>
            <w:pPr>
              <w:ind w:left="880"/>
              <w:spacing w:after="0"/>
              <w:rPr>
                <w:sz w:val="20"/>
                <w:szCs w:val="20"/>
                <w:color w:val="auto"/>
              </w:rPr>
            </w:pPr>
            <w:r>
              <w:rPr>
                <w:rFonts w:ascii="Arial" w:cs="Arial" w:eastAsia="Arial" w:hAnsi="Arial"/>
                <w:sz w:val="18"/>
                <w:szCs w:val="18"/>
                <w:color w:val="auto"/>
              </w:rPr>
              <w:t>High-speed Internet</w:t>
            </w:r>
          </w:p>
        </w:tc>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jc w:val="right"/>
              <w:ind w:right="97"/>
              <w:spacing w:after="0"/>
              <w:rPr>
                <w:sz w:val="20"/>
                <w:szCs w:val="20"/>
                <w:color w:val="auto"/>
              </w:rPr>
            </w:pPr>
            <w:r>
              <w:rPr>
                <w:rFonts w:ascii="Arial" w:cs="Arial" w:eastAsia="Arial" w:hAnsi="Arial"/>
                <w:sz w:val="18"/>
                <w:szCs w:val="18"/>
                <w:color w:val="auto"/>
              </w:rPr>
              <w:t>3,129</w:t>
            </w:r>
          </w:p>
        </w:tc>
        <w:tc>
          <w:tcPr>
            <w:tcW w:w="440" w:type="dxa"/>
            <w:vAlign w:val="bottom"/>
          </w:tcPr>
          <w:p>
            <w:pPr>
              <w:spacing w:after="0"/>
              <w:rPr>
                <w:sz w:val="18"/>
                <w:szCs w:val="18"/>
                <w:color w:val="auto"/>
              </w:rPr>
            </w:pPr>
          </w:p>
        </w:tc>
        <w:tc>
          <w:tcPr>
            <w:tcW w:w="660" w:type="dxa"/>
            <w:vAlign w:val="bottom"/>
          </w:tcPr>
          <w:p>
            <w:pPr>
              <w:jc w:val="right"/>
              <w:ind w:right="93"/>
              <w:spacing w:after="0"/>
              <w:rPr>
                <w:sz w:val="20"/>
                <w:szCs w:val="20"/>
                <w:color w:val="auto"/>
              </w:rPr>
            </w:pPr>
            <w:r>
              <w:rPr>
                <w:rFonts w:ascii="Arial" w:cs="Arial" w:eastAsia="Arial" w:hAnsi="Arial"/>
                <w:sz w:val="18"/>
                <w:szCs w:val="18"/>
                <w:color w:val="auto"/>
              </w:rPr>
              <w:t>2,840</w:t>
            </w:r>
          </w:p>
        </w:tc>
        <w:tc>
          <w:tcPr>
            <w:tcW w:w="280" w:type="dxa"/>
            <w:vAlign w:val="bottom"/>
          </w:tcPr>
          <w:p>
            <w:pPr>
              <w:spacing w:after="0"/>
              <w:rPr>
                <w:sz w:val="18"/>
                <w:szCs w:val="18"/>
                <w:color w:val="auto"/>
              </w:rPr>
            </w:pPr>
          </w:p>
        </w:tc>
        <w:tc>
          <w:tcPr>
            <w:tcW w:w="760" w:type="dxa"/>
            <w:vAlign w:val="bottom"/>
          </w:tcPr>
          <w:p>
            <w:pPr>
              <w:jc w:val="right"/>
              <w:ind w:right="256"/>
              <w:spacing w:after="0"/>
              <w:rPr>
                <w:sz w:val="20"/>
                <w:szCs w:val="20"/>
                <w:color w:val="auto"/>
              </w:rPr>
            </w:pPr>
            <w:r>
              <w:rPr>
                <w:rFonts w:ascii="Arial" w:cs="Arial" w:eastAsia="Arial" w:hAnsi="Arial"/>
                <w:sz w:val="18"/>
                <w:szCs w:val="18"/>
                <w:color w:val="auto"/>
              </w:rPr>
              <w:t>289</w:t>
            </w:r>
          </w:p>
        </w:tc>
        <w:tc>
          <w:tcPr>
            <w:tcW w:w="560" w:type="dxa"/>
            <w:vAlign w:val="bottom"/>
          </w:tcPr>
          <w:p>
            <w:pPr>
              <w:jc w:val="right"/>
              <w:ind w:right="133"/>
              <w:spacing w:after="0"/>
              <w:rPr>
                <w:sz w:val="20"/>
                <w:szCs w:val="20"/>
                <w:color w:val="auto"/>
              </w:rPr>
            </w:pPr>
            <w:r>
              <w:rPr>
                <w:rFonts w:ascii="Arial" w:cs="Arial" w:eastAsia="Arial" w:hAnsi="Arial"/>
                <w:sz w:val="18"/>
                <w:szCs w:val="18"/>
                <w:color w:val="auto"/>
                <w:w w:val="91"/>
              </w:rPr>
              <w:t>10.2</w:t>
            </w:r>
          </w:p>
        </w:tc>
        <w:tc>
          <w:tcPr>
            <w:tcW w:w="0" w:type="dxa"/>
            <w:vAlign w:val="bottom"/>
          </w:tcPr>
          <w:p>
            <w:pPr>
              <w:spacing w:after="0"/>
              <w:rPr>
                <w:sz w:val="1"/>
                <w:szCs w:val="1"/>
                <w:color w:val="auto"/>
              </w:rPr>
            </w:pPr>
          </w:p>
        </w:tc>
      </w:tr>
      <w:tr>
        <w:trPr>
          <w:trHeight w:val="216"/>
        </w:trPr>
        <w:tc>
          <w:tcPr>
            <w:tcW w:w="4900" w:type="dxa"/>
            <w:vAlign w:val="bottom"/>
            <w:shd w:val="clear" w:color="auto" w:fill="E5E5E5"/>
          </w:tcPr>
          <w:p>
            <w:pPr>
              <w:ind w:left="880"/>
              <w:spacing w:after="0"/>
              <w:rPr>
                <w:sz w:val="20"/>
                <w:szCs w:val="20"/>
                <w:color w:val="auto"/>
              </w:rPr>
            </w:pPr>
            <w:r>
              <w:rPr>
                <w:rFonts w:ascii="Arial" w:cs="Arial" w:eastAsia="Arial" w:hAnsi="Arial"/>
                <w:sz w:val="18"/>
                <w:szCs w:val="18"/>
                <w:color w:val="auto"/>
              </w:rPr>
              <w:t>Voice</w:t>
            </w:r>
          </w:p>
        </w:tc>
        <w:tc>
          <w:tcPr>
            <w:tcW w:w="250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97"/>
              <w:spacing w:after="0"/>
              <w:rPr>
                <w:sz w:val="20"/>
                <w:szCs w:val="20"/>
                <w:color w:val="auto"/>
              </w:rPr>
            </w:pPr>
            <w:r>
              <w:rPr>
                <w:rFonts w:ascii="Arial" w:cs="Arial" w:eastAsia="Arial" w:hAnsi="Arial"/>
                <w:sz w:val="18"/>
                <w:szCs w:val="18"/>
                <w:color w:val="auto"/>
              </w:rPr>
              <w:t>900</w:t>
            </w:r>
          </w:p>
        </w:tc>
        <w:tc>
          <w:tcPr>
            <w:tcW w:w="44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913</w:t>
            </w:r>
          </w:p>
        </w:tc>
        <w:tc>
          <w:tcPr>
            <w:tcW w:w="28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96"/>
              <w:spacing w:after="0"/>
              <w:rPr>
                <w:sz w:val="20"/>
                <w:szCs w:val="20"/>
                <w:color w:val="auto"/>
              </w:rPr>
            </w:pPr>
            <w:r>
              <w:rPr>
                <w:rFonts w:ascii="Arial" w:cs="Arial" w:eastAsia="Arial" w:hAnsi="Arial"/>
                <w:sz w:val="18"/>
                <w:szCs w:val="18"/>
                <w:color w:val="auto"/>
              </w:rPr>
              <w:t>(13)</w:t>
            </w:r>
          </w:p>
        </w:tc>
        <w:tc>
          <w:tcPr>
            <w:tcW w:w="56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w w:val="97"/>
              </w:rPr>
              <w:t>(1.4)</w:t>
            </w:r>
          </w:p>
        </w:tc>
        <w:tc>
          <w:tcPr>
            <w:tcW w:w="0" w:type="dxa"/>
            <w:vAlign w:val="bottom"/>
          </w:tcPr>
          <w:p>
            <w:pPr>
              <w:spacing w:after="0"/>
              <w:rPr>
                <w:sz w:val="1"/>
                <w:szCs w:val="1"/>
                <w:color w:val="auto"/>
              </w:rPr>
            </w:pPr>
          </w:p>
        </w:tc>
      </w:tr>
      <w:tr>
        <w:trPr>
          <w:trHeight w:val="216"/>
        </w:trPr>
        <w:tc>
          <w:tcPr>
            <w:tcW w:w="4900" w:type="dxa"/>
            <w:vAlign w:val="bottom"/>
          </w:tcPr>
          <w:p>
            <w:pPr>
              <w:ind w:left="440"/>
              <w:spacing w:after="0"/>
              <w:rPr>
                <w:sz w:val="20"/>
                <w:szCs w:val="20"/>
                <w:color w:val="auto"/>
              </w:rPr>
            </w:pPr>
            <w:r>
              <w:rPr>
                <w:rFonts w:ascii="Arial" w:cs="Arial" w:eastAsia="Arial" w:hAnsi="Arial"/>
                <w:sz w:val="18"/>
                <w:szCs w:val="18"/>
                <w:color w:val="auto"/>
              </w:rPr>
              <w:t>Business services</w:t>
            </w:r>
          </w:p>
        </w:tc>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jc w:val="right"/>
              <w:ind w:right="97"/>
              <w:spacing w:after="0"/>
              <w:rPr>
                <w:sz w:val="20"/>
                <w:szCs w:val="20"/>
                <w:color w:val="auto"/>
              </w:rPr>
            </w:pPr>
            <w:r>
              <w:rPr>
                <w:rFonts w:ascii="Arial" w:cs="Arial" w:eastAsia="Arial" w:hAnsi="Arial"/>
                <w:sz w:val="18"/>
                <w:szCs w:val="18"/>
                <w:color w:val="auto"/>
              </w:rPr>
              <w:t>1,208</w:t>
            </w:r>
          </w:p>
        </w:tc>
        <w:tc>
          <w:tcPr>
            <w:tcW w:w="440" w:type="dxa"/>
            <w:vAlign w:val="bottom"/>
          </w:tcPr>
          <w:p>
            <w:pPr>
              <w:spacing w:after="0"/>
              <w:rPr>
                <w:sz w:val="18"/>
                <w:szCs w:val="18"/>
                <w:color w:val="auto"/>
              </w:rPr>
            </w:pPr>
          </w:p>
        </w:tc>
        <w:tc>
          <w:tcPr>
            <w:tcW w:w="660" w:type="dxa"/>
            <w:vAlign w:val="bottom"/>
          </w:tcPr>
          <w:p>
            <w:pPr>
              <w:jc w:val="right"/>
              <w:ind w:right="93"/>
              <w:spacing w:after="0"/>
              <w:rPr>
                <w:sz w:val="20"/>
                <w:szCs w:val="20"/>
                <w:color w:val="auto"/>
              </w:rPr>
            </w:pPr>
            <w:r>
              <w:rPr>
                <w:rFonts w:ascii="Arial" w:cs="Arial" w:eastAsia="Arial" w:hAnsi="Arial"/>
                <w:sz w:val="18"/>
                <w:szCs w:val="18"/>
                <w:color w:val="auto"/>
              </w:rPr>
              <w:t>1,011</w:t>
            </w:r>
          </w:p>
        </w:tc>
        <w:tc>
          <w:tcPr>
            <w:tcW w:w="280" w:type="dxa"/>
            <w:vAlign w:val="bottom"/>
          </w:tcPr>
          <w:p>
            <w:pPr>
              <w:spacing w:after="0"/>
              <w:rPr>
                <w:sz w:val="18"/>
                <w:szCs w:val="18"/>
                <w:color w:val="auto"/>
              </w:rPr>
            </w:pPr>
          </w:p>
        </w:tc>
        <w:tc>
          <w:tcPr>
            <w:tcW w:w="760" w:type="dxa"/>
            <w:vAlign w:val="bottom"/>
          </w:tcPr>
          <w:p>
            <w:pPr>
              <w:jc w:val="right"/>
              <w:ind w:right="256"/>
              <w:spacing w:after="0"/>
              <w:rPr>
                <w:sz w:val="20"/>
                <w:szCs w:val="20"/>
                <w:color w:val="auto"/>
              </w:rPr>
            </w:pPr>
            <w:r>
              <w:rPr>
                <w:rFonts w:ascii="Arial" w:cs="Arial" w:eastAsia="Arial" w:hAnsi="Arial"/>
                <w:sz w:val="18"/>
                <w:szCs w:val="18"/>
                <w:color w:val="auto"/>
              </w:rPr>
              <w:t>197</w:t>
            </w:r>
          </w:p>
        </w:tc>
        <w:tc>
          <w:tcPr>
            <w:tcW w:w="560" w:type="dxa"/>
            <w:vAlign w:val="bottom"/>
          </w:tcPr>
          <w:p>
            <w:pPr>
              <w:jc w:val="right"/>
              <w:ind w:right="133"/>
              <w:spacing w:after="0"/>
              <w:rPr>
                <w:sz w:val="20"/>
                <w:szCs w:val="20"/>
                <w:color w:val="auto"/>
              </w:rPr>
            </w:pPr>
            <w:r>
              <w:rPr>
                <w:rFonts w:ascii="Arial" w:cs="Arial" w:eastAsia="Arial" w:hAnsi="Arial"/>
                <w:sz w:val="18"/>
                <w:szCs w:val="18"/>
                <w:color w:val="auto"/>
                <w:w w:val="91"/>
              </w:rPr>
              <w:t>19.5</w:t>
            </w:r>
          </w:p>
        </w:tc>
        <w:tc>
          <w:tcPr>
            <w:tcW w:w="0" w:type="dxa"/>
            <w:vAlign w:val="bottom"/>
          </w:tcPr>
          <w:p>
            <w:pPr>
              <w:spacing w:after="0"/>
              <w:rPr>
                <w:sz w:val="1"/>
                <w:szCs w:val="1"/>
                <w:color w:val="auto"/>
              </w:rPr>
            </w:pPr>
          </w:p>
        </w:tc>
      </w:tr>
      <w:tr>
        <w:trPr>
          <w:trHeight w:val="216"/>
        </w:trPr>
        <w:tc>
          <w:tcPr>
            <w:tcW w:w="49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Advertising</w:t>
            </w:r>
          </w:p>
        </w:tc>
        <w:tc>
          <w:tcPr>
            <w:tcW w:w="250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97"/>
              <w:spacing w:after="0"/>
              <w:rPr>
                <w:sz w:val="20"/>
                <w:szCs w:val="20"/>
                <w:color w:val="auto"/>
              </w:rPr>
            </w:pPr>
            <w:r>
              <w:rPr>
                <w:rFonts w:ascii="Arial" w:cs="Arial" w:eastAsia="Arial" w:hAnsi="Arial"/>
                <w:sz w:val="18"/>
                <w:szCs w:val="18"/>
                <w:color w:val="auto"/>
              </w:rPr>
              <w:t>593</w:t>
            </w:r>
          </w:p>
        </w:tc>
        <w:tc>
          <w:tcPr>
            <w:tcW w:w="44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596</w:t>
            </w:r>
          </w:p>
        </w:tc>
        <w:tc>
          <w:tcPr>
            <w:tcW w:w="28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96"/>
              <w:spacing w:after="0"/>
              <w:rPr>
                <w:sz w:val="20"/>
                <w:szCs w:val="20"/>
                <w:color w:val="auto"/>
              </w:rPr>
            </w:pPr>
            <w:r>
              <w:rPr>
                <w:rFonts w:ascii="Arial" w:cs="Arial" w:eastAsia="Arial" w:hAnsi="Arial"/>
                <w:sz w:val="18"/>
                <w:szCs w:val="18"/>
                <w:color w:val="auto"/>
              </w:rPr>
              <w:t>(3)</w:t>
            </w:r>
          </w:p>
        </w:tc>
        <w:tc>
          <w:tcPr>
            <w:tcW w:w="56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w w:val="97"/>
              </w:rPr>
              <w:t>(0.2)</w:t>
            </w:r>
          </w:p>
        </w:tc>
        <w:tc>
          <w:tcPr>
            <w:tcW w:w="0" w:type="dxa"/>
            <w:vAlign w:val="bottom"/>
          </w:tcPr>
          <w:p>
            <w:pPr>
              <w:spacing w:after="0"/>
              <w:rPr>
                <w:sz w:val="1"/>
                <w:szCs w:val="1"/>
                <w:color w:val="auto"/>
              </w:rPr>
            </w:pPr>
          </w:p>
        </w:tc>
      </w:tr>
      <w:tr>
        <w:trPr>
          <w:trHeight w:val="216"/>
        </w:trPr>
        <w:tc>
          <w:tcPr>
            <w:tcW w:w="49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Other</w:t>
            </w:r>
          </w:p>
        </w:tc>
        <w:tc>
          <w:tcPr>
            <w:tcW w:w="25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97"/>
              <w:spacing w:after="0"/>
              <w:rPr>
                <w:sz w:val="20"/>
                <w:szCs w:val="20"/>
                <w:color w:val="auto"/>
              </w:rPr>
            </w:pPr>
            <w:r>
              <w:rPr>
                <w:rFonts w:ascii="Arial" w:cs="Arial" w:eastAsia="Arial" w:hAnsi="Arial"/>
                <w:sz w:val="18"/>
                <w:szCs w:val="18"/>
                <w:color w:val="auto"/>
              </w:rPr>
              <w:t>562</w:t>
            </w:r>
          </w:p>
        </w:tc>
        <w:tc>
          <w:tcPr>
            <w:tcW w:w="4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502</w:t>
            </w: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56"/>
              <w:spacing w:after="0"/>
              <w:rPr>
                <w:sz w:val="20"/>
                <w:szCs w:val="20"/>
                <w:color w:val="auto"/>
              </w:rPr>
            </w:pPr>
            <w:r>
              <w:rPr>
                <w:rFonts w:ascii="Arial" w:cs="Arial" w:eastAsia="Arial" w:hAnsi="Arial"/>
                <w:sz w:val="18"/>
                <w:szCs w:val="18"/>
                <w:color w:val="auto"/>
              </w:rPr>
              <w:t>60</w:t>
            </w:r>
          </w:p>
        </w:tc>
        <w:tc>
          <w:tcPr>
            <w:tcW w:w="5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w w:val="91"/>
              </w:rPr>
              <w:t>11.8</w:t>
            </w:r>
          </w:p>
        </w:tc>
        <w:tc>
          <w:tcPr>
            <w:tcW w:w="0" w:type="dxa"/>
            <w:vAlign w:val="bottom"/>
          </w:tcPr>
          <w:p>
            <w:pPr>
              <w:spacing w:after="0"/>
              <w:rPr>
                <w:sz w:val="1"/>
                <w:szCs w:val="1"/>
                <w:color w:val="auto"/>
              </w:rPr>
            </w:pPr>
          </w:p>
        </w:tc>
      </w:tr>
      <w:tr>
        <w:trPr>
          <w:trHeight w:val="210"/>
        </w:trPr>
        <w:tc>
          <w:tcPr>
            <w:tcW w:w="490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Total revenue</w:t>
            </w:r>
          </w:p>
        </w:tc>
        <w:tc>
          <w:tcPr>
            <w:tcW w:w="250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97"/>
              <w:spacing w:after="0"/>
              <w:rPr>
                <w:sz w:val="20"/>
                <w:szCs w:val="20"/>
                <w:color w:val="auto"/>
              </w:rPr>
            </w:pPr>
            <w:r>
              <w:rPr>
                <w:rFonts w:ascii="Arial" w:cs="Arial" w:eastAsia="Arial" w:hAnsi="Arial"/>
                <w:sz w:val="18"/>
                <w:szCs w:val="18"/>
                <w:b w:val="1"/>
                <w:bCs w:val="1"/>
                <w:color w:val="auto"/>
                <w:w w:val="83"/>
              </w:rPr>
              <w:t>11,740</w:t>
            </w:r>
          </w:p>
        </w:tc>
        <w:tc>
          <w:tcPr>
            <w:tcW w:w="44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93"/>
              <w:spacing w:after="0"/>
              <w:rPr>
                <w:sz w:val="20"/>
                <w:szCs w:val="20"/>
                <w:color w:val="auto"/>
              </w:rPr>
            </w:pPr>
            <w:r>
              <w:rPr>
                <w:rFonts w:ascii="Arial" w:cs="Arial" w:eastAsia="Arial" w:hAnsi="Arial"/>
                <w:sz w:val="18"/>
                <w:szCs w:val="18"/>
                <w:b w:val="1"/>
                <w:bCs w:val="1"/>
                <w:color w:val="auto"/>
                <w:w w:val="83"/>
              </w:rPr>
              <w:t>11,041</w:t>
            </w:r>
          </w:p>
        </w:tc>
        <w:tc>
          <w:tcPr>
            <w:tcW w:w="28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256"/>
              <w:spacing w:after="0"/>
              <w:rPr>
                <w:sz w:val="20"/>
                <w:szCs w:val="20"/>
                <w:color w:val="auto"/>
              </w:rPr>
            </w:pPr>
            <w:r>
              <w:rPr>
                <w:rFonts w:ascii="Arial" w:cs="Arial" w:eastAsia="Arial" w:hAnsi="Arial"/>
                <w:sz w:val="18"/>
                <w:szCs w:val="18"/>
                <w:b w:val="1"/>
                <w:bCs w:val="1"/>
                <w:color w:val="auto"/>
              </w:rPr>
              <w:t>699</w:t>
            </w:r>
          </w:p>
        </w:tc>
        <w:tc>
          <w:tcPr>
            <w:tcW w:w="560" w:type="dxa"/>
            <w:vAlign w:val="bottom"/>
            <w:shd w:val="clear" w:color="auto" w:fill="E5E5E5"/>
          </w:tcPr>
          <w:p>
            <w:pPr>
              <w:jc w:val="right"/>
              <w:ind w:right="133"/>
              <w:spacing w:after="0"/>
              <w:rPr>
                <w:sz w:val="20"/>
                <w:szCs w:val="20"/>
                <w:color w:val="auto"/>
              </w:rPr>
            </w:pPr>
            <w:r>
              <w:rPr>
                <w:rFonts w:ascii="Arial" w:cs="Arial" w:eastAsia="Arial" w:hAnsi="Arial"/>
                <w:sz w:val="18"/>
                <w:szCs w:val="18"/>
                <w:b w:val="1"/>
                <w:bCs w:val="1"/>
                <w:color w:val="auto"/>
              </w:rPr>
              <w:t>6.3</w:t>
            </w: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b w:val="1"/>
                <w:bCs w:val="1"/>
                <w:color w:val="auto"/>
              </w:rPr>
              <w:t>Operating costs and expenses</w:t>
            </w:r>
          </w:p>
        </w:tc>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Programming</w:t>
            </w:r>
          </w:p>
        </w:tc>
        <w:tc>
          <w:tcPr>
            <w:tcW w:w="250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97"/>
              <w:spacing w:after="0"/>
              <w:rPr>
                <w:sz w:val="20"/>
                <w:szCs w:val="20"/>
                <w:color w:val="auto"/>
              </w:rPr>
            </w:pPr>
            <w:r>
              <w:rPr>
                <w:rFonts w:ascii="Arial" w:cs="Arial" w:eastAsia="Arial" w:hAnsi="Arial"/>
                <w:sz w:val="18"/>
                <w:szCs w:val="18"/>
                <w:color w:val="auto"/>
              </w:rPr>
              <w:t>2,607</w:t>
            </w:r>
          </w:p>
        </w:tc>
        <w:tc>
          <w:tcPr>
            <w:tcW w:w="44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2,450</w:t>
            </w:r>
          </w:p>
        </w:tc>
        <w:tc>
          <w:tcPr>
            <w:tcW w:w="28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256"/>
              <w:spacing w:after="0"/>
              <w:rPr>
                <w:sz w:val="20"/>
                <w:szCs w:val="20"/>
                <w:color w:val="auto"/>
              </w:rPr>
            </w:pPr>
            <w:r>
              <w:rPr>
                <w:rFonts w:ascii="Arial" w:cs="Arial" w:eastAsia="Arial" w:hAnsi="Arial"/>
                <w:sz w:val="18"/>
                <w:szCs w:val="18"/>
                <w:color w:val="auto"/>
              </w:rPr>
              <w:t>157</w:t>
            </w:r>
          </w:p>
        </w:tc>
        <w:tc>
          <w:tcPr>
            <w:tcW w:w="56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4900" w:type="dxa"/>
            <w:vAlign w:val="bottom"/>
          </w:tcPr>
          <w:p>
            <w:pPr>
              <w:ind w:left="440"/>
              <w:spacing w:after="0"/>
              <w:rPr>
                <w:sz w:val="20"/>
                <w:szCs w:val="20"/>
                <w:color w:val="auto"/>
              </w:rPr>
            </w:pPr>
            <w:r>
              <w:rPr>
                <w:rFonts w:ascii="Arial" w:cs="Arial" w:eastAsia="Arial" w:hAnsi="Arial"/>
                <w:sz w:val="18"/>
                <w:szCs w:val="18"/>
                <w:color w:val="auto"/>
              </w:rPr>
              <w:t>Technical and product support</w:t>
            </w:r>
          </w:p>
        </w:tc>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jc w:val="right"/>
              <w:ind w:right="97"/>
              <w:spacing w:after="0"/>
              <w:rPr>
                <w:sz w:val="20"/>
                <w:szCs w:val="20"/>
                <w:color w:val="auto"/>
              </w:rPr>
            </w:pPr>
            <w:r>
              <w:rPr>
                <w:rFonts w:ascii="Arial" w:cs="Arial" w:eastAsia="Arial" w:hAnsi="Arial"/>
                <w:sz w:val="18"/>
                <w:szCs w:val="18"/>
                <w:color w:val="auto"/>
              </w:rPr>
              <w:t>1,495</w:t>
            </w:r>
          </w:p>
        </w:tc>
        <w:tc>
          <w:tcPr>
            <w:tcW w:w="440" w:type="dxa"/>
            <w:vAlign w:val="bottom"/>
          </w:tcPr>
          <w:p>
            <w:pPr>
              <w:spacing w:after="0"/>
              <w:rPr>
                <w:sz w:val="18"/>
                <w:szCs w:val="18"/>
                <w:color w:val="auto"/>
              </w:rPr>
            </w:pPr>
          </w:p>
        </w:tc>
        <w:tc>
          <w:tcPr>
            <w:tcW w:w="660" w:type="dxa"/>
            <w:vAlign w:val="bottom"/>
          </w:tcPr>
          <w:p>
            <w:pPr>
              <w:jc w:val="right"/>
              <w:ind w:right="93"/>
              <w:spacing w:after="0"/>
              <w:rPr>
                <w:sz w:val="20"/>
                <w:szCs w:val="20"/>
                <w:color w:val="auto"/>
              </w:rPr>
            </w:pPr>
            <w:r>
              <w:rPr>
                <w:rFonts w:ascii="Arial" w:cs="Arial" w:eastAsia="Arial" w:hAnsi="Arial"/>
                <w:sz w:val="18"/>
                <w:szCs w:val="18"/>
                <w:color w:val="auto"/>
              </w:rPr>
              <w:t>1,385</w:t>
            </w:r>
          </w:p>
        </w:tc>
        <w:tc>
          <w:tcPr>
            <w:tcW w:w="280" w:type="dxa"/>
            <w:vAlign w:val="bottom"/>
          </w:tcPr>
          <w:p>
            <w:pPr>
              <w:spacing w:after="0"/>
              <w:rPr>
                <w:sz w:val="18"/>
                <w:szCs w:val="18"/>
                <w:color w:val="auto"/>
              </w:rPr>
            </w:pPr>
          </w:p>
        </w:tc>
        <w:tc>
          <w:tcPr>
            <w:tcW w:w="760" w:type="dxa"/>
            <w:vAlign w:val="bottom"/>
          </w:tcPr>
          <w:p>
            <w:pPr>
              <w:jc w:val="right"/>
              <w:ind w:right="256"/>
              <w:spacing w:after="0"/>
              <w:rPr>
                <w:sz w:val="20"/>
                <w:szCs w:val="20"/>
                <w:color w:val="auto"/>
              </w:rPr>
            </w:pPr>
            <w:r>
              <w:rPr>
                <w:rFonts w:ascii="Arial" w:cs="Arial" w:eastAsia="Arial" w:hAnsi="Arial"/>
                <w:sz w:val="18"/>
                <w:szCs w:val="18"/>
                <w:color w:val="auto"/>
              </w:rPr>
              <w:t>110</w:t>
            </w:r>
          </w:p>
        </w:tc>
        <w:tc>
          <w:tcPr>
            <w:tcW w:w="560" w:type="dxa"/>
            <w:vAlign w:val="bottom"/>
          </w:tcPr>
          <w:p>
            <w:pPr>
              <w:jc w:val="right"/>
              <w:ind w:right="133"/>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49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Customer service</w:t>
            </w:r>
          </w:p>
        </w:tc>
        <w:tc>
          <w:tcPr>
            <w:tcW w:w="250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97"/>
              <w:spacing w:after="0"/>
              <w:rPr>
                <w:sz w:val="20"/>
                <w:szCs w:val="20"/>
                <w:color w:val="auto"/>
              </w:rPr>
            </w:pPr>
            <w:r>
              <w:rPr>
                <w:rFonts w:ascii="Arial" w:cs="Arial" w:eastAsia="Arial" w:hAnsi="Arial"/>
                <w:sz w:val="18"/>
                <w:szCs w:val="18"/>
                <w:color w:val="auto"/>
              </w:rPr>
              <w:t>603</w:t>
            </w:r>
          </w:p>
        </w:tc>
        <w:tc>
          <w:tcPr>
            <w:tcW w:w="44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556</w:t>
            </w:r>
          </w:p>
        </w:tc>
        <w:tc>
          <w:tcPr>
            <w:tcW w:w="28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256"/>
              <w:spacing w:after="0"/>
              <w:rPr>
                <w:sz w:val="20"/>
                <w:szCs w:val="20"/>
                <w:color w:val="auto"/>
              </w:rPr>
            </w:pPr>
            <w:r>
              <w:rPr>
                <w:rFonts w:ascii="Arial" w:cs="Arial" w:eastAsia="Arial" w:hAnsi="Arial"/>
                <w:sz w:val="18"/>
                <w:szCs w:val="18"/>
                <w:color w:val="auto"/>
              </w:rPr>
              <w:t>47</w:t>
            </w:r>
          </w:p>
        </w:tc>
        <w:tc>
          <w:tcPr>
            <w:tcW w:w="56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4900" w:type="dxa"/>
            <w:vAlign w:val="bottom"/>
          </w:tcPr>
          <w:p>
            <w:pPr>
              <w:ind w:left="440"/>
              <w:spacing w:after="0"/>
              <w:rPr>
                <w:sz w:val="20"/>
                <w:szCs w:val="20"/>
                <w:color w:val="auto"/>
              </w:rPr>
            </w:pPr>
            <w:r>
              <w:rPr>
                <w:rFonts w:ascii="Arial" w:cs="Arial" w:eastAsia="Arial" w:hAnsi="Arial"/>
                <w:sz w:val="18"/>
                <w:szCs w:val="18"/>
                <w:color w:val="auto"/>
              </w:rPr>
              <w:t>Franchise and other regulatory fees</w:t>
            </w:r>
          </w:p>
        </w:tc>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jc w:val="right"/>
              <w:ind w:right="97"/>
              <w:spacing w:after="0"/>
              <w:rPr>
                <w:sz w:val="20"/>
                <w:szCs w:val="20"/>
                <w:color w:val="auto"/>
              </w:rPr>
            </w:pPr>
            <w:r>
              <w:rPr>
                <w:rFonts w:ascii="Arial" w:cs="Arial" w:eastAsia="Arial" w:hAnsi="Arial"/>
                <w:sz w:val="18"/>
                <w:szCs w:val="18"/>
                <w:color w:val="auto"/>
              </w:rPr>
              <w:t>347</w:t>
            </w:r>
          </w:p>
        </w:tc>
        <w:tc>
          <w:tcPr>
            <w:tcW w:w="440" w:type="dxa"/>
            <w:vAlign w:val="bottom"/>
          </w:tcPr>
          <w:p>
            <w:pPr>
              <w:spacing w:after="0"/>
              <w:rPr>
                <w:sz w:val="18"/>
                <w:szCs w:val="18"/>
                <w:color w:val="auto"/>
              </w:rPr>
            </w:pPr>
          </w:p>
        </w:tc>
        <w:tc>
          <w:tcPr>
            <w:tcW w:w="660" w:type="dxa"/>
            <w:vAlign w:val="bottom"/>
          </w:tcPr>
          <w:p>
            <w:pPr>
              <w:jc w:val="right"/>
              <w:ind w:right="93"/>
              <w:spacing w:after="0"/>
              <w:rPr>
                <w:sz w:val="20"/>
                <w:szCs w:val="20"/>
                <w:color w:val="auto"/>
              </w:rPr>
            </w:pPr>
            <w:r>
              <w:rPr>
                <w:rFonts w:ascii="Arial" w:cs="Arial" w:eastAsia="Arial" w:hAnsi="Arial"/>
                <w:sz w:val="18"/>
                <w:szCs w:val="18"/>
                <w:color w:val="auto"/>
              </w:rPr>
              <w:t>328</w:t>
            </w:r>
          </w:p>
        </w:tc>
        <w:tc>
          <w:tcPr>
            <w:tcW w:w="280" w:type="dxa"/>
            <w:vAlign w:val="bottom"/>
          </w:tcPr>
          <w:p>
            <w:pPr>
              <w:spacing w:after="0"/>
              <w:rPr>
                <w:sz w:val="18"/>
                <w:szCs w:val="18"/>
                <w:color w:val="auto"/>
              </w:rPr>
            </w:pPr>
          </w:p>
        </w:tc>
        <w:tc>
          <w:tcPr>
            <w:tcW w:w="760" w:type="dxa"/>
            <w:vAlign w:val="bottom"/>
          </w:tcPr>
          <w:p>
            <w:pPr>
              <w:jc w:val="right"/>
              <w:ind w:right="256"/>
              <w:spacing w:after="0"/>
              <w:rPr>
                <w:sz w:val="20"/>
                <w:szCs w:val="20"/>
                <w:color w:val="auto"/>
              </w:rPr>
            </w:pPr>
            <w:r>
              <w:rPr>
                <w:rFonts w:ascii="Arial" w:cs="Arial" w:eastAsia="Arial" w:hAnsi="Arial"/>
                <w:sz w:val="18"/>
                <w:szCs w:val="18"/>
                <w:color w:val="auto"/>
              </w:rPr>
              <w:t>19</w:t>
            </w:r>
          </w:p>
        </w:tc>
        <w:tc>
          <w:tcPr>
            <w:tcW w:w="560" w:type="dxa"/>
            <w:vAlign w:val="bottom"/>
          </w:tcPr>
          <w:p>
            <w:pPr>
              <w:jc w:val="right"/>
              <w:ind w:right="133"/>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49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Advertising, marketing and promotion</w:t>
            </w:r>
          </w:p>
        </w:tc>
        <w:tc>
          <w:tcPr>
            <w:tcW w:w="250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97"/>
              <w:spacing w:after="0"/>
              <w:rPr>
                <w:sz w:val="20"/>
                <w:szCs w:val="20"/>
                <w:color w:val="auto"/>
              </w:rPr>
            </w:pPr>
            <w:r>
              <w:rPr>
                <w:rFonts w:ascii="Arial" w:cs="Arial" w:eastAsia="Arial" w:hAnsi="Arial"/>
                <w:sz w:val="18"/>
                <w:szCs w:val="18"/>
                <w:color w:val="auto"/>
              </w:rPr>
              <w:t>866</w:t>
            </w:r>
          </w:p>
        </w:tc>
        <w:tc>
          <w:tcPr>
            <w:tcW w:w="44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829</w:t>
            </w:r>
          </w:p>
        </w:tc>
        <w:tc>
          <w:tcPr>
            <w:tcW w:w="28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256"/>
              <w:spacing w:after="0"/>
              <w:rPr>
                <w:sz w:val="20"/>
                <w:szCs w:val="20"/>
                <w:color w:val="auto"/>
              </w:rPr>
            </w:pPr>
            <w:r>
              <w:rPr>
                <w:rFonts w:ascii="Arial" w:cs="Arial" w:eastAsia="Arial" w:hAnsi="Arial"/>
                <w:sz w:val="18"/>
                <w:szCs w:val="18"/>
                <w:color w:val="auto"/>
              </w:rPr>
              <w:t>37</w:t>
            </w:r>
          </w:p>
        </w:tc>
        <w:tc>
          <w:tcPr>
            <w:tcW w:w="56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49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Other</w:t>
            </w:r>
          </w:p>
        </w:tc>
        <w:tc>
          <w:tcPr>
            <w:tcW w:w="25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97"/>
              <w:spacing w:after="0"/>
              <w:rPr>
                <w:sz w:val="20"/>
                <w:szCs w:val="20"/>
                <w:color w:val="auto"/>
              </w:rPr>
            </w:pPr>
            <w:r>
              <w:rPr>
                <w:rFonts w:ascii="Arial" w:cs="Arial" w:eastAsia="Arial" w:hAnsi="Arial"/>
                <w:sz w:val="18"/>
                <w:szCs w:val="18"/>
                <w:color w:val="auto"/>
              </w:rPr>
              <w:t>1,074</w:t>
            </w:r>
          </w:p>
        </w:tc>
        <w:tc>
          <w:tcPr>
            <w:tcW w:w="4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1,029</w:t>
            </w: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56"/>
              <w:spacing w:after="0"/>
              <w:rPr>
                <w:sz w:val="20"/>
                <w:szCs w:val="20"/>
                <w:color w:val="auto"/>
              </w:rPr>
            </w:pPr>
            <w:r>
              <w:rPr>
                <w:rFonts w:ascii="Arial" w:cs="Arial" w:eastAsia="Arial" w:hAnsi="Arial"/>
                <w:sz w:val="18"/>
                <w:szCs w:val="18"/>
                <w:color w:val="auto"/>
              </w:rPr>
              <w:t>45</w:t>
            </w:r>
          </w:p>
        </w:tc>
        <w:tc>
          <w:tcPr>
            <w:tcW w:w="5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0"/>
        </w:trPr>
        <w:tc>
          <w:tcPr>
            <w:tcW w:w="49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Total operating costs and expenses</w:t>
            </w:r>
          </w:p>
        </w:tc>
        <w:tc>
          <w:tcPr>
            <w:tcW w:w="2500" w:type="dxa"/>
            <w:vAlign w:val="bottom"/>
            <w:tcBorders>
              <w:bottom w:val="single" w:sz="8" w:color="auto"/>
            </w:tcBorders>
            <w:shd w:val="clear" w:color="auto" w:fill="E5E5E5"/>
          </w:tcPr>
          <w:p>
            <w:pPr>
              <w:spacing w:after="0"/>
              <w:rPr>
                <w:sz w:val="18"/>
                <w:szCs w:val="18"/>
                <w:color w:val="auto"/>
              </w:rPr>
            </w:pPr>
          </w:p>
        </w:tc>
        <w:tc>
          <w:tcPr>
            <w:tcW w:w="14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97"/>
              <w:spacing w:after="0"/>
              <w:rPr>
                <w:sz w:val="20"/>
                <w:szCs w:val="20"/>
                <w:color w:val="auto"/>
              </w:rPr>
            </w:pPr>
            <w:r>
              <w:rPr>
                <w:rFonts w:ascii="Arial" w:cs="Arial" w:eastAsia="Arial" w:hAnsi="Arial"/>
                <w:sz w:val="18"/>
                <w:szCs w:val="18"/>
                <w:color w:val="auto"/>
              </w:rPr>
              <w:t>6,992</w:t>
            </w:r>
          </w:p>
        </w:tc>
        <w:tc>
          <w:tcPr>
            <w:tcW w:w="44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6,577</w:t>
            </w:r>
          </w:p>
        </w:tc>
        <w:tc>
          <w:tcPr>
            <w:tcW w:w="28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256"/>
              <w:spacing w:after="0"/>
              <w:rPr>
                <w:sz w:val="20"/>
                <w:szCs w:val="20"/>
                <w:color w:val="auto"/>
              </w:rPr>
            </w:pPr>
            <w:r>
              <w:rPr>
                <w:rFonts w:ascii="Arial" w:cs="Arial" w:eastAsia="Arial" w:hAnsi="Arial"/>
                <w:sz w:val="18"/>
                <w:szCs w:val="18"/>
                <w:color w:val="auto"/>
              </w:rPr>
              <w:t>415</w:t>
            </w:r>
          </w:p>
        </w:tc>
        <w:tc>
          <w:tcPr>
            <w:tcW w:w="56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7"/>
        </w:trPr>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3160" w:type="dxa"/>
            <w:vAlign w:val="bottom"/>
            <w:tcBorders>
              <w:bottom w:val="single" w:sz="8" w:color="auto"/>
            </w:tcBorders>
            <w:gridSpan w:val="3"/>
          </w:tcPr>
          <w:p>
            <w:pPr>
              <w:ind w:left="3060"/>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bottom w:val="single" w:sz="8" w:color="auto"/>
            </w:tcBorders>
          </w:tcPr>
          <w:p>
            <w:pPr>
              <w:jc w:val="right"/>
              <w:ind w:right="97"/>
              <w:spacing w:after="0"/>
              <w:rPr>
                <w:sz w:val="20"/>
                <w:szCs w:val="20"/>
                <w:color w:val="auto"/>
              </w:rPr>
            </w:pPr>
            <w:r>
              <w:rPr>
                <w:rFonts w:ascii="Arial" w:cs="Arial" w:eastAsia="Arial" w:hAnsi="Arial"/>
                <w:sz w:val="18"/>
                <w:szCs w:val="18"/>
                <w:b w:val="1"/>
                <w:bCs w:val="1"/>
                <w:color w:val="auto"/>
              </w:rPr>
              <w:t>4,748</w:t>
            </w:r>
          </w:p>
        </w:tc>
        <w:tc>
          <w:tcPr>
            <w:tcW w:w="44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b w:val="1"/>
                <w:bCs w:val="1"/>
                <w:color w:val="auto"/>
              </w:rPr>
              <w:t>4,464</w:t>
            </w: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56"/>
              <w:spacing w:after="0"/>
              <w:rPr>
                <w:sz w:val="20"/>
                <w:szCs w:val="20"/>
                <w:color w:val="auto"/>
              </w:rPr>
            </w:pPr>
            <w:r>
              <w:rPr>
                <w:rFonts w:ascii="Arial" w:cs="Arial" w:eastAsia="Arial" w:hAnsi="Arial"/>
                <w:sz w:val="18"/>
                <w:szCs w:val="18"/>
                <w:b w:val="1"/>
                <w:bCs w:val="1"/>
                <w:color w:val="auto"/>
                <w:w w:val="99"/>
              </w:rPr>
              <w:t>$284</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w:t>
            </w:r>
          </w:p>
        </w:tc>
        <w:tc>
          <w:tcPr>
            <w:tcW w:w="0" w:type="dxa"/>
            <w:vAlign w:val="bottom"/>
          </w:tcPr>
          <w:p>
            <w:pPr>
              <w:spacing w:after="0"/>
              <w:rPr>
                <w:sz w:val="1"/>
                <w:szCs w:val="1"/>
                <w:color w:val="auto"/>
              </w:rPr>
            </w:pPr>
          </w:p>
        </w:tc>
      </w:tr>
      <w:tr>
        <w:trPr>
          <w:trHeight w:val="273"/>
        </w:trPr>
        <w:tc>
          <w:tcPr>
            <w:tcW w:w="490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760" w:type="dxa"/>
            <w:vAlign w:val="bottom"/>
            <w:gridSpan w:val="3"/>
          </w:tcPr>
          <w:p>
            <w:pPr>
              <w:jc w:val="center"/>
              <w:ind w:right="493"/>
              <w:spacing w:after="0"/>
              <w:rPr>
                <w:sz w:val="20"/>
                <w:szCs w:val="20"/>
                <w:color w:val="auto"/>
              </w:rPr>
            </w:pPr>
            <w:r>
              <w:rPr>
                <w:rFonts w:ascii="Arial" w:cs="Arial" w:eastAsia="Arial" w:hAnsi="Arial"/>
                <w:sz w:val="14"/>
                <w:szCs w:val="14"/>
                <w:color w:val="auto"/>
                <w:w w:val="89"/>
              </w:rPr>
              <w:t>Nine Months Ended</w:t>
            </w:r>
          </w:p>
        </w:tc>
        <w:tc>
          <w:tcPr>
            <w:tcW w:w="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Increase/</w:t>
            </w: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9"/>
        </w:trPr>
        <w:tc>
          <w:tcPr>
            <w:tcW w:w="490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25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2"/>
          </w:tcPr>
          <w:p>
            <w:pPr>
              <w:jc w:val="center"/>
              <w:spacing w:after="0" w:line="159" w:lineRule="exact"/>
              <w:rPr>
                <w:sz w:val="20"/>
                <w:szCs w:val="20"/>
                <w:color w:val="auto"/>
              </w:rPr>
            </w:pPr>
            <w:r>
              <w:rPr>
                <w:rFonts w:ascii="Arial" w:cs="Arial" w:eastAsia="Arial" w:hAnsi="Arial"/>
                <w:sz w:val="14"/>
                <w:szCs w:val="14"/>
                <w:color w:val="auto"/>
                <w:w w:val="84"/>
              </w:rPr>
              <w:t>September 30</w:t>
            </w:r>
          </w:p>
        </w:tc>
        <w:tc>
          <w:tcPr>
            <w:tcW w:w="6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2"/>
          </w:tcPr>
          <w:p>
            <w:pPr>
              <w:ind w:left="200"/>
              <w:spacing w:after="0" w:line="159" w:lineRule="exact"/>
              <w:rPr>
                <w:sz w:val="20"/>
                <w:szCs w:val="20"/>
                <w:color w:val="auto"/>
              </w:rPr>
            </w:pPr>
            <w:r>
              <w:rPr>
                <w:rFonts w:ascii="Arial" w:cs="Arial" w:eastAsia="Arial" w:hAnsi="Arial"/>
                <w:sz w:val="14"/>
                <w:szCs w:val="14"/>
                <w:color w:val="auto"/>
              </w:rPr>
              <w:t>(Decrease)</w:t>
            </w:r>
          </w:p>
        </w:tc>
        <w:tc>
          <w:tcPr>
            <w:tcW w:w="0" w:type="dxa"/>
            <w:vAlign w:val="bottom"/>
          </w:tcPr>
          <w:p>
            <w:pPr>
              <w:spacing w:after="0"/>
              <w:rPr>
                <w:sz w:val="1"/>
                <w:szCs w:val="1"/>
                <w:color w:val="auto"/>
              </w:rPr>
            </w:pPr>
          </w:p>
        </w:tc>
      </w:tr>
      <w:tr>
        <w:trPr>
          <w:trHeight w:val="142"/>
        </w:trPr>
        <w:tc>
          <w:tcPr>
            <w:tcW w:w="4900" w:type="dxa"/>
            <w:vAlign w:val="bottom"/>
            <w:tcBorders>
              <w:bottom w:val="single" w:sz="8" w:color="auto"/>
            </w:tcBorders>
            <w:vMerge w:val="continue"/>
          </w:tcPr>
          <w:p>
            <w:pPr>
              <w:spacing w:after="0"/>
              <w:rPr>
                <w:sz w:val="12"/>
                <w:szCs w:val="12"/>
                <w:color w:val="auto"/>
              </w:rPr>
            </w:pPr>
          </w:p>
        </w:tc>
        <w:tc>
          <w:tcPr>
            <w:tcW w:w="250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3"/>
          </w:tcPr>
          <w:p>
            <w:pPr>
              <w:ind w:left="560"/>
              <w:spacing w:after="0" w:line="142" w:lineRule="exact"/>
              <w:rPr>
                <w:sz w:val="20"/>
                <w:szCs w:val="20"/>
                <w:color w:val="auto"/>
              </w:rPr>
            </w:pPr>
            <w:r>
              <w:rPr>
                <w:rFonts w:ascii="Arial" w:cs="Arial" w:eastAsia="Arial" w:hAnsi="Arial"/>
                <w:sz w:val="14"/>
                <w:szCs w:val="14"/>
                <w:color w:val="auto"/>
              </w:rPr>
              <w:t>2015</w:t>
            </w:r>
          </w:p>
        </w:tc>
        <w:tc>
          <w:tcPr>
            <w:tcW w:w="1100" w:type="dxa"/>
            <w:vAlign w:val="bottom"/>
            <w:tcBorders>
              <w:bottom w:val="single" w:sz="8" w:color="auto"/>
            </w:tcBorders>
            <w:gridSpan w:val="2"/>
          </w:tcPr>
          <w:p>
            <w:pPr>
              <w:ind w:left="340"/>
              <w:spacing w:after="0" w:line="142" w:lineRule="exact"/>
              <w:rPr>
                <w:sz w:val="20"/>
                <w:szCs w:val="20"/>
                <w:color w:val="auto"/>
              </w:rPr>
            </w:pPr>
            <w:r>
              <w:rPr>
                <w:rFonts w:ascii="Arial" w:cs="Arial" w:eastAsia="Arial" w:hAnsi="Arial"/>
                <w:sz w:val="14"/>
                <w:szCs w:val="14"/>
                <w:color w:val="auto"/>
              </w:rPr>
              <w:t>2014</w:t>
            </w:r>
          </w:p>
        </w:tc>
        <w:tc>
          <w:tcPr>
            <w:tcW w:w="2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96"/>
              <w:spacing w:after="0" w:line="142" w:lineRule="exact"/>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490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250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440"/>
              <w:spacing w:after="0"/>
              <w:rPr>
                <w:sz w:val="20"/>
                <w:szCs w:val="20"/>
                <w:color w:val="auto"/>
              </w:rPr>
            </w:pPr>
            <w:r>
              <w:rPr>
                <w:rFonts w:ascii="Arial" w:cs="Arial" w:eastAsia="Arial" w:hAnsi="Arial"/>
                <w:sz w:val="18"/>
                <w:szCs w:val="18"/>
                <w:color w:val="auto"/>
              </w:rPr>
              <w:t>Residential:</w:t>
            </w:r>
          </w:p>
        </w:tc>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E5E5E5"/>
          </w:tcPr>
          <w:p>
            <w:pPr>
              <w:ind w:left="880"/>
              <w:spacing w:after="0"/>
              <w:rPr>
                <w:sz w:val="20"/>
                <w:szCs w:val="20"/>
                <w:color w:val="auto"/>
              </w:rPr>
            </w:pPr>
            <w:r>
              <w:rPr>
                <w:rFonts w:ascii="Arial" w:cs="Arial" w:eastAsia="Arial" w:hAnsi="Arial"/>
                <w:sz w:val="18"/>
                <w:szCs w:val="18"/>
                <w:color w:val="auto"/>
              </w:rPr>
              <w:t>Video</w:t>
            </w:r>
          </w:p>
        </w:tc>
        <w:tc>
          <w:tcPr>
            <w:tcW w:w="3820" w:type="dxa"/>
            <w:vAlign w:val="bottom"/>
            <w:gridSpan w:val="4"/>
            <w:shd w:val="clear" w:color="auto" w:fill="E5E5E5"/>
          </w:tcPr>
          <w:p>
            <w:pPr>
              <w:jc w:val="right"/>
              <w:ind w:right="237"/>
              <w:spacing w:after="0"/>
              <w:rPr>
                <w:sz w:val="20"/>
                <w:szCs w:val="20"/>
                <w:color w:val="auto"/>
              </w:rPr>
            </w:pPr>
            <w:r>
              <w:rPr>
                <w:rFonts w:ascii="Arial" w:cs="Arial" w:eastAsia="Arial" w:hAnsi="Arial"/>
                <w:sz w:val="18"/>
                <w:szCs w:val="18"/>
                <w:color w:val="auto"/>
              </w:rPr>
              <w:t>$16,110</w:t>
            </w:r>
          </w:p>
        </w:tc>
        <w:tc>
          <w:tcPr>
            <w:tcW w:w="1100" w:type="dxa"/>
            <w:vAlign w:val="bottom"/>
            <w:gridSpan w:val="2"/>
            <w:shd w:val="clear" w:color="auto" w:fill="E5E5E5"/>
          </w:tcPr>
          <w:p>
            <w:pPr>
              <w:jc w:val="right"/>
              <w:ind w:right="253"/>
              <w:spacing w:after="0"/>
              <w:rPr>
                <w:sz w:val="20"/>
                <w:szCs w:val="20"/>
                <w:color w:val="auto"/>
              </w:rPr>
            </w:pPr>
            <w:r>
              <w:rPr>
                <w:rFonts w:ascii="Arial" w:cs="Arial" w:eastAsia="Arial" w:hAnsi="Arial"/>
                <w:sz w:val="18"/>
                <w:szCs w:val="18"/>
                <w:color w:val="auto"/>
              </w:rPr>
              <w:t>$15,596</w:t>
            </w:r>
          </w:p>
        </w:tc>
        <w:tc>
          <w:tcPr>
            <w:tcW w:w="2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E5E5E5"/>
          </w:tcPr>
          <w:p>
            <w:pPr>
              <w:jc w:val="right"/>
              <w:ind w:right="276"/>
              <w:spacing w:after="0"/>
              <w:rPr>
                <w:sz w:val="20"/>
                <w:szCs w:val="20"/>
                <w:color w:val="auto"/>
              </w:rPr>
            </w:pPr>
            <w:r>
              <w:rPr>
                <w:rFonts w:ascii="Arial" w:cs="Arial" w:eastAsia="Arial" w:hAnsi="Arial"/>
                <w:sz w:val="18"/>
                <w:szCs w:val="18"/>
                <w:color w:val="auto"/>
              </w:rPr>
              <w:t>514</w:t>
            </w: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4900" w:type="dxa"/>
            <w:vAlign w:val="bottom"/>
          </w:tcPr>
          <w:p>
            <w:pPr>
              <w:ind w:left="880"/>
              <w:spacing w:after="0"/>
              <w:rPr>
                <w:sz w:val="20"/>
                <w:szCs w:val="20"/>
                <w:color w:val="auto"/>
              </w:rPr>
            </w:pPr>
            <w:r>
              <w:rPr>
                <w:rFonts w:ascii="Arial" w:cs="Arial" w:eastAsia="Arial" w:hAnsi="Arial"/>
                <w:sz w:val="18"/>
                <w:szCs w:val="18"/>
                <w:color w:val="auto"/>
              </w:rPr>
              <w:t>High-speed Internet</w:t>
            </w:r>
          </w:p>
        </w:tc>
        <w:tc>
          <w:tcPr>
            <w:tcW w:w="3820" w:type="dxa"/>
            <w:vAlign w:val="bottom"/>
            <w:gridSpan w:val="4"/>
          </w:tcPr>
          <w:p>
            <w:pPr>
              <w:jc w:val="right"/>
              <w:ind w:right="237"/>
              <w:spacing w:after="0"/>
              <w:rPr>
                <w:sz w:val="20"/>
                <w:szCs w:val="20"/>
                <w:color w:val="auto"/>
              </w:rPr>
            </w:pPr>
            <w:r>
              <w:rPr>
                <w:rFonts w:ascii="Arial" w:cs="Arial" w:eastAsia="Arial" w:hAnsi="Arial"/>
                <w:sz w:val="18"/>
                <w:szCs w:val="18"/>
                <w:color w:val="auto"/>
              </w:rPr>
              <w:t>9,274</w:t>
            </w:r>
          </w:p>
        </w:tc>
        <w:tc>
          <w:tcPr>
            <w:tcW w:w="1100" w:type="dxa"/>
            <w:vAlign w:val="bottom"/>
            <w:gridSpan w:val="2"/>
          </w:tcPr>
          <w:p>
            <w:pPr>
              <w:jc w:val="right"/>
              <w:ind w:right="253"/>
              <w:spacing w:after="0"/>
              <w:rPr>
                <w:sz w:val="20"/>
                <w:szCs w:val="20"/>
                <w:color w:val="auto"/>
              </w:rPr>
            </w:pPr>
            <w:r>
              <w:rPr>
                <w:rFonts w:ascii="Arial" w:cs="Arial" w:eastAsia="Arial" w:hAnsi="Arial"/>
                <w:sz w:val="18"/>
                <w:szCs w:val="18"/>
                <w:color w:val="auto"/>
              </w:rPr>
              <w:t>8,409</w:t>
            </w:r>
          </w:p>
        </w:tc>
        <w:tc>
          <w:tcPr>
            <w:tcW w:w="280" w:type="dxa"/>
            <w:vAlign w:val="bottom"/>
          </w:tcPr>
          <w:p>
            <w:pPr>
              <w:spacing w:after="0"/>
              <w:rPr>
                <w:sz w:val="18"/>
                <w:szCs w:val="18"/>
                <w:color w:val="auto"/>
              </w:rPr>
            </w:pPr>
          </w:p>
        </w:tc>
        <w:tc>
          <w:tcPr>
            <w:tcW w:w="760" w:type="dxa"/>
            <w:vAlign w:val="bottom"/>
          </w:tcPr>
          <w:p>
            <w:pPr>
              <w:jc w:val="right"/>
              <w:ind w:right="276"/>
              <w:spacing w:after="0"/>
              <w:rPr>
                <w:sz w:val="20"/>
                <w:szCs w:val="20"/>
                <w:color w:val="auto"/>
              </w:rPr>
            </w:pPr>
            <w:r>
              <w:rPr>
                <w:rFonts w:ascii="Arial" w:cs="Arial" w:eastAsia="Arial" w:hAnsi="Arial"/>
                <w:sz w:val="18"/>
                <w:szCs w:val="18"/>
                <w:color w:val="auto"/>
              </w:rPr>
              <w:t>865</w:t>
            </w:r>
          </w:p>
        </w:tc>
        <w:tc>
          <w:tcPr>
            <w:tcW w:w="560" w:type="dxa"/>
            <w:vAlign w:val="bottom"/>
          </w:tcPr>
          <w:p>
            <w:pPr>
              <w:jc w:val="right"/>
              <w:ind w:right="133"/>
              <w:spacing w:after="0"/>
              <w:rPr>
                <w:sz w:val="20"/>
                <w:szCs w:val="20"/>
                <w:color w:val="auto"/>
              </w:rPr>
            </w:pPr>
            <w:r>
              <w:rPr>
                <w:rFonts w:ascii="Arial" w:cs="Arial" w:eastAsia="Arial" w:hAnsi="Arial"/>
                <w:sz w:val="18"/>
                <w:szCs w:val="18"/>
                <w:color w:val="auto"/>
                <w:w w:val="91"/>
              </w:rPr>
              <w:t>10.3</w:t>
            </w:r>
          </w:p>
        </w:tc>
        <w:tc>
          <w:tcPr>
            <w:tcW w:w="0" w:type="dxa"/>
            <w:vAlign w:val="bottom"/>
          </w:tcPr>
          <w:p>
            <w:pPr>
              <w:spacing w:after="0"/>
              <w:rPr>
                <w:sz w:val="1"/>
                <w:szCs w:val="1"/>
                <w:color w:val="auto"/>
              </w:rPr>
            </w:pPr>
          </w:p>
        </w:tc>
      </w:tr>
      <w:tr>
        <w:trPr>
          <w:trHeight w:val="216"/>
        </w:trPr>
        <w:tc>
          <w:tcPr>
            <w:tcW w:w="4900" w:type="dxa"/>
            <w:vAlign w:val="bottom"/>
            <w:shd w:val="clear" w:color="auto" w:fill="E5E5E5"/>
          </w:tcPr>
          <w:p>
            <w:pPr>
              <w:ind w:left="880"/>
              <w:spacing w:after="0"/>
              <w:rPr>
                <w:sz w:val="20"/>
                <w:szCs w:val="20"/>
                <w:color w:val="auto"/>
              </w:rPr>
            </w:pPr>
            <w:r>
              <w:rPr>
                <w:rFonts w:ascii="Arial" w:cs="Arial" w:eastAsia="Arial" w:hAnsi="Arial"/>
                <w:sz w:val="18"/>
                <w:szCs w:val="18"/>
                <w:color w:val="auto"/>
              </w:rPr>
              <w:t>Voice</w:t>
            </w:r>
          </w:p>
        </w:tc>
        <w:tc>
          <w:tcPr>
            <w:tcW w:w="3820" w:type="dxa"/>
            <w:vAlign w:val="bottom"/>
            <w:gridSpan w:val="4"/>
            <w:shd w:val="clear" w:color="auto" w:fill="E5E5E5"/>
          </w:tcPr>
          <w:p>
            <w:pPr>
              <w:jc w:val="right"/>
              <w:ind w:right="237"/>
              <w:spacing w:after="0"/>
              <w:rPr>
                <w:sz w:val="20"/>
                <w:szCs w:val="20"/>
                <w:color w:val="auto"/>
              </w:rPr>
            </w:pPr>
            <w:r>
              <w:rPr>
                <w:rFonts w:ascii="Arial" w:cs="Arial" w:eastAsia="Arial" w:hAnsi="Arial"/>
                <w:sz w:val="18"/>
                <w:szCs w:val="18"/>
                <w:color w:val="auto"/>
              </w:rPr>
              <w:t>2,709</w:t>
            </w:r>
          </w:p>
        </w:tc>
        <w:tc>
          <w:tcPr>
            <w:tcW w:w="1100" w:type="dxa"/>
            <w:vAlign w:val="bottom"/>
            <w:gridSpan w:val="2"/>
            <w:shd w:val="clear" w:color="auto" w:fill="E5E5E5"/>
          </w:tcPr>
          <w:p>
            <w:pPr>
              <w:jc w:val="right"/>
              <w:ind w:right="253"/>
              <w:spacing w:after="0"/>
              <w:rPr>
                <w:sz w:val="20"/>
                <w:szCs w:val="20"/>
                <w:color w:val="auto"/>
              </w:rPr>
            </w:pPr>
            <w:r>
              <w:rPr>
                <w:rFonts w:ascii="Arial" w:cs="Arial" w:eastAsia="Arial" w:hAnsi="Arial"/>
                <w:sz w:val="18"/>
                <w:szCs w:val="18"/>
                <w:color w:val="auto"/>
              </w:rPr>
              <w:t>2,755</w:t>
            </w:r>
          </w:p>
        </w:tc>
        <w:tc>
          <w:tcPr>
            <w:tcW w:w="28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216"/>
              <w:spacing w:after="0"/>
              <w:rPr>
                <w:sz w:val="20"/>
                <w:szCs w:val="20"/>
                <w:color w:val="auto"/>
              </w:rPr>
            </w:pPr>
            <w:r>
              <w:rPr>
                <w:rFonts w:ascii="Arial" w:cs="Arial" w:eastAsia="Arial" w:hAnsi="Arial"/>
                <w:sz w:val="18"/>
                <w:szCs w:val="18"/>
                <w:color w:val="auto"/>
              </w:rPr>
              <w:t>(46)</w:t>
            </w:r>
          </w:p>
        </w:tc>
        <w:tc>
          <w:tcPr>
            <w:tcW w:w="56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w w:val="97"/>
              </w:rPr>
              <w:t>(1.7)</w:t>
            </w:r>
          </w:p>
        </w:tc>
        <w:tc>
          <w:tcPr>
            <w:tcW w:w="0" w:type="dxa"/>
            <w:vAlign w:val="bottom"/>
          </w:tcPr>
          <w:p>
            <w:pPr>
              <w:spacing w:after="0"/>
              <w:rPr>
                <w:sz w:val="1"/>
                <w:szCs w:val="1"/>
                <w:color w:val="auto"/>
              </w:rPr>
            </w:pPr>
          </w:p>
        </w:tc>
      </w:tr>
      <w:tr>
        <w:trPr>
          <w:trHeight w:val="216"/>
        </w:trPr>
        <w:tc>
          <w:tcPr>
            <w:tcW w:w="4900" w:type="dxa"/>
            <w:vAlign w:val="bottom"/>
          </w:tcPr>
          <w:p>
            <w:pPr>
              <w:ind w:left="440"/>
              <w:spacing w:after="0"/>
              <w:rPr>
                <w:sz w:val="20"/>
                <w:szCs w:val="20"/>
                <w:color w:val="auto"/>
              </w:rPr>
            </w:pPr>
            <w:r>
              <w:rPr>
                <w:rFonts w:ascii="Arial" w:cs="Arial" w:eastAsia="Arial" w:hAnsi="Arial"/>
                <w:sz w:val="18"/>
                <w:szCs w:val="18"/>
                <w:color w:val="auto"/>
              </w:rPr>
              <w:t>Business services</w:t>
            </w:r>
          </w:p>
        </w:tc>
        <w:tc>
          <w:tcPr>
            <w:tcW w:w="3820" w:type="dxa"/>
            <w:vAlign w:val="bottom"/>
            <w:gridSpan w:val="4"/>
          </w:tcPr>
          <w:p>
            <w:pPr>
              <w:jc w:val="right"/>
              <w:ind w:right="237"/>
              <w:spacing w:after="0"/>
              <w:rPr>
                <w:sz w:val="20"/>
                <w:szCs w:val="20"/>
                <w:color w:val="auto"/>
              </w:rPr>
            </w:pPr>
            <w:r>
              <w:rPr>
                <w:rFonts w:ascii="Arial" w:cs="Arial" w:eastAsia="Arial" w:hAnsi="Arial"/>
                <w:sz w:val="18"/>
                <w:szCs w:val="18"/>
                <w:color w:val="auto"/>
              </w:rPr>
              <w:t>3,483</w:t>
            </w:r>
          </w:p>
        </w:tc>
        <w:tc>
          <w:tcPr>
            <w:tcW w:w="1100" w:type="dxa"/>
            <w:vAlign w:val="bottom"/>
            <w:gridSpan w:val="2"/>
          </w:tcPr>
          <w:p>
            <w:pPr>
              <w:jc w:val="right"/>
              <w:ind w:right="253"/>
              <w:spacing w:after="0"/>
              <w:rPr>
                <w:sz w:val="20"/>
                <w:szCs w:val="20"/>
                <w:color w:val="auto"/>
              </w:rPr>
            </w:pPr>
            <w:r>
              <w:rPr>
                <w:rFonts w:ascii="Arial" w:cs="Arial" w:eastAsia="Arial" w:hAnsi="Arial"/>
                <w:sz w:val="18"/>
                <w:szCs w:val="18"/>
                <w:color w:val="auto"/>
              </w:rPr>
              <w:t>2,893</w:t>
            </w:r>
          </w:p>
        </w:tc>
        <w:tc>
          <w:tcPr>
            <w:tcW w:w="280" w:type="dxa"/>
            <w:vAlign w:val="bottom"/>
          </w:tcPr>
          <w:p>
            <w:pPr>
              <w:spacing w:after="0"/>
              <w:rPr>
                <w:sz w:val="18"/>
                <w:szCs w:val="18"/>
                <w:color w:val="auto"/>
              </w:rPr>
            </w:pPr>
          </w:p>
        </w:tc>
        <w:tc>
          <w:tcPr>
            <w:tcW w:w="760" w:type="dxa"/>
            <w:vAlign w:val="bottom"/>
          </w:tcPr>
          <w:p>
            <w:pPr>
              <w:jc w:val="right"/>
              <w:ind w:right="276"/>
              <w:spacing w:after="0"/>
              <w:rPr>
                <w:sz w:val="20"/>
                <w:szCs w:val="20"/>
                <w:color w:val="auto"/>
              </w:rPr>
            </w:pPr>
            <w:r>
              <w:rPr>
                <w:rFonts w:ascii="Arial" w:cs="Arial" w:eastAsia="Arial" w:hAnsi="Arial"/>
                <w:sz w:val="18"/>
                <w:szCs w:val="18"/>
                <w:color w:val="auto"/>
              </w:rPr>
              <w:t>590</w:t>
            </w:r>
          </w:p>
        </w:tc>
        <w:tc>
          <w:tcPr>
            <w:tcW w:w="560" w:type="dxa"/>
            <w:vAlign w:val="bottom"/>
          </w:tcPr>
          <w:p>
            <w:pPr>
              <w:jc w:val="right"/>
              <w:ind w:right="133"/>
              <w:spacing w:after="0"/>
              <w:rPr>
                <w:sz w:val="20"/>
                <w:szCs w:val="20"/>
                <w:color w:val="auto"/>
              </w:rPr>
            </w:pPr>
            <w:r>
              <w:rPr>
                <w:rFonts w:ascii="Arial" w:cs="Arial" w:eastAsia="Arial" w:hAnsi="Arial"/>
                <w:sz w:val="18"/>
                <w:szCs w:val="18"/>
                <w:color w:val="auto"/>
                <w:w w:val="91"/>
              </w:rPr>
              <w:t>20.4</w:t>
            </w:r>
          </w:p>
        </w:tc>
        <w:tc>
          <w:tcPr>
            <w:tcW w:w="0" w:type="dxa"/>
            <w:vAlign w:val="bottom"/>
          </w:tcPr>
          <w:p>
            <w:pPr>
              <w:spacing w:after="0"/>
              <w:rPr>
                <w:sz w:val="1"/>
                <w:szCs w:val="1"/>
                <w:color w:val="auto"/>
              </w:rPr>
            </w:pPr>
          </w:p>
        </w:tc>
      </w:tr>
      <w:tr>
        <w:trPr>
          <w:trHeight w:val="216"/>
        </w:trPr>
        <w:tc>
          <w:tcPr>
            <w:tcW w:w="49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Advertising</w:t>
            </w:r>
          </w:p>
        </w:tc>
        <w:tc>
          <w:tcPr>
            <w:tcW w:w="3820" w:type="dxa"/>
            <w:vAlign w:val="bottom"/>
            <w:gridSpan w:val="4"/>
            <w:shd w:val="clear" w:color="auto" w:fill="E5E5E5"/>
          </w:tcPr>
          <w:p>
            <w:pPr>
              <w:jc w:val="right"/>
              <w:ind w:right="237"/>
              <w:spacing w:after="0"/>
              <w:rPr>
                <w:sz w:val="20"/>
                <w:szCs w:val="20"/>
                <w:color w:val="auto"/>
              </w:rPr>
            </w:pPr>
            <w:r>
              <w:rPr>
                <w:rFonts w:ascii="Arial" w:cs="Arial" w:eastAsia="Arial" w:hAnsi="Arial"/>
                <w:sz w:val="18"/>
                <w:szCs w:val="18"/>
                <w:color w:val="auto"/>
              </w:rPr>
              <w:t>1,679</w:t>
            </w:r>
          </w:p>
        </w:tc>
        <w:tc>
          <w:tcPr>
            <w:tcW w:w="1100" w:type="dxa"/>
            <w:vAlign w:val="bottom"/>
            <w:gridSpan w:val="2"/>
            <w:shd w:val="clear" w:color="auto" w:fill="E5E5E5"/>
          </w:tcPr>
          <w:p>
            <w:pPr>
              <w:jc w:val="right"/>
              <w:ind w:right="253"/>
              <w:spacing w:after="0"/>
              <w:rPr>
                <w:sz w:val="20"/>
                <w:szCs w:val="20"/>
                <w:color w:val="auto"/>
              </w:rPr>
            </w:pPr>
            <w:r>
              <w:rPr>
                <w:rFonts w:ascii="Arial" w:cs="Arial" w:eastAsia="Arial" w:hAnsi="Arial"/>
                <w:sz w:val="18"/>
                <w:szCs w:val="18"/>
                <w:color w:val="auto"/>
              </w:rPr>
              <w:t>1,690</w:t>
            </w:r>
          </w:p>
        </w:tc>
        <w:tc>
          <w:tcPr>
            <w:tcW w:w="28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216"/>
              <w:spacing w:after="0"/>
              <w:rPr>
                <w:sz w:val="20"/>
                <w:szCs w:val="20"/>
                <w:color w:val="auto"/>
              </w:rPr>
            </w:pPr>
            <w:r>
              <w:rPr>
                <w:rFonts w:ascii="Arial" w:cs="Arial" w:eastAsia="Arial" w:hAnsi="Arial"/>
                <w:sz w:val="18"/>
                <w:szCs w:val="18"/>
                <w:color w:val="auto"/>
              </w:rPr>
              <w:t>(11)</w:t>
            </w:r>
          </w:p>
        </w:tc>
        <w:tc>
          <w:tcPr>
            <w:tcW w:w="56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w w:val="97"/>
              </w:rPr>
              <w:t>(0.6)</w:t>
            </w:r>
          </w:p>
        </w:tc>
        <w:tc>
          <w:tcPr>
            <w:tcW w:w="0" w:type="dxa"/>
            <w:vAlign w:val="bottom"/>
          </w:tcPr>
          <w:p>
            <w:pPr>
              <w:spacing w:after="0"/>
              <w:rPr>
                <w:sz w:val="1"/>
                <w:szCs w:val="1"/>
                <w:color w:val="auto"/>
              </w:rPr>
            </w:pPr>
          </w:p>
        </w:tc>
      </w:tr>
      <w:tr>
        <w:trPr>
          <w:trHeight w:val="216"/>
        </w:trPr>
        <w:tc>
          <w:tcPr>
            <w:tcW w:w="49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Other</w:t>
            </w:r>
          </w:p>
        </w:tc>
        <w:tc>
          <w:tcPr>
            <w:tcW w:w="3820" w:type="dxa"/>
            <w:vAlign w:val="bottom"/>
            <w:tcBorders>
              <w:bottom w:val="single" w:sz="8" w:color="auto"/>
            </w:tcBorders>
            <w:gridSpan w:val="4"/>
          </w:tcPr>
          <w:p>
            <w:pPr>
              <w:jc w:val="right"/>
              <w:ind w:right="237"/>
              <w:spacing w:after="0"/>
              <w:rPr>
                <w:sz w:val="20"/>
                <w:szCs w:val="20"/>
                <w:color w:val="auto"/>
              </w:rPr>
            </w:pPr>
            <w:r>
              <w:rPr>
                <w:rFonts w:ascii="Arial" w:cs="Arial" w:eastAsia="Arial" w:hAnsi="Arial"/>
                <w:sz w:val="18"/>
                <w:szCs w:val="18"/>
                <w:color w:val="auto"/>
              </w:rPr>
              <w:t>1,644</w:t>
            </w:r>
          </w:p>
        </w:tc>
        <w:tc>
          <w:tcPr>
            <w:tcW w:w="1100" w:type="dxa"/>
            <w:vAlign w:val="bottom"/>
            <w:tcBorders>
              <w:bottom w:val="single" w:sz="8" w:color="auto"/>
            </w:tcBorders>
            <w:gridSpan w:val="2"/>
          </w:tcPr>
          <w:p>
            <w:pPr>
              <w:jc w:val="right"/>
              <w:ind w:right="253"/>
              <w:spacing w:after="0"/>
              <w:rPr>
                <w:sz w:val="20"/>
                <w:szCs w:val="20"/>
                <w:color w:val="auto"/>
              </w:rPr>
            </w:pPr>
            <w:r>
              <w:rPr>
                <w:rFonts w:ascii="Arial" w:cs="Arial" w:eastAsia="Arial" w:hAnsi="Arial"/>
                <w:sz w:val="18"/>
                <w:szCs w:val="18"/>
                <w:color w:val="auto"/>
              </w:rPr>
              <w:t>1,484</w:t>
            </w: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76"/>
              <w:spacing w:after="0"/>
              <w:rPr>
                <w:sz w:val="20"/>
                <w:szCs w:val="20"/>
                <w:color w:val="auto"/>
              </w:rPr>
            </w:pPr>
            <w:r>
              <w:rPr>
                <w:rFonts w:ascii="Arial" w:cs="Arial" w:eastAsia="Arial" w:hAnsi="Arial"/>
                <w:sz w:val="18"/>
                <w:szCs w:val="18"/>
                <w:color w:val="auto"/>
              </w:rPr>
              <w:t>160</w:t>
            </w:r>
          </w:p>
        </w:tc>
        <w:tc>
          <w:tcPr>
            <w:tcW w:w="5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w w:val="91"/>
              </w:rPr>
              <w:t>10.7</w:t>
            </w:r>
          </w:p>
        </w:tc>
        <w:tc>
          <w:tcPr>
            <w:tcW w:w="0" w:type="dxa"/>
            <w:vAlign w:val="bottom"/>
          </w:tcPr>
          <w:p>
            <w:pPr>
              <w:spacing w:after="0"/>
              <w:rPr>
                <w:sz w:val="1"/>
                <w:szCs w:val="1"/>
                <w:color w:val="auto"/>
              </w:rPr>
            </w:pPr>
          </w:p>
        </w:tc>
      </w:tr>
      <w:tr>
        <w:trPr>
          <w:trHeight w:val="210"/>
        </w:trPr>
        <w:tc>
          <w:tcPr>
            <w:tcW w:w="490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Total revenue</w:t>
            </w:r>
          </w:p>
        </w:tc>
        <w:tc>
          <w:tcPr>
            <w:tcW w:w="3820" w:type="dxa"/>
            <w:vAlign w:val="bottom"/>
            <w:gridSpan w:val="4"/>
            <w:shd w:val="clear" w:color="auto" w:fill="E5E5E5"/>
          </w:tcPr>
          <w:p>
            <w:pPr>
              <w:jc w:val="right"/>
              <w:ind w:right="237"/>
              <w:spacing w:after="0"/>
              <w:rPr>
                <w:sz w:val="20"/>
                <w:szCs w:val="20"/>
                <w:color w:val="auto"/>
              </w:rPr>
            </w:pPr>
            <w:r>
              <w:rPr>
                <w:rFonts w:ascii="Arial" w:cs="Arial" w:eastAsia="Arial" w:hAnsi="Arial"/>
                <w:sz w:val="18"/>
                <w:szCs w:val="18"/>
                <w:b w:val="1"/>
                <w:bCs w:val="1"/>
                <w:color w:val="auto"/>
              </w:rPr>
              <w:t>34,899</w:t>
            </w:r>
          </w:p>
        </w:tc>
        <w:tc>
          <w:tcPr>
            <w:tcW w:w="1100" w:type="dxa"/>
            <w:vAlign w:val="bottom"/>
            <w:gridSpan w:val="2"/>
            <w:shd w:val="clear" w:color="auto" w:fill="E5E5E5"/>
          </w:tcPr>
          <w:p>
            <w:pPr>
              <w:jc w:val="right"/>
              <w:ind w:right="253"/>
              <w:spacing w:after="0"/>
              <w:rPr>
                <w:sz w:val="20"/>
                <w:szCs w:val="20"/>
                <w:color w:val="auto"/>
              </w:rPr>
            </w:pPr>
            <w:r>
              <w:rPr>
                <w:rFonts w:ascii="Arial" w:cs="Arial" w:eastAsia="Arial" w:hAnsi="Arial"/>
                <w:sz w:val="18"/>
                <w:szCs w:val="18"/>
                <w:b w:val="1"/>
                <w:bCs w:val="1"/>
                <w:color w:val="auto"/>
              </w:rPr>
              <w:t>32,827</w:t>
            </w:r>
          </w:p>
        </w:tc>
        <w:tc>
          <w:tcPr>
            <w:tcW w:w="28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276"/>
              <w:spacing w:after="0"/>
              <w:rPr>
                <w:sz w:val="20"/>
                <w:szCs w:val="20"/>
                <w:color w:val="auto"/>
              </w:rPr>
            </w:pPr>
            <w:r>
              <w:rPr>
                <w:rFonts w:ascii="Arial" w:cs="Arial" w:eastAsia="Arial" w:hAnsi="Arial"/>
                <w:sz w:val="18"/>
                <w:szCs w:val="18"/>
                <w:b w:val="1"/>
                <w:bCs w:val="1"/>
                <w:color w:val="auto"/>
                <w:w w:val="84"/>
              </w:rPr>
              <w:t>2,072</w:t>
            </w:r>
          </w:p>
        </w:tc>
        <w:tc>
          <w:tcPr>
            <w:tcW w:w="560" w:type="dxa"/>
            <w:vAlign w:val="bottom"/>
            <w:shd w:val="clear" w:color="auto" w:fill="E5E5E5"/>
          </w:tcPr>
          <w:p>
            <w:pPr>
              <w:jc w:val="right"/>
              <w:ind w:right="133"/>
              <w:spacing w:after="0"/>
              <w:rPr>
                <w:sz w:val="20"/>
                <w:szCs w:val="20"/>
                <w:color w:val="auto"/>
              </w:rPr>
            </w:pPr>
            <w:r>
              <w:rPr>
                <w:rFonts w:ascii="Arial" w:cs="Arial" w:eastAsia="Arial" w:hAnsi="Arial"/>
                <w:sz w:val="18"/>
                <w:szCs w:val="18"/>
                <w:b w:val="1"/>
                <w:bCs w:val="1"/>
                <w:color w:val="auto"/>
              </w:rPr>
              <w:t>6.3</w:t>
            </w: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b w:val="1"/>
                <w:bCs w:val="1"/>
                <w:color w:val="auto"/>
              </w:rPr>
              <w:t>Operating costs and expenses</w:t>
            </w:r>
          </w:p>
        </w:tc>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Programming</w:t>
            </w:r>
          </w:p>
        </w:tc>
        <w:tc>
          <w:tcPr>
            <w:tcW w:w="3820" w:type="dxa"/>
            <w:vAlign w:val="bottom"/>
            <w:gridSpan w:val="4"/>
            <w:shd w:val="clear" w:color="auto" w:fill="E5E5E5"/>
          </w:tcPr>
          <w:p>
            <w:pPr>
              <w:jc w:val="right"/>
              <w:ind w:right="237"/>
              <w:spacing w:after="0"/>
              <w:rPr>
                <w:sz w:val="20"/>
                <w:szCs w:val="20"/>
                <w:color w:val="auto"/>
              </w:rPr>
            </w:pPr>
            <w:r>
              <w:rPr>
                <w:rFonts w:ascii="Arial" w:cs="Arial" w:eastAsia="Arial" w:hAnsi="Arial"/>
                <w:sz w:val="18"/>
                <w:szCs w:val="18"/>
                <w:color w:val="auto"/>
              </w:rPr>
              <w:t>7,917</w:t>
            </w:r>
          </w:p>
        </w:tc>
        <w:tc>
          <w:tcPr>
            <w:tcW w:w="1100" w:type="dxa"/>
            <w:vAlign w:val="bottom"/>
            <w:gridSpan w:val="2"/>
            <w:shd w:val="clear" w:color="auto" w:fill="E5E5E5"/>
          </w:tcPr>
          <w:p>
            <w:pPr>
              <w:jc w:val="right"/>
              <w:ind w:right="253"/>
              <w:spacing w:after="0"/>
              <w:rPr>
                <w:sz w:val="20"/>
                <w:szCs w:val="20"/>
                <w:color w:val="auto"/>
              </w:rPr>
            </w:pPr>
            <w:r>
              <w:rPr>
                <w:rFonts w:ascii="Arial" w:cs="Arial" w:eastAsia="Arial" w:hAnsi="Arial"/>
                <w:sz w:val="18"/>
                <w:szCs w:val="18"/>
                <w:color w:val="auto"/>
              </w:rPr>
              <w:t>7,335</w:t>
            </w:r>
          </w:p>
        </w:tc>
        <w:tc>
          <w:tcPr>
            <w:tcW w:w="28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276"/>
              <w:spacing w:after="0"/>
              <w:rPr>
                <w:sz w:val="20"/>
                <w:szCs w:val="20"/>
                <w:color w:val="auto"/>
              </w:rPr>
            </w:pPr>
            <w:r>
              <w:rPr>
                <w:rFonts w:ascii="Arial" w:cs="Arial" w:eastAsia="Arial" w:hAnsi="Arial"/>
                <w:sz w:val="18"/>
                <w:szCs w:val="18"/>
                <w:color w:val="auto"/>
              </w:rPr>
              <w:t>582</w:t>
            </w:r>
          </w:p>
        </w:tc>
        <w:tc>
          <w:tcPr>
            <w:tcW w:w="56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4900" w:type="dxa"/>
            <w:vAlign w:val="bottom"/>
          </w:tcPr>
          <w:p>
            <w:pPr>
              <w:ind w:left="440"/>
              <w:spacing w:after="0"/>
              <w:rPr>
                <w:sz w:val="20"/>
                <w:szCs w:val="20"/>
                <w:color w:val="auto"/>
              </w:rPr>
            </w:pPr>
            <w:r>
              <w:rPr>
                <w:rFonts w:ascii="Arial" w:cs="Arial" w:eastAsia="Arial" w:hAnsi="Arial"/>
                <w:sz w:val="18"/>
                <w:szCs w:val="18"/>
                <w:color w:val="auto"/>
              </w:rPr>
              <w:t>Technical and product support</w:t>
            </w:r>
          </w:p>
        </w:tc>
        <w:tc>
          <w:tcPr>
            <w:tcW w:w="3820" w:type="dxa"/>
            <w:vAlign w:val="bottom"/>
            <w:gridSpan w:val="4"/>
          </w:tcPr>
          <w:p>
            <w:pPr>
              <w:jc w:val="right"/>
              <w:ind w:right="237"/>
              <w:spacing w:after="0"/>
              <w:rPr>
                <w:sz w:val="20"/>
                <w:szCs w:val="20"/>
                <w:color w:val="auto"/>
              </w:rPr>
            </w:pPr>
            <w:r>
              <w:rPr>
                <w:rFonts w:ascii="Arial" w:cs="Arial" w:eastAsia="Arial" w:hAnsi="Arial"/>
                <w:sz w:val="18"/>
                <w:szCs w:val="18"/>
                <w:color w:val="auto"/>
              </w:rPr>
              <w:t>4,370</w:t>
            </w:r>
          </w:p>
        </w:tc>
        <w:tc>
          <w:tcPr>
            <w:tcW w:w="1100" w:type="dxa"/>
            <w:vAlign w:val="bottom"/>
            <w:gridSpan w:val="2"/>
          </w:tcPr>
          <w:p>
            <w:pPr>
              <w:jc w:val="right"/>
              <w:ind w:right="253"/>
              <w:spacing w:after="0"/>
              <w:rPr>
                <w:sz w:val="20"/>
                <w:szCs w:val="20"/>
                <w:color w:val="auto"/>
              </w:rPr>
            </w:pPr>
            <w:r>
              <w:rPr>
                <w:rFonts w:ascii="Arial" w:cs="Arial" w:eastAsia="Arial" w:hAnsi="Arial"/>
                <w:sz w:val="18"/>
                <w:szCs w:val="18"/>
                <w:color w:val="auto"/>
              </w:rPr>
              <w:t>4,140</w:t>
            </w:r>
          </w:p>
        </w:tc>
        <w:tc>
          <w:tcPr>
            <w:tcW w:w="280" w:type="dxa"/>
            <w:vAlign w:val="bottom"/>
          </w:tcPr>
          <w:p>
            <w:pPr>
              <w:spacing w:after="0"/>
              <w:rPr>
                <w:sz w:val="18"/>
                <w:szCs w:val="18"/>
                <w:color w:val="auto"/>
              </w:rPr>
            </w:pPr>
          </w:p>
        </w:tc>
        <w:tc>
          <w:tcPr>
            <w:tcW w:w="760" w:type="dxa"/>
            <w:vAlign w:val="bottom"/>
          </w:tcPr>
          <w:p>
            <w:pPr>
              <w:jc w:val="right"/>
              <w:ind w:right="276"/>
              <w:spacing w:after="0"/>
              <w:rPr>
                <w:sz w:val="20"/>
                <w:szCs w:val="20"/>
                <w:color w:val="auto"/>
              </w:rPr>
            </w:pPr>
            <w:r>
              <w:rPr>
                <w:rFonts w:ascii="Arial" w:cs="Arial" w:eastAsia="Arial" w:hAnsi="Arial"/>
                <w:sz w:val="18"/>
                <w:szCs w:val="18"/>
                <w:color w:val="auto"/>
              </w:rPr>
              <w:t>230</w:t>
            </w:r>
          </w:p>
        </w:tc>
        <w:tc>
          <w:tcPr>
            <w:tcW w:w="560" w:type="dxa"/>
            <w:vAlign w:val="bottom"/>
          </w:tcPr>
          <w:p>
            <w:pPr>
              <w:jc w:val="right"/>
              <w:ind w:right="133"/>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49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Customer service</w:t>
            </w:r>
          </w:p>
        </w:tc>
        <w:tc>
          <w:tcPr>
            <w:tcW w:w="3820" w:type="dxa"/>
            <w:vAlign w:val="bottom"/>
            <w:gridSpan w:val="4"/>
            <w:shd w:val="clear" w:color="auto" w:fill="E5E5E5"/>
          </w:tcPr>
          <w:p>
            <w:pPr>
              <w:jc w:val="right"/>
              <w:ind w:right="237"/>
              <w:spacing w:after="0"/>
              <w:rPr>
                <w:sz w:val="20"/>
                <w:szCs w:val="20"/>
                <w:color w:val="auto"/>
              </w:rPr>
            </w:pPr>
            <w:r>
              <w:rPr>
                <w:rFonts w:ascii="Arial" w:cs="Arial" w:eastAsia="Arial" w:hAnsi="Arial"/>
                <w:sz w:val="18"/>
                <w:szCs w:val="18"/>
                <w:color w:val="auto"/>
              </w:rPr>
              <w:t>1,756</w:t>
            </w:r>
          </w:p>
        </w:tc>
        <w:tc>
          <w:tcPr>
            <w:tcW w:w="1100" w:type="dxa"/>
            <w:vAlign w:val="bottom"/>
            <w:gridSpan w:val="2"/>
            <w:shd w:val="clear" w:color="auto" w:fill="E5E5E5"/>
          </w:tcPr>
          <w:p>
            <w:pPr>
              <w:jc w:val="right"/>
              <w:ind w:right="253"/>
              <w:spacing w:after="0"/>
              <w:rPr>
                <w:sz w:val="20"/>
                <w:szCs w:val="20"/>
                <w:color w:val="auto"/>
              </w:rPr>
            </w:pPr>
            <w:r>
              <w:rPr>
                <w:rFonts w:ascii="Arial" w:cs="Arial" w:eastAsia="Arial" w:hAnsi="Arial"/>
                <w:sz w:val="18"/>
                <w:szCs w:val="18"/>
                <w:color w:val="auto"/>
              </w:rPr>
              <w:t>1,648</w:t>
            </w:r>
          </w:p>
        </w:tc>
        <w:tc>
          <w:tcPr>
            <w:tcW w:w="28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276"/>
              <w:spacing w:after="0"/>
              <w:rPr>
                <w:sz w:val="20"/>
                <w:szCs w:val="20"/>
                <w:color w:val="auto"/>
              </w:rPr>
            </w:pPr>
            <w:r>
              <w:rPr>
                <w:rFonts w:ascii="Arial" w:cs="Arial" w:eastAsia="Arial" w:hAnsi="Arial"/>
                <w:sz w:val="18"/>
                <w:szCs w:val="18"/>
                <w:color w:val="auto"/>
              </w:rPr>
              <w:t>108</w:t>
            </w:r>
          </w:p>
        </w:tc>
        <w:tc>
          <w:tcPr>
            <w:tcW w:w="56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4900" w:type="dxa"/>
            <w:vAlign w:val="bottom"/>
          </w:tcPr>
          <w:p>
            <w:pPr>
              <w:ind w:left="440"/>
              <w:spacing w:after="0"/>
              <w:rPr>
                <w:sz w:val="20"/>
                <w:szCs w:val="20"/>
                <w:color w:val="auto"/>
              </w:rPr>
            </w:pPr>
            <w:r>
              <w:rPr>
                <w:rFonts w:ascii="Arial" w:cs="Arial" w:eastAsia="Arial" w:hAnsi="Arial"/>
                <w:sz w:val="18"/>
                <w:szCs w:val="18"/>
                <w:color w:val="auto"/>
              </w:rPr>
              <w:t>Franchise and other regulatory fees</w:t>
            </w:r>
          </w:p>
        </w:tc>
        <w:tc>
          <w:tcPr>
            <w:tcW w:w="3820" w:type="dxa"/>
            <w:vAlign w:val="bottom"/>
            <w:gridSpan w:val="4"/>
          </w:tcPr>
          <w:p>
            <w:pPr>
              <w:jc w:val="right"/>
              <w:ind w:right="237"/>
              <w:spacing w:after="0"/>
              <w:rPr>
                <w:sz w:val="20"/>
                <w:szCs w:val="20"/>
                <w:color w:val="auto"/>
              </w:rPr>
            </w:pPr>
            <w:r>
              <w:rPr>
                <w:rFonts w:ascii="Arial" w:cs="Arial" w:eastAsia="Arial" w:hAnsi="Arial"/>
                <w:sz w:val="18"/>
                <w:szCs w:val="18"/>
                <w:color w:val="auto"/>
              </w:rPr>
              <w:t>1,028</w:t>
            </w:r>
          </w:p>
        </w:tc>
        <w:tc>
          <w:tcPr>
            <w:tcW w:w="440" w:type="dxa"/>
            <w:vAlign w:val="bottom"/>
          </w:tcPr>
          <w:p>
            <w:pPr>
              <w:spacing w:after="0"/>
              <w:rPr>
                <w:sz w:val="18"/>
                <w:szCs w:val="18"/>
                <w:color w:val="auto"/>
              </w:rPr>
            </w:pPr>
          </w:p>
        </w:tc>
        <w:tc>
          <w:tcPr>
            <w:tcW w:w="660" w:type="dxa"/>
            <w:vAlign w:val="bottom"/>
          </w:tcPr>
          <w:p>
            <w:pPr>
              <w:jc w:val="right"/>
              <w:ind w:right="253"/>
              <w:spacing w:after="0"/>
              <w:rPr>
                <w:sz w:val="20"/>
                <w:szCs w:val="20"/>
                <w:color w:val="auto"/>
              </w:rPr>
            </w:pPr>
            <w:r>
              <w:rPr>
                <w:rFonts w:ascii="Arial" w:cs="Arial" w:eastAsia="Arial" w:hAnsi="Arial"/>
                <w:sz w:val="18"/>
                <w:szCs w:val="18"/>
                <w:color w:val="auto"/>
                <w:w w:val="99"/>
              </w:rPr>
              <w:t>974</w:t>
            </w:r>
          </w:p>
        </w:tc>
        <w:tc>
          <w:tcPr>
            <w:tcW w:w="280" w:type="dxa"/>
            <w:vAlign w:val="bottom"/>
          </w:tcPr>
          <w:p>
            <w:pPr>
              <w:spacing w:after="0"/>
              <w:rPr>
                <w:sz w:val="18"/>
                <w:szCs w:val="18"/>
                <w:color w:val="auto"/>
              </w:rPr>
            </w:pPr>
          </w:p>
        </w:tc>
        <w:tc>
          <w:tcPr>
            <w:tcW w:w="760" w:type="dxa"/>
            <w:vAlign w:val="bottom"/>
          </w:tcPr>
          <w:p>
            <w:pPr>
              <w:jc w:val="right"/>
              <w:ind w:right="276"/>
              <w:spacing w:after="0"/>
              <w:rPr>
                <w:sz w:val="20"/>
                <w:szCs w:val="20"/>
                <w:color w:val="auto"/>
              </w:rPr>
            </w:pPr>
            <w:r>
              <w:rPr>
                <w:rFonts w:ascii="Arial" w:cs="Arial" w:eastAsia="Arial" w:hAnsi="Arial"/>
                <w:sz w:val="18"/>
                <w:szCs w:val="18"/>
                <w:color w:val="auto"/>
              </w:rPr>
              <w:t>54</w:t>
            </w:r>
          </w:p>
        </w:tc>
        <w:tc>
          <w:tcPr>
            <w:tcW w:w="560" w:type="dxa"/>
            <w:vAlign w:val="bottom"/>
          </w:tcPr>
          <w:p>
            <w:pPr>
              <w:jc w:val="right"/>
              <w:ind w:right="133"/>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49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Advertising, marketing and promotion</w:t>
            </w:r>
          </w:p>
        </w:tc>
        <w:tc>
          <w:tcPr>
            <w:tcW w:w="3820" w:type="dxa"/>
            <w:vAlign w:val="bottom"/>
            <w:gridSpan w:val="4"/>
            <w:shd w:val="clear" w:color="auto" w:fill="E5E5E5"/>
          </w:tcPr>
          <w:p>
            <w:pPr>
              <w:jc w:val="right"/>
              <w:ind w:right="237"/>
              <w:spacing w:after="0"/>
              <w:rPr>
                <w:sz w:val="20"/>
                <w:szCs w:val="20"/>
                <w:color w:val="auto"/>
              </w:rPr>
            </w:pPr>
            <w:r>
              <w:rPr>
                <w:rFonts w:ascii="Arial" w:cs="Arial" w:eastAsia="Arial" w:hAnsi="Arial"/>
                <w:sz w:val="18"/>
                <w:szCs w:val="18"/>
                <w:color w:val="auto"/>
              </w:rPr>
              <w:t>2,485</w:t>
            </w:r>
          </w:p>
        </w:tc>
        <w:tc>
          <w:tcPr>
            <w:tcW w:w="1100" w:type="dxa"/>
            <w:vAlign w:val="bottom"/>
            <w:gridSpan w:val="2"/>
            <w:shd w:val="clear" w:color="auto" w:fill="E5E5E5"/>
          </w:tcPr>
          <w:p>
            <w:pPr>
              <w:jc w:val="right"/>
              <w:ind w:right="253"/>
              <w:spacing w:after="0"/>
              <w:rPr>
                <w:sz w:val="20"/>
                <w:szCs w:val="20"/>
                <w:color w:val="auto"/>
              </w:rPr>
            </w:pPr>
            <w:r>
              <w:rPr>
                <w:rFonts w:ascii="Arial" w:cs="Arial" w:eastAsia="Arial" w:hAnsi="Arial"/>
                <w:sz w:val="18"/>
                <w:szCs w:val="18"/>
                <w:color w:val="auto"/>
              </w:rPr>
              <w:t>2,319</w:t>
            </w:r>
          </w:p>
        </w:tc>
        <w:tc>
          <w:tcPr>
            <w:tcW w:w="28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276"/>
              <w:spacing w:after="0"/>
              <w:rPr>
                <w:sz w:val="20"/>
                <w:szCs w:val="20"/>
                <w:color w:val="auto"/>
              </w:rPr>
            </w:pPr>
            <w:r>
              <w:rPr>
                <w:rFonts w:ascii="Arial" w:cs="Arial" w:eastAsia="Arial" w:hAnsi="Arial"/>
                <w:sz w:val="18"/>
                <w:szCs w:val="18"/>
                <w:color w:val="auto"/>
              </w:rPr>
              <w:t>166</w:t>
            </w:r>
          </w:p>
        </w:tc>
        <w:tc>
          <w:tcPr>
            <w:tcW w:w="56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49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Other</w:t>
            </w:r>
          </w:p>
        </w:tc>
        <w:tc>
          <w:tcPr>
            <w:tcW w:w="3820" w:type="dxa"/>
            <w:vAlign w:val="bottom"/>
            <w:tcBorders>
              <w:bottom w:val="single" w:sz="8" w:color="auto"/>
            </w:tcBorders>
            <w:gridSpan w:val="4"/>
          </w:tcPr>
          <w:p>
            <w:pPr>
              <w:jc w:val="right"/>
              <w:ind w:right="237"/>
              <w:spacing w:after="0"/>
              <w:rPr>
                <w:sz w:val="20"/>
                <w:szCs w:val="20"/>
                <w:color w:val="auto"/>
              </w:rPr>
            </w:pPr>
            <w:r>
              <w:rPr>
                <w:rFonts w:ascii="Arial" w:cs="Arial" w:eastAsia="Arial" w:hAnsi="Arial"/>
                <w:sz w:val="18"/>
                <w:szCs w:val="18"/>
                <w:color w:val="auto"/>
              </w:rPr>
              <w:t>3,123</w:t>
            </w:r>
          </w:p>
        </w:tc>
        <w:tc>
          <w:tcPr>
            <w:tcW w:w="1100" w:type="dxa"/>
            <w:vAlign w:val="bottom"/>
            <w:tcBorders>
              <w:bottom w:val="single" w:sz="8" w:color="auto"/>
            </w:tcBorders>
            <w:gridSpan w:val="2"/>
          </w:tcPr>
          <w:p>
            <w:pPr>
              <w:jc w:val="right"/>
              <w:ind w:right="253"/>
              <w:spacing w:after="0"/>
              <w:rPr>
                <w:sz w:val="20"/>
                <w:szCs w:val="20"/>
                <w:color w:val="auto"/>
              </w:rPr>
            </w:pPr>
            <w:r>
              <w:rPr>
                <w:rFonts w:ascii="Arial" w:cs="Arial" w:eastAsia="Arial" w:hAnsi="Arial"/>
                <w:sz w:val="18"/>
                <w:szCs w:val="18"/>
                <w:color w:val="auto"/>
              </w:rPr>
              <w:t>2,983</w:t>
            </w: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76"/>
              <w:spacing w:after="0"/>
              <w:rPr>
                <w:sz w:val="20"/>
                <w:szCs w:val="20"/>
                <w:color w:val="auto"/>
              </w:rPr>
            </w:pPr>
            <w:r>
              <w:rPr>
                <w:rFonts w:ascii="Arial" w:cs="Arial" w:eastAsia="Arial" w:hAnsi="Arial"/>
                <w:sz w:val="18"/>
                <w:szCs w:val="18"/>
                <w:color w:val="auto"/>
              </w:rPr>
              <w:t>140</w:t>
            </w:r>
          </w:p>
        </w:tc>
        <w:tc>
          <w:tcPr>
            <w:tcW w:w="5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0"/>
        </w:trPr>
        <w:tc>
          <w:tcPr>
            <w:tcW w:w="49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Total operating costs and expenses</w:t>
            </w:r>
          </w:p>
        </w:tc>
        <w:tc>
          <w:tcPr>
            <w:tcW w:w="3820" w:type="dxa"/>
            <w:vAlign w:val="bottom"/>
            <w:tcBorders>
              <w:bottom w:val="single" w:sz="8" w:color="auto"/>
            </w:tcBorders>
            <w:gridSpan w:val="4"/>
            <w:shd w:val="clear" w:color="auto" w:fill="E5E5E5"/>
          </w:tcPr>
          <w:p>
            <w:pPr>
              <w:jc w:val="right"/>
              <w:ind w:right="237"/>
              <w:spacing w:after="0"/>
              <w:rPr>
                <w:sz w:val="20"/>
                <w:szCs w:val="20"/>
                <w:color w:val="auto"/>
              </w:rPr>
            </w:pPr>
            <w:r>
              <w:rPr>
                <w:rFonts w:ascii="Arial" w:cs="Arial" w:eastAsia="Arial" w:hAnsi="Arial"/>
                <w:sz w:val="18"/>
                <w:szCs w:val="18"/>
                <w:color w:val="auto"/>
              </w:rPr>
              <w:t>20,679</w:t>
            </w:r>
          </w:p>
        </w:tc>
        <w:tc>
          <w:tcPr>
            <w:tcW w:w="1100" w:type="dxa"/>
            <w:vAlign w:val="bottom"/>
            <w:tcBorders>
              <w:bottom w:val="single" w:sz="8" w:color="auto"/>
            </w:tcBorders>
            <w:gridSpan w:val="2"/>
            <w:shd w:val="clear" w:color="auto" w:fill="E5E5E5"/>
          </w:tcPr>
          <w:p>
            <w:pPr>
              <w:jc w:val="right"/>
              <w:ind w:right="253"/>
              <w:spacing w:after="0"/>
              <w:rPr>
                <w:sz w:val="20"/>
                <w:szCs w:val="20"/>
                <w:color w:val="auto"/>
              </w:rPr>
            </w:pPr>
            <w:r>
              <w:rPr>
                <w:rFonts w:ascii="Arial" w:cs="Arial" w:eastAsia="Arial" w:hAnsi="Arial"/>
                <w:sz w:val="18"/>
                <w:szCs w:val="18"/>
                <w:color w:val="auto"/>
              </w:rPr>
              <w:t>19,399</w:t>
            </w:r>
          </w:p>
        </w:tc>
        <w:tc>
          <w:tcPr>
            <w:tcW w:w="28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276"/>
              <w:spacing w:after="0"/>
              <w:rPr>
                <w:sz w:val="20"/>
                <w:szCs w:val="20"/>
                <w:color w:val="auto"/>
              </w:rPr>
            </w:pPr>
            <w:r>
              <w:rPr>
                <w:rFonts w:ascii="Arial" w:cs="Arial" w:eastAsia="Arial" w:hAnsi="Arial"/>
                <w:sz w:val="18"/>
                <w:szCs w:val="18"/>
                <w:color w:val="auto"/>
                <w:w w:val="84"/>
              </w:rPr>
              <w:t>1,280</w:t>
            </w:r>
          </w:p>
        </w:tc>
        <w:tc>
          <w:tcPr>
            <w:tcW w:w="56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7"/>
        </w:trPr>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3820" w:type="dxa"/>
            <w:vAlign w:val="bottom"/>
            <w:tcBorders>
              <w:bottom w:val="single" w:sz="8" w:color="auto"/>
            </w:tcBorders>
            <w:gridSpan w:val="4"/>
          </w:tcPr>
          <w:p>
            <w:pPr>
              <w:jc w:val="right"/>
              <w:ind w:right="237"/>
              <w:spacing w:after="0"/>
              <w:rPr>
                <w:sz w:val="20"/>
                <w:szCs w:val="20"/>
                <w:color w:val="auto"/>
              </w:rPr>
            </w:pPr>
            <w:r>
              <w:rPr>
                <w:rFonts w:ascii="Arial" w:cs="Arial" w:eastAsia="Arial" w:hAnsi="Arial"/>
                <w:sz w:val="18"/>
                <w:szCs w:val="18"/>
                <w:b w:val="1"/>
                <w:bCs w:val="1"/>
                <w:color w:val="auto"/>
              </w:rPr>
              <w:t>$14,220</w:t>
            </w:r>
          </w:p>
        </w:tc>
        <w:tc>
          <w:tcPr>
            <w:tcW w:w="1100" w:type="dxa"/>
            <w:vAlign w:val="bottom"/>
            <w:tcBorders>
              <w:bottom w:val="single" w:sz="8" w:color="auto"/>
            </w:tcBorders>
            <w:gridSpan w:val="2"/>
          </w:tcPr>
          <w:p>
            <w:pPr>
              <w:jc w:val="right"/>
              <w:ind w:right="253"/>
              <w:spacing w:after="0"/>
              <w:rPr>
                <w:sz w:val="20"/>
                <w:szCs w:val="20"/>
                <w:color w:val="auto"/>
              </w:rPr>
            </w:pPr>
            <w:r>
              <w:rPr>
                <w:rFonts w:ascii="Arial" w:cs="Arial" w:eastAsia="Arial" w:hAnsi="Arial"/>
                <w:sz w:val="18"/>
                <w:szCs w:val="18"/>
                <w:b w:val="1"/>
                <w:bCs w:val="1"/>
                <w:color w:val="auto"/>
              </w:rPr>
              <w:t>$13,428</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ind w:right="276"/>
              <w:spacing w:after="0"/>
              <w:rPr>
                <w:sz w:val="20"/>
                <w:szCs w:val="20"/>
                <w:color w:val="auto"/>
              </w:rPr>
            </w:pPr>
            <w:r>
              <w:rPr>
                <w:rFonts w:ascii="Arial" w:cs="Arial" w:eastAsia="Arial" w:hAnsi="Arial"/>
                <w:sz w:val="18"/>
                <w:szCs w:val="18"/>
                <w:b w:val="1"/>
                <w:bCs w:val="1"/>
                <w:color w:val="auto"/>
              </w:rPr>
              <w:t>792</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w:t>
            </w:r>
          </w:p>
        </w:tc>
        <w:tc>
          <w:tcPr>
            <w:tcW w:w="0" w:type="dxa"/>
            <w:vAlign w:val="bottom"/>
          </w:tcPr>
          <w:p>
            <w:pPr>
              <w:spacing w:after="0"/>
              <w:rPr>
                <w:sz w:val="1"/>
                <w:szCs w:val="1"/>
                <w:color w:val="auto"/>
              </w:rPr>
            </w:pPr>
          </w:p>
        </w:tc>
      </w:tr>
      <w:tr>
        <w:trPr>
          <w:trHeight w:val="363"/>
        </w:trPr>
        <w:tc>
          <w:tcPr>
            <w:tcW w:w="4900" w:type="dxa"/>
            <w:vAlign w:val="bottom"/>
          </w:tcPr>
          <w:p>
            <w:pPr>
              <w:spacing w:after="0"/>
              <w:rPr>
                <w:sz w:val="24"/>
                <w:szCs w:val="24"/>
                <w:color w:val="auto"/>
              </w:rPr>
            </w:pPr>
          </w:p>
        </w:tc>
        <w:tc>
          <w:tcPr>
            <w:tcW w:w="2500" w:type="dxa"/>
            <w:vAlign w:val="bottom"/>
          </w:tcPr>
          <w:p>
            <w:pPr>
              <w:jc w:val="right"/>
              <w:ind w:right="1492"/>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Customer Metrics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2100" w:type="dxa"/>
            <w:vAlign w:val="bottom"/>
            <w:tcBorders>
              <w:bottom w:val="single" w:sz="8" w:color="auto"/>
            </w:tcBorders>
            <w:gridSpan w:val="2"/>
          </w:tcPr>
          <w:p>
            <w:pPr>
              <w:jc w:val="right"/>
              <w:ind w:right="515"/>
              <w:spacing w:after="0"/>
              <w:rPr>
                <w:sz w:val="20"/>
                <w:szCs w:val="20"/>
                <w:color w:val="auto"/>
              </w:rPr>
            </w:pPr>
            <w:r>
              <w:rPr>
                <w:rFonts w:ascii="Arial" w:cs="Arial" w:eastAsia="Arial" w:hAnsi="Arial"/>
                <w:sz w:val="14"/>
                <w:szCs w:val="14"/>
                <w:color w:val="auto"/>
              </w:rPr>
              <w:t>Total Customers</w:t>
            </w:r>
          </w:p>
        </w:tc>
        <w:tc>
          <w:tcPr>
            <w:tcW w:w="104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2"/>
          </w:tcPr>
          <w:p>
            <w:pPr>
              <w:jc w:val="right"/>
              <w:ind w:right="358"/>
              <w:spacing w:after="0"/>
              <w:rPr>
                <w:sz w:val="20"/>
                <w:szCs w:val="20"/>
                <w:color w:val="auto"/>
              </w:rPr>
            </w:pPr>
            <w:r>
              <w:rPr>
                <w:rFonts w:ascii="Arial" w:cs="Arial" w:eastAsia="Arial" w:hAnsi="Arial"/>
                <w:sz w:val="14"/>
                <w:szCs w:val="14"/>
                <w:color w:val="auto"/>
                <w:w w:val="98"/>
              </w:rPr>
              <w:t>Net Additional Customers</w:t>
            </w:r>
          </w:p>
        </w:tc>
        <w:tc>
          <w:tcPr>
            <w:tcW w:w="7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55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80" w:type="dxa"/>
            <w:vAlign w:val="bottom"/>
            <w:gridSpan w:val="2"/>
          </w:tcPr>
          <w:p>
            <w:pPr>
              <w:jc w:val="right"/>
              <w:ind w:right="477"/>
              <w:spacing w:after="0" w:line="131" w:lineRule="exact"/>
              <w:rPr>
                <w:sz w:val="20"/>
                <w:szCs w:val="20"/>
                <w:color w:val="auto"/>
              </w:rPr>
            </w:pPr>
            <w:r>
              <w:rPr>
                <w:rFonts w:ascii="Arial" w:cs="Arial" w:eastAsia="Arial" w:hAnsi="Arial"/>
                <w:sz w:val="14"/>
                <w:szCs w:val="14"/>
                <w:color w:val="auto"/>
              </w:rPr>
              <w:t>Three Months Ended</w:t>
            </w:r>
          </w:p>
        </w:tc>
        <w:tc>
          <w:tcPr>
            <w:tcW w:w="1740" w:type="dxa"/>
            <w:vAlign w:val="bottom"/>
            <w:gridSpan w:val="2"/>
          </w:tcPr>
          <w:p>
            <w:pPr>
              <w:jc w:val="right"/>
              <w:ind w:right="235"/>
              <w:spacing w:after="0" w:line="131" w:lineRule="exact"/>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59"/>
        </w:trPr>
        <w:tc>
          <w:tcPr>
            <w:tcW w:w="5500" w:type="dxa"/>
            <w:vAlign w:val="bottom"/>
            <w:vMerge w:val="restart"/>
          </w:tcPr>
          <w:p>
            <w:pPr>
              <w:spacing w:after="0"/>
              <w:rPr>
                <w:sz w:val="20"/>
                <w:szCs w:val="20"/>
                <w:color w:val="auto"/>
              </w:rPr>
            </w:pPr>
            <w:r>
              <w:rPr>
                <w:rFonts w:ascii="Arial" w:cs="Arial" w:eastAsia="Arial" w:hAnsi="Arial"/>
                <w:sz w:val="14"/>
                <w:szCs w:val="14"/>
                <w:color w:val="auto"/>
              </w:rPr>
              <w:t>(in thousands)</w:t>
            </w:r>
          </w:p>
        </w:tc>
        <w:tc>
          <w:tcPr>
            <w:tcW w:w="2100" w:type="dxa"/>
            <w:vAlign w:val="bottom"/>
            <w:tcBorders>
              <w:bottom w:val="single" w:sz="8" w:color="auto"/>
            </w:tcBorders>
            <w:gridSpan w:val="2"/>
          </w:tcPr>
          <w:p>
            <w:pPr>
              <w:jc w:val="right"/>
              <w:ind w:right="595"/>
              <w:spacing w:after="0" w:line="159" w:lineRule="exact"/>
              <w:rPr>
                <w:sz w:val="20"/>
                <w:szCs w:val="20"/>
                <w:color w:val="auto"/>
              </w:rPr>
            </w:pPr>
            <w:r>
              <w:rPr>
                <w:rFonts w:ascii="Arial" w:cs="Arial" w:eastAsia="Arial" w:hAnsi="Arial"/>
                <w:sz w:val="14"/>
                <w:szCs w:val="14"/>
                <w:color w:val="auto"/>
              </w:rPr>
              <w:t>September 30</w:t>
            </w:r>
          </w:p>
        </w:tc>
        <w:tc>
          <w:tcPr>
            <w:tcW w:w="2080" w:type="dxa"/>
            <w:vAlign w:val="bottom"/>
            <w:tcBorders>
              <w:bottom w:val="single" w:sz="8" w:color="auto"/>
            </w:tcBorders>
            <w:gridSpan w:val="2"/>
          </w:tcPr>
          <w:p>
            <w:pPr>
              <w:jc w:val="right"/>
              <w:ind w:right="677"/>
              <w:spacing w:after="0" w:line="159" w:lineRule="exact"/>
              <w:rPr>
                <w:sz w:val="20"/>
                <w:szCs w:val="20"/>
                <w:color w:val="auto"/>
              </w:rPr>
            </w:pPr>
            <w:r>
              <w:rPr>
                <w:rFonts w:ascii="Arial" w:cs="Arial" w:eastAsia="Arial" w:hAnsi="Arial"/>
                <w:sz w:val="14"/>
                <w:szCs w:val="14"/>
                <w:color w:val="auto"/>
              </w:rPr>
              <w:t>September 30</w:t>
            </w:r>
          </w:p>
        </w:tc>
        <w:tc>
          <w:tcPr>
            <w:tcW w:w="1740" w:type="dxa"/>
            <w:vAlign w:val="bottom"/>
            <w:tcBorders>
              <w:bottom w:val="single" w:sz="8" w:color="auto"/>
            </w:tcBorders>
            <w:gridSpan w:val="2"/>
          </w:tcPr>
          <w:p>
            <w:pPr>
              <w:jc w:val="right"/>
              <w:ind w:right="415"/>
              <w:spacing w:after="0" w:line="159" w:lineRule="exact"/>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42"/>
        </w:trPr>
        <w:tc>
          <w:tcPr>
            <w:tcW w:w="5500" w:type="dxa"/>
            <w:vAlign w:val="bottom"/>
            <w:tcBorders>
              <w:bottom w:val="single" w:sz="8" w:color="auto"/>
            </w:tcBorders>
            <w:vMerge w:val="continue"/>
          </w:tcPr>
          <w:p>
            <w:pPr>
              <w:spacing w:after="0"/>
              <w:rPr>
                <w:sz w:val="12"/>
                <w:szCs w:val="12"/>
                <w:color w:val="auto"/>
              </w:rPr>
            </w:pPr>
          </w:p>
        </w:tc>
        <w:tc>
          <w:tcPr>
            <w:tcW w:w="1080" w:type="dxa"/>
            <w:vAlign w:val="bottom"/>
            <w:tcBorders>
              <w:bottom w:val="single" w:sz="8" w:color="auto"/>
            </w:tcBorders>
          </w:tcPr>
          <w:p>
            <w:pPr>
              <w:jc w:val="right"/>
              <w:ind w:right="298"/>
              <w:spacing w:after="0" w:line="142" w:lineRule="exact"/>
              <w:rPr>
                <w:sz w:val="20"/>
                <w:szCs w:val="20"/>
                <w:color w:val="auto"/>
              </w:rPr>
            </w:pPr>
            <w:r>
              <w:rPr>
                <w:rFonts w:ascii="Arial" w:cs="Arial" w:eastAsia="Arial" w:hAnsi="Arial"/>
                <w:sz w:val="14"/>
                <w:szCs w:val="14"/>
                <w:color w:val="auto"/>
              </w:rPr>
              <w:t>2015</w:t>
            </w:r>
          </w:p>
        </w:tc>
        <w:tc>
          <w:tcPr>
            <w:tcW w:w="1020" w:type="dxa"/>
            <w:vAlign w:val="bottom"/>
            <w:tcBorders>
              <w:bottom w:val="single" w:sz="8" w:color="auto"/>
            </w:tcBorders>
          </w:tcPr>
          <w:p>
            <w:pPr>
              <w:jc w:val="right"/>
              <w:ind w:right="355"/>
              <w:spacing w:after="0" w:line="142" w:lineRule="exact"/>
              <w:rPr>
                <w:sz w:val="20"/>
                <w:szCs w:val="20"/>
                <w:color w:val="auto"/>
              </w:rPr>
            </w:pPr>
            <w:r>
              <w:rPr>
                <w:rFonts w:ascii="Arial" w:cs="Arial" w:eastAsia="Arial" w:hAnsi="Arial"/>
                <w:sz w:val="14"/>
                <w:szCs w:val="14"/>
                <w:color w:val="auto"/>
              </w:rPr>
              <w:t>2014</w:t>
            </w:r>
          </w:p>
        </w:tc>
        <w:tc>
          <w:tcPr>
            <w:tcW w:w="1040" w:type="dxa"/>
            <w:vAlign w:val="bottom"/>
            <w:tcBorders>
              <w:bottom w:val="single" w:sz="8" w:color="auto"/>
            </w:tcBorders>
          </w:tcPr>
          <w:p>
            <w:pPr>
              <w:jc w:val="right"/>
              <w:ind w:right="280"/>
              <w:spacing w:after="0" w:line="142" w:lineRule="exact"/>
              <w:rPr>
                <w:sz w:val="20"/>
                <w:szCs w:val="20"/>
                <w:color w:val="auto"/>
              </w:rPr>
            </w:pPr>
            <w:r>
              <w:rPr>
                <w:rFonts w:ascii="Arial" w:cs="Arial" w:eastAsia="Arial" w:hAnsi="Arial"/>
                <w:sz w:val="11"/>
                <w:szCs w:val="11"/>
                <w:color w:val="auto"/>
              </w:rPr>
              <w:t>2015</w:t>
            </w:r>
            <w:r>
              <w:rPr>
                <w:rFonts w:ascii="Arial" w:cs="Arial" w:eastAsia="Arial" w:hAnsi="Arial"/>
                <w:sz w:val="16"/>
                <w:szCs w:val="16"/>
                <w:color w:val="auto"/>
                <w:vertAlign w:val="superscript"/>
              </w:rPr>
              <w:t>(a)</w:t>
            </w:r>
          </w:p>
        </w:tc>
        <w:tc>
          <w:tcPr>
            <w:tcW w:w="1040" w:type="dxa"/>
            <w:vAlign w:val="bottom"/>
            <w:tcBorders>
              <w:bottom w:val="single" w:sz="8" w:color="auto"/>
            </w:tcBorders>
          </w:tcPr>
          <w:p>
            <w:pPr>
              <w:jc w:val="right"/>
              <w:ind w:right="357"/>
              <w:spacing w:after="0" w:line="142" w:lineRule="exact"/>
              <w:rPr>
                <w:sz w:val="20"/>
                <w:szCs w:val="20"/>
                <w:color w:val="auto"/>
              </w:rPr>
            </w:pPr>
            <w:r>
              <w:rPr>
                <w:rFonts w:ascii="Arial" w:cs="Arial" w:eastAsia="Arial" w:hAnsi="Arial"/>
                <w:sz w:val="14"/>
                <w:szCs w:val="14"/>
                <w:color w:val="auto"/>
              </w:rPr>
              <w:t>2014</w:t>
            </w:r>
          </w:p>
        </w:tc>
        <w:tc>
          <w:tcPr>
            <w:tcW w:w="980" w:type="dxa"/>
            <w:vAlign w:val="bottom"/>
            <w:tcBorders>
              <w:bottom w:val="single" w:sz="8" w:color="auto"/>
            </w:tcBorders>
          </w:tcPr>
          <w:p>
            <w:pPr>
              <w:jc w:val="right"/>
              <w:ind w:right="378"/>
              <w:spacing w:after="0" w:line="142" w:lineRule="exact"/>
              <w:rPr>
                <w:sz w:val="20"/>
                <w:szCs w:val="20"/>
                <w:color w:val="auto"/>
              </w:rPr>
            </w:pPr>
            <w:r>
              <w:rPr>
                <w:rFonts w:ascii="Arial" w:cs="Arial" w:eastAsia="Arial" w:hAnsi="Arial"/>
                <w:sz w:val="14"/>
                <w:szCs w:val="14"/>
                <w:color w:val="auto"/>
              </w:rPr>
              <w:t>2015</w:t>
            </w:r>
          </w:p>
        </w:tc>
        <w:tc>
          <w:tcPr>
            <w:tcW w:w="76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210"/>
        </w:trPr>
        <w:tc>
          <w:tcPr>
            <w:tcW w:w="5500" w:type="dxa"/>
            <w:vAlign w:val="bottom"/>
            <w:shd w:val="clear" w:color="auto" w:fill="E5E5E5"/>
          </w:tcPr>
          <w:p>
            <w:pPr>
              <w:spacing w:after="0"/>
              <w:rPr>
                <w:sz w:val="20"/>
                <w:szCs w:val="20"/>
                <w:color w:val="auto"/>
              </w:rPr>
            </w:pPr>
            <w:r>
              <w:rPr>
                <w:rFonts w:ascii="Arial" w:cs="Arial" w:eastAsia="Arial" w:hAnsi="Arial"/>
                <w:sz w:val="18"/>
                <w:szCs w:val="18"/>
                <w:color w:val="auto"/>
              </w:rPr>
              <w:t>Total customer relationships</w:t>
            </w:r>
          </w:p>
        </w:tc>
        <w:tc>
          <w:tcPr>
            <w:tcW w:w="1080" w:type="dxa"/>
            <w:vAlign w:val="bottom"/>
            <w:shd w:val="clear" w:color="auto" w:fill="E5E5E5"/>
          </w:tcPr>
          <w:p>
            <w:pPr>
              <w:jc w:val="right"/>
              <w:ind w:right="158"/>
              <w:spacing w:after="0"/>
              <w:rPr>
                <w:sz w:val="20"/>
                <w:szCs w:val="20"/>
                <w:color w:val="auto"/>
              </w:rPr>
            </w:pPr>
            <w:r>
              <w:rPr>
                <w:rFonts w:ascii="Arial" w:cs="Arial" w:eastAsia="Arial" w:hAnsi="Arial"/>
                <w:sz w:val="18"/>
                <w:szCs w:val="18"/>
                <w:color w:val="auto"/>
              </w:rPr>
              <w:t>27,421</w:t>
            </w:r>
          </w:p>
        </w:tc>
        <w:tc>
          <w:tcPr>
            <w:tcW w:w="1020" w:type="dxa"/>
            <w:vAlign w:val="bottom"/>
            <w:shd w:val="clear" w:color="auto" w:fill="E5E5E5"/>
          </w:tcPr>
          <w:p>
            <w:pPr>
              <w:jc w:val="right"/>
              <w:ind w:right="215"/>
              <w:spacing w:after="0"/>
              <w:rPr>
                <w:sz w:val="20"/>
                <w:szCs w:val="20"/>
                <w:color w:val="auto"/>
              </w:rPr>
            </w:pPr>
            <w:r>
              <w:rPr>
                <w:rFonts w:ascii="Arial" w:cs="Arial" w:eastAsia="Arial" w:hAnsi="Arial"/>
                <w:sz w:val="18"/>
                <w:szCs w:val="18"/>
                <w:color w:val="auto"/>
              </w:rPr>
              <w:t>26,857</w:t>
            </w:r>
          </w:p>
        </w:tc>
        <w:tc>
          <w:tcPr>
            <w:tcW w:w="1040" w:type="dxa"/>
            <w:vAlign w:val="bottom"/>
            <w:shd w:val="clear" w:color="auto" w:fill="E5E5E5"/>
          </w:tcPr>
          <w:p>
            <w:pPr>
              <w:jc w:val="right"/>
              <w:ind w:right="140"/>
              <w:spacing w:after="0"/>
              <w:rPr>
                <w:sz w:val="20"/>
                <w:szCs w:val="20"/>
                <w:color w:val="auto"/>
              </w:rPr>
            </w:pPr>
            <w:r>
              <w:rPr>
                <w:rFonts w:ascii="Arial" w:cs="Arial" w:eastAsia="Arial" w:hAnsi="Arial"/>
                <w:sz w:val="18"/>
                <w:szCs w:val="18"/>
                <w:color w:val="auto"/>
              </w:rPr>
              <w:t>156</w:t>
            </w:r>
          </w:p>
        </w:tc>
        <w:tc>
          <w:tcPr>
            <w:tcW w:w="1040" w:type="dxa"/>
            <w:vAlign w:val="bottom"/>
            <w:shd w:val="clear" w:color="auto" w:fill="E5E5E5"/>
          </w:tcPr>
          <w:p>
            <w:pPr>
              <w:jc w:val="right"/>
              <w:ind w:right="217"/>
              <w:spacing w:after="0"/>
              <w:rPr>
                <w:sz w:val="20"/>
                <w:szCs w:val="20"/>
                <w:color w:val="auto"/>
              </w:rPr>
            </w:pPr>
            <w:r>
              <w:rPr>
                <w:rFonts w:ascii="Arial" w:cs="Arial" w:eastAsia="Arial" w:hAnsi="Arial"/>
                <w:sz w:val="18"/>
                <w:szCs w:val="18"/>
                <w:color w:val="auto"/>
              </w:rPr>
              <w:t>82</w:t>
            </w:r>
          </w:p>
        </w:tc>
        <w:tc>
          <w:tcPr>
            <w:tcW w:w="980" w:type="dxa"/>
            <w:vAlign w:val="bottom"/>
            <w:shd w:val="clear" w:color="auto" w:fill="E5E5E5"/>
          </w:tcPr>
          <w:p>
            <w:pPr>
              <w:jc w:val="right"/>
              <w:ind w:right="238"/>
              <w:spacing w:after="0"/>
              <w:rPr>
                <w:sz w:val="20"/>
                <w:szCs w:val="20"/>
                <w:color w:val="auto"/>
              </w:rPr>
            </w:pPr>
            <w:r>
              <w:rPr>
                <w:rFonts w:ascii="Arial" w:cs="Arial" w:eastAsia="Arial" w:hAnsi="Arial"/>
                <w:sz w:val="18"/>
                <w:szCs w:val="18"/>
                <w:color w:val="auto"/>
              </w:rPr>
              <w:t>385</w:t>
            </w:r>
          </w:p>
        </w:tc>
        <w:tc>
          <w:tcPr>
            <w:tcW w:w="76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5500" w:type="dxa"/>
            <w:vAlign w:val="bottom"/>
          </w:tcPr>
          <w:p>
            <w:pPr>
              <w:ind w:left="440"/>
              <w:spacing w:after="0"/>
              <w:rPr>
                <w:sz w:val="20"/>
                <w:szCs w:val="20"/>
                <w:color w:val="auto"/>
              </w:rPr>
            </w:pPr>
            <w:r>
              <w:rPr>
                <w:rFonts w:ascii="Arial" w:cs="Arial" w:eastAsia="Arial" w:hAnsi="Arial"/>
                <w:sz w:val="18"/>
                <w:szCs w:val="18"/>
                <w:color w:val="auto"/>
              </w:rPr>
              <w:t>Single product customers</w:t>
            </w:r>
          </w:p>
        </w:tc>
        <w:tc>
          <w:tcPr>
            <w:tcW w:w="1080" w:type="dxa"/>
            <w:vAlign w:val="bottom"/>
          </w:tcPr>
          <w:p>
            <w:pPr>
              <w:jc w:val="right"/>
              <w:ind w:right="158"/>
              <w:spacing w:after="0"/>
              <w:rPr>
                <w:sz w:val="20"/>
                <w:szCs w:val="20"/>
                <w:color w:val="auto"/>
              </w:rPr>
            </w:pPr>
            <w:r>
              <w:rPr>
                <w:rFonts w:ascii="Arial" w:cs="Arial" w:eastAsia="Arial" w:hAnsi="Arial"/>
                <w:sz w:val="18"/>
                <w:szCs w:val="18"/>
                <w:color w:val="auto"/>
              </w:rPr>
              <w:t>8,367</w:t>
            </w:r>
          </w:p>
        </w:tc>
        <w:tc>
          <w:tcPr>
            <w:tcW w:w="1020" w:type="dxa"/>
            <w:vAlign w:val="bottom"/>
          </w:tcPr>
          <w:p>
            <w:pPr>
              <w:jc w:val="right"/>
              <w:ind w:right="215"/>
              <w:spacing w:after="0"/>
              <w:rPr>
                <w:sz w:val="20"/>
                <w:szCs w:val="20"/>
                <w:color w:val="auto"/>
              </w:rPr>
            </w:pPr>
            <w:r>
              <w:rPr>
                <w:rFonts w:ascii="Arial" w:cs="Arial" w:eastAsia="Arial" w:hAnsi="Arial"/>
                <w:sz w:val="18"/>
                <w:szCs w:val="18"/>
                <w:color w:val="auto"/>
              </w:rPr>
              <w:t>8,444</w:t>
            </w:r>
          </w:p>
        </w:tc>
        <w:tc>
          <w:tcPr>
            <w:tcW w:w="1040" w:type="dxa"/>
            <w:vAlign w:val="bottom"/>
          </w:tcPr>
          <w:p>
            <w:pPr>
              <w:jc w:val="right"/>
              <w:ind w:right="140"/>
              <w:spacing w:after="0"/>
              <w:rPr>
                <w:sz w:val="20"/>
                <w:szCs w:val="20"/>
                <w:color w:val="auto"/>
              </w:rPr>
            </w:pPr>
            <w:r>
              <w:rPr>
                <w:rFonts w:ascii="Arial" w:cs="Arial" w:eastAsia="Arial" w:hAnsi="Arial"/>
                <w:sz w:val="18"/>
                <w:szCs w:val="18"/>
                <w:color w:val="auto"/>
              </w:rPr>
              <w:t>24</w:t>
            </w:r>
          </w:p>
        </w:tc>
        <w:tc>
          <w:tcPr>
            <w:tcW w:w="1040" w:type="dxa"/>
            <w:vAlign w:val="bottom"/>
          </w:tcPr>
          <w:p>
            <w:pPr>
              <w:jc w:val="right"/>
              <w:ind w:right="157"/>
              <w:spacing w:after="0"/>
              <w:rPr>
                <w:sz w:val="20"/>
                <w:szCs w:val="20"/>
                <w:color w:val="auto"/>
              </w:rPr>
            </w:pPr>
            <w:r>
              <w:rPr>
                <w:rFonts w:ascii="Arial" w:cs="Arial" w:eastAsia="Arial" w:hAnsi="Arial"/>
                <w:sz w:val="18"/>
                <w:szCs w:val="18"/>
                <w:color w:val="auto"/>
              </w:rPr>
              <w:t>(66)</w:t>
            </w:r>
          </w:p>
        </w:tc>
        <w:tc>
          <w:tcPr>
            <w:tcW w:w="980" w:type="dxa"/>
            <w:vAlign w:val="bottom"/>
          </w:tcPr>
          <w:p>
            <w:pPr>
              <w:jc w:val="right"/>
              <w:ind w:right="178"/>
              <w:spacing w:after="0"/>
              <w:rPr>
                <w:sz w:val="20"/>
                <w:szCs w:val="20"/>
                <w:color w:val="auto"/>
              </w:rPr>
            </w:pPr>
            <w:r>
              <w:rPr>
                <w:rFonts w:ascii="Arial" w:cs="Arial" w:eastAsia="Arial" w:hAnsi="Arial"/>
                <w:sz w:val="18"/>
                <w:szCs w:val="18"/>
                <w:color w:val="auto"/>
              </w:rPr>
              <w:t>(42)</w:t>
            </w:r>
          </w:p>
        </w:tc>
        <w:tc>
          <w:tcPr>
            <w:tcW w:w="760" w:type="dxa"/>
            <w:vAlign w:val="bottom"/>
          </w:tcPr>
          <w:p>
            <w:pPr>
              <w:jc w:val="right"/>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16"/>
        </w:trPr>
        <w:tc>
          <w:tcPr>
            <w:tcW w:w="55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Double product customers</w:t>
            </w:r>
          </w:p>
        </w:tc>
        <w:tc>
          <w:tcPr>
            <w:tcW w:w="1080" w:type="dxa"/>
            <w:vAlign w:val="bottom"/>
            <w:shd w:val="clear" w:color="auto" w:fill="E5E5E5"/>
          </w:tcPr>
          <w:p>
            <w:pPr>
              <w:jc w:val="right"/>
              <w:ind w:right="158"/>
              <w:spacing w:after="0"/>
              <w:rPr>
                <w:sz w:val="20"/>
                <w:szCs w:val="20"/>
                <w:color w:val="auto"/>
              </w:rPr>
            </w:pPr>
            <w:r>
              <w:rPr>
                <w:rFonts w:ascii="Arial" w:cs="Arial" w:eastAsia="Arial" w:hAnsi="Arial"/>
                <w:sz w:val="18"/>
                <w:szCs w:val="18"/>
                <w:color w:val="auto"/>
              </w:rPr>
              <w:t>9,066</w:t>
            </w:r>
          </w:p>
        </w:tc>
        <w:tc>
          <w:tcPr>
            <w:tcW w:w="1020" w:type="dxa"/>
            <w:vAlign w:val="bottom"/>
            <w:shd w:val="clear" w:color="auto" w:fill="E5E5E5"/>
          </w:tcPr>
          <w:p>
            <w:pPr>
              <w:jc w:val="right"/>
              <w:ind w:right="215"/>
              <w:spacing w:after="0"/>
              <w:rPr>
                <w:sz w:val="20"/>
                <w:szCs w:val="20"/>
                <w:color w:val="auto"/>
              </w:rPr>
            </w:pPr>
            <w:r>
              <w:rPr>
                <w:rFonts w:ascii="Arial" w:cs="Arial" w:eastAsia="Arial" w:hAnsi="Arial"/>
                <w:sz w:val="18"/>
                <w:szCs w:val="18"/>
                <w:color w:val="auto"/>
              </w:rPr>
              <w:t>8,650</w:t>
            </w:r>
          </w:p>
        </w:tc>
        <w:tc>
          <w:tcPr>
            <w:tcW w:w="1040" w:type="dxa"/>
            <w:vAlign w:val="bottom"/>
            <w:shd w:val="clear" w:color="auto" w:fill="E5E5E5"/>
          </w:tcPr>
          <w:p>
            <w:pPr>
              <w:jc w:val="right"/>
              <w:ind w:right="140"/>
              <w:spacing w:after="0"/>
              <w:rPr>
                <w:sz w:val="20"/>
                <w:szCs w:val="20"/>
                <w:color w:val="auto"/>
              </w:rPr>
            </w:pPr>
            <w:r>
              <w:rPr>
                <w:rFonts w:ascii="Arial" w:cs="Arial" w:eastAsia="Arial" w:hAnsi="Arial"/>
                <w:sz w:val="18"/>
                <w:szCs w:val="18"/>
                <w:color w:val="auto"/>
              </w:rPr>
              <w:t>130</w:t>
            </w:r>
          </w:p>
        </w:tc>
        <w:tc>
          <w:tcPr>
            <w:tcW w:w="1040" w:type="dxa"/>
            <w:vAlign w:val="bottom"/>
            <w:shd w:val="clear" w:color="auto" w:fill="E5E5E5"/>
          </w:tcPr>
          <w:p>
            <w:pPr>
              <w:jc w:val="right"/>
              <w:ind w:right="217"/>
              <w:spacing w:after="0"/>
              <w:rPr>
                <w:sz w:val="20"/>
                <w:szCs w:val="20"/>
                <w:color w:val="auto"/>
              </w:rPr>
            </w:pPr>
            <w:r>
              <w:rPr>
                <w:rFonts w:ascii="Arial" w:cs="Arial" w:eastAsia="Arial" w:hAnsi="Arial"/>
                <w:sz w:val="18"/>
                <w:szCs w:val="18"/>
                <w:color w:val="auto"/>
              </w:rPr>
              <w:t>76</w:t>
            </w:r>
          </w:p>
        </w:tc>
        <w:tc>
          <w:tcPr>
            <w:tcW w:w="980" w:type="dxa"/>
            <w:vAlign w:val="bottom"/>
            <w:shd w:val="clear" w:color="auto" w:fill="E5E5E5"/>
          </w:tcPr>
          <w:p>
            <w:pPr>
              <w:jc w:val="right"/>
              <w:ind w:right="238"/>
              <w:spacing w:after="0"/>
              <w:rPr>
                <w:sz w:val="20"/>
                <w:szCs w:val="20"/>
                <w:color w:val="auto"/>
              </w:rPr>
            </w:pPr>
            <w:r>
              <w:rPr>
                <w:rFonts w:ascii="Arial" w:cs="Arial" w:eastAsia="Arial" w:hAnsi="Arial"/>
                <w:sz w:val="18"/>
                <w:szCs w:val="18"/>
                <w:color w:val="auto"/>
              </w:rPr>
              <w:t>316</w:t>
            </w:r>
          </w:p>
        </w:tc>
        <w:tc>
          <w:tcPr>
            <w:tcW w:w="76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55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Triple product customers</w:t>
            </w:r>
          </w:p>
        </w:tc>
        <w:tc>
          <w:tcPr>
            <w:tcW w:w="1080" w:type="dxa"/>
            <w:vAlign w:val="bottom"/>
            <w:tcBorders>
              <w:bottom w:val="single" w:sz="8" w:color="auto"/>
            </w:tcBorders>
          </w:tcPr>
          <w:p>
            <w:pPr>
              <w:jc w:val="right"/>
              <w:ind w:right="158"/>
              <w:spacing w:after="0"/>
              <w:rPr>
                <w:sz w:val="20"/>
                <w:szCs w:val="20"/>
                <w:color w:val="auto"/>
              </w:rPr>
            </w:pPr>
            <w:r>
              <w:rPr>
                <w:rFonts w:ascii="Arial" w:cs="Arial" w:eastAsia="Arial" w:hAnsi="Arial"/>
                <w:sz w:val="18"/>
                <w:szCs w:val="18"/>
                <w:color w:val="auto"/>
              </w:rPr>
              <w:t>9,988</w:t>
            </w:r>
          </w:p>
        </w:tc>
        <w:tc>
          <w:tcPr>
            <w:tcW w:w="1020" w:type="dxa"/>
            <w:vAlign w:val="bottom"/>
            <w:tcBorders>
              <w:bottom w:val="single" w:sz="8" w:color="auto"/>
            </w:tcBorders>
          </w:tcPr>
          <w:p>
            <w:pPr>
              <w:jc w:val="right"/>
              <w:ind w:right="215"/>
              <w:spacing w:after="0"/>
              <w:rPr>
                <w:sz w:val="20"/>
                <w:szCs w:val="20"/>
                <w:color w:val="auto"/>
              </w:rPr>
            </w:pPr>
            <w:r>
              <w:rPr>
                <w:rFonts w:ascii="Arial" w:cs="Arial" w:eastAsia="Arial" w:hAnsi="Arial"/>
                <w:sz w:val="18"/>
                <w:szCs w:val="18"/>
                <w:color w:val="auto"/>
              </w:rPr>
              <w:t>9,763</w:t>
            </w:r>
          </w:p>
        </w:tc>
        <w:tc>
          <w:tcPr>
            <w:tcW w:w="1040" w:type="dxa"/>
            <w:vAlign w:val="bottom"/>
            <w:tcBorders>
              <w:bottom w:val="single" w:sz="8" w:color="auto"/>
            </w:tcBorders>
          </w:tcPr>
          <w:p>
            <w:pPr>
              <w:jc w:val="right"/>
              <w:ind w:right="140"/>
              <w:spacing w:after="0"/>
              <w:rPr>
                <w:sz w:val="20"/>
                <w:szCs w:val="20"/>
                <w:color w:val="auto"/>
              </w:rPr>
            </w:pPr>
            <w:r>
              <w:rPr>
                <w:rFonts w:ascii="Arial" w:cs="Arial" w:eastAsia="Arial" w:hAnsi="Arial"/>
                <w:sz w:val="18"/>
                <w:szCs w:val="18"/>
                <w:color w:val="auto"/>
              </w:rPr>
              <w:t>1</w:t>
            </w:r>
          </w:p>
        </w:tc>
        <w:tc>
          <w:tcPr>
            <w:tcW w:w="1040" w:type="dxa"/>
            <w:vAlign w:val="bottom"/>
            <w:tcBorders>
              <w:bottom w:val="single" w:sz="8" w:color="auto"/>
            </w:tcBorders>
          </w:tcPr>
          <w:p>
            <w:pPr>
              <w:jc w:val="right"/>
              <w:ind w:right="217"/>
              <w:spacing w:after="0"/>
              <w:rPr>
                <w:sz w:val="20"/>
                <w:szCs w:val="20"/>
                <w:color w:val="auto"/>
              </w:rPr>
            </w:pPr>
            <w:r>
              <w:rPr>
                <w:rFonts w:ascii="Arial" w:cs="Arial" w:eastAsia="Arial" w:hAnsi="Arial"/>
                <w:sz w:val="18"/>
                <w:szCs w:val="18"/>
                <w:color w:val="auto"/>
              </w:rPr>
              <w:t>72</w:t>
            </w:r>
          </w:p>
        </w:tc>
        <w:tc>
          <w:tcPr>
            <w:tcW w:w="980" w:type="dxa"/>
            <w:vAlign w:val="bottom"/>
            <w:tcBorders>
              <w:bottom w:val="single" w:sz="8" w:color="auto"/>
            </w:tcBorders>
          </w:tcPr>
          <w:p>
            <w:pPr>
              <w:jc w:val="right"/>
              <w:ind w:right="238"/>
              <w:spacing w:after="0"/>
              <w:rPr>
                <w:sz w:val="20"/>
                <w:szCs w:val="20"/>
                <w:color w:val="auto"/>
              </w:rPr>
            </w:pPr>
            <w:r>
              <w:rPr>
                <w:rFonts w:ascii="Arial" w:cs="Arial" w:eastAsia="Arial" w:hAnsi="Arial"/>
                <w:sz w:val="18"/>
                <w:szCs w:val="18"/>
                <w:color w:val="auto"/>
              </w:rPr>
              <w:t>112</w:t>
            </w:r>
          </w:p>
        </w:tc>
        <w:tc>
          <w:tcPr>
            <w:tcW w:w="7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10"/>
        </w:trPr>
        <w:tc>
          <w:tcPr>
            <w:tcW w:w="5500" w:type="dxa"/>
            <w:vAlign w:val="bottom"/>
            <w:shd w:val="clear" w:color="auto" w:fill="E5E5E5"/>
          </w:tcPr>
          <w:p>
            <w:pPr>
              <w:spacing w:after="0"/>
              <w:rPr>
                <w:sz w:val="20"/>
                <w:szCs w:val="20"/>
                <w:color w:val="auto"/>
              </w:rPr>
            </w:pPr>
            <w:r>
              <w:rPr>
                <w:rFonts w:ascii="Arial" w:cs="Arial" w:eastAsia="Arial" w:hAnsi="Arial"/>
                <w:sz w:val="18"/>
                <w:szCs w:val="18"/>
                <w:color w:val="auto"/>
              </w:rPr>
              <w:t>Video customers</w:t>
            </w:r>
          </w:p>
        </w:tc>
        <w:tc>
          <w:tcPr>
            <w:tcW w:w="1080" w:type="dxa"/>
            <w:vAlign w:val="bottom"/>
            <w:shd w:val="clear" w:color="auto" w:fill="E5E5E5"/>
          </w:tcPr>
          <w:p>
            <w:pPr>
              <w:jc w:val="right"/>
              <w:ind w:right="158"/>
              <w:spacing w:after="0"/>
              <w:rPr>
                <w:sz w:val="20"/>
                <w:szCs w:val="20"/>
                <w:color w:val="auto"/>
              </w:rPr>
            </w:pPr>
            <w:r>
              <w:rPr>
                <w:rFonts w:ascii="Arial" w:cs="Arial" w:eastAsia="Arial" w:hAnsi="Arial"/>
                <w:sz w:val="18"/>
                <w:szCs w:val="18"/>
                <w:color w:val="auto"/>
              </w:rPr>
              <w:t>22,258</w:t>
            </w:r>
          </w:p>
        </w:tc>
        <w:tc>
          <w:tcPr>
            <w:tcW w:w="1020" w:type="dxa"/>
            <w:vAlign w:val="bottom"/>
            <w:shd w:val="clear" w:color="auto" w:fill="E5E5E5"/>
          </w:tcPr>
          <w:p>
            <w:pPr>
              <w:jc w:val="right"/>
              <w:ind w:right="215"/>
              <w:spacing w:after="0"/>
              <w:rPr>
                <w:sz w:val="20"/>
                <w:szCs w:val="20"/>
                <w:color w:val="auto"/>
              </w:rPr>
            </w:pPr>
            <w:r>
              <w:rPr>
                <w:rFonts w:ascii="Arial" w:cs="Arial" w:eastAsia="Arial" w:hAnsi="Arial"/>
                <w:sz w:val="18"/>
                <w:szCs w:val="18"/>
                <w:color w:val="auto"/>
              </w:rPr>
              <w:t>22,376</w:t>
            </w:r>
          </w:p>
        </w:tc>
        <w:tc>
          <w:tcPr>
            <w:tcW w:w="1040" w:type="dxa"/>
            <w:vAlign w:val="bottom"/>
            <w:shd w:val="clear" w:color="auto" w:fill="E5E5E5"/>
          </w:tcPr>
          <w:p>
            <w:pPr>
              <w:jc w:val="right"/>
              <w:ind w:right="80"/>
              <w:spacing w:after="0"/>
              <w:rPr>
                <w:sz w:val="20"/>
                <w:szCs w:val="20"/>
                <w:color w:val="auto"/>
              </w:rPr>
            </w:pPr>
            <w:r>
              <w:rPr>
                <w:rFonts w:ascii="Arial" w:cs="Arial" w:eastAsia="Arial" w:hAnsi="Arial"/>
                <w:sz w:val="18"/>
                <w:szCs w:val="18"/>
                <w:color w:val="auto"/>
              </w:rPr>
              <w:t>(48)</w:t>
            </w:r>
          </w:p>
        </w:tc>
        <w:tc>
          <w:tcPr>
            <w:tcW w:w="1040" w:type="dxa"/>
            <w:vAlign w:val="bottom"/>
            <w:shd w:val="clear" w:color="auto" w:fill="E5E5E5"/>
          </w:tcPr>
          <w:p>
            <w:pPr>
              <w:jc w:val="right"/>
              <w:ind w:right="157"/>
              <w:spacing w:after="0"/>
              <w:rPr>
                <w:sz w:val="20"/>
                <w:szCs w:val="20"/>
                <w:color w:val="auto"/>
              </w:rPr>
            </w:pPr>
            <w:r>
              <w:rPr>
                <w:rFonts w:ascii="Arial" w:cs="Arial" w:eastAsia="Arial" w:hAnsi="Arial"/>
                <w:sz w:val="18"/>
                <w:szCs w:val="18"/>
                <w:color w:val="auto"/>
              </w:rPr>
              <w:t>(81)</w:t>
            </w:r>
          </w:p>
        </w:tc>
        <w:tc>
          <w:tcPr>
            <w:tcW w:w="980" w:type="dxa"/>
            <w:vAlign w:val="bottom"/>
            <w:shd w:val="clear" w:color="auto" w:fill="E5E5E5"/>
          </w:tcPr>
          <w:p>
            <w:pPr>
              <w:jc w:val="right"/>
              <w:ind w:right="178"/>
              <w:spacing w:after="0"/>
              <w:rPr>
                <w:sz w:val="20"/>
                <w:szCs w:val="20"/>
                <w:color w:val="auto"/>
              </w:rPr>
            </w:pPr>
            <w:r>
              <w:rPr>
                <w:rFonts w:ascii="Arial" w:cs="Arial" w:eastAsia="Arial" w:hAnsi="Arial"/>
                <w:sz w:val="18"/>
                <w:szCs w:val="18"/>
                <w:color w:val="auto"/>
              </w:rPr>
              <w:t>(124)</w:t>
            </w:r>
          </w:p>
        </w:tc>
        <w:tc>
          <w:tcPr>
            <w:tcW w:w="7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High-speed Internet customers</w:t>
            </w:r>
          </w:p>
        </w:tc>
        <w:tc>
          <w:tcPr>
            <w:tcW w:w="1080" w:type="dxa"/>
            <w:vAlign w:val="bottom"/>
          </w:tcPr>
          <w:p>
            <w:pPr>
              <w:jc w:val="right"/>
              <w:ind w:right="158"/>
              <w:spacing w:after="0"/>
              <w:rPr>
                <w:sz w:val="20"/>
                <w:szCs w:val="20"/>
                <w:color w:val="auto"/>
              </w:rPr>
            </w:pPr>
            <w:r>
              <w:rPr>
                <w:rFonts w:ascii="Arial" w:cs="Arial" w:eastAsia="Arial" w:hAnsi="Arial"/>
                <w:sz w:val="18"/>
                <w:szCs w:val="18"/>
                <w:color w:val="auto"/>
              </w:rPr>
              <w:t>22,868</w:t>
            </w:r>
          </w:p>
        </w:tc>
        <w:tc>
          <w:tcPr>
            <w:tcW w:w="1020" w:type="dxa"/>
            <w:vAlign w:val="bottom"/>
          </w:tcPr>
          <w:p>
            <w:pPr>
              <w:jc w:val="right"/>
              <w:ind w:right="215"/>
              <w:spacing w:after="0"/>
              <w:rPr>
                <w:sz w:val="20"/>
                <w:szCs w:val="20"/>
                <w:color w:val="auto"/>
              </w:rPr>
            </w:pPr>
            <w:r>
              <w:rPr>
                <w:rFonts w:ascii="Arial" w:cs="Arial" w:eastAsia="Arial" w:hAnsi="Arial"/>
                <w:sz w:val="18"/>
                <w:szCs w:val="18"/>
                <w:color w:val="auto"/>
              </w:rPr>
              <w:t>21,586</w:t>
            </w:r>
          </w:p>
        </w:tc>
        <w:tc>
          <w:tcPr>
            <w:tcW w:w="1040" w:type="dxa"/>
            <w:vAlign w:val="bottom"/>
          </w:tcPr>
          <w:p>
            <w:pPr>
              <w:jc w:val="right"/>
              <w:ind w:right="140"/>
              <w:spacing w:after="0"/>
              <w:rPr>
                <w:sz w:val="20"/>
                <w:szCs w:val="20"/>
                <w:color w:val="auto"/>
              </w:rPr>
            </w:pPr>
            <w:r>
              <w:rPr>
                <w:rFonts w:ascii="Arial" w:cs="Arial" w:eastAsia="Arial" w:hAnsi="Arial"/>
                <w:sz w:val="18"/>
                <w:szCs w:val="18"/>
                <w:color w:val="auto"/>
              </w:rPr>
              <w:t>320</w:t>
            </w:r>
          </w:p>
        </w:tc>
        <w:tc>
          <w:tcPr>
            <w:tcW w:w="1040" w:type="dxa"/>
            <w:vAlign w:val="bottom"/>
          </w:tcPr>
          <w:p>
            <w:pPr>
              <w:jc w:val="right"/>
              <w:ind w:right="217"/>
              <w:spacing w:after="0"/>
              <w:rPr>
                <w:sz w:val="20"/>
                <w:szCs w:val="20"/>
                <w:color w:val="auto"/>
              </w:rPr>
            </w:pPr>
            <w:r>
              <w:rPr>
                <w:rFonts w:ascii="Arial" w:cs="Arial" w:eastAsia="Arial" w:hAnsi="Arial"/>
                <w:sz w:val="18"/>
                <w:szCs w:val="18"/>
                <w:color w:val="auto"/>
              </w:rPr>
              <w:t>315</w:t>
            </w:r>
          </w:p>
        </w:tc>
        <w:tc>
          <w:tcPr>
            <w:tcW w:w="980" w:type="dxa"/>
            <w:vAlign w:val="bottom"/>
          </w:tcPr>
          <w:p>
            <w:pPr>
              <w:jc w:val="right"/>
              <w:ind w:right="238"/>
              <w:spacing w:after="0"/>
              <w:rPr>
                <w:sz w:val="20"/>
                <w:szCs w:val="20"/>
                <w:color w:val="auto"/>
              </w:rPr>
            </w:pPr>
            <w:r>
              <w:rPr>
                <w:rFonts w:ascii="Arial" w:cs="Arial" w:eastAsia="Arial" w:hAnsi="Arial"/>
                <w:sz w:val="18"/>
                <w:szCs w:val="18"/>
                <w:color w:val="auto"/>
              </w:rPr>
              <w:t>907</w:t>
            </w:r>
          </w:p>
        </w:tc>
        <w:tc>
          <w:tcPr>
            <w:tcW w:w="760" w:type="dxa"/>
            <w:vAlign w:val="bottom"/>
          </w:tcPr>
          <w:p>
            <w:pPr>
              <w:jc w:val="right"/>
              <w:ind w:right="15"/>
              <w:spacing w:after="0"/>
              <w:rPr>
                <w:sz w:val="20"/>
                <w:szCs w:val="20"/>
                <w:color w:val="auto"/>
              </w:rPr>
            </w:pPr>
            <w:r>
              <w:rPr>
                <w:rFonts w:ascii="Arial" w:cs="Arial" w:eastAsia="Arial" w:hAnsi="Arial"/>
                <w:sz w:val="18"/>
                <w:szCs w:val="18"/>
                <w:color w:val="auto"/>
              </w:rPr>
              <w:t>901</w:t>
            </w:r>
          </w:p>
        </w:tc>
        <w:tc>
          <w:tcPr>
            <w:tcW w:w="0" w:type="dxa"/>
            <w:vAlign w:val="bottom"/>
          </w:tcPr>
          <w:p>
            <w:pPr>
              <w:spacing w:after="0"/>
              <w:rPr>
                <w:sz w:val="1"/>
                <w:szCs w:val="1"/>
                <w:color w:val="auto"/>
              </w:rPr>
            </w:pPr>
          </w:p>
        </w:tc>
      </w:tr>
      <w:tr>
        <w:trPr>
          <w:trHeight w:val="216"/>
        </w:trPr>
        <w:tc>
          <w:tcPr>
            <w:tcW w:w="55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Voice customers</w:t>
            </w:r>
          </w:p>
        </w:tc>
        <w:tc>
          <w:tcPr>
            <w:tcW w:w="1080" w:type="dxa"/>
            <w:vAlign w:val="bottom"/>
            <w:tcBorders>
              <w:bottom w:val="single" w:sz="8" w:color="auto"/>
            </w:tcBorders>
            <w:shd w:val="clear" w:color="auto" w:fill="E5E5E5"/>
          </w:tcPr>
          <w:p>
            <w:pPr>
              <w:jc w:val="right"/>
              <w:ind w:right="158"/>
              <w:spacing w:after="0"/>
              <w:rPr>
                <w:sz w:val="20"/>
                <w:szCs w:val="20"/>
                <w:color w:val="auto"/>
              </w:rPr>
            </w:pPr>
            <w:r>
              <w:rPr>
                <w:rFonts w:ascii="Arial" w:cs="Arial" w:eastAsia="Arial" w:hAnsi="Arial"/>
                <w:sz w:val="18"/>
                <w:szCs w:val="18"/>
                <w:color w:val="auto"/>
              </w:rPr>
              <w:t>11,336</w:t>
            </w:r>
          </w:p>
        </w:tc>
        <w:tc>
          <w:tcPr>
            <w:tcW w:w="1020" w:type="dxa"/>
            <w:vAlign w:val="bottom"/>
            <w:tcBorders>
              <w:bottom w:val="single" w:sz="8" w:color="auto"/>
            </w:tcBorders>
            <w:shd w:val="clear" w:color="auto" w:fill="E5E5E5"/>
          </w:tcPr>
          <w:p>
            <w:pPr>
              <w:jc w:val="right"/>
              <w:ind w:right="215"/>
              <w:spacing w:after="0"/>
              <w:rPr>
                <w:sz w:val="20"/>
                <w:szCs w:val="20"/>
                <w:color w:val="auto"/>
              </w:rPr>
            </w:pPr>
            <w:r>
              <w:rPr>
                <w:rFonts w:ascii="Arial" w:cs="Arial" w:eastAsia="Arial" w:hAnsi="Arial"/>
                <w:sz w:val="18"/>
                <w:szCs w:val="18"/>
                <w:color w:val="auto"/>
              </w:rPr>
              <w:t>11,070</w:t>
            </w:r>
          </w:p>
        </w:tc>
        <w:tc>
          <w:tcPr>
            <w:tcW w:w="1040" w:type="dxa"/>
            <w:vAlign w:val="bottom"/>
            <w:tcBorders>
              <w:bottom w:val="single" w:sz="8" w:color="auto"/>
            </w:tcBorders>
            <w:shd w:val="clear" w:color="auto" w:fill="E5E5E5"/>
          </w:tcPr>
          <w:p>
            <w:pPr>
              <w:jc w:val="right"/>
              <w:ind w:right="140"/>
              <w:spacing w:after="0"/>
              <w:rPr>
                <w:sz w:val="20"/>
                <w:szCs w:val="20"/>
                <w:color w:val="auto"/>
              </w:rPr>
            </w:pPr>
            <w:r>
              <w:rPr>
                <w:rFonts w:ascii="Arial" w:cs="Arial" w:eastAsia="Arial" w:hAnsi="Arial"/>
                <w:sz w:val="18"/>
                <w:szCs w:val="18"/>
                <w:color w:val="auto"/>
              </w:rPr>
              <w:t>17</w:t>
            </w:r>
          </w:p>
        </w:tc>
        <w:tc>
          <w:tcPr>
            <w:tcW w:w="1040" w:type="dxa"/>
            <w:vAlign w:val="bottom"/>
            <w:tcBorders>
              <w:bottom w:val="single" w:sz="8" w:color="auto"/>
            </w:tcBorders>
            <w:shd w:val="clear" w:color="auto" w:fill="E5E5E5"/>
          </w:tcPr>
          <w:p>
            <w:pPr>
              <w:jc w:val="right"/>
              <w:ind w:right="217"/>
              <w:spacing w:after="0"/>
              <w:rPr>
                <w:sz w:val="20"/>
                <w:szCs w:val="20"/>
                <w:color w:val="auto"/>
              </w:rPr>
            </w:pPr>
            <w:r>
              <w:rPr>
                <w:rFonts w:ascii="Arial" w:cs="Arial" w:eastAsia="Arial" w:hAnsi="Arial"/>
                <w:sz w:val="18"/>
                <w:szCs w:val="18"/>
                <w:color w:val="auto"/>
              </w:rPr>
              <w:t>68</w:t>
            </w:r>
          </w:p>
        </w:tc>
        <w:tc>
          <w:tcPr>
            <w:tcW w:w="980" w:type="dxa"/>
            <w:vAlign w:val="bottom"/>
            <w:tcBorders>
              <w:bottom w:val="single" w:sz="8" w:color="auto"/>
            </w:tcBorders>
            <w:shd w:val="clear" w:color="auto" w:fill="E5E5E5"/>
          </w:tcPr>
          <w:p>
            <w:pPr>
              <w:jc w:val="right"/>
              <w:ind w:right="238"/>
              <w:spacing w:after="0"/>
              <w:rPr>
                <w:sz w:val="20"/>
                <w:szCs w:val="20"/>
                <w:color w:val="auto"/>
              </w:rPr>
            </w:pPr>
            <w:r>
              <w:rPr>
                <w:rFonts w:ascii="Arial" w:cs="Arial" w:eastAsia="Arial" w:hAnsi="Arial"/>
                <w:sz w:val="18"/>
                <w:szCs w:val="18"/>
                <w:color w:val="auto"/>
              </w:rPr>
              <w:t>143</w:t>
            </w:r>
          </w:p>
        </w:tc>
        <w:tc>
          <w:tcPr>
            <w:tcW w:w="760" w:type="dxa"/>
            <w:vAlign w:val="bottom"/>
            <w:tcBorders>
              <w:bottom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bl>
    <w:p>
      <w:pPr>
        <w:spacing w:after="0" w:line="57" w:lineRule="exact"/>
        <w:rPr>
          <w:sz w:val="20"/>
          <w:szCs w:val="20"/>
          <w:color w:val="auto"/>
        </w:rPr>
      </w:pPr>
    </w:p>
    <w:p>
      <w:pPr>
        <w:jc w:val="both"/>
        <w:spacing w:after="0" w:line="233" w:lineRule="auto"/>
        <w:rPr>
          <w:sz w:val="20"/>
          <w:szCs w:val="20"/>
          <w:color w:val="auto"/>
        </w:rPr>
      </w:pPr>
      <w:r>
        <w:rPr>
          <w:rFonts w:ascii="Arial" w:cs="Arial" w:eastAsia="Arial" w:hAnsi="Arial"/>
          <w:sz w:val="14"/>
          <w:szCs w:val="14"/>
          <w:color w:val="auto"/>
        </w:rPr>
        <w:t>Customer metrics include residential and business customers and are presented based on actual amounts. Minor differences may exist due to rounding. Customer relationships represent the number of residential and business customers that subscribe to at least one of our cable services. Single product, double product and triple product customers represent customers that subscribe to one, two or three of our cable services, respectively.</w:t>
      </w:r>
    </w:p>
    <w:p>
      <w:pPr>
        <w:spacing w:after="0" w:line="44" w:lineRule="exact"/>
        <w:rPr>
          <w:sz w:val="20"/>
          <w:szCs w:val="20"/>
          <w:color w:val="auto"/>
        </w:rPr>
      </w:pPr>
    </w:p>
    <w:p>
      <w:pPr>
        <w:ind w:left="340" w:hanging="332"/>
        <w:spacing w:after="0" w:line="239" w:lineRule="auto"/>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improvement in video customer net losses in the third quarter of 2015 includes an 11,000 increase in net additions, compared to the third quarter of 2014, related to schools participating in our Xfinity On Campus service.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 Segment—Revenue</w:t>
      </w:r>
    </w:p>
    <w:p>
      <w:pPr>
        <w:spacing w:after="0" w:line="7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Cable Communications segment leverages our existing cable distribution system to grow revenue by, among other things, adding new residential and business services customers, encouraging existing customers to add new or higher-tier services, and expanding our other services such as our business services offerings, advertising, and our home security and automation services. We offer our cable services in bundles and often provide promotional incentives. We seek to balance promotional offers and rate increases with their expected effects on the number of customers and overall revenue. Average monthly total revenue per customer relationship for the three and nine months ended September 30, 2015 was $143.12 and $142.41, respectively. Average monthly total revenue per customer relationship for the three and nine months ended September 30, 2014 was $137.24 and $136.27, respectively.</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Video</w:t>
      </w:r>
    </w:p>
    <w:p>
      <w:pPr>
        <w:spacing w:after="0" w:line="7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Video revenue increased 3.3% for both the three and nine months ended September 30, 2015 compared to the same periods in 2014. An increase in the number of residential customers receiving additional and higher levels of video service and rate adjustments accounted for increases in revenue of 4.3% and 4.4% for the three and nine months ended September 30, 2015, respectively. As of September 30, 2015, the number of customers who subscribed to our advanced services, which are high-definition video and DVR services, increased 5.3% to 13.5 million customers compared to the same period in 2014. Video revenue for the nine months ended September 30, 2015 also increased due to revenue received from a boxing event available on pay-per-view. The increases in revenue in both periods were partially offset by fewer residential video customers compared to the same periods in 2014. The decreases in the number of residential video customers in both periods were primarily due to competitive pressures and the impact of rate adjustments. We may experience further declines in the number of residential video customers.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High-Speed Internet</w:t>
      </w:r>
    </w:p>
    <w:p>
      <w:pPr>
        <w:spacing w:after="0" w:line="7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High-speed Internet revenue increased 10.2% and 10.3% for the three and nine months ended September 30, 2015, respectively, compared to the same periods in 2014. An increase in the number of residential customers receiving our high-speed Internet service accounted for increases in revenue of 5.6% for both the three and nine months ended September 30, 2015. The remaining increases in revenue for the three and nine months ended September 30, 2015 were primarily due to increases in the number of customers receiving higher levels of service and rate adjustments. Our customer base continues to grow as consumers choose our high-speed Internet service and seek higher-speed offerings.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Voice</w:t>
      </w:r>
    </w:p>
    <w:p>
      <w:pPr>
        <w:spacing w:after="0" w:line="7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Voice revenue decreased 1.4% and 1.7% for the three and nine months ended September 30, 2015, respectively, compared to the same periods in 2014. While the growth rate of residential customer additions slowed for the current year periods, the increase in the number of residential customers receiving voice services through our discounted bundled service offerings accounted for increases in revenue of 1.8% and 2.5% for the three and nine months ended September 30, 2015, respectively, compared to the same periods in 2014. The increases in revenue were more than offset by the impact of the allocation of voice revenue for our customers who receive bundled services. The amount allocated to voice revenue in the rate charged from bundled services decreased for the three and nine months ended September 30, 2015 because video and high-speed Internet rates increased while voice rates remained relatively flat.</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Services</w:t>
      </w:r>
    </w:p>
    <w:p>
      <w:pPr>
        <w:spacing w:after="0" w:line="7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Business services revenue increased 19.5% and 20.4% for the three and nine months ended September 30, 2015, respectively, compared to the same periods in 2014. The increases were primarily due to increases in the number of small business customers receiving our high-speed Internet and voice services and rate adjustments. For both the three and nine months ended September 30, 2015, revenue from our small business customers represented over 70% of total business services revenue. The remaining increases in both periods were primarily due to continued growth in our medium-sized business services, including Ethernet network and advanced voice services. We believe the increases in the number of business customers are primarily the result of our efforts to gain market share from competitors by offering competitive services and pricing.</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Advertising revenue decreased slightly for the three and nine months ended September 30, 2015 compared to the same periods in 2014 primarily due to decreases in political advertising revenue. Excluding political advertising revenue, advertising revenue increased 8.0% and 4.0% for the three and nine months ended September 30, 2015, respectively, compared to the same periods in 2014.</w:t>
      </w:r>
    </w:p>
    <w:p>
      <w:pPr>
        <w:spacing w:after="0" w:line="4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For the three and nine months ended September 30, 2015, 8% and 6%, respectively, of our Cable Communications segment advertising revenue was generated from our NBCUniversal segments. For the three and nine months ended September 30, 2014, 4% and 5%, respectively, of our Cable Communications segment advertising revenue was generated from our NBCUniversal segments. These amounts are eliminated in our condensed consolidated financial statements but are included in the amounts presented above.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72"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Other revenue increased 11.8% and 10.7% for the three and nine months ended September 30, 2015, respectively, compared to the same periods in 2014 primarily due to increases in revenue from our home security and automation services, as well as increases in cable franchise and other regulatory fees.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 Segment—Operating Costs and Expenses</w:t>
      </w:r>
    </w:p>
    <w:p>
      <w:pPr>
        <w:spacing w:after="0" w:line="7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Our most significant operating cost is the programming expense we incur to provide content to our video customers. We anticipate that our programming expenses will continue to increase. We have and will continue to attempt to maintain a consistent operating margin through rate adjustments, the sale of additional cable services, including advanced services, and the continued growth of our business services, as well as by achieving operating efficiencies.</w:t>
      </w:r>
    </w:p>
    <w:p>
      <w:pPr>
        <w:spacing w:after="0" w:line="1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Programming expenses increased for the three and nine months ended September 30, 2015 compared to the same periods in 2014 primarily due to increases in programming license fees, including sports programming costs and retransmission consent fees, and fees to secure rights for additional programming for our customers across an increasing number of platforms. Programming expenses also increased for the nine months ended September 30, 2015 compared to the same period in 2014 due to fees associated with a boxing event available on pay-per-view.</w:t>
      </w:r>
    </w:p>
    <w:p>
      <w:pPr>
        <w:spacing w:after="0" w:line="1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Technical and product support expenses increased for the three and nine months ended September 30, 2015 compared to the same periods in 2014 primarily due to expenses related to improving the customer experience;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development, delivery and support of our enhanced devices, including our X1 platform, Cloud DVR technology and wireless gateways; and the continued growth in business services and home security and automation services.</w:t>
      </w:r>
    </w:p>
    <w:p>
      <w:pPr>
        <w:spacing w:after="0" w:line="37"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Customer service expenses increased for the three and nine months ended September 30, 2015 compared to the same periods in 2014 primarily due to increased support for improving the customer experience and resolving service issues. The increases in customer service expenses were also due to support activities associated with the continued deployment of our enhanced devices and services, which include our X1 platform, Cloud DVR technology, wireless gateways, and home security and automation services, and the continued growth in business services.</w:t>
      </w:r>
    </w:p>
    <w:p>
      <w:pPr>
        <w:spacing w:after="0" w:line="1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Franchise and other regulatory fees increased for the three and nine months ended September 30, 2015 compared to the same periods in 2014 primarily due to increases in the revenue on which the fees apply.</w:t>
      </w:r>
    </w:p>
    <w:p>
      <w:pPr>
        <w:spacing w:after="0" w:line="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Advertising, marketing and promotion expenses increased for the three and nine months ended September 30, 2015 compared to the same periods in 2014 primarily due to increases in spending associated with attracting new residential and business services customers and encouraging existing customers to add additional or higher-tier services.</w:t>
      </w:r>
    </w:p>
    <w:p>
      <w:pPr>
        <w:spacing w:after="0" w:line="4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Other costs and expenses increased for the three and nine months ended September 30, 2015 compared to the same periods in 2014 primarily due to increases in costs to support our advertising sales business, as well as increases in other administrative costs.</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NBCUniversal Segments Results of Operations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0" w:type="dxa"/>
            <w:vAlign w:val="bottom"/>
            <w:gridSpan w:val="3"/>
          </w:tcPr>
          <w:p>
            <w:pPr>
              <w:jc w:val="right"/>
              <w:ind w:right="454"/>
              <w:spacing w:after="0"/>
              <w:rPr>
                <w:sz w:val="20"/>
                <w:szCs w:val="20"/>
                <w:color w:val="auto"/>
              </w:rPr>
            </w:pPr>
            <w:r>
              <w:rPr>
                <w:rFonts w:ascii="Arial" w:cs="Arial" w:eastAsia="Arial" w:hAnsi="Arial"/>
                <w:sz w:val="14"/>
                <w:szCs w:val="14"/>
                <w:color w:val="auto"/>
                <w:w w:val="94"/>
              </w:rPr>
              <w:t>Three Months Ended</w:t>
            </w:r>
          </w:p>
        </w:tc>
        <w:tc>
          <w:tcPr>
            <w:tcW w:w="380" w:type="dxa"/>
            <w:vAlign w:val="bottom"/>
          </w:tcPr>
          <w:p>
            <w:pPr>
              <w:spacing w:after="0"/>
              <w:rPr>
                <w:sz w:val="14"/>
                <w:szCs w:val="14"/>
                <w:color w:val="auto"/>
              </w:rPr>
            </w:pPr>
          </w:p>
        </w:tc>
        <w:tc>
          <w:tcPr>
            <w:tcW w:w="1360" w:type="dxa"/>
            <w:vAlign w:val="bottom"/>
            <w:gridSpan w:val="2"/>
          </w:tcPr>
          <w:p>
            <w:pPr>
              <w:jc w:val="right"/>
              <w:ind w:right="594"/>
              <w:spacing w:after="0"/>
              <w:rPr>
                <w:sz w:val="20"/>
                <w:szCs w:val="20"/>
                <w:color w:val="auto"/>
              </w:rPr>
            </w:pPr>
            <w:r>
              <w:rPr>
                <w:rFonts w:ascii="Arial" w:cs="Arial" w:eastAsia="Arial" w:hAnsi="Arial"/>
                <w:sz w:val="14"/>
                <w:szCs w:val="14"/>
                <w:color w:val="auto"/>
              </w:rPr>
              <w:t>Increase/</w:t>
            </w:r>
          </w:p>
        </w:tc>
        <w:tc>
          <w:tcPr>
            <w:tcW w:w="0" w:type="dxa"/>
            <w:vAlign w:val="bottom"/>
          </w:tcPr>
          <w:p>
            <w:pPr>
              <w:spacing w:after="0"/>
              <w:rPr>
                <w:sz w:val="1"/>
                <w:szCs w:val="1"/>
                <w:color w:val="auto"/>
              </w:rPr>
            </w:pPr>
          </w:p>
        </w:tc>
      </w:tr>
      <w:tr>
        <w:trPr>
          <w:trHeight w:val="159"/>
        </w:trPr>
        <w:tc>
          <w:tcPr>
            <w:tcW w:w="510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226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September 30</w:t>
            </w:r>
          </w:p>
        </w:tc>
        <w:tc>
          <w:tcPr>
            <w:tcW w:w="7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2"/>
          </w:tcPr>
          <w:p>
            <w:pPr>
              <w:jc w:val="right"/>
              <w:ind w:right="554"/>
              <w:spacing w:after="0" w:line="159" w:lineRule="exact"/>
              <w:rPr>
                <w:sz w:val="20"/>
                <w:szCs w:val="20"/>
                <w:color w:val="auto"/>
              </w:rPr>
            </w:pPr>
            <w:r>
              <w:rPr>
                <w:rFonts w:ascii="Arial" w:cs="Arial" w:eastAsia="Arial" w:hAnsi="Arial"/>
                <w:sz w:val="14"/>
                <w:szCs w:val="14"/>
                <w:color w:val="auto"/>
              </w:rPr>
              <w:t>(Decrease)</w:t>
            </w:r>
          </w:p>
        </w:tc>
        <w:tc>
          <w:tcPr>
            <w:tcW w:w="0" w:type="dxa"/>
            <w:vAlign w:val="bottom"/>
          </w:tcPr>
          <w:p>
            <w:pPr>
              <w:spacing w:after="0"/>
              <w:rPr>
                <w:sz w:val="1"/>
                <w:szCs w:val="1"/>
                <w:color w:val="auto"/>
              </w:rPr>
            </w:pPr>
          </w:p>
        </w:tc>
      </w:tr>
      <w:tr>
        <w:trPr>
          <w:trHeight w:val="142"/>
        </w:trPr>
        <w:tc>
          <w:tcPr>
            <w:tcW w:w="5100" w:type="dxa"/>
            <w:vAlign w:val="bottom"/>
            <w:tcBorders>
              <w:bottom w:val="single" w:sz="8" w:color="auto"/>
            </w:tcBorders>
            <w:vMerge w:val="continue"/>
          </w:tcPr>
          <w:p>
            <w:pPr>
              <w:spacing w:after="0"/>
              <w:rPr>
                <w:sz w:val="12"/>
                <w:szCs w:val="12"/>
                <w:color w:val="auto"/>
              </w:rPr>
            </w:pPr>
          </w:p>
        </w:tc>
        <w:tc>
          <w:tcPr>
            <w:tcW w:w="22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36"/>
              <w:spacing w:after="0" w:line="142" w:lineRule="exact"/>
              <w:rPr>
                <w:sz w:val="20"/>
                <w:szCs w:val="20"/>
                <w:color w:val="auto"/>
              </w:rPr>
            </w:pPr>
            <w:r>
              <w:rPr>
                <w:rFonts w:ascii="Arial" w:cs="Arial" w:eastAsia="Arial" w:hAnsi="Arial"/>
                <w:sz w:val="14"/>
                <w:szCs w:val="14"/>
                <w:color w:val="auto"/>
                <w:w w:val="89"/>
              </w:rPr>
              <w:t>2015</w:t>
            </w:r>
          </w:p>
        </w:tc>
        <w:tc>
          <w:tcPr>
            <w:tcW w:w="3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54"/>
              <w:spacing w:after="0" w:line="142" w:lineRule="exact"/>
              <w:rPr>
                <w:sz w:val="20"/>
                <w:szCs w:val="20"/>
                <w:color w:val="auto"/>
              </w:rPr>
            </w:pPr>
            <w:r>
              <w:rPr>
                <w:rFonts w:ascii="Arial" w:cs="Arial" w:eastAsia="Arial" w:hAnsi="Arial"/>
                <w:sz w:val="14"/>
                <w:szCs w:val="14"/>
                <w:color w:val="auto"/>
                <w:w w:val="83"/>
              </w:rPr>
              <w:t>2014</w:t>
            </w:r>
          </w:p>
        </w:tc>
        <w:tc>
          <w:tcPr>
            <w:tcW w:w="3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297"/>
              <w:spacing w:after="0" w:line="142"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ind w:left="220"/>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510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226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440"/>
              <w:spacing w:after="0"/>
              <w:rPr>
                <w:sz w:val="20"/>
                <w:szCs w:val="20"/>
                <w:color w:val="auto"/>
              </w:rPr>
            </w:pPr>
            <w:r>
              <w:rPr>
                <w:rFonts w:ascii="Arial" w:cs="Arial" w:eastAsia="Arial" w:hAnsi="Arial"/>
                <w:sz w:val="18"/>
                <w:szCs w:val="18"/>
                <w:color w:val="auto"/>
              </w:rPr>
              <w:t>Cable Networks</w:t>
            </w:r>
          </w:p>
        </w:tc>
        <w:tc>
          <w:tcPr>
            <w:tcW w:w="27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96"/>
              <w:spacing w:after="0"/>
              <w:rPr>
                <w:sz w:val="20"/>
                <w:szCs w:val="20"/>
                <w:color w:val="auto"/>
              </w:rPr>
            </w:pPr>
            <w:r>
              <w:rPr>
                <w:rFonts w:ascii="Arial" w:cs="Arial" w:eastAsia="Arial" w:hAnsi="Arial"/>
                <w:sz w:val="18"/>
                <w:szCs w:val="18"/>
                <w:color w:val="auto"/>
                <w:w w:val="93"/>
              </w:rPr>
              <w:t>2,412</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14"/>
              <w:spacing w:after="0"/>
              <w:rPr>
                <w:sz w:val="20"/>
                <w:szCs w:val="20"/>
                <w:color w:val="auto"/>
              </w:rPr>
            </w:pPr>
            <w:r>
              <w:rPr>
                <w:rFonts w:ascii="Arial" w:cs="Arial" w:eastAsia="Arial" w:hAnsi="Arial"/>
                <w:sz w:val="18"/>
                <w:szCs w:val="18"/>
                <w:color w:val="auto"/>
                <w:w w:val="88"/>
              </w:rPr>
              <w:t>2,255</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97"/>
              <w:spacing w:after="0"/>
              <w:rPr>
                <w:sz w:val="20"/>
                <w:szCs w:val="20"/>
                <w:color w:val="auto"/>
              </w:rPr>
            </w:pPr>
            <w:r>
              <w:rPr>
                <w:rFonts w:ascii="Arial" w:cs="Arial" w:eastAsia="Arial" w:hAnsi="Arial"/>
                <w:sz w:val="18"/>
                <w:szCs w:val="18"/>
                <w:color w:val="auto"/>
              </w:rPr>
              <w:t>157</w:t>
            </w:r>
          </w:p>
        </w:tc>
        <w:tc>
          <w:tcPr>
            <w:tcW w:w="840" w:type="dxa"/>
            <w:vAlign w:val="bottom"/>
          </w:tcPr>
          <w:p>
            <w:pPr>
              <w:jc w:val="right"/>
              <w:ind w:right="114"/>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51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Broadcast Television</w:t>
            </w:r>
          </w:p>
        </w:tc>
        <w:tc>
          <w:tcPr>
            <w:tcW w:w="226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96"/>
              <w:spacing w:after="0"/>
              <w:rPr>
                <w:sz w:val="20"/>
                <w:szCs w:val="20"/>
                <w:color w:val="auto"/>
              </w:rPr>
            </w:pPr>
            <w:r>
              <w:rPr>
                <w:rFonts w:ascii="Arial" w:cs="Arial" w:eastAsia="Arial" w:hAnsi="Arial"/>
                <w:sz w:val="18"/>
                <w:szCs w:val="18"/>
                <w:color w:val="auto"/>
                <w:w w:val="93"/>
              </w:rPr>
              <w:t>1,971</w:t>
            </w:r>
          </w:p>
        </w:tc>
        <w:tc>
          <w:tcPr>
            <w:tcW w:w="3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214"/>
              <w:spacing w:after="0"/>
              <w:rPr>
                <w:sz w:val="20"/>
                <w:szCs w:val="20"/>
                <w:color w:val="auto"/>
              </w:rPr>
            </w:pPr>
            <w:r>
              <w:rPr>
                <w:rFonts w:ascii="Arial" w:cs="Arial" w:eastAsia="Arial" w:hAnsi="Arial"/>
                <w:sz w:val="18"/>
                <w:szCs w:val="18"/>
                <w:color w:val="auto"/>
                <w:w w:val="88"/>
              </w:rPr>
              <w:t>1,770</w:t>
            </w:r>
          </w:p>
        </w:tc>
        <w:tc>
          <w:tcPr>
            <w:tcW w:w="38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97"/>
              <w:spacing w:after="0"/>
              <w:rPr>
                <w:sz w:val="20"/>
                <w:szCs w:val="20"/>
                <w:color w:val="auto"/>
              </w:rPr>
            </w:pPr>
            <w:r>
              <w:rPr>
                <w:rFonts w:ascii="Arial" w:cs="Arial" w:eastAsia="Arial" w:hAnsi="Arial"/>
                <w:sz w:val="18"/>
                <w:szCs w:val="18"/>
                <w:color w:val="auto"/>
              </w:rPr>
              <w:t>201</w:t>
            </w:r>
          </w:p>
        </w:tc>
        <w:tc>
          <w:tcPr>
            <w:tcW w:w="840" w:type="dxa"/>
            <w:vAlign w:val="bottom"/>
            <w:shd w:val="clear" w:color="auto" w:fill="E5E5E5"/>
          </w:tcPr>
          <w:p>
            <w:pPr>
              <w:jc w:val="right"/>
              <w:ind w:right="254"/>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5100" w:type="dxa"/>
            <w:vAlign w:val="bottom"/>
          </w:tcPr>
          <w:p>
            <w:pPr>
              <w:ind w:left="440"/>
              <w:spacing w:after="0"/>
              <w:rPr>
                <w:sz w:val="20"/>
                <w:szCs w:val="20"/>
                <w:color w:val="auto"/>
              </w:rPr>
            </w:pPr>
            <w:r>
              <w:rPr>
                <w:rFonts w:ascii="Arial" w:cs="Arial" w:eastAsia="Arial" w:hAnsi="Arial"/>
                <w:sz w:val="18"/>
                <w:szCs w:val="18"/>
                <w:color w:val="auto"/>
              </w:rPr>
              <w:t>Filmed Entertainment</w:t>
            </w:r>
          </w:p>
        </w:tc>
        <w:tc>
          <w:tcPr>
            <w:tcW w:w="2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jc w:val="right"/>
              <w:ind w:right="196"/>
              <w:spacing w:after="0"/>
              <w:rPr>
                <w:sz w:val="20"/>
                <w:szCs w:val="20"/>
                <w:color w:val="auto"/>
              </w:rPr>
            </w:pPr>
            <w:r>
              <w:rPr>
                <w:rFonts w:ascii="Arial" w:cs="Arial" w:eastAsia="Arial" w:hAnsi="Arial"/>
                <w:sz w:val="18"/>
                <w:szCs w:val="18"/>
                <w:color w:val="auto"/>
                <w:w w:val="93"/>
              </w:rPr>
              <w:t>1,946</w:t>
            </w:r>
          </w:p>
        </w:tc>
        <w:tc>
          <w:tcPr>
            <w:tcW w:w="360" w:type="dxa"/>
            <w:vAlign w:val="bottom"/>
          </w:tcPr>
          <w:p>
            <w:pPr>
              <w:spacing w:after="0"/>
              <w:rPr>
                <w:sz w:val="18"/>
                <w:szCs w:val="18"/>
                <w:color w:val="auto"/>
              </w:rPr>
            </w:pPr>
          </w:p>
        </w:tc>
        <w:tc>
          <w:tcPr>
            <w:tcW w:w="720" w:type="dxa"/>
            <w:vAlign w:val="bottom"/>
          </w:tcPr>
          <w:p>
            <w:pPr>
              <w:jc w:val="right"/>
              <w:ind w:right="214"/>
              <w:spacing w:after="0"/>
              <w:rPr>
                <w:sz w:val="20"/>
                <w:szCs w:val="20"/>
                <w:color w:val="auto"/>
              </w:rPr>
            </w:pPr>
            <w:r>
              <w:rPr>
                <w:rFonts w:ascii="Arial" w:cs="Arial" w:eastAsia="Arial" w:hAnsi="Arial"/>
                <w:sz w:val="18"/>
                <w:szCs w:val="18"/>
                <w:color w:val="auto"/>
                <w:w w:val="88"/>
              </w:rPr>
              <w:t>1,186</w:t>
            </w:r>
          </w:p>
        </w:tc>
        <w:tc>
          <w:tcPr>
            <w:tcW w:w="380" w:type="dxa"/>
            <w:vAlign w:val="bottom"/>
          </w:tcPr>
          <w:p>
            <w:pPr>
              <w:spacing w:after="0"/>
              <w:rPr>
                <w:sz w:val="18"/>
                <w:szCs w:val="18"/>
                <w:color w:val="auto"/>
              </w:rPr>
            </w:pPr>
          </w:p>
        </w:tc>
        <w:tc>
          <w:tcPr>
            <w:tcW w:w="520" w:type="dxa"/>
            <w:vAlign w:val="bottom"/>
          </w:tcPr>
          <w:p>
            <w:pPr>
              <w:jc w:val="right"/>
              <w:ind w:right="97"/>
              <w:spacing w:after="0"/>
              <w:rPr>
                <w:sz w:val="20"/>
                <w:szCs w:val="20"/>
                <w:color w:val="auto"/>
              </w:rPr>
            </w:pPr>
            <w:r>
              <w:rPr>
                <w:rFonts w:ascii="Arial" w:cs="Arial" w:eastAsia="Arial" w:hAnsi="Arial"/>
                <w:sz w:val="18"/>
                <w:szCs w:val="18"/>
                <w:color w:val="auto"/>
              </w:rPr>
              <w:t>760</w:t>
            </w:r>
          </w:p>
        </w:tc>
        <w:tc>
          <w:tcPr>
            <w:tcW w:w="840" w:type="dxa"/>
            <w:vAlign w:val="bottom"/>
          </w:tcPr>
          <w:p>
            <w:pPr>
              <w:jc w:val="right"/>
              <w:ind w:right="254"/>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16"/>
        </w:trPr>
        <w:tc>
          <w:tcPr>
            <w:tcW w:w="51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Theme Parks</w:t>
            </w:r>
          </w:p>
        </w:tc>
        <w:tc>
          <w:tcPr>
            <w:tcW w:w="226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96"/>
              <w:spacing w:after="0"/>
              <w:rPr>
                <w:sz w:val="20"/>
                <w:szCs w:val="20"/>
                <w:color w:val="auto"/>
              </w:rPr>
            </w:pPr>
            <w:r>
              <w:rPr>
                <w:rFonts w:ascii="Arial" w:cs="Arial" w:eastAsia="Arial" w:hAnsi="Arial"/>
                <w:sz w:val="18"/>
                <w:szCs w:val="18"/>
                <w:color w:val="auto"/>
              </w:rPr>
              <w:t>896</w:t>
            </w:r>
          </w:p>
        </w:tc>
        <w:tc>
          <w:tcPr>
            <w:tcW w:w="3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214"/>
              <w:spacing w:after="0"/>
              <w:rPr>
                <w:sz w:val="20"/>
                <w:szCs w:val="20"/>
                <w:color w:val="auto"/>
              </w:rPr>
            </w:pPr>
            <w:r>
              <w:rPr>
                <w:rFonts w:ascii="Arial" w:cs="Arial" w:eastAsia="Arial" w:hAnsi="Arial"/>
                <w:sz w:val="18"/>
                <w:szCs w:val="18"/>
                <w:color w:val="auto"/>
              </w:rPr>
              <w:t>786</w:t>
            </w:r>
          </w:p>
        </w:tc>
        <w:tc>
          <w:tcPr>
            <w:tcW w:w="38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97"/>
              <w:spacing w:after="0"/>
              <w:rPr>
                <w:sz w:val="20"/>
                <w:szCs w:val="20"/>
                <w:color w:val="auto"/>
              </w:rPr>
            </w:pPr>
            <w:r>
              <w:rPr>
                <w:rFonts w:ascii="Arial" w:cs="Arial" w:eastAsia="Arial" w:hAnsi="Arial"/>
                <w:sz w:val="18"/>
                <w:szCs w:val="18"/>
                <w:color w:val="auto"/>
              </w:rPr>
              <w:t>110</w:t>
            </w:r>
          </w:p>
        </w:tc>
        <w:tc>
          <w:tcPr>
            <w:tcW w:w="840" w:type="dxa"/>
            <w:vAlign w:val="bottom"/>
            <w:shd w:val="clear" w:color="auto" w:fill="E5E5E5"/>
          </w:tcPr>
          <w:p>
            <w:pPr>
              <w:jc w:val="right"/>
              <w:ind w:right="254"/>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51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Headquarters, other and eliminations</w:t>
            </w:r>
          </w:p>
        </w:tc>
        <w:tc>
          <w:tcPr>
            <w:tcW w:w="22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rPr>
              <w:t>(74)</w:t>
            </w:r>
          </w:p>
        </w:tc>
        <w:tc>
          <w:tcPr>
            <w:tcW w:w="3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(76)</w:t>
            </w:r>
          </w:p>
        </w:tc>
        <w:tc>
          <w:tcPr>
            <w:tcW w:w="3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97"/>
              <w:spacing w:after="0"/>
              <w:rPr>
                <w:sz w:val="20"/>
                <w:szCs w:val="20"/>
                <w:color w:val="auto"/>
              </w:rPr>
            </w:pPr>
            <w:r>
              <w:rPr>
                <w:rFonts w:ascii="Arial" w:cs="Arial" w:eastAsia="Arial" w:hAnsi="Arial"/>
                <w:sz w:val="18"/>
                <w:szCs w:val="18"/>
                <w:color w:val="auto"/>
              </w:rPr>
              <w:t>2</w:t>
            </w:r>
          </w:p>
        </w:tc>
        <w:tc>
          <w:tcPr>
            <w:tcW w:w="8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7"/>
        </w:trPr>
        <w:tc>
          <w:tcPr>
            <w:tcW w:w="51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 revenue</w:t>
            </w:r>
          </w:p>
        </w:tc>
        <w:tc>
          <w:tcPr>
            <w:tcW w:w="2780" w:type="dxa"/>
            <w:vAlign w:val="bottom"/>
            <w:tcBorders>
              <w:bottom w:val="single" w:sz="8" w:color="auto"/>
            </w:tcBorders>
            <w:gridSpan w:val="2"/>
            <w:shd w:val="clear" w:color="auto" w:fill="E5E5E5"/>
          </w:tcPr>
          <w:p>
            <w:pPr>
              <w:jc w:val="right"/>
              <w:ind w:right="20"/>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E5E5E5"/>
          </w:tcPr>
          <w:p>
            <w:pPr>
              <w:jc w:val="right"/>
              <w:ind w:right="196"/>
              <w:spacing w:after="0"/>
              <w:rPr>
                <w:sz w:val="20"/>
                <w:szCs w:val="20"/>
                <w:color w:val="auto"/>
              </w:rPr>
            </w:pPr>
            <w:r>
              <w:rPr>
                <w:rFonts w:ascii="Arial" w:cs="Arial" w:eastAsia="Arial" w:hAnsi="Arial"/>
                <w:sz w:val="18"/>
                <w:szCs w:val="18"/>
                <w:b w:val="1"/>
                <w:bCs w:val="1"/>
                <w:color w:val="auto"/>
                <w:w w:val="93"/>
              </w:rPr>
              <w:t>7,151</w:t>
            </w:r>
          </w:p>
        </w:tc>
        <w:tc>
          <w:tcPr>
            <w:tcW w:w="3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E5E5E5"/>
          </w:tcPr>
          <w:p>
            <w:pPr>
              <w:jc w:val="right"/>
              <w:ind w:right="214"/>
              <w:spacing w:after="0"/>
              <w:rPr>
                <w:sz w:val="20"/>
                <w:szCs w:val="20"/>
                <w:color w:val="auto"/>
              </w:rPr>
            </w:pPr>
            <w:r>
              <w:rPr>
                <w:rFonts w:ascii="Arial" w:cs="Arial" w:eastAsia="Arial" w:hAnsi="Arial"/>
                <w:sz w:val="18"/>
                <w:szCs w:val="18"/>
                <w:b w:val="1"/>
                <w:bCs w:val="1"/>
                <w:color w:val="auto"/>
                <w:w w:val="88"/>
              </w:rPr>
              <w:t>5,921</w:t>
            </w:r>
          </w:p>
        </w:tc>
        <w:tc>
          <w:tcPr>
            <w:tcW w:w="900" w:type="dxa"/>
            <w:vAlign w:val="bottom"/>
            <w:tcBorders>
              <w:bottom w:val="single" w:sz="8" w:color="auto"/>
            </w:tcBorders>
            <w:gridSpan w:val="2"/>
            <w:shd w:val="clear" w:color="auto" w:fill="E5E5E5"/>
          </w:tcPr>
          <w:p>
            <w:pPr>
              <w:jc w:val="right"/>
              <w:ind w:right="97"/>
              <w:spacing w:after="0"/>
              <w:rPr>
                <w:sz w:val="20"/>
                <w:szCs w:val="20"/>
                <w:color w:val="auto"/>
              </w:rPr>
            </w:pPr>
            <w:r>
              <w:rPr>
                <w:rFonts w:ascii="Arial" w:cs="Arial" w:eastAsia="Arial" w:hAnsi="Arial"/>
                <w:sz w:val="18"/>
                <w:szCs w:val="18"/>
                <w:b w:val="1"/>
                <w:bCs w:val="1"/>
                <w:color w:val="auto"/>
              </w:rPr>
              <w:t>$1,230</w:t>
            </w:r>
          </w:p>
        </w:tc>
        <w:tc>
          <w:tcPr>
            <w:tcW w:w="840" w:type="dxa"/>
            <w:vAlign w:val="bottom"/>
            <w:tcBorders>
              <w:bottom w:val="single" w:sz="8" w:color="auto"/>
            </w:tcBorders>
            <w:shd w:val="clear" w:color="auto" w:fill="E5E5E5"/>
          </w:tcPr>
          <w:p>
            <w:pPr>
              <w:jc w:val="right"/>
              <w:ind w:right="74"/>
              <w:spacing w:after="0"/>
              <w:rPr>
                <w:sz w:val="20"/>
                <w:szCs w:val="20"/>
                <w:color w:val="auto"/>
              </w:rPr>
            </w:pPr>
            <w:r>
              <w:rPr>
                <w:rFonts w:ascii="Arial" w:cs="Arial" w:eastAsia="Arial" w:hAnsi="Arial"/>
                <w:sz w:val="18"/>
                <w:szCs w:val="18"/>
                <w:b w:val="1"/>
                <w:bCs w:val="1"/>
                <w:color w:val="auto"/>
              </w:rPr>
              <w:t>20.8%</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2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Cable Networks</w:t>
            </w:r>
          </w:p>
        </w:tc>
        <w:tc>
          <w:tcPr>
            <w:tcW w:w="2780" w:type="dxa"/>
            <w:vAlign w:val="bottom"/>
            <w:gridSpan w:val="2"/>
            <w:shd w:val="clear" w:color="auto" w:fill="E5E5E5"/>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E5E5E5"/>
          </w:tcPr>
          <w:p>
            <w:pPr>
              <w:jc w:val="right"/>
              <w:ind w:right="196"/>
              <w:spacing w:after="0"/>
              <w:rPr>
                <w:sz w:val="20"/>
                <w:szCs w:val="20"/>
                <w:color w:val="auto"/>
              </w:rPr>
            </w:pPr>
            <w:r>
              <w:rPr>
                <w:rFonts w:ascii="Arial" w:cs="Arial" w:eastAsia="Arial" w:hAnsi="Arial"/>
                <w:sz w:val="18"/>
                <w:szCs w:val="18"/>
                <w:color w:val="auto"/>
              </w:rPr>
              <w:t>835</w:t>
            </w:r>
          </w:p>
        </w:tc>
        <w:tc>
          <w:tcPr>
            <w:tcW w:w="3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5E5E5"/>
          </w:tcPr>
          <w:p>
            <w:pPr>
              <w:jc w:val="right"/>
              <w:ind w:right="214"/>
              <w:spacing w:after="0"/>
              <w:rPr>
                <w:sz w:val="20"/>
                <w:szCs w:val="20"/>
                <w:color w:val="auto"/>
              </w:rPr>
            </w:pPr>
            <w:r>
              <w:rPr>
                <w:rFonts w:ascii="Arial" w:cs="Arial" w:eastAsia="Arial" w:hAnsi="Arial"/>
                <w:sz w:val="18"/>
                <w:szCs w:val="18"/>
                <w:color w:val="auto"/>
              </w:rPr>
              <w:t>868</w:t>
            </w:r>
          </w:p>
        </w:tc>
        <w:tc>
          <w:tcPr>
            <w:tcW w:w="3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E5E5E5"/>
          </w:tcPr>
          <w:p>
            <w:pPr>
              <w:jc w:val="right"/>
              <w:ind w:right="37"/>
              <w:spacing w:after="0"/>
              <w:rPr>
                <w:sz w:val="20"/>
                <w:szCs w:val="20"/>
                <w:color w:val="auto"/>
              </w:rPr>
            </w:pPr>
            <w:r>
              <w:rPr>
                <w:rFonts w:ascii="Arial" w:cs="Arial" w:eastAsia="Arial" w:hAnsi="Arial"/>
                <w:sz w:val="18"/>
                <w:szCs w:val="18"/>
                <w:color w:val="auto"/>
              </w:rPr>
              <w:t>(33)</w:t>
            </w:r>
          </w:p>
        </w:tc>
        <w:tc>
          <w:tcPr>
            <w:tcW w:w="840" w:type="dxa"/>
            <w:vAlign w:val="bottom"/>
            <w:shd w:val="clear" w:color="auto" w:fill="E5E5E5"/>
          </w:tcPr>
          <w:p>
            <w:pPr>
              <w:jc w:val="right"/>
              <w:ind w:right="54"/>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5100" w:type="dxa"/>
            <w:vAlign w:val="bottom"/>
          </w:tcPr>
          <w:p>
            <w:pPr>
              <w:ind w:left="440"/>
              <w:spacing w:after="0"/>
              <w:rPr>
                <w:sz w:val="20"/>
                <w:szCs w:val="20"/>
                <w:color w:val="auto"/>
              </w:rPr>
            </w:pPr>
            <w:r>
              <w:rPr>
                <w:rFonts w:ascii="Arial" w:cs="Arial" w:eastAsia="Arial" w:hAnsi="Arial"/>
                <w:sz w:val="18"/>
                <w:szCs w:val="18"/>
                <w:color w:val="auto"/>
              </w:rPr>
              <w:t>Broadcast Television</w:t>
            </w:r>
          </w:p>
        </w:tc>
        <w:tc>
          <w:tcPr>
            <w:tcW w:w="2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jc w:val="right"/>
              <w:ind w:right="196"/>
              <w:spacing w:after="0"/>
              <w:rPr>
                <w:sz w:val="20"/>
                <w:szCs w:val="20"/>
                <w:color w:val="auto"/>
              </w:rPr>
            </w:pPr>
            <w:r>
              <w:rPr>
                <w:rFonts w:ascii="Arial" w:cs="Arial" w:eastAsia="Arial" w:hAnsi="Arial"/>
                <w:sz w:val="18"/>
                <w:szCs w:val="18"/>
                <w:color w:val="auto"/>
              </w:rPr>
              <w:t>150</w:t>
            </w:r>
          </w:p>
        </w:tc>
        <w:tc>
          <w:tcPr>
            <w:tcW w:w="360" w:type="dxa"/>
            <w:vAlign w:val="bottom"/>
          </w:tcPr>
          <w:p>
            <w:pPr>
              <w:spacing w:after="0"/>
              <w:rPr>
                <w:sz w:val="18"/>
                <w:szCs w:val="18"/>
                <w:color w:val="auto"/>
              </w:rPr>
            </w:pPr>
          </w:p>
        </w:tc>
        <w:tc>
          <w:tcPr>
            <w:tcW w:w="720" w:type="dxa"/>
            <w:vAlign w:val="bottom"/>
          </w:tcPr>
          <w:p>
            <w:pPr>
              <w:jc w:val="right"/>
              <w:ind w:right="214"/>
              <w:spacing w:after="0"/>
              <w:rPr>
                <w:sz w:val="20"/>
                <w:szCs w:val="20"/>
                <w:color w:val="auto"/>
              </w:rPr>
            </w:pPr>
            <w:r>
              <w:rPr>
                <w:rFonts w:ascii="Arial" w:cs="Arial" w:eastAsia="Arial" w:hAnsi="Arial"/>
                <w:sz w:val="18"/>
                <w:szCs w:val="18"/>
                <w:color w:val="auto"/>
              </w:rPr>
              <w:t>142</w:t>
            </w:r>
          </w:p>
        </w:tc>
        <w:tc>
          <w:tcPr>
            <w:tcW w:w="380" w:type="dxa"/>
            <w:vAlign w:val="bottom"/>
          </w:tcPr>
          <w:p>
            <w:pPr>
              <w:spacing w:after="0"/>
              <w:rPr>
                <w:sz w:val="18"/>
                <w:szCs w:val="18"/>
                <w:color w:val="auto"/>
              </w:rPr>
            </w:pPr>
          </w:p>
        </w:tc>
        <w:tc>
          <w:tcPr>
            <w:tcW w:w="520" w:type="dxa"/>
            <w:vAlign w:val="bottom"/>
          </w:tcPr>
          <w:p>
            <w:pPr>
              <w:jc w:val="right"/>
              <w:ind w:right="97"/>
              <w:spacing w:after="0"/>
              <w:rPr>
                <w:sz w:val="20"/>
                <w:szCs w:val="20"/>
                <w:color w:val="auto"/>
              </w:rPr>
            </w:pPr>
            <w:r>
              <w:rPr>
                <w:rFonts w:ascii="Arial" w:cs="Arial" w:eastAsia="Arial" w:hAnsi="Arial"/>
                <w:sz w:val="18"/>
                <w:szCs w:val="18"/>
                <w:color w:val="auto"/>
              </w:rPr>
              <w:t>8</w:t>
            </w:r>
          </w:p>
        </w:tc>
        <w:tc>
          <w:tcPr>
            <w:tcW w:w="840" w:type="dxa"/>
            <w:vAlign w:val="bottom"/>
          </w:tcPr>
          <w:p>
            <w:pPr>
              <w:jc w:val="right"/>
              <w:ind w:right="254"/>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51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Filmed Entertainment</w:t>
            </w:r>
          </w:p>
        </w:tc>
        <w:tc>
          <w:tcPr>
            <w:tcW w:w="226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96"/>
              <w:spacing w:after="0"/>
              <w:rPr>
                <w:sz w:val="20"/>
                <w:szCs w:val="20"/>
                <w:color w:val="auto"/>
              </w:rPr>
            </w:pPr>
            <w:r>
              <w:rPr>
                <w:rFonts w:ascii="Arial" w:cs="Arial" w:eastAsia="Arial" w:hAnsi="Arial"/>
                <w:sz w:val="18"/>
                <w:szCs w:val="18"/>
                <w:color w:val="auto"/>
              </w:rPr>
              <w:t>376</w:t>
            </w:r>
          </w:p>
        </w:tc>
        <w:tc>
          <w:tcPr>
            <w:tcW w:w="3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214"/>
              <w:spacing w:after="0"/>
              <w:rPr>
                <w:sz w:val="20"/>
                <w:szCs w:val="20"/>
                <w:color w:val="auto"/>
              </w:rPr>
            </w:pPr>
            <w:r>
              <w:rPr>
                <w:rFonts w:ascii="Arial" w:cs="Arial" w:eastAsia="Arial" w:hAnsi="Arial"/>
                <w:sz w:val="18"/>
                <w:szCs w:val="18"/>
                <w:color w:val="auto"/>
              </w:rPr>
              <w:t>151</w:t>
            </w:r>
          </w:p>
        </w:tc>
        <w:tc>
          <w:tcPr>
            <w:tcW w:w="38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97"/>
              <w:spacing w:after="0"/>
              <w:rPr>
                <w:sz w:val="20"/>
                <w:szCs w:val="20"/>
                <w:color w:val="auto"/>
              </w:rPr>
            </w:pPr>
            <w:r>
              <w:rPr>
                <w:rFonts w:ascii="Arial" w:cs="Arial" w:eastAsia="Arial" w:hAnsi="Arial"/>
                <w:sz w:val="18"/>
                <w:szCs w:val="18"/>
                <w:color w:val="auto"/>
              </w:rPr>
              <w:t>225</w:t>
            </w:r>
          </w:p>
        </w:tc>
        <w:tc>
          <w:tcPr>
            <w:tcW w:w="840" w:type="dxa"/>
            <w:vAlign w:val="bottom"/>
            <w:shd w:val="clear" w:color="auto" w:fill="E5E5E5"/>
          </w:tcPr>
          <w:p>
            <w:pPr>
              <w:jc w:val="right"/>
              <w:ind w:right="254"/>
              <w:spacing w:after="0"/>
              <w:rPr>
                <w:sz w:val="20"/>
                <w:szCs w:val="20"/>
                <w:color w:val="auto"/>
              </w:rPr>
            </w:pPr>
            <w:r>
              <w:rPr>
                <w:rFonts w:ascii="Arial" w:cs="Arial" w:eastAsia="Arial" w:hAnsi="Arial"/>
                <w:sz w:val="18"/>
                <w:szCs w:val="18"/>
                <w:color w:val="auto"/>
              </w:rPr>
              <w:t>149.5</w:t>
            </w:r>
          </w:p>
        </w:tc>
        <w:tc>
          <w:tcPr>
            <w:tcW w:w="0" w:type="dxa"/>
            <w:vAlign w:val="bottom"/>
          </w:tcPr>
          <w:p>
            <w:pPr>
              <w:spacing w:after="0"/>
              <w:rPr>
                <w:sz w:val="1"/>
                <w:szCs w:val="1"/>
                <w:color w:val="auto"/>
              </w:rPr>
            </w:pPr>
          </w:p>
        </w:tc>
      </w:tr>
      <w:tr>
        <w:trPr>
          <w:trHeight w:val="216"/>
        </w:trPr>
        <w:tc>
          <w:tcPr>
            <w:tcW w:w="5100" w:type="dxa"/>
            <w:vAlign w:val="bottom"/>
          </w:tcPr>
          <w:p>
            <w:pPr>
              <w:ind w:left="440"/>
              <w:spacing w:after="0"/>
              <w:rPr>
                <w:sz w:val="20"/>
                <w:szCs w:val="20"/>
                <w:color w:val="auto"/>
              </w:rPr>
            </w:pPr>
            <w:r>
              <w:rPr>
                <w:rFonts w:ascii="Arial" w:cs="Arial" w:eastAsia="Arial" w:hAnsi="Arial"/>
                <w:sz w:val="18"/>
                <w:szCs w:val="18"/>
                <w:color w:val="auto"/>
              </w:rPr>
              <w:t>Theme Parks</w:t>
            </w:r>
          </w:p>
        </w:tc>
        <w:tc>
          <w:tcPr>
            <w:tcW w:w="2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jc w:val="right"/>
              <w:ind w:right="196"/>
              <w:spacing w:after="0"/>
              <w:rPr>
                <w:sz w:val="20"/>
                <w:szCs w:val="20"/>
                <w:color w:val="auto"/>
              </w:rPr>
            </w:pPr>
            <w:r>
              <w:rPr>
                <w:rFonts w:ascii="Arial" w:cs="Arial" w:eastAsia="Arial" w:hAnsi="Arial"/>
                <w:sz w:val="18"/>
                <w:szCs w:val="18"/>
                <w:color w:val="auto"/>
              </w:rPr>
              <w:t>458</w:t>
            </w:r>
          </w:p>
        </w:tc>
        <w:tc>
          <w:tcPr>
            <w:tcW w:w="360" w:type="dxa"/>
            <w:vAlign w:val="bottom"/>
          </w:tcPr>
          <w:p>
            <w:pPr>
              <w:spacing w:after="0"/>
              <w:rPr>
                <w:sz w:val="18"/>
                <w:szCs w:val="18"/>
                <w:color w:val="auto"/>
              </w:rPr>
            </w:pPr>
          </w:p>
        </w:tc>
        <w:tc>
          <w:tcPr>
            <w:tcW w:w="720" w:type="dxa"/>
            <w:vAlign w:val="bottom"/>
          </w:tcPr>
          <w:p>
            <w:pPr>
              <w:jc w:val="right"/>
              <w:ind w:right="214"/>
              <w:spacing w:after="0"/>
              <w:rPr>
                <w:sz w:val="20"/>
                <w:szCs w:val="20"/>
                <w:color w:val="auto"/>
              </w:rPr>
            </w:pPr>
            <w:r>
              <w:rPr>
                <w:rFonts w:ascii="Arial" w:cs="Arial" w:eastAsia="Arial" w:hAnsi="Arial"/>
                <w:sz w:val="18"/>
                <w:szCs w:val="18"/>
                <w:color w:val="auto"/>
              </w:rPr>
              <w:t>402</w:t>
            </w:r>
          </w:p>
        </w:tc>
        <w:tc>
          <w:tcPr>
            <w:tcW w:w="380" w:type="dxa"/>
            <w:vAlign w:val="bottom"/>
          </w:tcPr>
          <w:p>
            <w:pPr>
              <w:spacing w:after="0"/>
              <w:rPr>
                <w:sz w:val="18"/>
                <w:szCs w:val="18"/>
                <w:color w:val="auto"/>
              </w:rPr>
            </w:pPr>
          </w:p>
        </w:tc>
        <w:tc>
          <w:tcPr>
            <w:tcW w:w="520" w:type="dxa"/>
            <w:vAlign w:val="bottom"/>
          </w:tcPr>
          <w:p>
            <w:pPr>
              <w:jc w:val="right"/>
              <w:ind w:right="97"/>
              <w:spacing w:after="0"/>
              <w:rPr>
                <w:sz w:val="20"/>
                <w:szCs w:val="20"/>
                <w:color w:val="auto"/>
              </w:rPr>
            </w:pPr>
            <w:r>
              <w:rPr>
                <w:rFonts w:ascii="Arial" w:cs="Arial" w:eastAsia="Arial" w:hAnsi="Arial"/>
                <w:sz w:val="18"/>
                <w:szCs w:val="18"/>
                <w:color w:val="auto"/>
              </w:rPr>
              <w:t>56</w:t>
            </w:r>
          </w:p>
        </w:tc>
        <w:tc>
          <w:tcPr>
            <w:tcW w:w="840" w:type="dxa"/>
            <w:vAlign w:val="bottom"/>
          </w:tcPr>
          <w:p>
            <w:pPr>
              <w:jc w:val="right"/>
              <w:ind w:right="254"/>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5100" w:type="dxa"/>
            <w:vAlign w:val="bottom"/>
            <w:tcBorders>
              <w:bottom w:val="single" w:sz="8" w:color="auto"/>
            </w:tcBorders>
            <w:shd w:val="clear" w:color="auto" w:fill="E5E5E5"/>
          </w:tcPr>
          <w:p>
            <w:pPr>
              <w:ind w:left="440"/>
              <w:spacing w:after="0"/>
              <w:rPr>
                <w:sz w:val="20"/>
                <w:szCs w:val="20"/>
                <w:color w:val="auto"/>
              </w:rPr>
            </w:pPr>
            <w:r>
              <w:rPr>
                <w:rFonts w:ascii="Arial" w:cs="Arial" w:eastAsia="Arial" w:hAnsi="Arial"/>
                <w:sz w:val="18"/>
                <w:szCs w:val="18"/>
                <w:color w:val="auto"/>
              </w:rPr>
              <w:t>Headquarters, other and eliminations</w:t>
            </w:r>
          </w:p>
        </w:tc>
        <w:tc>
          <w:tcPr>
            <w:tcW w:w="226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6"/>
              <w:spacing w:after="0"/>
              <w:rPr>
                <w:sz w:val="20"/>
                <w:szCs w:val="20"/>
                <w:color w:val="auto"/>
              </w:rPr>
            </w:pPr>
            <w:r>
              <w:rPr>
                <w:rFonts w:ascii="Arial" w:cs="Arial" w:eastAsia="Arial" w:hAnsi="Arial"/>
                <w:sz w:val="18"/>
                <w:szCs w:val="18"/>
                <w:color w:val="auto"/>
              </w:rPr>
              <w:t>(162)</w:t>
            </w:r>
          </w:p>
        </w:tc>
        <w:tc>
          <w:tcPr>
            <w:tcW w:w="3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54"/>
              <w:spacing w:after="0"/>
              <w:rPr>
                <w:sz w:val="20"/>
                <w:szCs w:val="20"/>
                <w:color w:val="auto"/>
              </w:rPr>
            </w:pPr>
            <w:r>
              <w:rPr>
                <w:rFonts w:ascii="Arial" w:cs="Arial" w:eastAsia="Arial" w:hAnsi="Arial"/>
                <w:sz w:val="18"/>
                <w:szCs w:val="18"/>
                <w:color w:val="auto"/>
              </w:rPr>
              <w:t>(147)</w:t>
            </w:r>
          </w:p>
        </w:tc>
        <w:tc>
          <w:tcPr>
            <w:tcW w:w="38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37"/>
              <w:spacing w:after="0"/>
              <w:rPr>
                <w:sz w:val="20"/>
                <w:szCs w:val="20"/>
                <w:color w:val="auto"/>
              </w:rPr>
            </w:pPr>
            <w:r>
              <w:rPr>
                <w:rFonts w:ascii="Arial" w:cs="Arial" w:eastAsia="Arial" w:hAnsi="Arial"/>
                <w:sz w:val="18"/>
                <w:szCs w:val="18"/>
                <w:color w:val="auto"/>
              </w:rPr>
              <w:t>(15)</w:t>
            </w:r>
          </w:p>
        </w:tc>
        <w:tc>
          <w:tcPr>
            <w:tcW w:w="84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7"/>
        </w:trPr>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7"/>
              </w:rPr>
              <w:t>Total operating income before depreciation and amortization</w:t>
            </w:r>
          </w:p>
        </w:tc>
        <w:tc>
          <w:tcPr>
            <w:tcW w:w="2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196"/>
              <w:spacing w:after="0"/>
              <w:rPr>
                <w:sz w:val="20"/>
                <w:szCs w:val="20"/>
                <w:color w:val="auto"/>
              </w:rPr>
            </w:pPr>
            <w:r>
              <w:rPr>
                <w:rFonts w:ascii="Arial" w:cs="Arial" w:eastAsia="Arial" w:hAnsi="Arial"/>
                <w:sz w:val="18"/>
                <w:szCs w:val="18"/>
                <w:b w:val="1"/>
                <w:bCs w:val="1"/>
                <w:color w:val="auto"/>
                <w:w w:val="93"/>
              </w:rPr>
              <w:t>1,657</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214"/>
              <w:spacing w:after="0"/>
              <w:rPr>
                <w:sz w:val="20"/>
                <w:szCs w:val="20"/>
                <w:color w:val="auto"/>
              </w:rPr>
            </w:pPr>
            <w:r>
              <w:rPr>
                <w:rFonts w:ascii="Arial" w:cs="Arial" w:eastAsia="Arial" w:hAnsi="Arial"/>
                <w:sz w:val="18"/>
                <w:szCs w:val="18"/>
                <w:b w:val="1"/>
                <w:bCs w:val="1"/>
                <w:color w:val="auto"/>
                <w:w w:val="88"/>
              </w:rPr>
              <w:t>1,416</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tcPr>
          <w:p>
            <w:pPr>
              <w:jc w:val="right"/>
              <w:ind w:right="97"/>
              <w:spacing w:after="0"/>
              <w:rPr>
                <w:sz w:val="20"/>
                <w:szCs w:val="20"/>
                <w:color w:val="auto"/>
              </w:rPr>
            </w:pPr>
            <w:r>
              <w:rPr>
                <w:rFonts w:ascii="Arial" w:cs="Arial" w:eastAsia="Arial" w:hAnsi="Arial"/>
                <w:sz w:val="18"/>
                <w:szCs w:val="18"/>
                <w:b w:val="1"/>
                <w:bCs w:val="1"/>
                <w:color w:val="auto"/>
              </w:rPr>
              <w:t>241</w:t>
            </w:r>
          </w:p>
        </w:tc>
        <w:tc>
          <w:tcPr>
            <w:tcW w:w="84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17.0%</w:t>
            </w:r>
          </w:p>
        </w:tc>
        <w:tc>
          <w:tcPr>
            <w:tcW w:w="0" w:type="dxa"/>
            <w:vAlign w:val="bottom"/>
          </w:tcPr>
          <w:p>
            <w:pPr>
              <w:spacing w:after="0"/>
              <w:rPr>
                <w:sz w:val="1"/>
                <w:szCs w:val="1"/>
                <w:color w:val="auto"/>
              </w:rPr>
            </w:pPr>
          </w:p>
        </w:tc>
      </w:tr>
      <w:tr>
        <w:trPr>
          <w:trHeight w:val="363"/>
        </w:trPr>
        <w:tc>
          <w:tcPr>
            <w:tcW w:w="5100" w:type="dxa"/>
            <w:vAlign w:val="bottom"/>
          </w:tcPr>
          <w:p>
            <w:pPr>
              <w:spacing w:after="0"/>
              <w:rPr>
                <w:sz w:val="24"/>
                <w:szCs w:val="24"/>
                <w:color w:val="auto"/>
              </w:rPr>
            </w:pPr>
          </w:p>
        </w:tc>
        <w:tc>
          <w:tcPr>
            <w:tcW w:w="2260" w:type="dxa"/>
            <w:vAlign w:val="bottom"/>
          </w:tcPr>
          <w:p>
            <w:pPr>
              <w:jc w:val="right"/>
              <w:ind w:right="1452"/>
              <w:spacing w:after="0"/>
              <w:rPr>
                <w:sz w:val="20"/>
                <w:szCs w:val="20"/>
                <w:color w:val="auto"/>
              </w:rPr>
            </w:pPr>
            <w:r>
              <w:rPr>
                <w:rFonts w:ascii="Arial" w:cs="Arial" w:eastAsia="Arial" w:hAnsi="Arial"/>
                <w:sz w:val="18"/>
                <w:szCs w:val="18"/>
                <w:color w:val="auto"/>
              </w:rPr>
              <w:t>33</w:t>
            </w: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760" w:type="dxa"/>
            <w:vAlign w:val="bottom"/>
            <w:gridSpan w:val="3"/>
          </w:tcPr>
          <w:p>
            <w:pPr>
              <w:jc w:val="right"/>
              <w:ind w:right="414"/>
              <w:spacing w:after="0"/>
              <w:rPr>
                <w:sz w:val="20"/>
                <w:szCs w:val="20"/>
                <w:color w:val="auto"/>
              </w:rPr>
            </w:pPr>
            <w:r>
              <w:rPr>
                <w:rFonts w:ascii="Arial" w:cs="Arial" w:eastAsia="Arial" w:hAnsi="Arial"/>
                <w:sz w:val="14"/>
                <w:szCs w:val="14"/>
                <w:color w:val="auto"/>
              </w:rPr>
              <w:t>Nine Months Ended</w:t>
            </w:r>
          </w:p>
        </w:tc>
        <w:tc>
          <w:tcPr>
            <w:tcW w:w="300" w:type="dxa"/>
            <w:vAlign w:val="bottom"/>
          </w:tcPr>
          <w:p>
            <w:pPr>
              <w:spacing w:after="0"/>
              <w:rPr>
                <w:sz w:val="14"/>
                <w:szCs w:val="14"/>
                <w:color w:val="auto"/>
              </w:rPr>
            </w:pPr>
          </w:p>
        </w:tc>
        <w:tc>
          <w:tcPr>
            <w:tcW w:w="1240" w:type="dxa"/>
            <w:vAlign w:val="bottom"/>
            <w:gridSpan w:val="2"/>
          </w:tcPr>
          <w:p>
            <w:pPr>
              <w:jc w:val="right"/>
              <w:ind w:right="474"/>
              <w:spacing w:after="0"/>
              <w:rPr>
                <w:sz w:val="20"/>
                <w:szCs w:val="20"/>
                <w:color w:val="auto"/>
              </w:rPr>
            </w:pPr>
            <w:r>
              <w:rPr>
                <w:rFonts w:ascii="Arial" w:cs="Arial" w:eastAsia="Arial" w:hAnsi="Arial"/>
                <w:sz w:val="14"/>
                <w:szCs w:val="14"/>
                <w:color w:val="auto"/>
              </w:rPr>
              <w:t>Increase/</w:t>
            </w:r>
          </w:p>
        </w:tc>
        <w:tc>
          <w:tcPr>
            <w:tcW w:w="0" w:type="dxa"/>
            <w:vAlign w:val="bottom"/>
          </w:tcPr>
          <w:p>
            <w:pPr>
              <w:spacing w:after="0"/>
              <w:rPr>
                <w:sz w:val="1"/>
                <w:szCs w:val="1"/>
                <w:color w:val="auto"/>
              </w:rPr>
            </w:pPr>
          </w:p>
        </w:tc>
      </w:tr>
      <w:tr>
        <w:trPr>
          <w:trHeight w:val="159"/>
        </w:trPr>
        <w:tc>
          <w:tcPr>
            <w:tcW w:w="770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42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3"/>
          </w:tcPr>
          <w:p>
            <w:pPr>
              <w:jc w:val="right"/>
              <w:ind w:right="594"/>
              <w:spacing w:after="0" w:line="159" w:lineRule="exact"/>
              <w:rPr>
                <w:sz w:val="20"/>
                <w:szCs w:val="20"/>
                <w:color w:val="auto"/>
              </w:rPr>
            </w:pPr>
            <w:r>
              <w:rPr>
                <w:rFonts w:ascii="Arial" w:cs="Arial" w:eastAsia="Arial" w:hAnsi="Arial"/>
                <w:sz w:val="14"/>
                <w:szCs w:val="14"/>
                <w:color w:val="auto"/>
              </w:rPr>
              <w:t>September 30</w:t>
            </w:r>
          </w:p>
        </w:tc>
        <w:tc>
          <w:tcPr>
            <w:tcW w:w="3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2"/>
          </w:tcPr>
          <w:p>
            <w:pPr>
              <w:jc w:val="right"/>
              <w:ind w:right="414"/>
              <w:spacing w:after="0" w:line="159" w:lineRule="exact"/>
              <w:rPr>
                <w:sz w:val="20"/>
                <w:szCs w:val="20"/>
                <w:color w:val="auto"/>
              </w:rPr>
            </w:pPr>
            <w:r>
              <w:rPr>
                <w:rFonts w:ascii="Arial" w:cs="Arial" w:eastAsia="Arial" w:hAnsi="Arial"/>
                <w:sz w:val="14"/>
                <w:szCs w:val="14"/>
                <w:color w:val="auto"/>
              </w:rPr>
              <w:t>(Decrease)</w:t>
            </w:r>
          </w:p>
        </w:tc>
        <w:tc>
          <w:tcPr>
            <w:tcW w:w="0" w:type="dxa"/>
            <w:vAlign w:val="bottom"/>
          </w:tcPr>
          <w:p>
            <w:pPr>
              <w:spacing w:after="0"/>
              <w:rPr>
                <w:sz w:val="1"/>
                <w:szCs w:val="1"/>
                <w:color w:val="auto"/>
              </w:rPr>
            </w:pPr>
          </w:p>
        </w:tc>
      </w:tr>
      <w:tr>
        <w:trPr>
          <w:trHeight w:val="142"/>
        </w:trPr>
        <w:tc>
          <w:tcPr>
            <w:tcW w:w="7700" w:type="dxa"/>
            <w:vAlign w:val="bottom"/>
            <w:tcBorders>
              <w:bottom w:val="single" w:sz="8" w:color="auto"/>
            </w:tcBorders>
            <w:vMerge w:val="continue"/>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16"/>
              <w:spacing w:after="0" w:line="142" w:lineRule="exact"/>
              <w:rPr>
                <w:sz w:val="20"/>
                <w:szCs w:val="20"/>
                <w:color w:val="auto"/>
              </w:rPr>
            </w:pPr>
            <w:r>
              <w:rPr>
                <w:rFonts w:ascii="Arial" w:cs="Arial" w:eastAsia="Arial" w:hAnsi="Arial"/>
                <w:sz w:val="14"/>
                <w:szCs w:val="14"/>
                <w:color w:val="auto"/>
              </w:rPr>
              <w:t>2015</w:t>
            </w:r>
          </w:p>
        </w:tc>
        <w:tc>
          <w:tcPr>
            <w:tcW w:w="2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14"/>
              <w:spacing w:after="0" w:line="142" w:lineRule="exact"/>
              <w:rPr>
                <w:sz w:val="20"/>
                <w:szCs w:val="20"/>
                <w:color w:val="auto"/>
              </w:rPr>
            </w:pPr>
            <w:r>
              <w:rPr>
                <w:rFonts w:ascii="Arial" w:cs="Arial" w:eastAsia="Arial" w:hAnsi="Arial"/>
                <w:sz w:val="14"/>
                <w:szCs w:val="14"/>
                <w:color w:val="auto"/>
              </w:rPr>
              <w:t>2014</w:t>
            </w:r>
          </w:p>
        </w:tc>
        <w:tc>
          <w:tcPr>
            <w:tcW w:w="3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297"/>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770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42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440"/>
              <w:spacing w:after="0"/>
              <w:rPr>
                <w:sz w:val="20"/>
                <w:szCs w:val="20"/>
                <w:color w:val="auto"/>
              </w:rPr>
            </w:pPr>
            <w:r>
              <w:rPr>
                <w:rFonts w:ascii="Arial" w:cs="Arial" w:eastAsia="Arial" w:hAnsi="Arial"/>
                <w:sz w:val="18"/>
                <w:szCs w:val="18"/>
                <w:color w:val="auto"/>
              </w:rPr>
              <w:t>Cable Networks</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56"/>
              <w:spacing w:after="0"/>
              <w:rPr>
                <w:sz w:val="20"/>
                <w:szCs w:val="20"/>
                <w:color w:val="auto"/>
              </w:rPr>
            </w:pPr>
            <w:r>
              <w:rPr>
                <w:rFonts w:ascii="Arial" w:cs="Arial" w:eastAsia="Arial" w:hAnsi="Arial"/>
                <w:sz w:val="18"/>
                <w:szCs w:val="18"/>
                <w:color w:val="auto"/>
              </w:rPr>
              <w:t>7,221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54"/>
              <w:spacing w:after="0"/>
              <w:rPr>
                <w:sz w:val="20"/>
                <w:szCs w:val="20"/>
                <w:color w:val="auto"/>
              </w:rPr>
            </w:pPr>
            <w:r>
              <w:rPr>
                <w:rFonts w:ascii="Arial" w:cs="Arial" w:eastAsia="Arial" w:hAnsi="Arial"/>
                <w:sz w:val="18"/>
                <w:szCs w:val="18"/>
                <w:color w:val="auto"/>
              </w:rPr>
              <w:t>7,236</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7"/>
              <w:spacing w:after="0"/>
              <w:rPr>
                <w:sz w:val="20"/>
                <w:szCs w:val="20"/>
                <w:color w:val="auto"/>
              </w:rPr>
            </w:pPr>
            <w:r>
              <w:rPr>
                <w:rFonts w:ascii="Arial" w:cs="Arial" w:eastAsia="Arial" w:hAnsi="Arial"/>
                <w:sz w:val="18"/>
                <w:szCs w:val="18"/>
                <w:color w:val="auto"/>
              </w:rPr>
              <w:t>(15)</w:t>
            </w:r>
          </w:p>
        </w:tc>
        <w:tc>
          <w:tcPr>
            <w:tcW w:w="68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77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Broadcast Television</w:t>
            </w:r>
          </w:p>
        </w:tc>
        <w:tc>
          <w:tcPr>
            <w:tcW w:w="42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56"/>
              <w:spacing w:after="0"/>
              <w:rPr>
                <w:sz w:val="20"/>
                <w:szCs w:val="20"/>
                <w:color w:val="auto"/>
              </w:rPr>
            </w:pPr>
            <w:r>
              <w:rPr>
                <w:rFonts w:ascii="Arial" w:cs="Arial" w:eastAsia="Arial" w:hAnsi="Arial"/>
                <w:sz w:val="18"/>
                <w:szCs w:val="18"/>
                <w:color w:val="auto"/>
              </w:rPr>
              <w:t>6,032</w:t>
            </w:r>
          </w:p>
        </w:tc>
        <w:tc>
          <w:tcPr>
            <w:tcW w:w="2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6,207</w:t>
            </w:r>
          </w:p>
        </w:tc>
        <w:tc>
          <w:tcPr>
            <w:tcW w:w="30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7"/>
              <w:spacing w:after="0"/>
              <w:rPr>
                <w:sz w:val="20"/>
                <w:szCs w:val="20"/>
                <w:color w:val="auto"/>
              </w:rPr>
            </w:pPr>
            <w:r>
              <w:rPr>
                <w:rFonts w:ascii="Arial" w:cs="Arial" w:eastAsia="Arial" w:hAnsi="Arial"/>
                <w:sz w:val="18"/>
                <w:szCs w:val="18"/>
                <w:color w:val="auto"/>
              </w:rPr>
              <w:t>(175)</w:t>
            </w:r>
          </w:p>
        </w:tc>
        <w:tc>
          <w:tcPr>
            <w:tcW w:w="680" w:type="dxa"/>
            <w:vAlign w:val="bottom"/>
            <w:shd w:val="clear" w:color="auto" w:fill="E5E5E5"/>
          </w:tcPr>
          <w:p>
            <w:pPr>
              <w:jc w:val="right"/>
              <w:ind w:right="114"/>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7700" w:type="dxa"/>
            <w:vAlign w:val="bottom"/>
          </w:tcPr>
          <w:p>
            <w:pPr>
              <w:ind w:left="440"/>
              <w:spacing w:after="0"/>
              <w:rPr>
                <w:sz w:val="20"/>
                <w:szCs w:val="20"/>
                <w:color w:val="auto"/>
              </w:rPr>
            </w:pPr>
            <w:r>
              <w:rPr>
                <w:rFonts w:ascii="Arial" w:cs="Arial" w:eastAsia="Arial" w:hAnsi="Arial"/>
                <w:sz w:val="18"/>
                <w:szCs w:val="18"/>
                <w:color w:val="auto"/>
              </w:rPr>
              <w:t>Filmed Entertainment</w:t>
            </w:r>
          </w:p>
        </w:tc>
        <w:tc>
          <w:tcPr>
            <w:tcW w:w="420" w:type="dxa"/>
            <w:vAlign w:val="bottom"/>
          </w:tcPr>
          <w:p>
            <w:pPr>
              <w:spacing w:after="0"/>
              <w:rPr>
                <w:sz w:val="18"/>
                <w:szCs w:val="18"/>
                <w:color w:val="auto"/>
              </w:rPr>
            </w:pPr>
          </w:p>
        </w:tc>
        <w:tc>
          <w:tcPr>
            <w:tcW w:w="740" w:type="dxa"/>
            <w:vAlign w:val="bottom"/>
          </w:tcPr>
          <w:p>
            <w:pPr>
              <w:jc w:val="right"/>
              <w:ind w:right="156"/>
              <w:spacing w:after="0"/>
              <w:rPr>
                <w:sz w:val="20"/>
                <w:szCs w:val="20"/>
                <w:color w:val="auto"/>
              </w:rPr>
            </w:pPr>
            <w:r>
              <w:rPr>
                <w:rFonts w:ascii="Arial" w:cs="Arial" w:eastAsia="Arial" w:hAnsi="Arial"/>
                <w:sz w:val="18"/>
                <w:szCs w:val="18"/>
                <w:color w:val="auto"/>
              </w:rPr>
              <w:t>5,658</w:t>
            </w:r>
          </w:p>
        </w:tc>
        <w:tc>
          <w:tcPr>
            <w:tcW w:w="280" w:type="dxa"/>
            <w:vAlign w:val="bottom"/>
          </w:tcPr>
          <w:p>
            <w:pPr>
              <w:spacing w:after="0"/>
              <w:rPr>
                <w:sz w:val="18"/>
                <w:szCs w:val="18"/>
                <w:color w:val="auto"/>
              </w:rPr>
            </w:pPr>
          </w:p>
        </w:tc>
        <w:tc>
          <w:tcPr>
            <w:tcW w:w="740" w:type="dxa"/>
            <w:vAlign w:val="bottom"/>
          </w:tcPr>
          <w:p>
            <w:pPr>
              <w:jc w:val="right"/>
              <w:ind w:right="154"/>
              <w:spacing w:after="0"/>
              <w:rPr>
                <w:sz w:val="20"/>
                <w:szCs w:val="20"/>
                <w:color w:val="auto"/>
              </w:rPr>
            </w:pPr>
            <w:r>
              <w:rPr>
                <w:rFonts w:ascii="Arial" w:cs="Arial" w:eastAsia="Arial" w:hAnsi="Arial"/>
                <w:sz w:val="18"/>
                <w:szCs w:val="18"/>
                <w:color w:val="auto"/>
              </w:rPr>
              <w:t>3,713</w:t>
            </w:r>
          </w:p>
        </w:tc>
        <w:tc>
          <w:tcPr>
            <w:tcW w:w="300" w:type="dxa"/>
            <w:vAlign w:val="bottom"/>
          </w:tcPr>
          <w:p>
            <w:pPr>
              <w:spacing w:after="0"/>
              <w:rPr>
                <w:sz w:val="18"/>
                <w:szCs w:val="18"/>
                <w:color w:val="auto"/>
              </w:rPr>
            </w:pPr>
          </w:p>
        </w:tc>
        <w:tc>
          <w:tcPr>
            <w:tcW w:w="560" w:type="dxa"/>
            <w:vAlign w:val="bottom"/>
          </w:tcPr>
          <w:p>
            <w:pPr>
              <w:jc w:val="right"/>
              <w:ind w:right="77"/>
              <w:spacing w:after="0"/>
              <w:rPr>
                <w:sz w:val="20"/>
                <w:szCs w:val="20"/>
                <w:color w:val="auto"/>
              </w:rPr>
            </w:pPr>
            <w:r>
              <w:rPr>
                <w:rFonts w:ascii="Arial" w:cs="Arial" w:eastAsia="Arial" w:hAnsi="Arial"/>
                <w:sz w:val="18"/>
                <w:szCs w:val="18"/>
                <w:color w:val="auto"/>
                <w:w w:val="84"/>
              </w:rPr>
              <w:t>1,945</w:t>
            </w:r>
          </w:p>
        </w:tc>
        <w:tc>
          <w:tcPr>
            <w:tcW w:w="680" w:type="dxa"/>
            <w:vAlign w:val="bottom"/>
          </w:tcPr>
          <w:p>
            <w:pPr>
              <w:jc w:val="right"/>
              <w:ind w:right="174"/>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16"/>
        </w:trPr>
        <w:tc>
          <w:tcPr>
            <w:tcW w:w="77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Theme Parks</w:t>
            </w:r>
          </w:p>
        </w:tc>
        <w:tc>
          <w:tcPr>
            <w:tcW w:w="42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56"/>
              <w:spacing w:after="0"/>
              <w:rPr>
                <w:sz w:val="20"/>
                <w:szCs w:val="20"/>
                <w:color w:val="auto"/>
              </w:rPr>
            </w:pPr>
            <w:r>
              <w:rPr>
                <w:rFonts w:ascii="Arial" w:cs="Arial" w:eastAsia="Arial" w:hAnsi="Arial"/>
                <w:sz w:val="18"/>
                <w:szCs w:val="18"/>
                <w:color w:val="auto"/>
              </w:rPr>
              <w:t>2,320</w:t>
            </w:r>
          </w:p>
        </w:tc>
        <w:tc>
          <w:tcPr>
            <w:tcW w:w="2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1,888</w:t>
            </w:r>
          </w:p>
        </w:tc>
        <w:tc>
          <w:tcPr>
            <w:tcW w:w="30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77"/>
              <w:spacing w:after="0"/>
              <w:rPr>
                <w:sz w:val="20"/>
                <w:szCs w:val="20"/>
                <w:color w:val="auto"/>
              </w:rPr>
            </w:pPr>
            <w:r>
              <w:rPr>
                <w:rFonts w:ascii="Arial" w:cs="Arial" w:eastAsia="Arial" w:hAnsi="Arial"/>
                <w:sz w:val="18"/>
                <w:szCs w:val="18"/>
                <w:color w:val="auto"/>
              </w:rPr>
              <w:t>432</w:t>
            </w:r>
          </w:p>
        </w:tc>
        <w:tc>
          <w:tcPr>
            <w:tcW w:w="680" w:type="dxa"/>
            <w:vAlign w:val="bottom"/>
            <w:shd w:val="clear" w:color="auto" w:fill="E5E5E5"/>
          </w:tcPr>
          <w:p>
            <w:pPr>
              <w:jc w:val="right"/>
              <w:ind w:right="174"/>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6"/>
        </w:trPr>
        <w:tc>
          <w:tcPr>
            <w:tcW w:w="77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Headquarters, other and eliminations</w:t>
            </w:r>
          </w:p>
        </w:tc>
        <w:tc>
          <w:tcPr>
            <w:tcW w:w="4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rPr>
              <w:t>(246)</w:t>
            </w: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(231)</w:t>
            </w:r>
          </w:p>
        </w:tc>
        <w:tc>
          <w:tcPr>
            <w:tcW w:w="3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(15)</w:t>
            </w:r>
          </w:p>
        </w:tc>
        <w:tc>
          <w:tcPr>
            <w:tcW w:w="68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7"/>
        </w:trPr>
        <w:tc>
          <w:tcPr>
            <w:tcW w:w="77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 revenue</w:t>
            </w:r>
          </w:p>
        </w:tc>
        <w:tc>
          <w:tcPr>
            <w:tcW w:w="4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shd w:val="clear" w:color="auto" w:fill="E5E5E5"/>
          </w:tcPr>
          <w:p>
            <w:pPr>
              <w:jc w:val="right"/>
              <w:ind w:right="156"/>
              <w:spacing w:after="0"/>
              <w:rPr>
                <w:sz w:val="20"/>
                <w:szCs w:val="20"/>
                <w:color w:val="auto"/>
              </w:rPr>
            </w:pPr>
            <w:r>
              <w:rPr>
                <w:rFonts w:ascii="Arial" w:cs="Arial" w:eastAsia="Arial" w:hAnsi="Arial"/>
                <w:sz w:val="18"/>
                <w:szCs w:val="18"/>
                <w:b w:val="1"/>
                <w:bCs w:val="1"/>
                <w:color w:val="auto"/>
                <w:w w:val="87"/>
              </w:rPr>
              <w:t>20,985</w:t>
            </w:r>
          </w:p>
        </w:tc>
        <w:tc>
          <w:tcPr>
            <w:tcW w:w="2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shd w:val="clear" w:color="auto" w:fill="E5E5E5"/>
          </w:tcPr>
          <w:p>
            <w:pPr>
              <w:jc w:val="right"/>
              <w:ind w:right="154"/>
              <w:spacing w:after="0"/>
              <w:rPr>
                <w:sz w:val="20"/>
                <w:szCs w:val="20"/>
                <w:color w:val="auto"/>
              </w:rPr>
            </w:pPr>
            <w:r>
              <w:rPr>
                <w:rFonts w:ascii="Arial" w:cs="Arial" w:eastAsia="Arial" w:hAnsi="Arial"/>
                <w:sz w:val="18"/>
                <w:szCs w:val="18"/>
                <w:b w:val="1"/>
                <w:bCs w:val="1"/>
                <w:color w:val="auto"/>
                <w:w w:val="87"/>
              </w:rPr>
              <w:t>18,813</w:t>
            </w:r>
          </w:p>
        </w:tc>
        <w:tc>
          <w:tcPr>
            <w:tcW w:w="860" w:type="dxa"/>
            <w:vAlign w:val="bottom"/>
            <w:tcBorders>
              <w:bottom w:val="single" w:sz="8" w:color="auto"/>
            </w:tcBorders>
            <w:gridSpan w:val="2"/>
            <w:shd w:val="clear" w:color="auto" w:fill="E5E5E5"/>
          </w:tcPr>
          <w:p>
            <w:pPr>
              <w:jc w:val="right"/>
              <w:ind w:right="77"/>
              <w:spacing w:after="0"/>
              <w:rPr>
                <w:sz w:val="20"/>
                <w:szCs w:val="20"/>
                <w:color w:val="auto"/>
              </w:rPr>
            </w:pPr>
            <w:r>
              <w:rPr>
                <w:rFonts w:ascii="Arial" w:cs="Arial" w:eastAsia="Arial" w:hAnsi="Arial"/>
                <w:sz w:val="18"/>
                <w:szCs w:val="18"/>
                <w:b w:val="1"/>
                <w:bCs w:val="1"/>
                <w:color w:val="auto"/>
              </w:rPr>
              <w:t>$2,172</w:t>
            </w: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11.5%</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Cable Networks</w:t>
            </w:r>
          </w:p>
        </w:tc>
        <w:tc>
          <w:tcPr>
            <w:tcW w:w="4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E5E5E5"/>
          </w:tcPr>
          <w:p>
            <w:pPr>
              <w:jc w:val="right"/>
              <w:ind w:right="156"/>
              <w:spacing w:after="0"/>
              <w:rPr>
                <w:sz w:val="20"/>
                <w:szCs w:val="20"/>
                <w:color w:val="auto"/>
              </w:rPr>
            </w:pPr>
            <w:r>
              <w:rPr>
                <w:rFonts w:ascii="Arial" w:cs="Arial" w:eastAsia="Arial" w:hAnsi="Arial"/>
                <w:sz w:val="18"/>
                <w:szCs w:val="18"/>
                <w:color w:val="auto"/>
              </w:rPr>
              <w:t>2,605</w:t>
            </w:r>
          </w:p>
        </w:tc>
        <w:tc>
          <w:tcPr>
            <w:tcW w:w="2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2,677</w:t>
            </w:r>
          </w:p>
        </w:tc>
        <w:tc>
          <w:tcPr>
            <w:tcW w:w="3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E5E5E5"/>
          </w:tcPr>
          <w:p>
            <w:pPr>
              <w:jc w:val="right"/>
              <w:ind w:right="17"/>
              <w:spacing w:after="0"/>
              <w:rPr>
                <w:sz w:val="20"/>
                <w:szCs w:val="20"/>
                <w:color w:val="auto"/>
              </w:rPr>
            </w:pPr>
            <w:r>
              <w:rPr>
                <w:rFonts w:ascii="Arial" w:cs="Arial" w:eastAsia="Arial" w:hAnsi="Arial"/>
                <w:sz w:val="18"/>
                <w:szCs w:val="18"/>
                <w:color w:val="auto"/>
              </w:rPr>
              <w:t>(72)</w:t>
            </w: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7700" w:type="dxa"/>
            <w:vAlign w:val="bottom"/>
          </w:tcPr>
          <w:p>
            <w:pPr>
              <w:ind w:left="440"/>
              <w:spacing w:after="0"/>
              <w:rPr>
                <w:sz w:val="20"/>
                <w:szCs w:val="20"/>
                <w:color w:val="auto"/>
              </w:rPr>
            </w:pPr>
            <w:r>
              <w:rPr>
                <w:rFonts w:ascii="Arial" w:cs="Arial" w:eastAsia="Arial" w:hAnsi="Arial"/>
                <w:sz w:val="18"/>
                <w:szCs w:val="18"/>
                <w:color w:val="auto"/>
              </w:rPr>
              <w:t>Broadcast Television</w:t>
            </w:r>
          </w:p>
        </w:tc>
        <w:tc>
          <w:tcPr>
            <w:tcW w:w="420" w:type="dxa"/>
            <w:vAlign w:val="bottom"/>
          </w:tcPr>
          <w:p>
            <w:pPr>
              <w:spacing w:after="0"/>
              <w:rPr>
                <w:sz w:val="18"/>
                <w:szCs w:val="18"/>
                <w:color w:val="auto"/>
              </w:rPr>
            </w:pPr>
          </w:p>
        </w:tc>
        <w:tc>
          <w:tcPr>
            <w:tcW w:w="740" w:type="dxa"/>
            <w:vAlign w:val="bottom"/>
          </w:tcPr>
          <w:p>
            <w:pPr>
              <w:jc w:val="right"/>
              <w:ind w:right="156"/>
              <w:spacing w:after="0"/>
              <w:rPr>
                <w:sz w:val="20"/>
                <w:szCs w:val="20"/>
                <w:color w:val="auto"/>
              </w:rPr>
            </w:pPr>
            <w:r>
              <w:rPr>
                <w:rFonts w:ascii="Arial" w:cs="Arial" w:eastAsia="Arial" w:hAnsi="Arial"/>
                <w:sz w:val="18"/>
                <w:szCs w:val="18"/>
                <w:color w:val="auto"/>
              </w:rPr>
              <w:t>563</w:t>
            </w:r>
          </w:p>
        </w:tc>
        <w:tc>
          <w:tcPr>
            <w:tcW w:w="280" w:type="dxa"/>
            <w:vAlign w:val="bottom"/>
          </w:tcPr>
          <w:p>
            <w:pPr>
              <w:spacing w:after="0"/>
              <w:rPr>
                <w:sz w:val="18"/>
                <w:szCs w:val="18"/>
                <w:color w:val="auto"/>
              </w:rPr>
            </w:pPr>
          </w:p>
        </w:tc>
        <w:tc>
          <w:tcPr>
            <w:tcW w:w="740" w:type="dxa"/>
            <w:vAlign w:val="bottom"/>
          </w:tcPr>
          <w:p>
            <w:pPr>
              <w:jc w:val="right"/>
              <w:ind w:right="154"/>
              <w:spacing w:after="0"/>
              <w:rPr>
                <w:sz w:val="20"/>
                <w:szCs w:val="20"/>
                <w:color w:val="auto"/>
              </w:rPr>
            </w:pPr>
            <w:r>
              <w:rPr>
                <w:rFonts w:ascii="Arial" w:cs="Arial" w:eastAsia="Arial" w:hAnsi="Arial"/>
                <w:sz w:val="18"/>
                <w:szCs w:val="18"/>
                <w:color w:val="auto"/>
              </w:rPr>
              <w:t>504</w:t>
            </w:r>
          </w:p>
        </w:tc>
        <w:tc>
          <w:tcPr>
            <w:tcW w:w="300" w:type="dxa"/>
            <w:vAlign w:val="bottom"/>
          </w:tcPr>
          <w:p>
            <w:pPr>
              <w:spacing w:after="0"/>
              <w:rPr>
                <w:sz w:val="18"/>
                <w:szCs w:val="18"/>
                <w:color w:val="auto"/>
              </w:rPr>
            </w:pPr>
          </w:p>
        </w:tc>
        <w:tc>
          <w:tcPr>
            <w:tcW w:w="560" w:type="dxa"/>
            <w:vAlign w:val="bottom"/>
          </w:tcPr>
          <w:p>
            <w:pPr>
              <w:jc w:val="right"/>
              <w:ind w:right="77"/>
              <w:spacing w:after="0"/>
              <w:rPr>
                <w:sz w:val="20"/>
                <w:szCs w:val="20"/>
                <w:color w:val="auto"/>
              </w:rPr>
            </w:pPr>
            <w:r>
              <w:rPr>
                <w:rFonts w:ascii="Arial" w:cs="Arial" w:eastAsia="Arial" w:hAnsi="Arial"/>
                <w:sz w:val="18"/>
                <w:szCs w:val="18"/>
                <w:color w:val="auto"/>
              </w:rPr>
              <w:t>59</w:t>
            </w:r>
          </w:p>
        </w:tc>
        <w:tc>
          <w:tcPr>
            <w:tcW w:w="680" w:type="dxa"/>
            <w:vAlign w:val="bottom"/>
          </w:tcPr>
          <w:p>
            <w:pPr>
              <w:jc w:val="right"/>
              <w:ind w:right="174"/>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77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Filmed Entertainment</w:t>
            </w:r>
          </w:p>
        </w:tc>
        <w:tc>
          <w:tcPr>
            <w:tcW w:w="42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56"/>
              <w:spacing w:after="0"/>
              <w:rPr>
                <w:sz w:val="20"/>
                <w:szCs w:val="20"/>
                <w:color w:val="auto"/>
              </w:rPr>
            </w:pPr>
            <w:r>
              <w:rPr>
                <w:rFonts w:ascii="Arial" w:cs="Arial" w:eastAsia="Arial" w:hAnsi="Arial"/>
                <w:sz w:val="18"/>
                <w:szCs w:val="18"/>
                <w:color w:val="auto"/>
              </w:rPr>
              <w:t>1,091</w:t>
            </w:r>
          </w:p>
        </w:tc>
        <w:tc>
          <w:tcPr>
            <w:tcW w:w="2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634</w:t>
            </w:r>
          </w:p>
        </w:tc>
        <w:tc>
          <w:tcPr>
            <w:tcW w:w="30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77"/>
              <w:spacing w:after="0"/>
              <w:rPr>
                <w:sz w:val="20"/>
                <w:szCs w:val="20"/>
                <w:color w:val="auto"/>
              </w:rPr>
            </w:pPr>
            <w:r>
              <w:rPr>
                <w:rFonts w:ascii="Arial" w:cs="Arial" w:eastAsia="Arial" w:hAnsi="Arial"/>
                <w:sz w:val="18"/>
                <w:szCs w:val="18"/>
                <w:color w:val="auto"/>
              </w:rPr>
              <w:t>457</w:t>
            </w:r>
          </w:p>
        </w:tc>
        <w:tc>
          <w:tcPr>
            <w:tcW w:w="680" w:type="dxa"/>
            <w:vAlign w:val="bottom"/>
            <w:shd w:val="clear" w:color="auto" w:fill="E5E5E5"/>
          </w:tcPr>
          <w:p>
            <w:pPr>
              <w:jc w:val="right"/>
              <w:ind w:right="174"/>
              <w:spacing w:after="0"/>
              <w:rPr>
                <w:sz w:val="20"/>
                <w:szCs w:val="20"/>
                <w:color w:val="auto"/>
              </w:rPr>
            </w:pPr>
            <w:r>
              <w:rPr>
                <w:rFonts w:ascii="Arial" w:cs="Arial" w:eastAsia="Arial" w:hAnsi="Arial"/>
                <w:sz w:val="18"/>
                <w:szCs w:val="18"/>
                <w:color w:val="auto"/>
              </w:rPr>
              <w:t>72.2</w:t>
            </w:r>
          </w:p>
        </w:tc>
        <w:tc>
          <w:tcPr>
            <w:tcW w:w="0" w:type="dxa"/>
            <w:vAlign w:val="bottom"/>
          </w:tcPr>
          <w:p>
            <w:pPr>
              <w:spacing w:after="0"/>
              <w:rPr>
                <w:sz w:val="1"/>
                <w:szCs w:val="1"/>
                <w:color w:val="auto"/>
              </w:rPr>
            </w:pPr>
          </w:p>
        </w:tc>
      </w:tr>
      <w:tr>
        <w:trPr>
          <w:trHeight w:val="216"/>
        </w:trPr>
        <w:tc>
          <w:tcPr>
            <w:tcW w:w="7700" w:type="dxa"/>
            <w:vAlign w:val="bottom"/>
          </w:tcPr>
          <w:p>
            <w:pPr>
              <w:ind w:left="440"/>
              <w:spacing w:after="0"/>
              <w:rPr>
                <w:sz w:val="20"/>
                <w:szCs w:val="20"/>
                <w:color w:val="auto"/>
              </w:rPr>
            </w:pPr>
            <w:r>
              <w:rPr>
                <w:rFonts w:ascii="Arial" w:cs="Arial" w:eastAsia="Arial" w:hAnsi="Arial"/>
                <w:sz w:val="18"/>
                <w:szCs w:val="18"/>
                <w:color w:val="auto"/>
              </w:rPr>
              <w:t>Theme Parks</w:t>
            </w:r>
          </w:p>
        </w:tc>
        <w:tc>
          <w:tcPr>
            <w:tcW w:w="420" w:type="dxa"/>
            <w:vAlign w:val="bottom"/>
          </w:tcPr>
          <w:p>
            <w:pPr>
              <w:spacing w:after="0"/>
              <w:rPr>
                <w:sz w:val="18"/>
                <w:szCs w:val="18"/>
                <w:color w:val="auto"/>
              </w:rPr>
            </w:pPr>
          </w:p>
        </w:tc>
        <w:tc>
          <w:tcPr>
            <w:tcW w:w="740" w:type="dxa"/>
            <w:vAlign w:val="bottom"/>
          </w:tcPr>
          <w:p>
            <w:pPr>
              <w:jc w:val="right"/>
              <w:ind w:right="156"/>
              <w:spacing w:after="0"/>
              <w:rPr>
                <w:sz w:val="20"/>
                <w:szCs w:val="20"/>
                <w:color w:val="auto"/>
              </w:rPr>
            </w:pPr>
            <w:r>
              <w:rPr>
                <w:rFonts w:ascii="Arial" w:cs="Arial" w:eastAsia="Arial" w:hAnsi="Arial"/>
                <w:sz w:val="18"/>
                <w:szCs w:val="18"/>
                <w:color w:val="auto"/>
              </w:rPr>
              <w:t>1,075</w:t>
            </w:r>
          </w:p>
        </w:tc>
        <w:tc>
          <w:tcPr>
            <w:tcW w:w="280" w:type="dxa"/>
            <w:vAlign w:val="bottom"/>
          </w:tcPr>
          <w:p>
            <w:pPr>
              <w:spacing w:after="0"/>
              <w:rPr>
                <w:sz w:val="18"/>
                <w:szCs w:val="18"/>
                <w:color w:val="auto"/>
              </w:rPr>
            </w:pPr>
          </w:p>
        </w:tc>
        <w:tc>
          <w:tcPr>
            <w:tcW w:w="740" w:type="dxa"/>
            <w:vAlign w:val="bottom"/>
          </w:tcPr>
          <w:p>
            <w:pPr>
              <w:jc w:val="right"/>
              <w:ind w:right="154"/>
              <w:spacing w:after="0"/>
              <w:rPr>
                <w:sz w:val="20"/>
                <w:szCs w:val="20"/>
                <w:color w:val="auto"/>
              </w:rPr>
            </w:pPr>
            <w:r>
              <w:rPr>
                <w:rFonts w:ascii="Arial" w:cs="Arial" w:eastAsia="Arial" w:hAnsi="Arial"/>
                <w:sz w:val="18"/>
                <w:szCs w:val="18"/>
                <w:color w:val="auto"/>
              </w:rPr>
              <w:t>816</w:t>
            </w:r>
          </w:p>
        </w:tc>
        <w:tc>
          <w:tcPr>
            <w:tcW w:w="300" w:type="dxa"/>
            <w:vAlign w:val="bottom"/>
          </w:tcPr>
          <w:p>
            <w:pPr>
              <w:spacing w:after="0"/>
              <w:rPr>
                <w:sz w:val="18"/>
                <w:szCs w:val="18"/>
                <w:color w:val="auto"/>
              </w:rPr>
            </w:pPr>
          </w:p>
        </w:tc>
        <w:tc>
          <w:tcPr>
            <w:tcW w:w="560" w:type="dxa"/>
            <w:vAlign w:val="bottom"/>
          </w:tcPr>
          <w:p>
            <w:pPr>
              <w:jc w:val="right"/>
              <w:ind w:right="77"/>
              <w:spacing w:after="0"/>
              <w:rPr>
                <w:sz w:val="20"/>
                <w:szCs w:val="20"/>
                <w:color w:val="auto"/>
              </w:rPr>
            </w:pPr>
            <w:r>
              <w:rPr>
                <w:rFonts w:ascii="Arial" w:cs="Arial" w:eastAsia="Arial" w:hAnsi="Arial"/>
                <w:sz w:val="18"/>
                <w:szCs w:val="18"/>
                <w:color w:val="auto"/>
              </w:rPr>
              <w:t>259</w:t>
            </w:r>
          </w:p>
        </w:tc>
        <w:tc>
          <w:tcPr>
            <w:tcW w:w="680" w:type="dxa"/>
            <w:vAlign w:val="bottom"/>
          </w:tcPr>
          <w:p>
            <w:pPr>
              <w:jc w:val="right"/>
              <w:ind w:right="174"/>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16"/>
        </w:trPr>
        <w:tc>
          <w:tcPr>
            <w:tcW w:w="7700" w:type="dxa"/>
            <w:vAlign w:val="bottom"/>
            <w:tcBorders>
              <w:bottom w:val="single" w:sz="8" w:color="auto"/>
            </w:tcBorders>
            <w:shd w:val="clear" w:color="auto" w:fill="E5E5E5"/>
          </w:tcPr>
          <w:p>
            <w:pPr>
              <w:ind w:left="440"/>
              <w:spacing w:after="0"/>
              <w:rPr>
                <w:sz w:val="20"/>
                <w:szCs w:val="20"/>
                <w:color w:val="auto"/>
              </w:rPr>
            </w:pPr>
            <w:r>
              <w:rPr>
                <w:rFonts w:ascii="Arial" w:cs="Arial" w:eastAsia="Arial" w:hAnsi="Arial"/>
                <w:sz w:val="18"/>
                <w:szCs w:val="18"/>
                <w:color w:val="auto"/>
              </w:rPr>
              <w:t>Headquarters, other and eliminations</w:t>
            </w:r>
          </w:p>
        </w:tc>
        <w:tc>
          <w:tcPr>
            <w:tcW w:w="42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16"/>
              <w:spacing w:after="0"/>
              <w:rPr>
                <w:sz w:val="20"/>
                <w:szCs w:val="20"/>
                <w:color w:val="auto"/>
              </w:rPr>
            </w:pPr>
            <w:r>
              <w:rPr>
                <w:rFonts w:ascii="Arial" w:cs="Arial" w:eastAsia="Arial" w:hAnsi="Arial"/>
                <w:sz w:val="18"/>
                <w:szCs w:val="18"/>
                <w:color w:val="auto"/>
              </w:rPr>
              <w:t>(471)</w:t>
            </w:r>
          </w:p>
        </w:tc>
        <w:tc>
          <w:tcPr>
            <w:tcW w:w="28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94"/>
              <w:spacing w:after="0"/>
              <w:rPr>
                <w:sz w:val="20"/>
                <w:szCs w:val="20"/>
                <w:color w:val="auto"/>
              </w:rPr>
            </w:pPr>
            <w:r>
              <w:rPr>
                <w:rFonts w:ascii="Arial" w:cs="Arial" w:eastAsia="Arial" w:hAnsi="Arial"/>
                <w:sz w:val="18"/>
                <w:szCs w:val="18"/>
                <w:color w:val="auto"/>
              </w:rPr>
              <w:t>(470)</w:t>
            </w:r>
          </w:p>
        </w:tc>
        <w:tc>
          <w:tcPr>
            <w:tcW w:w="30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17"/>
              <w:spacing w:after="0"/>
              <w:rPr>
                <w:sz w:val="20"/>
                <w:szCs w:val="20"/>
                <w:color w:val="auto"/>
              </w:rPr>
            </w:pPr>
            <w:r>
              <w:rPr>
                <w:rFonts w:ascii="Arial" w:cs="Arial" w:eastAsia="Arial" w:hAnsi="Arial"/>
                <w:sz w:val="18"/>
                <w:szCs w:val="18"/>
                <w:color w:val="auto"/>
              </w:rPr>
              <w:t>(1)</w:t>
            </w:r>
          </w:p>
        </w:tc>
        <w:tc>
          <w:tcPr>
            <w:tcW w:w="680" w:type="dxa"/>
            <w:vAlign w:val="bottom"/>
            <w:tcBorders>
              <w:bottom w:val="single" w:sz="8" w:color="auto"/>
            </w:tcBorders>
            <w:shd w:val="clear" w:color="auto" w:fill="E5E5E5"/>
          </w:tcPr>
          <w:p>
            <w:pPr>
              <w:jc w:val="right"/>
              <w:ind w:right="174"/>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7"/>
        </w:trPr>
        <w:tc>
          <w:tcPr>
            <w:tcW w:w="7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operating income before depreciation and amortization</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b w:val="1"/>
                <w:bCs w:val="1"/>
                <w:color w:val="auto"/>
              </w:rPr>
              <w:t>4,863</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b w:val="1"/>
                <w:bCs w:val="1"/>
                <w:color w:val="auto"/>
              </w:rPr>
              <w:t>4,161</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b w:val="1"/>
                <w:bCs w:val="1"/>
                <w:color w:val="auto"/>
              </w:rPr>
              <w:t>702</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16.9%</w:t>
            </w: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Cable Networks Segment Results of Operations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40" w:type="dxa"/>
            <w:vAlign w:val="bottom"/>
            <w:gridSpan w:val="3"/>
          </w:tcPr>
          <w:p>
            <w:pPr>
              <w:jc w:val="right"/>
              <w:ind w:right="413"/>
              <w:spacing w:after="0"/>
              <w:rPr>
                <w:sz w:val="20"/>
                <w:szCs w:val="20"/>
                <w:color w:val="auto"/>
              </w:rPr>
            </w:pPr>
            <w:r>
              <w:rPr>
                <w:rFonts w:ascii="Arial" w:cs="Arial" w:eastAsia="Arial" w:hAnsi="Arial"/>
                <w:sz w:val="14"/>
                <w:szCs w:val="14"/>
                <w:color w:val="auto"/>
              </w:rPr>
              <w:t>Three Months Ended</w:t>
            </w:r>
          </w:p>
        </w:tc>
        <w:tc>
          <w:tcPr>
            <w:tcW w:w="1520" w:type="dxa"/>
            <w:vAlign w:val="bottom"/>
            <w:gridSpan w:val="2"/>
          </w:tcPr>
          <w:p>
            <w:pPr>
              <w:jc w:val="right"/>
              <w:ind w:right="474"/>
              <w:spacing w:after="0"/>
              <w:rPr>
                <w:sz w:val="20"/>
                <w:szCs w:val="20"/>
                <w:color w:val="auto"/>
              </w:rPr>
            </w:pPr>
            <w:r>
              <w:rPr>
                <w:rFonts w:ascii="Arial" w:cs="Arial" w:eastAsia="Arial" w:hAnsi="Arial"/>
                <w:sz w:val="14"/>
                <w:szCs w:val="14"/>
                <w:color w:val="auto"/>
              </w:rPr>
              <w:t>Increase/</w:t>
            </w:r>
          </w:p>
        </w:tc>
        <w:tc>
          <w:tcPr>
            <w:tcW w:w="0" w:type="dxa"/>
            <w:vAlign w:val="bottom"/>
          </w:tcPr>
          <w:p>
            <w:pPr>
              <w:spacing w:after="0"/>
              <w:rPr>
                <w:sz w:val="1"/>
                <w:szCs w:val="1"/>
                <w:color w:val="auto"/>
              </w:rPr>
            </w:pPr>
          </w:p>
        </w:tc>
      </w:tr>
      <w:tr>
        <w:trPr>
          <w:trHeight w:val="159"/>
        </w:trPr>
        <w:tc>
          <w:tcPr>
            <w:tcW w:w="490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272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September 30</w:t>
            </w:r>
          </w:p>
        </w:tc>
        <w:tc>
          <w:tcPr>
            <w:tcW w:w="68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2"/>
          </w:tcPr>
          <w:p>
            <w:pPr>
              <w:jc w:val="right"/>
              <w:ind w:right="434"/>
              <w:spacing w:after="0" w:line="159" w:lineRule="exact"/>
              <w:rPr>
                <w:sz w:val="20"/>
                <w:szCs w:val="20"/>
                <w:color w:val="auto"/>
              </w:rPr>
            </w:pPr>
            <w:r>
              <w:rPr>
                <w:rFonts w:ascii="Arial" w:cs="Arial" w:eastAsia="Arial" w:hAnsi="Arial"/>
                <w:sz w:val="14"/>
                <w:szCs w:val="14"/>
                <w:color w:val="auto"/>
              </w:rPr>
              <w:t>(Decrease)</w:t>
            </w:r>
          </w:p>
        </w:tc>
        <w:tc>
          <w:tcPr>
            <w:tcW w:w="0" w:type="dxa"/>
            <w:vAlign w:val="bottom"/>
          </w:tcPr>
          <w:p>
            <w:pPr>
              <w:spacing w:after="0"/>
              <w:rPr>
                <w:sz w:val="1"/>
                <w:szCs w:val="1"/>
                <w:color w:val="auto"/>
              </w:rPr>
            </w:pPr>
          </w:p>
        </w:tc>
      </w:tr>
      <w:tr>
        <w:trPr>
          <w:trHeight w:val="142"/>
        </w:trPr>
        <w:tc>
          <w:tcPr>
            <w:tcW w:w="4900" w:type="dxa"/>
            <w:vAlign w:val="bottom"/>
            <w:gridSpan w:val="2"/>
            <w:vMerge w:val="continue"/>
          </w:tcPr>
          <w:p>
            <w:pPr>
              <w:spacing w:after="0"/>
              <w:rPr>
                <w:sz w:val="12"/>
                <w:szCs w:val="12"/>
                <w:color w:val="auto"/>
              </w:rPr>
            </w:pPr>
          </w:p>
        </w:tc>
        <w:tc>
          <w:tcPr>
            <w:tcW w:w="2720" w:type="dxa"/>
            <w:vAlign w:val="bottom"/>
          </w:tcPr>
          <w:p>
            <w:pPr>
              <w:spacing w:after="0"/>
              <w:rPr>
                <w:sz w:val="12"/>
                <w:szCs w:val="12"/>
                <w:color w:val="auto"/>
              </w:rPr>
            </w:pPr>
          </w:p>
        </w:tc>
        <w:tc>
          <w:tcPr>
            <w:tcW w:w="1240" w:type="dxa"/>
            <w:vAlign w:val="bottom"/>
            <w:gridSpan w:val="2"/>
          </w:tcPr>
          <w:p>
            <w:pPr>
              <w:jc w:val="right"/>
              <w:ind w:right="352"/>
              <w:spacing w:after="0" w:line="142" w:lineRule="exact"/>
              <w:rPr>
                <w:sz w:val="20"/>
                <w:szCs w:val="20"/>
                <w:color w:val="auto"/>
              </w:rPr>
            </w:pPr>
            <w:r>
              <w:rPr>
                <w:rFonts w:ascii="Arial" w:cs="Arial" w:eastAsia="Arial" w:hAnsi="Arial"/>
                <w:sz w:val="14"/>
                <w:szCs w:val="14"/>
                <w:color w:val="auto"/>
              </w:rPr>
              <w:t>2015</w:t>
            </w:r>
          </w:p>
        </w:tc>
        <w:tc>
          <w:tcPr>
            <w:tcW w:w="1040" w:type="dxa"/>
            <w:vAlign w:val="bottom"/>
            <w:gridSpan w:val="2"/>
          </w:tcPr>
          <w:p>
            <w:pPr>
              <w:jc w:val="right"/>
              <w:ind w:right="333"/>
              <w:spacing w:after="0" w:line="142" w:lineRule="exact"/>
              <w:rPr>
                <w:sz w:val="20"/>
                <w:szCs w:val="20"/>
                <w:color w:val="auto"/>
              </w:rPr>
            </w:pPr>
            <w:r>
              <w:rPr>
                <w:rFonts w:ascii="Arial" w:cs="Arial" w:eastAsia="Arial" w:hAnsi="Arial"/>
                <w:sz w:val="14"/>
                <w:szCs w:val="14"/>
                <w:color w:val="auto"/>
              </w:rPr>
              <w:t>2014</w:t>
            </w:r>
          </w:p>
        </w:tc>
        <w:tc>
          <w:tcPr>
            <w:tcW w:w="780" w:type="dxa"/>
            <w:vAlign w:val="bottom"/>
          </w:tcPr>
          <w:p>
            <w:pPr>
              <w:jc w:val="right"/>
              <w:ind w:right="237"/>
              <w:spacing w:after="0" w:line="142"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374"/>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2720" w:type="dxa"/>
            <w:vAlign w:val="bottom"/>
            <w:tcBorders>
              <w:top w:val="single" w:sz="8" w:color="auto"/>
            </w:tcBorders>
            <w:shd w:val="clear" w:color="auto" w:fill="E5E5E5"/>
          </w:tcPr>
          <w:p>
            <w:pPr>
              <w:spacing w:after="0"/>
              <w:rPr>
                <w:sz w:val="18"/>
                <w:szCs w:val="18"/>
                <w:color w:val="auto"/>
              </w:rPr>
            </w:pPr>
          </w:p>
        </w:tc>
        <w:tc>
          <w:tcPr>
            <w:tcW w:w="40" w:type="dxa"/>
            <w:vAlign w:val="bottom"/>
            <w:tcBorders>
              <w:top w:val="single" w:sz="8" w:color="auto"/>
            </w:tcBorders>
            <w:shd w:val="clear" w:color="auto" w:fill="E5E5E5"/>
          </w:tcPr>
          <w:p>
            <w:pPr>
              <w:spacing w:after="0"/>
              <w:rPr>
                <w:sz w:val="18"/>
                <w:szCs w:val="18"/>
                <w:color w:val="auto"/>
              </w:rPr>
            </w:pPr>
          </w:p>
        </w:tc>
        <w:tc>
          <w:tcPr>
            <w:tcW w:w="1200" w:type="dxa"/>
            <w:vAlign w:val="bottom"/>
            <w:tcBorders>
              <w:top w:val="single" w:sz="8" w:color="auto"/>
            </w:tcBorders>
            <w:shd w:val="clear" w:color="auto" w:fill="E5E5E5"/>
          </w:tcPr>
          <w:p>
            <w:pPr>
              <w:spacing w:after="0"/>
              <w:rPr>
                <w:sz w:val="18"/>
                <w:szCs w:val="18"/>
                <w:color w:val="auto"/>
              </w:rPr>
            </w:pPr>
          </w:p>
        </w:tc>
        <w:tc>
          <w:tcPr>
            <w:tcW w:w="360" w:type="dxa"/>
            <w:vAlign w:val="bottom"/>
            <w:tcBorders>
              <w:top w:val="single" w:sz="8" w:color="auto"/>
            </w:tcBorders>
            <w:shd w:val="clear" w:color="auto" w:fill="E5E5E5"/>
          </w:tcPr>
          <w:p>
            <w:pPr>
              <w:spacing w:after="0"/>
              <w:rPr>
                <w:sz w:val="18"/>
                <w:szCs w:val="18"/>
                <w:color w:val="auto"/>
              </w:rPr>
            </w:pPr>
          </w:p>
        </w:tc>
        <w:tc>
          <w:tcPr>
            <w:tcW w:w="680" w:type="dxa"/>
            <w:vAlign w:val="bottom"/>
            <w:tcBorders>
              <w:top w:val="single" w:sz="8" w:color="auto"/>
            </w:tcBorders>
            <w:shd w:val="clear" w:color="auto" w:fill="E5E5E5"/>
          </w:tcPr>
          <w:p>
            <w:pPr>
              <w:spacing w:after="0"/>
              <w:rPr>
                <w:sz w:val="18"/>
                <w:szCs w:val="18"/>
                <w:color w:val="auto"/>
              </w:rPr>
            </w:pPr>
          </w:p>
        </w:tc>
        <w:tc>
          <w:tcPr>
            <w:tcW w:w="780" w:type="dxa"/>
            <w:vAlign w:val="bottom"/>
            <w:tcBorders>
              <w:top w:val="single" w:sz="8" w:color="auto"/>
            </w:tcBorders>
            <w:shd w:val="clear" w:color="auto" w:fill="E5E5E5"/>
          </w:tcPr>
          <w:p>
            <w:pPr>
              <w:spacing w:after="0"/>
              <w:rPr>
                <w:sz w:val="18"/>
                <w:szCs w:val="18"/>
                <w:color w:val="auto"/>
              </w:rPr>
            </w:pPr>
          </w:p>
        </w:tc>
        <w:tc>
          <w:tcPr>
            <w:tcW w:w="74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420"/>
              <w:spacing w:after="0"/>
              <w:rPr>
                <w:sz w:val="20"/>
                <w:szCs w:val="20"/>
                <w:color w:val="auto"/>
              </w:rPr>
            </w:pPr>
            <w:r>
              <w:rPr>
                <w:rFonts w:ascii="Arial" w:cs="Arial" w:eastAsia="Arial" w:hAnsi="Arial"/>
                <w:sz w:val="18"/>
                <w:szCs w:val="18"/>
                <w:color w:val="auto"/>
              </w:rPr>
              <w:t>Distribution</w:t>
            </w:r>
          </w:p>
        </w:tc>
        <w:tc>
          <w:tcPr>
            <w:tcW w:w="3960" w:type="dxa"/>
            <w:vAlign w:val="bottom"/>
            <w:gridSpan w:val="3"/>
          </w:tcPr>
          <w:p>
            <w:pPr>
              <w:jc w:val="right"/>
              <w:ind w:right="212"/>
              <w:spacing w:after="0"/>
              <w:rPr>
                <w:sz w:val="20"/>
                <w:szCs w:val="20"/>
                <w:color w:val="auto"/>
              </w:rPr>
            </w:pPr>
            <w:r>
              <w:rPr>
                <w:rFonts w:ascii="Arial" w:cs="Arial" w:eastAsia="Arial" w:hAnsi="Arial"/>
                <w:sz w:val="18"/>
                <w:szCs w:val="18"/>
                <w:color w:val="auto"/>
              </w:rPr>
              <w:t>$ 1,392</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93"/>
              <w:spacing w:after="0"/>
              <w:rPr>
                <w:sz w:val="20"/>
                <w:szCs w:val="20"/>
                <w:color w:val="auto"/>
              </w:rPr>
            </w:pPr>
            <w:r>
              <w:rPr>
                <w:rFonts w:ascii="Arial" w:cs="Arial" w:eastAsia="Arial" w:hAnsi="Arial"/>
                <w:sz w:val="18"/>
                <w:szCs w:val="18"/>
                <w:color w:val="auto"/>
                <w:w w:val="84"/>
              </w:rPr>
              <w:t>1,281</w:t>
            </w:r>
          </w:p>
        </w:tc>
        <w:tc>
          <w:tcPr>
            <w:tcW w:w="780" w:type="dxa"/>
            <w:vAlign w:val="bottom"/>
          </w:tcPr>
          <w:p>
            <w:pPr>
              <w:jc w:val="right"/>
              <w:ind w:right="97"/>
              <w:spacing w:after="0"/>
              <w:rPr>
                <w:sz w:val="20"/>
                <w:szCs w:val="20"/>
                <w:color w:val="auto"/>
              </w:rPr>
            </w:pPr>
            <w:r>
              <w:rPr>
                <w:rFonts w:ascii="Arial" w:cs="Arial" w:eastAsia="Arial" w:hAnsi="Arial"/>
                <w:sz w:val="18"/>
                <w:szCs w:val="18"/>
                <w:color w:val="auto"/>
              </w:rPr>
              <w:t>$ 111</w:t>
            </w:r>
          </w:p>
        </w:tc>
        <w:tc>
          <w:tcPr>
            <w:tcW w:w="740" w:type="dxa"/>
            <w:vAlign w:val="bottom"/>
          </w:tcPr>
          <w:p>
            <w:pPr>
              <w:jc w:val="right"/>
              <w:ind w:right="114"/>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Advertising</w:t>
            </w:r>
          </w:p>
        </w:tc>
        <w:tc>
          <w:tcPr>
            <w:tcW w:w="3960" w:type="dxa"/>
            <w:vAlign w:val="bottom"/>
            <w:gridSpan w:val="3"/>
            <w:shd w:val="clear" w:color="auto" w:fill="E5E5E5"/>
          </w:tcPr>
          <w:p>
            <w:pPr>
              <w:jc w:val="right"/>
              <w:ind w:right="212"/>
              <w:spacing w:after="0"/>
              <w:rPr>
                <w:sz w:val="20"/>
                <w:szCs w:val="20"/>
                <w:color w:val="auto"/>
              </w:rPr>
            </w:pPr>
            <w:r>
              <w:rPr>
                <w:rFonts w:ascii="Arial" w:cs="Arial" w:eastAsia="Arial" w:hAnsi="Arial"/>
                <w:sz w:val="18"/>
                <w:szCs w:val="18"/>
                <w:color w:val="auto"/>
              </w:rPr>
              <w:t>813</w:t>
            </w:r>
          </w:p>
        </w:tc>
        <w:tc>
          <w:tcPr>
            <w:tcW w:w="36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rPr>
              <w:t>796</w:t>
            </w:r>
          </w:p>
        </w:tc>
        <w:tc>
          <w:tcPr>
            <w:tcW w:w="780" w:type="dxa"/>
            <w:vAlign w:val="bottom"/>
            <w:shd w:val="clear" w:color="auto" w:fill="E5E5E5"/>
          </w:tcPr>
          <w:p>
            <w:pPr>
              <w:jc w:val="right"/>
              <w:ind w:right="97"/>
              <w:spacing w:after="0"/>
              <w:rPr>
                <w:sz w:val="20"/>
                <w:szCs w:val="20"/>
                <w:color w:val="auto"/>
              </w:rPr>
            </w:pPr>
            <w:r>
              <w:rPr>
                <w:rFonts w:ascii="Arial" w:cs="Arial" w:eastAsia="Arial" w:hAnsi="Arial"/>
                <w:sz w:val="18"/>
                <w:szCs w:val="18"/>
                <w:color w:val="auto"/>
              </w:rPr>
              <w:t>17</w:t>
            </w:r>
          </w:p>
        </w:tc>
        <w:tc>
          <w:tcPr>
            <w:tcW w:w="740" w:type="dxa"/>
            <w:vAlign w:val="bottom"/>
            <w:shd w:val="clear" w:color="auto" w:fill="E5E5E5"/>
          </w:tcPr>
          <w:p>
            <w:pPr>
              <w:jc w:val="right"/>
              <w:ind w:right="254"/>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Content licensing and other</w:t>
            </w:r>
          </w:p>
        </w:tc>
        <w:tc>
          <w:tcPr>
            <w:tcW w:w="3960" w:type="dxa"/>
            <w:vAlign w:val="bottom"/>
            <w:tcBorders>
              <w:bottom w:val="single" w:sz="8" w:color="auto"/>
            </w:tcBorders>
            <w:gridSpan w:val="3"/>
          </w:tcPr>
          <w:p>
            <w:pPr>
              <w:jc w:val="right"/>
              <w:ind w:right="212"/>
              <w:spacing w:after="0"/>
              <w:rPr>
                <w:sz w:val="20"/>
                <w:szCs w:val="20"/>
                <w:color w:val="auto"/>
              </w:rPr>
            </w:pPr>
            <w:r>
              <w:rPr>
                <w:rFonts w:ascii="Arial" w:cs="Arial" w:eastAsia="Arial" w:hAnsi="Arial"/>
                <w:sz w:val="18"/>
                <w:szCs w:val="18"/>
                <w:color w:val="auto"/>
              </w:rPr>
              <w:t>207</w:t>
            </w:r>
          </w:p>
        </w:tc>
        <w:tc>
          <w:tcPr>
            <w:tcW w:w="3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178</w:t>
            </w:r>
          </w:p>
        </w:tc>
        <w:tc>
          <w:tcPr>
            <w:tcW w:w="780" w:type="dxa"/>
            <w:vAlign w:val="bottom"/>
            <w:tcBorders>
              <w:bottom w:val="single" w:sz="8" w:color="auto"/>
            </w:tcBorders>
          </w:tcPr>
          <w:p>
            <w:pPr>
              <w:jc w:val="right"/>
              <w:ind w:right="97"/>
              <w:spacing w:after="0"/>
              <w:rPr>
                <w:sz w:val="20"/>
                <w:szCs w:val="20"/>
                <w:color w:val="auto"/>
              </w:rPr>
            </w:pPr>
            <w:r>
              <w:rPr>
                <w:rFonts w:ascii="Arial" w:cs="Arial" w:eastAsia="Arial" w:hAnsi="Arial"/>
                <w:sz w:val="18"/>
                <w:szCs w:val="18"/>
                <w:color w:val="auto"/>
              </w:rPr>
              <w:t>29</w:t>
            </w:r>
          </w:p>
        </w:tc>
        <w:tc>
          <w:tcPr>
            <w:tcW w:w="740" w:type="dxa"/>
            <w:vAlign w:val="bottom"/>
            <w:tcBorders>
              <w:bottom w:val="single" w:sz="8" w:color="auto"/>
            </w:tcBorders>
          </w:tcPr>
          <w:p>
            <w:pPr>
              <w:jc w:val="right"/>
              <w:ind w:right="254"/>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Total revenue</w:t>
            </w:r>
          </w:p>
        </w:tc>
        <w:tc>
          <w:tcPr>
            <w:tcW w:w="3960" w:type="dxa"/>
            <w:vAlign w:val="bottom"/>
            <w:gridSpan w:val="3"/>
            <w:shd w:val="clear" w:color="auto" w:fill="E5E5E5"/>
          </w:tcPr>
          <w:p>
            <w:pPr>
              <w:jc w:val="right"/>
              <w:ind w:right="212"/>
              <w:spacing w:after="0"/>
              <w:rPr>
                <w:sz w:val="20"/>
                <w:szCs w:val="20"/>
                <w:color w:val="auto"/>
              </w:rPr>
            </w:pPr>
            <w:r>
              <w:rPr>
                <w:rFonts w:ascii="Arial" w:cs="Arial" w:eastAsia="Arial" w:hAnsi="Arial"/>
                <w:sz w:val="18"/>
                <w:szCs w:val="18"/>
                <w:b w:val="1"/>
                <w:bCs w:val="1"/>
                <w:color w:val="auto"/>
              </w:rPr>
              <w:t>2,412</w:t>
            </w:r>
          </w:p>
        </w:tc>
        <w:tc>
          <w:tcPr>
            <w:tcW w:w="36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93"/>
              <w:spacing w:after="0"/>
              <w:rPr>
                <w:sz w:val="20"/>
                <w:szCs w:val="20"/>
                <w:color w:val="auto"/>
              </w:rPr>
            </w:pPr>
            <w:r>
              <w:rPr>
                <w:rFonts w:ascii="Arial" w:cs="Arial" w:eastAsia="Arial" w:hAnsi="Arial"/>
                <w:sz w:val="18"/>
                <w:szCs w:val="18"/>
                <w:b w:val="1"/>
                <w:bCs w:val="1"/>
                <w:color w:val="auto"/>
                <w:w w:val="84"/>
              </w:rPr>
              <w:t>2,255</w:t>
            </w:r>
          </w:p>
        </w:tc>
        <w:tc>
          <w:tcPr>
            <w:tcW w:w="780" w:type="dxa"/>
            <w:vAlign w:val="bottom"/>
            <w:shd w:val="clear" w:color="auto" w:fill="E5E5E5"/>
          </w:tcPr>
          <w:p>
            <w:pPr>
              <w:jc w:val="right"/>
              <w:ind w:right="97"/>
              <w:spacing w:after="0"/>
              <w:rPr>
                <w:sz w:val="20"/>
                <w:szCs w:val="20"/>
                <w:color w:val="auto"/>
              </w:rPr>
            </w:pPr>
            <w:r>
              <w:rPr>
                <w:rFonts w:ascii="Arial" w:cs="Arial" w:eastAsia="Arial" w:hAnsi="Arial"/>
                <w:sz w:val="18"/>
                <w:szCs w:val="18"/>
                <w:b w:val="1"/>
                <w:bCs w:val="1"/>
                <w:color w:val="auto"/>
              </w:rPr>
              <w:t>157</w:t>
            </w:r>
          </w:p>
        </w:tc>
        <w:tc>
          <w:tcPr>
            <w:tcW w:w="740" w:type="dxa"/>
            <w:vAlign w:val="bottom"/>
            <w:shd w:val="clear" w:color="auto" w:fill="E5E5E5"/>
          </w:tcPr>
          <w:p>
            <w:pPr>
              <w:jc w:val="right"/>
              <w:ind w:right="254"/>
              <w:spacing w:after="0"/>
              <w:rPr>
                <w:sz w:val="20"/>
                <w:szCs w:val="20"/>
                <w:color w:val="auto"/>
              </w:rPr>
            </w:pPr>
            <w:r>
              <w:rPr>
                <w:rFonts w:ascii="Arial" w:cs="Arial" w:eastAsia="Arial" w:hAnsi="Arial"/>
                <w:sz w:val="18"/>
                <w:szCs w:val="18"/>
                <w:b w:val="1"/>
                <w:bCs w:val="1"/>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b w:val="1"/>
                <w:bCs w:val="1"/>
                <w:color w:val="auto"/>
              </w:rPr>
              <w:t>Operating costs and expenses</w:t>
            </w:r>
          </w:p>
        </w:tc>
        <w:tc>
          <w:tcPr>
            <w:tcW w:w="2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Programming and production</w:t>
            </w:r>
          </w:p>
        </w:tc>
        <w:tc>
          <w:tcPr>
            <w:tcW w:w="3960" w:type="dxa"/>
            <w:vAlign w:val="bottom"/>
            <w:gridSpan w:val="3"/>
            <w:shd w:val="clear" w:color="auto" w:fill="E5E5E5"/>
          </w:tcPr>
          <w:p>
            <w:pPr>
              <w:jc w:val="right"/>
              <w:ind w:right="212"/>
              <w:spacing w:after="0"/>
              <w:rPr>
                <w:sz w:val="20"/>
                <w:szCs w:val="20"/>
                <w:color w:val="auto"/>
              </w:rPr>
            </w:pPr>
            <w:r>
              <w:rPr>
                <w:rFonts w:ascii="Arial" w:cs="Arial" w:eastAsia="Arial" w:hAnsi="Arial"/>
                <w:sz w:val="18"/>
                <w:szCs w:val="18"/>
                <w:color w:val="auto"/>
              </w:rPr>
              <w:t>1,127</w:t>
            </w:r>
          </w:p>
        </w:tc>
        <w:tc>
          <w:tcPr>
            <w:tcW w:w="36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rPr>
              <w:t>972</w:t>
            </w:r>
          </w:p>
        </w:tc>
        <w:tc>
          <w:tcPr>
            <w:tcW w:w="780" w:type="dxa"/>
            <w:vAlign w:val="bottom"/>
            <w:shd w:val="clear" w:color="auto" w:fill="E5E5E5"/>
          </w:tcPr>
          <w:p>
            <w:pPr>
              <w:jc w:val="right"/>
              <w:ind w:right="97"/>
              <w:spacing w:after="0"/>
              <w:rPr>
                <w:sz w:val="20"/>
                <w:szCs w:val="20"/>
                <w:color w:val="auto"/>
              </w:rPr>
            </w:pPr>
            <w:r>
              <w:rPr>
                <w:rFonts w:ascii="Arial" w:cs="Arial" w:eastAsia="Arial" w:hAnsi="Arial"/>
                <w:sz w:val="18"/>
                <w:szCs w:val="18"/>
                <w:color w:val="auto"/>
              </w:rPr>
              <w:t>155</w:t>
            </w:r>
          </w:p>
        </w:tc>
        <w:tc>
          <w:tcPr>
            <w:tcW w:w="740" w:type="dxa"/>
            <w:vAlign w:val="bottom"/>
            <w:shd w:val="clear" w:color="auto" w:fill="E5E5E5"/>
          </w:tcPr>
          <w:p>
            <w:pPr>
              <w:jc w:val="right"/>
              <w:ind w:right="254"/>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420"/>
              <w:spacing w:after="0"/>
              <w:rPr>
                <w:sz w:val="20"/>
                <w:szCs w:val="20"/>
                <w:color w:val="auto"/>
              </w:rPr>
            </w:pPr>
            <w:r>
              <w:rPr>
                <w:rFonts w:ascii="Arial" w:cs="Arial" w:eastAsia="Arial" w:hAnsi="Arial"/>
                <w:sz w:val="18"/>
                <w:szCs w:val="18"/>
                <w:color w:val="auto"/>
              </w:rPr>
              <w:t>Other operating and administrative</w:t>
            </w:r>
          </w:p>
        </w:tc>
        <w:tc>
          <w:tcPr>
            <w:tcW w:w="3960" w:type="dxa"/>
            <w:vAlign w:val="bottom"/>
            <w:gridSpan w:val="3"/>
          </w:tcPr>
          <w:p>
            <w:pPr>
              <w:jc w:val="right"/>
              <w:ind w:right="212"/>
              <w:spacing w:after="0"/>
              <w:rPr>
                <w:sz w:val="20"/>
                <w:szCs w:val="20"/>
                <w:color w:val="auto"/>
              </w:rPr>
            </w:pPr>
            <w:r>
              <w:rPr>
                <w:rFonts w:ascii="Arial" w:cs="Arial" w:eastAsia="Arial" w:hAnsi="Arial"/>
                <w:sz w:val="18"/>
                <w:szCs w:val="18"/>
                <w:color w:val="auto"/>
              </w:rPr>
              <w:t>320</w:t>
            </w:r>
          </w:p>
        </w:tc>
        <w:tc>
          <w:tcPr>
            <w:tcW w:w="360" w:type="dxa"/>
            <w:vAlign w:val="bottom"/>
          </w:tcPr>
          <w:p>
            <w:pPr>
              <w:spacing w:after="0"/>
              <w:rPr>
                <w:sz w:val="18"/>
                <w:szCs w:val="18"/>
                <w:color w:val="auto"/>
              </w:rPr>
            </w:pPr>
          </w:p>
        </w:tc>
        <w:tc>
          <w:tcPr>
            <w:tcW w:w="680" w:type="dxa"/>
            <w:vAlign w:val="bottom"/>
          </w:tcPr>
          <w:p>
            <w:pPr>
              <w:jc w:val="right"/>
              <w:ind w:right="193"/>
              <w:spacing w:after="0"/>
              <w:rPr>
                <w:sz w:val="20"/>
                <w:szCs w:val="20"/>
                <w:color w:val="auto"/>
              </w:rPr>
            </w:pPr>
            <w:r>
              <w:rPr>
                <w:rFonts w:ascii="Arial" w:cs="Arial" w:eastAsia="Arial" w:hAnsi="Arial"/>
                <w:sz w:val="18"/>
                <w:szCs w:val="18"/>
                <w:color w:val="auto"/>
              </w:rPr>
              <w:t>302</w:t>
            </w:r>
          </w:p>
        </w:tc>
        <w:tc>
          <w:tcPr>
            <w:tcW w:w="780" w:type="dxa"/>
            <w:vAlign w:val="bottom"/>
          </w:tcPr>
          <w:p>
            <w:pPr>
              <w:jc w:val="right"/>
              <w:ind w:right="97"/>
              <w:spacing w:after="0"/>
              <w:rPr>
                <w:sz w:val="20"/>
                <w:szCs w:val="20"/>
                <w:color w:val="auto"/>
              </w:rPr>
            </w:pPr>
            <w:r>
              <w:rPr>
                <w:rFonts w:ascii="Arial" w:cs="Arial" w:eastAsia="Arial" w:hAnsi="Arial"/>
                <w:sz w:val="18"/>
                <w:szCs w:val="18"/>
                <w:color w:val="auto"/>
              </w:rPr>
              <w:t>18</w:t>
            </w:r>
          </w:p>
        </w:tc>
        <w:tc>
          <w:tcPr>
            <w:tcW w:w="740" w:type="dxa"/>
            <w:vAlign w:val="bottom"/>
          </w:tcPr>
          <w:p>
            <w:pPr>
              <w:jc w:val="right"/>
              <w:ind w:right="254"/>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Advertising, marketing and promotion</w:t>
            </w:r>
          </w:p>
        </w:tc>
        <w:tc>
          <w:tcPr>
            <w:tcW w:w="3960" w:type="dxa"/>
            <w:vAlign w:val="bottom"/>
            <w:tcBorders>
              <w:bottom w:val="single" w:sz="8" w:color="auto"/>
            </w:tcBorders>
            <w:gridSpan w:val="3"/>
            <w:shd w:val="clear" w:color="auto" w:fill="E5E5E5"/>
          </w:tcPr>
          <w:p>
            <w:pPr>
              <w:jc w:val="right"/>
              <w:ind w:right="212"/>
              <w:spacing w:after="0"/>
              <w:rPr>
                <w:sz w:val="20"/>
                <w:szCs w:val="20"/>
                <w:color w:val="auto"/>
              </w:rPr>
            </w:pPr>
            <w:r>
              <w:rPr>
                <w:rFonts w:ascii="Arial" w:cs="Arial" w:eastAsia="Arial" w:hAnsi="Arial"/>
                <w:sz w:val="18"/>
                <w:szCs w:val="18"/>
                <w:color w:val="auto"/>
              </w:rPr>
              <w:t>130</w:t>
            </w:r>
          </w:p>
        </w:tc>
        <w:tc>
          <w:tcPr>
            <w:tcW w:w="36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93"/>
              <w:spacing w:after="0"/>
              <w:rPr>
                <w:sz w:val="20"/>
                <w:szCs w:val="20"/>
                <w:color w:val="auto"/>
              </w:rPr>
            </w:pPr>
            <w:r>
              <w:rPr>
                <w:rFonts w:ascii="Arial" w:cs="Arial" w:eastAsia="Arial" w:hAnsi="Arial"/>
                <w:sz w:val="18"/>
                <w:szCs w:val="18"/>
                <w:color w:val="auto"/>
              </w:rPr>
              <w:t>113</w:t>
            </w:r>
          </w:p>
        </w:tc>
        <w:tc>
          <w:tcPr>
            <w:tcW w:w="780" w:type="dxa"/>
            <w:vAlign w:val="bottom"/>
            <w:tcBorders>
              <w:bottom w:val="single" w:sz="8" w:color="auto"/>
            </w:tcBorders>
            <w:shd w:val="clear" w:color="auto" w:fill="E5E5E5"/>
          </w:tcPr>
          <w:p>
            <w:pPr>
              <w:jc w:val="right"/>
              <w:ind w:right="97"/>
              <w:spacing w:after="0"/>
              <w:rPr>
                <w:sz w:val="20"/>
                <w:szCs w:val="20"/>
                <w:color w:val="auto"/>
              </w:rPr>
            </w:pPr>
            <w:r>
              <w:rPr>
                <w:rFonts w:ascii="Arial" w:cs="Arial" w:eastAsia="Arial" w:hAnsi="Arial"/>
                <w:sz w:val="18"/>
                <w:szCs w:val="18"/>
                <w:color w:val="auto"/>
              </w:rPr>
              <w:t>17</w:t>
            </w:r>
          </w:p>
        </w:tc>
        <w:tc>
          <w:tcPr>
            <w:tcW w:w="740" w:type="dxa"/>
            <w:vAlign w:val="bottom"/>
            <w:tcBorders>
              <w:bottom w:val="single" w:sz="8" w:color="auto"/>
            </w:tcBorders>
            <w:shd w:val="clear" w:color="auto" w:fill="E5E5E5"/>
          </w:tcPr>
          <w:p>
            <w:pPr>
              <w:jc w:val="right"/>
              <w:ind w:right="254"/>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operating costs and expenses</w:t>
            </w:r>
          </w:p>
        </w:tc>
        <w:tc>
          <w:tcPr>
            <w:tcW w:w="3960" w:type="dxa"/>
            <w:vAlign w:val="bottom"/>
            <w:tcBorders>
              <w:bottom w:val="single" w:sz="8" w:color="auto"/>
            </w:tcBorders>
            <w:gridSpan w:val="3"/>
          </w:tcPr>
          <w:p>
            <w:pPr>
              <w:jc w:val="right"/>
              <w:ind w:right="212"/>
              <w:spacing w:after="0"/>
              <w:rPr>
                <w:sz w:val="20"/>
                <w:szCs w:val="20"/>
                <w:color w:val="auto"/>
              </w:rPr>
            </w:pPr>
            <w:r>
              <w:rPr>
                <w:rFonts w:ascii="Arial" w:cs="Arial" w:eastAsia="Arial" w:hAnsi="Arial"/>
                <w:sz w:val="18"/>
                <w:szCs w:val="18"/>
                <w:color w:val="auto"/>
              </w:rPr>
              <w:t>1,577</w:t>
            </w:r>
          </w:p>
        </w:tc>
        <w:tc>
          <w:tcPr>
            <w:tcW w:w="3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w w:val="84"/>
              </w:rPr>
              <w:t>1,387</w:t>
            </w:r>
          </w:p>
        </w:tc>
        <w:tc>
          <w:tcPr>
            <w:tcW w:w="780" w:type="dxa"/>
            <w:vAlign w:val="bottom"/>
            <w:tcBorders>
              <w:bottom w:val="single" w:sz="8" w:color="auto"/>
            </w:tcBorders>
          </w:tcPr>
          <w:p>
            <w:pPr>
              <w:jc w:val="right"/>
              <w:ind w:right="97"/>
              <w:spacing w:after="0"/>
              <w:rPr>
                <w:sz w:val="20"/>
                <w:szCs w:val="20"/>
                <w:color w:val="auto"/>
              </w:rPr>
            </w:pPr>
            <w:r>
              <w:rPr>
                <w:rFonts w:ascii="Arial" w:cs="Arial" w:eastAsia="Arial" w:hAnsi="Arial"/>
                <w:sz w:val="18"/>
                <w:szCs w:val="18"/>
                <w:color w:val="auto"/>
              </w:rPr>
              <w:t>190</w:t>
            </w:r>
          </w:p>
        </w:tc>
        <w:tc>
          <w:tcPr>
            <w:tcW w:w="740" w:type="dxa"/>
            <w:vAlign w:val="bottom"/>
            <w:tcBorders>
              <w:bottom w:val="single" w:sz="8" w:color="auto"/>
            </w:tcBorders>
          </w:tcPr>
          <w:p>
            <w:pPr>
              <w:jc w:val="right"/>
              <w:ind w:right="254"/>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3960" w:type="dxa"/>
            <w:vAlign w:val="bottom"/>
            <w:tcBorders>
              <w:bottom w:val="single" w:sz="8" w:color="auto"/>
            </w:tcBorders>
            <w:gridSpan w:val="3"/>
            <w:shd w:val="clear" w:color="auto" w:fill="E5E5E5"/>
          </w:tcPr>
          <w:p>
            <w:pPr>
              <w:jc w:val="right"/>
              <w:ind w:right="212"/>
              <w:spacing w:after="0"/>
              <w:rPr>
                <w:sz w:val="20"/>
                <w:szCs w:val="20"/>
                <w:color w:val="auto"/>
              </w:rPr>
            </w:pPr>
            <w:r>
              <w:rPr>
                <w:rFonts w:ascii="Arial" w:cs="Arial" w:eastAsia="Arial" w:hAnsi="Arial"/>
                <w:sz w:val="18"/>
                <w:szCs w:val="18"/>
                <w:b w:val="1"/>
                <w:bCs w:val="1"/>
                <w:color w:val="auto"/>
              </w:rPr>
              <w:t>$  835</w:t>
            </w:r>
          </w:p>
        </w:tc>
        <w:tc>
          <w:tcPr>
            <w:tcW w:w="3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shd w:val="clear" w:color="auto" w:fill="E5E5E5"/>
          </w:tcPr>
          <w:p>
            <w:pPr>
              <w:jc w:val="right"/>
              <w:ind w:right="193"/>
              <w:spacing w:after="0"/>
              <w:rPr>
                <w:sz w:val="20"/>
                <w:szCs w:val="20"/>
                <w:color w:val="auto"/>
              </w:rPr>
            </w:pPr>
            <w:r>
              <w:rPr>
                <w:rFonts w:ascii="Arial" w:cs="Arial" w:eastAsia="Arial" w:hAnsi="Arial"/>
                <w:sz w:val="18"/>
                <w:szCs w:val="18"/>
                <w:b w:val="1"/>
                <w:bCs w:val="1"/>
                <w:color w:val="auto"/>
              </w:rPr>
              <w:t>868</w:t>
            </w:r>
          </w:p>
        </w:tc>
        <w:tc>
          <w:tcPr>
            <w:tcW w:w="780" w:type="dxa"/>
            <w:vAlign w:val="bottom"/>
            <w:tcBorders>
              <w:bottom w:val="single" w:sz="8" w:color="auto"/>
            </w:tcBorders>
            <w:shd w:val="clear" w:color="auto" w:fill="E5E5E5"/>
          </w:tcPr>
          <w:p>
            <w:pPr>
              <w:jc w:val="right"/>
              <w:ind w:right="37"/>
              <w:spacing w:after="0"/>
              <w:rPr>
                <w:sz w:val="20"/>
                <w:szCs w:val="20"/>
                <w:color w:val="auto"/>
              </w:rPr>
            </w:pPr>
            <w:r>
              <w:rPr>
                <w:rFonts w:ascii="Arial" w:cs="Arial" w:eastAsia="Arial" w:hAnsi="Arial"/>
                <w:sz w:val="18"/>
                <w:szCs w:val="18"/>
                <w:b w:val="1"/>
                <w:bCs w:val="1"/>
                <w:color w:val="auto"/>
              </w:rPr>
              <w:t>$ (33)</w:t>
            </w:r>
          </w:p>
        </w:tc>
        <w:tc>
          <w:tcPr>
            <w:tcW w:w="74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b w:val="1"/>
                <w:bCs w:val="1"/>
                <w:color w:val="auto"/>
              </w:rPr>
              <w:t>(3.9)%</w:t>
            </w: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4880" w:type="dxa"/>
            <w:vAlign w:val="bottom"/>
          </w:tcPr>
          <w:p>
            <w:pPr>
              <w:spacing w:after="0"/>
              <w:rPr>
                <w:sz w:val="23"/>
                <w:szCs w:val="23"/>
                <w:color w:val="auto"/>
              </w:rPr>
            </w:pPr>
          </w:p>
        </w:tc>
        <w:tc>
          <w:tcPr>
            <w:tcW w:w="27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40" w:type="dxa"/>
            <w:vAlign w:val="bottom"/>
            <w:gridSpan w:val="3"/>
          </w:tcPr>
          <w:p>
            <w:pPr>
              <w:jc w:val="right"/>
              <w:ind w:right="393"/>
              <w:spacing w:after="0"/>
              <w:rPr>
                <w:sz w:val="20"/>
                <w:szCs w:val="20"/>
                <w:color w:val="auto"/>
              </w:rPr>
            </w:pPr>
            <w:r>
              <w:rPr>
                <w:rFonts w:ascii="Arial" w:cs="Arial" w:eastAsia="Arial" w:hAnsi="Arial"/>
                <w:sz w:val="14"/>
                <w:szCs w:val="14"/>
                <w:color w:val="auto"/>
              </w:rPr>
              <w:t>Nine Months Ended</w:t>
            </w:r>
          </w:p>
        </w:tc>
        <w:tc>
          <w:tcPr>
            <w:tcW w:w="1520" w:type="dxa"/>
            <w:vAlign w:val="bottom"/>
            <w:gridSpan w:val="2"/>
          </w:tcPr>
          <w:p>
            <w:pPr>
              <w:jc w:val="right"/>
              <w:ind w:right="454"/>
              <w:spacing w:after="0"/>
              <w:rPr>
                <w:sz w:val="20"/>
                <w:szCs w:val="20"/>
                <w:color w:val="auto"/>
              </w:rPr>
            </w:pPr>
            <w:r>
              <w:rPr>
                <w:rFonts w:ascii="Arial" w:cs="Arial" w:eastAsia="Arial" w:hAnsi="Arial"/>
                <w:sz w:val="14"/>
                <w:szCs w:val="14"/>
                <w:color w:val="auto"/>
              </w:rPr>
              <w:t>Increase/</w:t>
            </w:r>
          </w:p>
        </w:tc>
        <w:tc>
          <w:tcPr>
            <w:tcW w:w="0" w:type="dxa"/>
            <w:vAlign w:val="bottom"/>
          </w:tcPr>
          <w:p>
            <w:pPr>
              <w:spacing w:after="0"/>
              <w:rPr>
                <w:sz w:val="1"/>
                <w:szCs w:val="1"/>
                <w:color w:val="auto"/>
              </w:rPr>
            </w:pPr>
          </w:p>
        </w:tc>
      </w:tr>
      <w:tr>
        <w:trPr>
          <w:trHeight w:val="159"/>
        </w:trPr>
        <w:tc>
          <w:tcPr>
            <w:tcW w:w="490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2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40" w:type="dxa"/>
            <w:vAlign w:val="bottom"/>
            <w:tcBorders>
              <w:bottom w:val="single" w:sz="8" w:color="auto"/>
            </w:tcBorders>
            <w:gridSpan w:val="3"/>
          </w:tcPr>
          <w:p>
            <w:pPr>
              <w:jc w:val="right"/>
              <w:ind w:right="553"/>
              <w:spacing w:after="0" w:line="159" w:lineRule="exact"/>
              <w:rPr>
                <w:sz w:val="20"/>
                <w:szCs w:val="20"/>
                <w:color w:val="auto"/>
              </w:rPr>
            </w:pPr>
            <w:r>
              <w:rPr>
                <w:rFonts w:ascii="Arial" w:cs="Arial" w:eastAsia="Arial" w:hAnsi="Arial"/>
                <w:sz w:val="14"/>
                <w:szCs w:val="14"/>
                <w:color w:val="auto"/>
              </w:rPr>
              <w:t>September 30</w:t>
            </w:r>
          </w:p>
        </w:tc>
        <w:tc>
          <w:tcPr>
            <w:tcW w:w="1520" w:type="dxa"/>
            <w:vAlign w:val="bottom"/>
            <w:tcBorders>
              <w:bottom w:val="single" w:sz="8" w:color="auto"/>
            </w:tcBorders>
            <w:gridSpan w:val="2"/>
          </w:tcPr>
          <w:p>
            <w:pPr>
              <w:jc w:val="right"/>
              <w:ind w:right="414"/>
              <w:spacing w:after="0" w:line="159" w:lineRule="exact"/>
              <w:rPr>
                <w:sz w:val="20"/>
                <w:szCs w:val="20"/>
                <w:color w:val="auto"/>
              </w:rPr>
            </w:pPr>
            <w:r>
              <w:rPr>
                <w:rFonts w:ascii="Arial" w:cs="Arial" w:eastAsia="Arial" w:hAnsi="Arial"/>
                <w:sz w:val="14"/>
                <w:szCs w:val="14"/>
                <w:color w:val="auto"/>
              </w:rPr>
              <w:t>(Decrease)</w:t>
            </w:r>
          </w:p>
        </w:tc>
        <w:tc>
          <w:tcPr>
            <w:tcW w:w="0" w:type="dxa"/>
            <w:vAlign w:val="bottom"/>
          </w:tcPr>
          <w:p>
            <w:pPr>
              <w:spacing w:after="0"/>
              <w:rPr>
                <w:sz w:val="1"/>
                <w:szCs w:val="1"/>
                <w:color w:val="auto"/>
              </w:rPr>
            </w:pPr>
          </w:p>
        </w:tc>
      </w:tr>
      <w:tr>
        <w:trPr>
          <w:trHeight w:val="142"/>
        </w:trPr>
        <w:tc>
          <w:tcPr>
            <w:tcW w:w="4900" w:type="dxa"/>
            <w:vAlign w:val="bottom"/>
            <w:gridSpan w:val="2"/>
            <w:vMerge w:val="continue"/>
          </w:tcPr>
          <w:p>
            <w:pPr>
              <w:spacing w:after="0"/>
              <w:rPr>
                <w:sz w:val="12"/>
                <w:szCs w:val="12"/>
                <w:color w:val="auto"/>
              </w:rPr>
            </w:pPr>
          </w:p>
        </w:tc>
        <w:tc>
          <w:tcPr>
            <w:tcW w:w="2760" w:type="dxa"/>
            <w:vAlign w:val="bottom"/>
            <w:gridSpan w:val="2"/>
          </w:tcPr>
          <w:p>
            <w:pPr>
              <w:spacing w:after="0"/>
              <w:rPr>
                <w:sz w:val="12"/>
                <w:szCs w:val="12"/>
                <w:color w:val="auto"/>
              </w:rPr>
            </w:pPr>
          </w:p>
        </w:tc>
        <w:tc>
          <w:tcPr>
            <w:tcW w:w="1200" w:type="dxa"/>
            <w:vAlign w:val="bottom"/>
          </w:tcPr>
          <w:p>
            <w:pPr>
              <w:jc w:val="right"/>
              <w:ind w:right="312"/>
              <w:spacing w:after="0" w:line="142" w:lineRule="exact"/>
              <w:rPr>
                <w:sz w:val="20"/>
                <w:szCs w:val="20"/>
                <w:color w:val="auto"/>
              </w:rPr>
            </w:pPr>
            <w:r>
              <w:rPr>
                <w:rFonts w:ascii="Arial" w:cs="Arial" w:eastAsia="Arial" w:hAnsi="Arial"/>
                <w:sz w:val="14"/>
                <w:szCs w:val="14"/>
                <w:color w:val="auto"/>
              </w:rPr>
              <w:t>2015</w:t>
            </w:r>
          </w:p>
        </w:tc>
        <w:tc>
          <w:tcPr>
            <w:tcW w:w="360" w:type="dxa"/>
            <w:vAlign w:val="bottom"/>
          </w:tcPr>
          <w:p>
            <w:pPr>
              <w:spacing w:after="0"/>
              <w:rPr>
                <w:sz w:val="12"/>
                <w:szCs w:val="12"/>
                <w:color w:val="auto"/>
              </w:rPr>
            </w:pPr>
          </w:p>
        </w:tc>
        <w:tc>
          <w:tcPr>
            <w:tcW w:w="680" w:type="dxa"/>
            <w:vAlign w:val="bottom"/>
          </w:tcPr>
          <w:p>
            <w:pPr>
              <w:jc w:val="right"/>
              <w:ind w:right="273"/>
              <w:spacing w:after="0" w:line="142" w:lineRule="exact"/>
              <w:rPr>
                <w:sz w:val="20"/>
                <w:szCs w:val="20"/>
                <w:color w:val="auto"/>
              </w:rPr>
            </w:pPr>
            <w:r>
              <w:rPr>
                <w:rFonts w:ascii="Arial" w:cs="Arial" w:eastAsia="Arial" w:hAnsi="Arial"/>
                <w:sz w:val="14"/>
                <w:szCs w:val="14"/>
                <w:color w:val="auto"/>
                <w:w w:val="96"/>
              </w:rPr>
              <w:t>2014</w:t>
            </w:r>
          </w:p>
        </w:tc>
        <w:tc>
          <w:tcPr>
            <w:tcW w:w="780" w:type="dxa"/>
            <w:vAlign w:val="bottom"/>
          </w:tcPr>
          <w:p>
            <w:pPr>
              <w:jc w:val="right"/>
              <w:ind w:right="197"/>
              <w:spacing w:after="0" w:line="142"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374"/>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2720" w:type="dxa"/>
            <w:vAlign w:val="bottom"/>
            <w:tcBorders>
              <w:top w:val="single" w:sz="8" w:color="auto"/>
            </w:tcBorders>
            <w:shd w:val="clear" w:color="auto" w:fill="E5E5E5"/>
          </w:tcPr>
          <w:p>
            <w:pPr>
              <w:spacing w:after="0"/>
              <w:rPr>
                <w:sz w:val="18"/>
                <w:szCs w:val="18"/>
                <w:color w:val="auto"/>
              </w:rPr>
            </w:pPr>
          </w:p>
        </w:tc>
        <w:tc>
          <w:tcPr>
            <w:tcW w:w="40" w:type="dxa"/>
            <w:vAlign w:val="bottom"/>
            <w:tcBorders>
              <w:top w:val="single" w:sz="8" w:color="auto"/>
            </w:tcBorders>
            <w:shd w:val="clear" w:color="auto" w:fill="E5E5E5"/>
          </w:tcPr>
          <w:p>
            <w:pPr>
              <w:spacing w:after="0"/>
              <w:rPr>
                <w:sz w:val="18"/>
                <w:szCs w:val="18"/>
                <w:color w:val="auto"/>
              </w:rPr>
            </w:pPr>
          </w:p>
        </w:tc>
        <w:tc>
          <w:tcPr>
            <w:tcW w:w="1200" w:type="dxa"/>
            <w:vAlign w:val="bottom"/>
            <w:tcBorders>
              <w:top w:val="single" w:sz="8" w:color="auto"/>
            </w:tcBorders>
            <w:shd w:val="clear" w:color="auto" w:fill="E5E5E5"/>
          </w:tcPr>
          <w:p>
            <w:pPr>
              <w:spacing w:after="0"/>
              <w:rPr>
                <w:sz w:val="18"/>
                <w:szCs w:val="18"/>
                <w:color w:val="auto"/>
              </w:rPr>
            </w:pPr>
          </w:p>
        </w:tc>
        <w:tc>
          <w:tcPr>
            <w:tcW w:w="360" w:type="dxa"/>
            <w:vAlign w:val="bottom"/>
            <w:tcBorders>
              <w:top w:val="single" w:sz="8" w:color="auto"/>
            </w:tcBorders>
            <w:shd w:val="clear" w:color="auto" w:fill="E5E5E5"/>
          </w:tcPr>
          <w:p>
            <w:pPr>
              <w:spacing w:after="0"/>
              <w:rPr>
                <w:sz w:val="18"/>
                <w:szCs w:val="18"/>
                <w:color w:val="auto"/>
              </w:rPr>
            </w:pPr>
          </w:p>
        </w:tc>
        <w:tc>
          <w:tcPr>
            <w:tcW w:w="680" w:type="dxa"/>
            <w:vAlign w:val="bottom"/>
            <w:tcBorders>
              <w:top w:val="single" w:sz="8" w:color="auto"/>
            </w:tcBorders>
            <w:shd w:val="clear" w:color="auto" w:fill="E5E5E5"/>
          </w:tcPr>
          <w:p>
            <w:pPr>
              <w:spacing w:after="0"/>
              <w:rPr>
                <w:sz w:val="18"/>
                <w:szCs w:val="18"/>
                <w:color w:val="auto"/>
              </w:rPr>
            </w:pPr>
          </w:p>
        </w:tc>
        <w:tc>
          <w:tcPr>
            <w:tcW w:w="780" w:type="dxa"/>
            <w:vAlign w:val="bottom"/>
            <w:tcBorders>
              <w:top w:val="single" w:sz="8" w:color="auto"/>
            </w:tcBorders>
            <w:shd w:val="clear" w:color="auto" w:fill="E5E5E5"/>
          </w:tcPr>
          <w:p>
            <w:pPr>
              <w:spacing w:after="0"/>
              <w:rPr>
                <w:sz w:val="18"/>
                <w:szCs w:val="18"/>
                <w:color w:val="auto"/>
              </w:rPr>
            </w:pPr>
          </w:p>
        </w:tc>
        <w:tc>
          <w:tcPr>
            <w:tcW w:w="74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420"/>
              <w:spacing w:after="0"/>
              <w:rPr>
                <w:sz w:val="20"/>
                <w:szCs w:val="20"/>
                <w:color w:val="auto"/>
              </w:rPr>
            </w:pPr>
            <w:r>
              <w:rPr>
                <w:rFonts w:ascii="Arial" w:cs="Arial" w:eastAsia="Arial" w:hAnsi="Arial"/>
                <w:sz w:val="18"/>
                <w:szCs w:val="18"/>
                <w:color w:val="auto"/>
              </w:rPr>
              <w:t>Distribution</w:t>
            </w:r>
          </w:p>
        </w:tc>
        <w:tc>
          <w:tcPr>
            <w:tcW w:w="3960" w:type="dxa"/>
            <w:vAlign w:val="bottom"/>
            <w:gridSpan w:val="3"/>
          </w:tcPr>
          <w:p>
            <w:pPr>
              <w:jc w:val="right"/>
              <w:ind w:right="172"/>
              <w:spacing w:after="0"/>
              <w:rPr>
                <w:sz w:val="20"/>
                <w:szCs w:val="20"/>
                <w:color w:val="auto"/>
              </w:rPr>
            </w:pPr>
            <w:r>
              <w:rPr>
                <w:rFonts w:ascii="Arial" w:cs="Arial" w:eastAsia="Arial" w:hAnsi="Arial"/>
                <w:sz w:val="18"/>
                <w:szCs w:val="18"/>
                <w:color w:val="auto"/>
              </w:rPr>
              <w:t>$ 4,091</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33"/>
              <w:spacing w:after="0"/>
              <w:rPr>
                <w:sz w:val="20"/>
                <w:szCs w:val="20"/>
                <w:color w:val="auto"/>
              </w:rPr>
            </w:pPr>
            <w:r>
              <w:rPr>
                <w:rFonts w:ascii="Arial" w:cs="Arial" w:eastAsia="Arial" w:hAnsi="Arial"/>
                <w:sz w:val="18"/>
                <w:szCs w:val="18"/>
                <w:color w:val="auto"/>
                <w:w w:val="97"/>
              </w:rPr>
              <w:t>4,024</w:t>
            </w:r>
          </w:p>
        </w:tc>
        <w:tc>
          <w:tcPr>
            <w:tcW w:w="780" w:type="dxa"/>
            <w:vAlign w:val="bottom"/>
          </w:tcPr>
          <w:p>
            <w:pPr>
              <w:jc w:val="right"/>
              <w:ind w:right="77"/>
              <w:spacing w:after="0"/>
              <w:rPr>
                <w:sz w:val="20"/>
                <w:szCs w:val="20"/>
                <w:color w:val="auto"/>
              </w:rPr>
            </w:pPr>
            <w:r>
              <w:rPr>
                <w:rFonts w:ascii="Arial" w:cs="Arial" w:eastAsia="Arial" w:hAnsi="Arial"/>
                <w:sz w:val="18"/>
                <w:szCs w:val="18"/>
                <w:color w:val="auto"/>
              </w:rPr>
              <w:t>$ 67</w:t>
            </w:r>
          </w:p>
        </w:tc>
        <w:tc>
          <w:tcPr>
            <w:tcW w:w="740" w:type="dxa"/>
            <w:vAlign w:val="bottom"/>
          </w:tcPr>
          <w:p>
            <w:pPr>
              <w:jc w:val="right"/>
              <w:ind w:right="114"/>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Advertising</w:t>
            </w:r>
          </w:p>
        </w:tc>
        <w:tc>
          <w:tcPr>
            <w:tcW w:w="3960" w:type="dxa"/>
            <w:vAlign w:val="bottom"/>
            <w:gridSpan w:val="3"/>
            <w:shd w:val="clear" w:color="auto" w:fill="E5E5E5"/>
          </w:tcPr>
          <w:p>
            <w:pPr>
              <w:jc w:val="right"/>
              <w:ind w:right="172"/>
              <w:spacing w:after="0"/>
              <w:rPr>
                <w:sz w:val="20"/>
                <w:szCs w:val="20"/>
                <w:color w:val="auto"/>
              </w:rPr>
            </w:pPr>
            <w:r>
              <w:rPr>
                <w:rFonts w:ascii="Arial" w:cs="Arial" w:eastAsia="Arial" w:hAnsi="Arial"/>
                <w:sz w:val="18"/>
                <w:szCs w:val="18"/>
                <w:color w:val="auto"/>
              </w:rPr>
              <w:t>2,581</w:t>
            </w:r>
          </w:p>
        </w:tc>
        <w:tc>
          <w:tcPr>
            <w:tcW w:w="36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w w:val="97"/>
              </w:rPr>
              <w:t>2,637</w:t>
            </w:r>
          </w:p>
        </w:tc>
        <w:tc>
          <w:tcPr>
            <w:tcW w:w="780" w:type="dxa"/>
            <w:vAlign w:val="bottom"/>
            <w:shd w:val="clear" w:color="auto" w:fill="E5E5E5"/>
          </w:tcPr>
          <w:p>
            <w:pPr>
              <w:jc w:val="right"/>
              <w:ind w:right="17"/>
              <w:spacing w:after="0"/>
              <w:rPr>
                <w:sz w:val="20"/>
                <w:szCs w:val="20"/>
                <w:color w:val="auto"/>
              </w:rPr>
            </w:pPr>
            <w:r>
              <w:rPr>
                <w:rFonts w:ascii="Arial" w:cs="Arial" w:eastAsia="Arial" w:hAnsi="Arial"/>
                <w:sz w:val="18"/>
                <w:szCs w:val="18"/>
                <w:color w:val="auto"/>
              </w:rPr>
              <w:t>(56)</w:t>
            </w:r>
          </w:p>
        </w:tc>
        <w:tc>
          <w:tcPr>
            <w:tcW w:w="74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Content licensing and other</w:t>
            </w:r>
          </w:p>
        </w:tc>
        <w:tc>
          <w:tcPr>
            <w:tcW w:w="3960" w:type="dxa"/>
            <w:vAlign w:val="bottom"/>
            <w:tcBorders>
              <w:bottom w:val="single" w:sz="8" w:color="auto"/>
            </w:tcBorders>
            <w:gridSpan w:val="3"/>
          </w:tcPr>
          <w:p>
            <w:pPr>
              <w:jc w:val="right"/>
              <w:ind w:right="172"/>
              <w:spacing w:after="0"/>
              <w:rPr>
                <w:sz w:val="20"/>
                <w:szCs w:val="20"/>
                <w:color w:val="auto"/>
              </w:rPr>
            </w:pPr>
            <w:r>
              <w:rPr>
                <w:rFonts w:ascii="Arial" w:cs="Arial" w:eastAsia="Arial" w:hAnsi="Arial"/>
                <w:sz w:val="18"/>
                <w:szCs w:val="18"/>
                <w:color w:val="auto"/>
              </w:rPr>
              <w:t>549</w:t>
            </w:r>
          </w:p>
        </w:tc>
        <w:tc>
          <w:tcPr>
            <w:tcW w:w="3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575</w:t>
            </w:r>
          </w:p>
        </w:tc>
        <w:tc>
          <w:tcPr>
            <w:tcW w:w="78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(26)</w:t>
            </w:r>
          </w:p>
        </w:tc>
        <w:tc>
          <w:tcPr>
            <w:tcW w:w="74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Total revenue</w:t>
            </w:r>
          </w:p>
        </w:tc>
        <w:tc>
          <w:tcPr>
            <w:tcW w:w="3960" w:type="dxa"/>
            <w:vAlign w:val="bottom"/>
            <w:gridSpan w:val="3"/>
            <w:shd w:val="clear" w:color="auto" w:fill="E5E5E5"/>
          </w:tcPr>
          <w:p>
            <w:pPr>
              <w:jc w:val="right"/>
              <w:ind w:right="172"/>
              <w:spacing w:after="0"/>
              <w:rPr>
                <w:sz w:val="20"/>
                <w:szCs w:val="20"/>
                <w:color w:val="auto"/>
              </w:rPr>
            </w:pPr>
            <w:r>
              <w:rPr>
                <w:rFonts w:ascii="Arial" w:cs="Arial" w:eastAsia="Arial" w:hAnsi="Arial"/>
                <w:sz w:val="18"/>
                <w:szCs w:val="18"/>
                <w:b w:val="1"/>
                <w:bCs w:val="1"/>
                <w:color w:val="auto"/>
              </w:rPr>
              <w:t>7,221</w:t>
            </w:r>
          </w:p>
        </w:tc>
        <w:tc>
          <w:tcPr>
            <w:tcW w:w="36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3"/>
              <w:spacing w:after="0"/>
              <w:rPr>
                <w:sz w:val="20"/>
                <w:szCs w:val="20"/>
                <w:color w:val="auto"/>
              </w:rPr>
            </w:pPr>
            <w:r>
              <w:rPr>
                <w:rFonts w:ascii="Arial" w:cs="Arial" w:eastAsia="Arial" w:hAnsi="Arial"/>
                <w:sz w:val="18"/>
                <w:szCs w:val="18"/>
                <w:b w:val="1"/>
                <w:bCs w:val="1"/>
                <w:color w:val="auto"/>
                <w:w w:val="97"/>
              </w:rPr>
              <w:t>7,236</w:t>
            </w:r>
          </w:p>
        </w:tc>
        <w:tc>
          <w:tcPr>
            <w:tcW w:w="780" w:type="dxa"/>
            <w:vAlign w:val="bottom"/>
            <w:shd w:val="clear" w:color="auto" w:fill="E5E5E5"/>
          </w:tcPr>
          <w:p>
            <w:pPr>
              <w:jc w:val="right"/>
              <w:ind w:right="17"/>
              <w:spacing w:after="0"/>
              <w:rPr>
                <w:sz w:val="20"/>
                <w:szCs w:val="20"/>
                <w:color w:val="auto"/>
              </w:rPr>
            </w:pPr>
            <w:r>
              <w:rPr>
                <w:rFonts w:ascii="Arial" w:cs="Arial" w:eastAsia="Arial" w:hAnsi="Arial"/>
                <w:sz w:val="18"/>
                <w:szCs w:val="18"/>
                <w:b w:val="1"/>
                <w:bCs w:val="1"/>
                <w:color w:val="auto"/>
              </w:rPr>
              <w:t>(15)</w:t>
            </w:r>
          </w:p>
        </w:tc>
        <w:tc>
          <w:tcPr>
            <w:tcW w:w="740" w:type="dxa"/>
            <w:vAlign w:val="bottom"/>
            <w:shd w:val="clear" w:color="auto" w:fill="E5E5E5"/>
          </w:tcPr>
          <w:p>
            <w:pPr>
              <w:jc w:val="right"/>
              <w:ind w:right="194"/>
              <w:spacing w:after="0"/>
              <w:rPr>
                <w:sz w:val="20"/>
                <w:szCs w:val="20"/>
                <w:color w:val="auto"/>
              </w:rPr>
            </w:pPr>
            <w:r>
              <w:rPr>
                <w:rFonts w:ascii="Arial" w:cs="Arial" w:eastAsia="Arial" w:hAnsi="Arial"/>
                <w:sz w:val="18"/>
                <w:szCs w:val="18"/>
                <w:b w:val="1"/>
                <w:bCs w:val="1"/>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b w:val="1"/>
                <w:bCs w:val="1"/>
                <w:color w:val="auto"/>
              </w:rPr>
              <w:t>Operating costs and expenses</w:t>
            </w:r>
          </w:p>
        </w:tc>
        <w:tc>
          <w:tcPr>
            <w:tcW w:w="2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Programming and production</w:t>
            </w:r>
          </w:p>
        </w:tc>
        <w:tc>
          <w:tcPr>
            <w:tcW w:w="3960" w:type="dxa"/>
            <w:vAlign w:val="bottom"/>
            <w:gridSpan w:val="3"/>
            <w:shd w:val="clear" w:color="auto" w:fill="E5E5E5"/>
          </w:tcPr>
          <w:p>
            <w:pPr>
              <w:jc w:val="right"/>
              <w:ind w:right="172"/>
              <w:spacing w:after="0"/>
              <w:rPr>
                <w:sz w:val="20"/>
                <w:szCs w:val="20"/>
                <w:color w:val="auto"/>
              </w:rPr>
            </w:pPr>
            <w:r>
              <w:rPr>
                <w:rFonts w:ascii="Arial" w:cs="Arial" w:eastAsia="Arial" w:hAnsi="Arial"/>
                <w:sz w:val="18"/>
                <w:szCs w:val="18"/>
                <w:color w:val="auto"/>
              </w:rPr>
              <w:t>3,275</w:t>
            </w:r>
          </w:p>
        </w:tc>
        <w:tc>
          <w:tcPr>
            <w:tcW w:w="36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w w:val="97"/>
              </w:rPr>
              <w:t>3,283</w:t>
            </w:r>
          </w:p>
        </w:tc>
        <w:tc>
          <w:tcPr>
            <w:tcW w:w="780" w:type="dxa"/>
            <w:vAlign w:val="bottom"/>
            <w:shd w:val="clear" w:color="auto" w:fill="E5E5E5"/>
          </w:tcPr>
          <w:p>
            <w:pPr>
              <w:jc w:val="right"/>
              <w:ind w:right="17"/>
              <w:spacing w:after="0"/>
              <w:rPr>
                <w:sz w:val="20"/>
                <w:szCs w:val="20"/>
                <w:color w:val="auto"/>
              </w:rPr>
            </w:pPr>
            <w:r>
              <w:rPr>
                <w:rFonts w:ascii="Arial" w:cs="Arial" w:eastAsia="Arial" w:hAnsi="Arial"/>
                <w:sz w:val="18"/>
                <w:szCs w:val="18"/>
                <w:color w:val="auto"/>
              </w:rPr>
              <w:t>(8)</w:t>
            </w:r>
          </w:p>
        </w:tc>
        <w:tc>
          <w:tcPr>
            <w:tcW w:w="74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420"/>
              <w:spacing w:after="0"/>
              <w:rPr>
                <w:sz w:val="20"/>
                <w:szCs w:val="20"/>
                <w:color w:val="auto"/>
              </w:rPr>
            </w:pPr>
            <w:r>
              <w:rPr>
                <w:rFonts w:ascii="Arial" w:cs="Arial" w:eastAsia="Arial" w:hAnsi="Arial"/>
                <w:sz w:val="18"/>
                <w:szCs w:val="18"/>
                <w:color w:val="auto"/>
              </w:rPr>
              <w:t>Other operating and administrative</w:t>
            </w:r>
          </w:p>
        </w:tc>
        <w:tc>
          <w:tcPr>
            <w:tcW w:w="3960" w:type="dxa"/>
            <w:vAlign w:val="bottom"/>
            <w:gridSpan w:val="3"/>
          </w:tcPr>
          <w:p>
            <w:pPr>
              <w:jc w:val="right"/>
              <w:ind w:right="172"/>
              <w:spacing w:after="0"/>
              <w:rPr>
                <w:sz w:val="20"/>
                <w:szCs w:val="20"/>
                <w:color w:val="auto"/>
              </w:rPr>
            </w:pPr>
            <w:r>
              <w:rPr>
                <w:rFonts w:ascii="Arial" w:cs="Arial" w:eastAsia="Arial" w:hAnsi="Arial"/>
                <w:sz w:val="18"/>
                <w:szCs w:val="18"/>
                <w:color w:val="auto"/>
              </w:rPr>
              <w:t>945</w:t>
            </w:r>
          </w:p>
        </w:tc>
        <w:tc>
          <w:tcPr>
            <w:tcW w:w="360" w:type="dxa"/>
            <w:vAlign w:val="bottom"/>
          </w:tcPr>
          <w:p>
            <w:pPr>
              <w:spacing w:after="0"/>
              <w:rPr>
                <w:sz w:val="18"/>
                <w:szCs w:val="18"/>
                <w:color w:val="auto"/>
              </w:rPr>
            </w:pPr>
          </w:p>
        </w:tc>
        <w:tc>
          <w:tcPr>
            <w:tcW w:w="680" w:type="dxa"/>
            <w:vAlign w:val="bottom"/>
          </w:tcPr>
          <w:p>
            <w:pPr>
              <w:jc w:val="right"/>
              <w:ind w:right="133"/>
              <w:spacing w:after="0"/>
              <w:rPr>
                <w:sz w:val="20"/>
                <w:szCs w:val="20"/>
                <w:color w:val="auto"/>
              </w:rPr>
            </w:pPr>
            <w:r>
              <w:rPr>
                <w:rFonts w:ascii="Arial" w:cs="Arial" w:eastAsia="Arial" w:hAnsi="Arial"/>
                <w:sz w:val="18"/>
                <w:szCs w:val="18"/>
                <w:color w:val="auto"/>
              </w:rPr>
              <w:t>914</w:t>
            </w:r>
          </w:p>
        </w:tc>
        <w:tc>
          <w:tcPr>
            <w:tcW w:w="780" w:type="dxa"/>
            <w:vAlign w:val="bottom"/>
          </w:tcPr>
          <w:p>
            <w:pPr>
              <w:jc w:val="right"/>
              <w:ind w:right="77"/>
              <w:spacing w:after="0"/>
              <w:rPr>
                <w:sz w:val="20"/>
                <w:szCs w:val="20"/>
                <w:color w:val="auto"/>
              </w:rPr>
            </w:pPr>
            <w:r>
              <w:rPr>
                <w:rFonts w:ascii="Arial" w:cs="Arial" w:eastAsia="Arial" w:hAnsi="Arial"/>
                <w:sz w:val="18"/>
                <w:szCs w:val="18"/>
                <w:color w:val="auto"/>
              </w:rPr>
              <w:t>31</w:t>
            </w:r>
          </w:p>
        </w:tc>
        <w:tc>
          <w:tcPr>
            <w:tcW w:w="740" w:type="dxa"/>
            <w:vAlign w:val="bottom"/>
          </w:tcPr>
          <w:p>
            <w:pPr>
              <w:jc w:val="right"/>
              <w:ind w:right="254"/>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Advertising, marketing and promotion</w:t>
            </w:r>
          </w:p>
        </w:tc>
        <w:tc>
          <w:tcPr>
            <w:tcW w:w="3960" w:type="dxa"/>
            <w:vAlign w:val="bottom"/>
            <w:tcBorders>
              <w:bottom w:val="single" w:sz="8" w:color="auto"/>
            </w:tcBorders>
            <w:gridSpan w:val="3"/>
            <w:shd w:val="clear" w:color="auto" w:fill="E5E5E5"/>
          </w:tcPr>
          <w:p>
            <w:pPr>
              <w:jc w:val="right"/>
              <w:ind w:right="172"/>
              <w:spacing w:after="0"/>
              <w:rPr>
                <w:sz w:val="20"/>
                <w:szCs w:val="20"/>
                <w:color w:val="auto"/>
              </w:rPr>
            </w:pPr>
            <w:r>
              <w:rPr>
                <w:rFonts w:ascii="Arial" w:cs="Arial" w:eastAsia="Arial" w:hAnsi="Arial"/>
                <w:sz w:val="18"/>
                <w:szCs w:val="18"/>
                <w:color w:val="auto"/>
              </w:rPr>
              <w:t>396</w:t>
            </w:r>
          </w:p>
        </w:tc>
        <w:tc>
          <w:tcPr>
            <w:tcW w:w="36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color w:val="auto"/>
              </w:rPr>
              <w:t>362</w:t>
            </w:r>
          </w:p>
        </w:tc>
        <w:tc>
          <w:tcPr>
            <w:tcW w:w="780" w:type="dxa"/>
            <w:vAlign w:val="bottom"/>
            <w:tcBorders>
              <w:bottom w:val="single" w:sz="8" w:color="auto"/>
            </w:tcBorders>
            <w:shd w:val="clear" w:color="auto" w:fill="E5E5E5"/>
          </w:tcPr>
          <w:p>
            <w:pPr>
              <w:jc w:val="right"/>
              <w:ind w:right="77"/>
              <w:spacing w:after="0"/>
              <w:rPr>
                <w:sz w:val="20"/>
                <w:szCs w:val="20"/>
                <w:color w:val="auto"/>
              </w:rPr>
            </w:pPr>
            <w:r>
              <w:rPr>
                <w:rFonts w:ascii="Arial" w:cs="Arial" w:eastAsia="Arial" w:hAnsi="Arial"/>
                <w:sz w:val="18"/>
                <w:szCs w:val="18"/>
                <w:color w:val="auto"/>
              </w:rPr>
              <w:t>34</w:t>
            </w:r>
          </w:p>
        </w:tc>
        <w:tc>
          <w:tcPr>
            <w:tcW w:w="740" w:type="dxa"/>
            <w:vAlign w:val="bottom"/>
            <w:tcBorders>
              <w:bottom w:val="single" w:sz="8" w:color="auto"/>
            </w:tcBorders>
            <w:shd w:val="clear" w:color="auto" w:fill="E5E5E5"/>
          </w:tcPr>
          <w:p>
            <w:pPr>
              <w:jc w:val="right"/>
              <w:ind w:right="254"/>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operating costs and expenses</w:t>
            </w:r>
          </w:p>
        </w:tc>
        <w:tc>
          <w:tcPr>
            <w:tcW w:w="3960" w:type="dxa"/>
            <w:vAlign w:val="bottom"/>
            <w:tcBorders>
              <w:bottom w:val="single" w:sz="8" w:color="auto"/>
            </w:tcBorders>
            <w:gridSpan w:val="3"/>
          </w:tcPr>
          <w:p>
            <w:pPr>
              <w:jc w:val="right"/>
              <w:ind w:right="172"/>
              <w:spacing w:after="0"/>
              <w:rPr>
                <w:sz w:val="20"/>
                <w:szCs w:val="20"/>
                <w:color w:val="auto"/>
              </w:rPr>
            </w:pPr>
            <w:r>
              <w:rPr>
                <w:rFonts w:ascii="Arial" w:cs="Arial" w:eastAsia="Arial" w:hAnsi="Arial"/>
                <w:sz w:val="18"/>
                <w:szCs w:val="18"/>
                <w:color w:val="auto"/>
              </w:rPr>
              <w:t>4,616</w:t>
            </w:r>
          </w:p>
        </w:tc>
        <w:tc>
          <w:tcPr>
            <w:tcW w:w="3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w w:val="97"/>
              </w:rPr>
              <w:t>4,559</w:t>
            </w:r>
          </w:p>
        </w:tc>
        <w:tc>
          <w:tcPr>
            <w:tcW w:w="78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color w:val="auto"/>
              </w:rPr>
              <w:t>57</w:t>
            </w:r>
          </w:p>
        </w:tc>
        <w:tc>
          <w:tcPr>
            <w:tcW w:w="740" w:type="dxa"/>
            <w:vAlign w:val="bottom"/>
            <w:tcBorders>
              <w:bottom w:val="single" w:sz="8" w:color="auto"/>
            </w:tcBorders>
          </w:tcPr>
          <w:p>
            <w:pPr>
              <w:jc w:val="right"/>
              <w:ind w:right="254"/>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3960" w:type="dxa"/>
            <w:vAlign w:val="bottom"/>
            <w:tcBorders>
              <w:bottom w:val="single" w:sz="8" w:color="auto"/>
            </w:tcBorders>
            <w:gridSpan w:val="3"/>
            <w:shd w:val="clear" w:color="auto" w:fill="E5E5E5"/>
          </w:tcPr>
          <w:p>
            <w:pPr>
              <w:jc w:val="right"/>
              <w:ind w:right="172"/>
              <w:spacing w:after="0"/>
              <w:rPr>
                <w:sz w:val="20"/>
                <w:szCs w:val="20"/>
                <w:color w:val="auto"/>
              </w:rPr>
            </w:pPr>
            <w:r>
              <w:rPr>
                <w:rFonts w:ascii="Arial" w:cs="Arial" w:eastAsia="Arial" w:hAnsi="Arial"/>
                <w:sz w:val="18"/>
                <w:szCs w:val="18"/>
                <w:b w:val="1"/>
                <w:bCs w:val="1"/>
                <w:color w:val="auto"/>
              </w:rPr>
              <w:t>$ 2,605</w:t>
            </w:r>
          </w:p>
        </w:tc>
        <w:tc>
          <w:tcPr>
            <w:tcW w:w="3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b w:val="1"/>
                <w:bCs w:val="1"/>
                <w:color w:val="auto"/>
                <w:w w:val="97"/>
              </w:rPr>
              <w:t>2,677</w:t>
            </w:r>
          </w:p>
        </w:tc>
        <w:tc>
          <w:tcPr>
            <w:tcW w:w="780" w:type="dxa"/>
            <w:vAlign w:val="bottom"/>
            <w:tcBorders>
              <w:bottom w:val="single" w:sz="8" w:color="auto"/>
            </w:tcBorders>
            <w:shd w:val="clear" w:color="auto" w:fill="E5E5E5"/>
          </w:tcPr>
          <w:p>
            <w:pPr>
              <w:jc w:val="right"/>
              <w:ind w:right="17"/>
              <w:spacing w:after="0"/>
              <w:rPr>
                <w:sz w:val="20"/>
                <w:szCs w:val="20"/>
                <w:color w:val="auto"/>
              </w:rPr>
            </w:pPr>
            <w:r>
              <w:rPr>
                <w:rFonts w:ascii="Arial" w:cs="Arial" w:eastAsia="Arial" w:hAnsi="Arial"/>
                <w:sz w:val="18"/>
                <w:szCs w:val="18"/>
                <w:b w:val="1"/>
                <w:bCs w:val="1"/>
                <w:color w:val="auto"/>
              </w:rPr>
              <w:t>$(72)</w:t>
            </w:r>
          </w:p>
        </w:tc>
        <w:tc>
          <w:tcPr>
            <w:tcW w:w="74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b w:val="1"/>
                <w:bCs w:val="1"/>
                <w:color w:val="auto"/>
              </w:rPr>
              <w:t>(2.7)%</w:t>
            </w:r>
          </w:p>
        </w:tc>
        <w:tc>
          <w:tcPr>
            <w:tcW w:w="0" w:type="dxa"/>
            <w:vAlign w:val="bottom"/>
          </w:tcPr>
          <w:p>
            <w:pPr>
              <w:spacing w:after="0"/>
              <w:rPr>
                <w:sz w:val="1"/>
                <w:szCs w:val="1"/>
                <w:color w:val="auto"/>
              </w:rPr>
            </w:pPr>
          </w:p>
        </w:tc>
      </w:tr>
      <w:tr>
        <w:trPr>
          <w:trHeight w:val="390"/>
        </w:trPr>
        <w:tc>
          <w:tcPr>
            <w:tcW w:w="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2720" w:type="dxa"/>
            <w:vAlign w:val="bottom"/>
          </w:tcPr>
          <w:p>
            <w:pPr>
              <w:jc w:val="right"/>
              <w:ind w:right="1712"/>
              <w:spacing w:after="0"/>
              <w:rPr>
                <w:sz w:val="20"/>
                <w:szCs w:val="20"/>
                <w:color w:val="auto"/>
              </w:rPr>
            </w:pPr>
            <w:r>
              <w:rPr>
                <w:rFonts w:ascii="Arial" w:cs="Arial" w:eastAsia="Arial" w:hAnsi="Arial"/>
                <w:sz w:val="18"/>
                <w:szCs w:val="18"/>
                <w:color w:val="auto"/>
              </w:rPr>
              <w:t>34</w:t>
            </w:r>
          </w:p>
        </w:tc>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Networks Segment—Revenue</w:t>
      </w:r>
    </w:p>
    <w:p>
      <w:pPr>
        <w:spacing w:after="0" w:line="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Cable Networks revenue increased for the three months ended September 30, 2015 compared to the same period in 2014 due to increases in distribution revenue, content licensing and other revenue, and advertising revenue. The increase in distribution revenue was primarily due to increases in the contractual rates charged under distribution agreements, which were partially due to the premiere of NASCAR programming on NBC Sports Network in the current year period. The increase in content licensing and other revenue was primarily due to the timing of content provided under our licensing agreements. The increase in advertising revenue was due to advertising revenue associated with the broadcast of NASCAR programming. In addition, while we continued to experience audience ratings declines that negatively affected advertising revenue, the impact of audience ratings was partially offset by higher prices for, and an increase in the volume of, advertising units sold.</w:t>
      </w:r>
    </w:p>
    <w:p>
      <w:pPr>
        <w:spacing w:after="0" w:line="5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Cable Networks revenue decreased for the nine months ended September 30, 2015 compared to the same period in 2014 due to decreases in advertising revenue and content licensing and other revenue, which were partially offset by an increase in distribution revenue. The decrease in advertising revenue was primarily due to $80 million in revenue in the prior year period associated with our broadcast of the 2014 Sochi Olympics, which was partially offset by the benefit from a reduction in deferred advertising revenue in the current year period. In addition, while we continued to experience audience ratings declines that negatively affected advertising revenue, the impact of audience ratings was partially offset by higher prices for, and an increase in the volume of, advertising units sold. The decrease in content licensing and other revenue was primarily due to the timing of content provided under our licensing agreements. The increase in distribution revenue was primarily due to increases in the contractual rates charged under distribution agreements in the current year period, which were partially offset by $177 million in revenue in the prior year period associated with our broadcast of the 2014 Sochi Olympics. Excluding $257 million of revenue associated with our broadcast of the 2014 Sochi Olympics in the prior year period, Cable Networks revenue increased 3.5% for the nine months ended September 30, 2015.</w:t>
      </w:r>
    </w:p>
    <w:p>
      <w:pPr>
        <w:spacing w:after="0" w:line="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For both the three and nine months ended September 30, 2015, 13% of our Cable Networks segment revenue was generated from our Cable Communications segment. For the three and nine months ended September 30, 2014, 13% and 12%, respectively, of our Cable Networks segment revenue was generated from our Cable Communications segment. These amounts are eliminated in our condensed consolidated financial statements but are included in the amounts presented above.</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Networks Segment—Operating Costs and Expenses</w:t>
      </w:r>
    </w:p>
    <w:p>
      <w:pPr>
        <w:spacing w:after="0" w:line="7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Operating costs and expenses increased for the three months ended September 30, 2015 compared to the same period in 2014 primarily due to an increase in programming and production costs. The increase in programming and production costs was primarily due to our continued investment in programming, including the premiere of NASCAR programming and other sports programming rights costs in the current year period.</w:t>
      </w:r>
    </w:p>
    <w:p>
      <w:pPr>
        <w:spacing w:after="0" w:line="1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Operating costs and expenses increased for the nine months ended September 30, 2015 compared to the same period in 2014 due to increases in advertising, marketing and promotion expenses and other operating and administrative expenses, which were partially offset by a decrease in programming and production costs. The increase in advertising, marketing and promotion expenses for the nine months ended September 30, 2015 was primarily due to an increase in marketing expenses related to the launch of new programming on our cable networks. The increase in other operating and administrative expenses was primarily due to an increase in employee-related costs. The decrease in programming and production costs was primarily due to costs associated with our broadcast of the 2014 Sochi Olympics in the prior year period, which was partially offset by our continued investment in programming, including sports programming rights costs, in the current year period.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Broadcast Television Segment Results of Operations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20" w:type="dxa"/>
            <w:vAlign w:val="bottom"/>
            <w:gridSpan w:val="3"/>
          </w:tcPr>
          <w:p>
            <w:pPr>
              <w:jc w:val="center"/>
              <w:ind w:right="74"/>
              <w:spacing w:after="0"/>
              <w:rPr>
                <w:sz w:val="20"/>
                <w:szCs w:val="20"/>
                <w:color w:val="auto"/>
              </w:rPr>
            </w:pPr>
            <w:r>
              <w:rPr>
                <w:rFonts w:ascii="Arial" w:cs="Arial" w:eastAsia="Arial" w:hAnsi="Arial"/>
                <w:sz w:val="14"/>
                <w:szCs w:val="14"/>
                <w:color w:val="auto"/>
                <w:w w:val="87"/>
              </w:rPr>
              <w:t>Three Months Ended</w:t>
            </w:r>
          </w:p>
        </w:tc>
        <w:tc>
          <w:tcPr>
            <w:tcW w:w="320" w:type="dxa"/>
            <w:vAlign w:val="bottom"/>
          </w:tcPr>
          <w:p>
            <w:pPr>
              <w:spacing w:after="0"/>
              <w:rPr>
                <w:sz w:val="14"/>
                <w:szCs w:val="14"/>
                <w:color w:val="auto"/>
              </w:rPr>
            </w:pPr>
          </w:p>
        </w:tc>
        <w:tc>
          <w:tcPr>
            <w:tcW w:w="1160" w:type="dxa"/>
            <w:vAlign w:val="bottom"/>
            <w:gridSpan w:val="2"/>
          </w:tcPr>
          <w:p>
            <w:pPr>
              <w:jc w:val="right"/>
              <w:ind w:right="474"/>
              <w:spacing w:after="0"/>
              <w:rPr>
                <w:sz w:val="20"/>
                <w:szCs w:val="20"/>
                <w:color w:val="auto"/>
              </w:rPr>
            </w:pPr>
            <w:r>
              <w:rPr>
                <w:rFonts w:ascii="Arial" w:cs="Arial" w:eastAsia="Arial" w:hAnsi="Arial"/>
                <w:sz w:val="14"/>
                <w:szCs w:val="14"/>
                <w:color w:val="auto"/>
              </w:rPr>
              <w:t>Increase/</w:t>
            </w:r>
          </w:p>
        </w:tc>
        <w:tc>
          <w:tcPr>
            <w:tcW w:w="0" w:type="dxa"/>
            <w:vAlign w:val="bottom"/>
          </w:tcPr>
          <w:p>
            <w:pPr>
              <w:spacing w:after="0"/>
              <w:rPr>
                <w:sz w:val="1"/>
                <w:szCs w:val="1"/>
                <w:color w:val="auto"/>
              </w:rPr>
            </w:pPr>
          </w:p>
        </w:tc>
      </w:tr>
      <w:tr>
        <w:trPr>
          <w:trHeight w:val="159"/>
        </w:trPr>
        <w:tc>
          <w:tcPr>
            <w:tcW w:w="762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3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2"/>
          </w:tcPr>
          <w:p>
            <w:pPr>
              <w:jc w:val="center"/>
              <w:ind w:left="372"/>
              <w:spacing w:after="0" w:line="159" w:lineRule="exact"/>
              <w:rPr>
                <w:sz w:val="20"/>
                <w:szCs w:val="20"/>
                <w:color w:val="auto"/>
              </w:rPr>
            </w:pPr>
            <w:r>
              <w:rPr>
                <w:rFonts w:ascii="Arial" w:cs="Arial" w:eastAsia="Arial" w:hAnsi="Arial"/>
                <w:sz w:val="14"/>
                <w:szCs w:val="14"/>
                <w:color w:val="auto"/>
                <w:w w:val="86"/>
              </w:rPr>
              <w:t>September 30</w:t>
            </w:r>
          </w:p>
        </w:tc>
        <w:tc>
          <w:tcPr>
            <w:tcW w:w="6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tcPr>
          <w:p>
            <w:pPr>
              <w:jc w:val="right"/>
              <w:ind w:right="434"/>
              <w:spacing w:after="0" w:line="159" w:lineRule="exact"/>
              <w:rPr>
                <w:sz w:val="20"/>
                <w:szCs w:val="20"/>
                <w:color w:val="auto"/>
              </w:rPr>
            </w:pPr>
            <w:r>
              <w:rPr>
                <w:rFonts w:ascii="Arial" w:cs="Arial" w:eastAsia="Arial" w:hAnsi="Arial"/>
                <w:sz w:val="14"/>
                <w:szCs w:val="14"/>
                <w:color w:val="auto"/>
                <w:w w:val="89"/>
              </w:rPr>
              <w:t>(Decrease)</w:t>
            </w:r>
          </w:p>
        </w:tc>
        <w:tc>
          <w:tcPr>
            <w:tcW w:w="0" w:type="dxa"/>
            <w:vAlign w:val="bottom"/>
          </w:tcPr>
          <w:p>
            <w:pPr>
              <w:spacing w:after="0"/>
              <w:rPr>
                <w:sz w:val="1"/>
                <w:szCs w:val="1"/>
                <w:color w:val="auto"/>
              </w:rPr>
            </w:pPr>
          </w:p>
        </w:tc>
      </w:tr>
      <w:tr>
        <w:trPr>
          <w:trHeight w:val="142"/>
        </w:trPr>
        <w:tc>
          <w:tcPr>
            <w:tcW w:w="7620" w:type="dxa"/>
            <w:vAlign w:val="bottom"/>
            <w:gridSpan w:val="2"/>
            <w:vMerge w:val="continue"/>
          </w:tcPr>
          <w:p>
            <w:pPr>
              <w:spacing w:after="0"/>
              <w:rPr>
                <w:sz w:val="12"/>
                <w:szCs w:val="12"/>
                <w:color w:val="auto"/>
              </w:rPr>
            </w:pPr>
          </w:p>
        </w:tc>
        <w:tc>
          <w:tcPr>
            <w:tcW w:w="1320" w:type="dxa"/>
            <w:vAlign w:val="bottom"/>
            <w:gridSpan w:val="2"/>
          </w:tcPr>
          <w:p>
            <w:pPr>
              <w:jc w:val="right"/>
              <w:ind w:right="432"/>
              <w:spacing w:after="0" w:line="142" w:lineRule="exact"/>
              <w:rPr>
                <w:sz w:val="20"/>
                <w:szCs w:val="20"/>
                <w:color w:val="auto"/>
              </w:rPr>
            </w:pPr>
            <w:r>
              <w:rPr>
                <w:rFonts w:ascii="Arial" w:cs="Arial" w:eastAsia="Arial" w:hAnsi="Arial"/>
                <w:sz w:val="14"/>
                <w:szCs w:val="14"/>
                <w:color w:val="auto"/>
              </w:rPr>
              <w:t>2015</w:t>
            </w:r>
          </w:p>
        </w:tc>
        <w:tc>
          <w:tcPr>
            <w:tcW w:w="1000" w:type="dxa"/>
            <w:vAlign w:val="bottom"/>
            <w:gridSpan w:val="2"/>
          </w:tcPr>
          <w:p>
            <w:pPr>
              <w:jc w:val="right"/>
              <w:ind w:right="354"/>
              <w:spacing w:after="0" w:line="142" w:lineRule="exact"/>
              <w:rPr>
                <w:sz w:val="20"/>
                <w:szCs w:val="20"/>
                <w:color w:val="auto"/>
              </w:rPr>
            </w:pPr>
            <w:r>
              <w:rPr>
                <w:rFonts w:ascii="Arial" w:cs="Arial" w:eastAsia="Arial" w:hAnsi="Arial"/>
                <w:sz w:val="14"/>
                <w:szCs w:val="14"/>
                <w:color w:val="auto"/>
              </w:rPr>
              <w:t>2014</w:t>
            </w:r>
          </w:p>
        </w:tc>
        <w:tc>
          <w:tcPr>
            <w:tcW w:w="320" w:type="dxa"/>
            <w:vAlign w:val="bottom"/>
          </w:tcPr>
          <w:p>
            <w:pPr>
              <w:spacing w:after="0"/>
              <w:rPr>
                <w:sz w:val="12"/>
                <w:szCs w:val="12"/>
                <w:color w:val="auto"/>
              </w:rPr>
            </w:pPr>
          </w:p>
        </w:tc>
        <w:tc>
          <w:tcPr>
            <w:tcW w:w="440" w:type="dxa"/>
            <w:vAlign w:val="bottom"/>
          </w:tcPr>
          <w:p>
            <w:pPr>
              <w:jc w:val="right"/>
              <w:ind w:right="258"/>
              <w:spacing w:after="0" w:line="142"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374"/>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300" w:type="dxa"/>
            <w:vAlign w:val="bottom"/>
            <w:tcBorders>
              <w:top w:val="single" w:sz="8" w:color="auto"/>
            </w:tcBorders>
            <w:shd w:val="clear" w:color="auto" w:fill="E5E5E5"/>
          </w:tcPr>
          <w:p>
            <w:pPr>
              <w:spacing w:after="0"/>
              <w:rPr>
                <w:sz w:val="18"/>
                <w:szCs w:val="18"/>
                <w:color w:val="auto"/>
              </w:rPr>
            </w:pPr>
          </w:p>
        </w:tc>
        <w:tc>
          <w:tcPr>
            <w:tcW w:w="1020" w:type="dxa"/>
            <w:vAlign w:val="bottom"/>
            <w:tcBorders>
              <w:top w:val="single" w:sz="8" w:color="auto"/>
            </w:tcBorders>
            <w:shd w:val="clear" w:color="auto" w:fill="E5E5E5"/>
          </w:tcPr>
          <w:p>
            <w:pPr>
              <w:spacing w:after="0"/>
              <w:rPr>
                <w:sz w:val="18"/>
                <w:szCs w:val="18"/>
                <w:color w:val="auto"/>
              </w:rPr>
            </w:pPr>
          </w:p>
        </w:tc>
        <w:tc>
          <w:tcPr>
            <w:tcW w:w="380" w:type="dxa"/>
            <w:vAlign w:val="bottom"/>
            <w:tcBorders>
              <w:top w:val="single" w:sz="8" w:color="auto"/>
            </w:tcBorders>
            <w:shd w:val="clear" w:color="auto" w:fill="E5E5E5"/>
          </w:tcPr>
          <w:p>
            <w:pPr>
              <w:spacing w:after="0"/>
              <w:rPr>
                <w:sz w:val="18"/>
                <w:szCs w:val="18"/>
                <w:color w:val="auto"/>
              </w:rPr>
            </w:pPr>
          </w:p>
        </w:tc>
        <w:tc>
          <w:tcPr>
            <w:tcW w:w="620" w:type="dxa"/>
            <w:vAlign w:val="bottom"/>
            <w:tcBorders>
              <w:top w:val="single" w:sz="8" w:color="auto"/>
            </w:tcBorders>
            <w:shd w:val="clear" w:color="auto" w:fill="E5E5E5"/>
          </w:tcPr>
          <w:p>
            <w:pPr>
              <w:spacing w:after="0"/>
              <w:rPr>
                <w:sz w:val="18"/>
                <w:szCs w:val="18"/>
                <w:color w:val="auto"/>
              </w:rPr>
            </w:pPr>
          </w:p>
        </w:tc>
        <w:tc>
          <w:tcPr>
            <w:tcW w:w="320" w:type="dxa"/>
            <w:vAlign w:val="bottom"/>
            <w:tcBorders>
              <w:top w:val="single" w:sz="8" w:color="auto"/>
            </w:tcBorders>
            <w:shd w:val="clear" w:color="auto" w:fill="E5E5E5"/>
          </w:tcPr>
          <w:p>
            <w:pPr>
              <w:spacing w:after="0"/>
              <w:rPr>
                <w:sz w:val="18"/>
                <w:szCs w:val="18"/>
                <w:color w:val="auto"/>
              </w:rPr>
            </w:pPr>
          </w:p>
        </w:tc>
        <w:tc>
          <w:tcPr>
            <w:tcW w:w="440" w:type="dxa"/>
            <w:vAlign w:val="bottom"/>
            <w:tcBorders>
              <w:top w:val="single" w:sz="8" w:color="auto"/>
            </w:tcBorders>
            <w:shd w:val="clear" w:color="auto" w:fill="E5E5E5"/>
          </w:tcPr>
          <w:p>
            <w:pPr>
              <w:spacing w:after="0"/>
              <w:rPr>
                <w:sz w:val="18"/>
                <w:szCs w:val="18"/>
                <w:color w:val="auto"/>
              </w:rPr>
            </w:pPr>
          </w:p>
        </w:tc>
        <w:tc>
          <w:tcPr>
            <w:tcW w:w="72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420"/>
              <w:spacing w:after="0"/>
              <w:rPr>
                <w:sz w:val="20"/>
                <w:szCs w:val="20"/>
                <w:color w:val="auto"/>
              </w:rPr>
            </w:pPr>
            <w:r>
              <w:rPr>
                <w:rFonts w:ascii="Arial" w:cs="Arial" w:eastAsia="Arial" w:hAnsi="Arial"/>
                <w:sz w:val="18"/>
                <w:szCs w:val="18"/>
                <w:color w:val="auto"/>
              </w:rPr>
              <w:t>Advertising</w:t>
            </w:r>
          </w:p>
        </w:tc>
        <w:tc>
          <w:tcPr>
            <w:tcW w:w="1320" w:type="dxa"/>
            <w:vAlign w:val="bottom"/>
            <w:gridSpan w:val="2"/>
          </w:tcPr>
          <w:p>
            <w:pPr>
              <w:jc w:val="right"/>
              <w:ind w:right="292"/>
              <w:spacing w:after="0"/>
              <w:rPr>
                <w:sz w:val="20"/>
                <w:szCs w:val="20"/>
                <w:color w:val="auto"/>
              </w:rPr>
            </w:pPr>
            <w:r>
              <w:rPr>
                <w:rFonts w:ascii="Arial" w:cs="Arial" w:eastAsia="Arial" w:hAnsi="Arial"/>
                <w:sz w:val="18"/>
                <w:szCs w:val="18"/>
                <w:color w:val="auto"/>
              </w:rPr>
              <w:t>$ 1,185</w:t>
            </w:r>
          </w:p>
        </w:tc>
        <w:tc>
          <w:tcPr>
            <w:tcW w:w="1000" w:type="dxa"/>
            <w:vAlign w:val="bottom"/>
            <w:gridSpan w:val="2"/>
          </w:tcPr>
          <w:p>
            <w:pPr>
              <w:jc w:val="right"/>
              <w:ind w:right="214"/>
              <w:spacing w:after="0"/>
              <w:rPr>
                <w:sz w:val="20"/>
                <w:szCs w:val="20"/>
                <w:color w:val="auto"/>
              </w:rPr>
            </w:pPr>
            <w:r>
              <w:rPr>
                <w:rFonts w:ascii="Arial" w:cs="Arial" w:eastAsia="Arial" w:hAnsi="Arial"/>
                <w:sz w:val="18"/>
                <w:szCs w:val="18"/>
                <w:color w:val="auto"/>
              </w:rPr>
              <w:t>$ 1,153</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98"/>
              <w:spacing w:after="0"/>
              <w:rPr>
                <w:sz w:val="20"/>
                <w:szCs w:val="20"/>
                <w:color w:val="auto"/>
              </w:rPr>
            </w:pPr>
            <w:r>
              <w:rPr>
                <w:rFonts w:ascii="Arial" w:cs="Arial" w:eastAsia="Arial" w:hAnsi="Arial"/>
                <w:sz w:val="18"/>
                <w:szCs w:val="18"/>
                <w:color w:val="auto"/>
              </w:rPr>
              <w:t>32</w:t>
            </w:r>
          </w:p>
        </w:tc>
        <w:tc>
          <w:tcPr>
            <w:tcW w:w="720" w:type="dxa"/>
            <w:vAlign w:val="bottom"/>
          </w:tcPr>
          <w:p>
            <w:pPr>
              <w:jc w:val="right"/>
              <w:ind w:right="114"/>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E5E5E5"/>
          </w:tcPr>
          <w:p>
            <w:pPr>
              <w:ind w:left="420"/>
              <w:spacing w:after="0"/>
              <w:rPr>
                <w:sz w:val="20"/>
                <w:szCs w:val="20"/>
                <w:color w:val="auto"/>
              </w:rPr>
            </w:pPr>
            <w:r>
              <w:rPr>
                <w:rFonts w:ascii="Arial" w:cs="Arial" w:eastAsia="Arial" w:hAnsi="Arial"/>
                <w:sz w:val="18"/>
                <w:szCs w:val="18"/>
                <w:color w:val="auto"/>
              </w:rPr>
              <w:t>Content licensing</w:t>
            </w:r>
          </w:p>
        </w:tc>
        <w:tc>
          <w:tcPr>
            <w:tcW w:w="1320" w:type="dxa"/>
            <w:vAlign w:val="bottom"/>
            <w:gridSpan w:val="2"/>
            <w:shd w:val="clear" w:color="auto" w:fill="E5E5E5"/>
          </w:tcPr>
          <w:p>
            <w:pPr>
              <w:jc w:val="right"/>
              <w:ind w:right="292"/>
              <w:spacing w:after="0"/>
              <w:rPr>
                <w:sz w:val="20"/>
                <w:szCs w:val="20"/>
                <w:color w:val="auto"/>
              </w:rPr>
            </w:pPr>
            <w:r>
              <w:rPr>
                <w:rFonts w:ascii="Arial" w:cs="Arial" w:eastAsia="Arial" w:hAnsi="Arial"/>
                <w:sz w:val="18"/>
                <w:szCs w:val="18"/>
                <w:color w:val="auto"/>
              </w:rPr>
              <w:t>537</w:t>
            </w:r>
          </w:p>
        </w:tc>
        <w:tc>
          <w:tcPr>
            <w:tcW w:w="38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214"/>
              <w:spacing w:after="0"/>
              <w:rPr>
                <w:sz w:val="20"/>
                <w:szCs w:val="20"/>
                <w:color w:val="auto"/>
              </w:rPr>
            </w:pPr>
            <w:r>
              <w:rPr>
                <w:rFonts w:ascii="Arial" w:cs="Arial" w:eastAsia="Arial" w:hAnsi="Arial"/>
                <w:sz w:val="18"/>
                <w:szCs w:val="18"/>
                <w:color w:val="auto"/>
                <w:w w:val="99"/>
              </w:rPr>
              <w:t>402</w:t>
            </w:r>
          </w:p>
        </w:tc>
        <w:tc>
          <w:tcPr>
            <w:tcW w:w="320" w:type="dxa"/>
            <w:vAlign w:val="bottom"/>
            <w:shd w:val="clear" w:color="auto" w:fill="E5E5E5"/>
          </w:tcPr>
          <w:p>
            <w:pPr>
              <w:spacing w:after="0"/>
              <w:rPr>
                <w:sz w:val="18"/>
                <w:szCs w:val="18"/>
                <w:color w:val="auto"/>
              </w:rPr>
            </w:pPr>
          </w:p>
        </w:tc>
        <w:tc>
          <w:tcPr>
            <w:tcW w:w="440" w:type="dxa"/>
            <w:vAlign w:val="bottom"/>
            <w:shd w:val="clear" w:color="auto" w:fill="E5E5E5"/>
          </w:tcPr>
          <w:p>
            <w:pPr>
              <w:jc w:val="right"/>
              <w:ind w:right="98"/>
              <w:spacing w:after="0"/>
              <w:rPr>
                <w:sz w:val="20"/>
                <w:szCs w:val="20"/>
                <w:color w:val="auto"/>
              </w:rPr>
            </w:pPr>
            <w:r>
              <w:rPr>
                <w:rFonts w:ascii="Arial" w:cs="Arial" w:eastAsia="Arial" w:hAnsi="Arial"/>
                <w:sz w:val="18"/>
                <w:szCs w:val="18"/>
                <w:color w:val="auto"/>
                <w:w w:val="79"/>
              </w:rPr>
              <w:t>135</w:t>
            </w:r>
          </w:p>
        </w:tc>
        <w:tc>
          <w:tcPr>
            <w:tcW w:w="720" w:type="dxa"/>
            <w:vAlign w:val="bottom"/>
            <w:shd w:val="clear" w:color="auto" w:fill="E5E5E5"/>
          </w:tcPr>
          <w:p>
            <w:pPr>
              <w:jc w:val="right"/>
              <w:ind w:right="254"/>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Other</w:t>
            </w:r>
          </w:p>
        </w:tc>
        <w:tc>
          <w:tcPr>
            <w:tcW w:w="1320" w:type="dxa"/>
            <w:vAlign w:val="bottom"/>
            <w:tcBorders>
              <w:bottom w:val="single" w:sz="8" w:color="auto"/>
            </w:tcBorders>
            <w:gridSpan w:val="2"/>
          </w:tcPr>
          <w:p>
            <w:pPr>
              <w:jc w:val="right"/>
              <w:ind w:right="292"/>
              <w:spacing w:after="0"/>
              <w:rPr>
                <w:sz w:val="20"/>
                <w:szCs w:val="20"/>
                <w:color w:val="auto"/>
              </w:rPr>
            </w:pPr>
            <w:r>
              <w:rPr>
                <w:rFonts w:ascii="Arial" w:cs="Arial" w:eastAsia="Arial" w:hAnsi="Arial"/>
                <w:sz w:val="18"/>
                <w:szCs w:val="18"/>
                <w:color w:val="auto"/>
              </w:rPr>
              <w:t>249</w:t>
            </w:r>
          </w:p>
        </w:tc>
        <w:tc>
          <w:tcPr>
            <w:tcW w:w="3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214"/>
              <w:spacing w:after="0"/>
              <w:rPr>
                <w:sz w:val="20"/>
                <w:szCs w:val="20"/>
                <w:color w:val="auto"/>
              </w:rPr>
            </w:pPr>
            <w:r>
              <w:rPr>
                <w:rFonts w:ascii="Arial" w:cs="Arial" w:eastAsia="Arial" w:hAnsi="Arial"/>
                <w:sz w:val="18"/>
                <w:szCs w:val="18"/>
                <w:color w:val="auto"/>
                <w:w w:val="99"/>
              </w:rPr>
              <w:t>215</w:t>
            </w:r>
          </w:p>
        </w:tc>
        <w:tc>
          <w:tcPr>
            <w:tcW w:w="3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98"/>
              <w:spacing w:after="0"/>
              <w:rPr>
                <w:sz w:val="20"/>
                <w:szCs w:val="20"/>
                <w:color w:val="auto"/>
              </w:rPr>
            </w:pPr>
            <w:r>
              <w:rPr>
                <w:rFonts w:ascii="Arial" w:cs="Arial" w:eastAsia="Arial" w:hAnsi="Arial"/>
                <w:sz w:val="18"/>
                <w:szCs w:val="18"/>
                <w:color w:val="auto"/>
              </w:rPr>
              <w:t>34</w:t>
            </w:r>
          </w:p>
        </w:tc>
        <w:tc>
          <w:tcPr>
            <w:tcW w:w="720" w:type="dxa"/>
            <w:vAlign w:val="bottom"/>
            <w:tcBorders>
              <w:bottom w:val="single" w:sz="8" w:color="auto"/>
            </w:tcBorders>
          </w:tcPr>
          <w:p>
            <w:pPr>
              <w:jc w:val="right"/>
              <w:ind w:right="254"/>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Total revenue</w:t>
            </w:r>
          </w:p>
        </w:tc>
        <w:tc>
          <w:tcPr>
            <w:tcW w:w="1320" w:type="dxa"/>
            <w:vAlign w:val="bottom"/>
            <w:gridSpan w:val="2"/>
            <w:shd w:val="clear" w:color="auto" w:fill="E5E5E5"/>
          </w:tcPr>
          <w:p>
            <w:pPr>
              <w:jc w:val="right"/>
              <w:ind w:right="292"/>
              <w:spacing w:after="0"/>
              <w:rPr>
                <w:sz w:val="20"/>
                <w:szCs w:val="20"/>
                <w:color w:val="auto"/>
              </w:rPr>
            </w:pPr>
            <w:r>
              <w:rPr>
                <w:rFonts w:ascii="Arial" w:cs="Arial" w:eastAsia="Arial" w:hAnsi="Arial"/>
                <w:sz w:val="18"/>
                <w:szCs w:val="18"/>
                <w:b w:val="1"/>
                <w:bCs w:val="1"/>
                <w:color w:val="auto"/>
              </w:rPr>
              <w:t>1,971</w:t>
            </w:r>
          </w:p>
        </w:tc>
        <w:tc>
          <w:tcPr>
            <w:tcW w:w="1000" w:type="dxa"/>
            <w:vAlign w:val="bottom"/>
            <w:gridSpan w:val="2"/>
            <w:shd w:val="clear" w:color="auto" w:fill="E5E5E5"/>
          </w:tcPr>
          <w:p>
            <w:pPr>
              <w:jc w:val="right"/>
              <w:ind w:right="214"/>
              <w:spacing w:after="0"/>
              <w:rPr>
                <w:sz w:val="20"/>
                <w:szCs w:val="20"/>
                <w:color w:val="auto"/>
              </w:rPr>
            </w:pPr>
            <w:r>
              <w:rPr>
                <w:rFonts w:ascii="Arial" w:cs="Arial" w:eastAsia="Arial" w:hAnsi="Arial"/>
                <w:sz w:val="18"/>
                <w:szCs w:val="18"/>
                <w:b w:val="1"/>
                <w:bCs w:val="1"/>
                <w:color w:val="auto"/>
              </w:rPr>
              <w:t>1,770</w:t>
            </w:r>
          </w:p>
        </w:tc>
        <w:tc>
          <w:tcPr>
            <w:tcW w:w="320" w:type="dxa"/>
            <w:vAlign w:val="bottom"/>
            <w:shd w:val="clear" w:color="auto" w:fill="E5E5E5"/>
          </w:tcPr>
          <w:p>
            <w:pPr>
              <w:spacing w:after="0"/>
              <w:rPr>
                <w:sz w:val="18"/>
                <w:szCs w:val="18"/>
                <w:color w:val="auto"/>
              </w:rPr>
            </w:pPr>
          </w:p>
        </w:tc>
        <w:tc>
          <w:tcPr>
            <w:tcW w:w="440" w:type="dxa"/>
            <w:vAlign w:val="bottom"/>
            <w:shd w:val="clear" w:color="auto" w:fill="E5E5E5"/>
          </w:tcPr>
          <w:p>
            <w:pPr>
              <w:jc w:val="right"/>
              <w:ind w:right="98"/>
              <w:spacing w:after="0"/>
              <w:rPr>
                <w:sz w:val="20"/>
                <w:szCs w:val="20"/>
                <w:color w:val="auto"/>
              </w:rPr>
            </w:pPr>
            <w:r>
              <w:rPr>
                <w:rFonts w:ascii="Arial" w:cs="Arial" w:eastAsia="Arial" w:hAnsi="Arial"/>
                <w:sz w:val="18"/>
                <w:szCs w:val="18"/>
                <w:b w:val="1"/>
                <w:bCs w:val="1"/>
                <w:color w:val="auto"/>
                <w:w w:val="79"/>
              </w:rPr>
              <w:t>201</w:t>
            </w:r>
          </w:p>
        </w:tc>
        <w:tc>
          <w:tcPr>
            <w:tcW w:w="720" w:type="dxa"/>
            <w:vAlign w:val="bottom"/>
            <w:shd w:val="clear" w:color="auto" w:fill="E5E5E5"/>
          </w:tcPr>
          <w:p>
            <w:pPr>
              <w:jc w:val="right"/>
              <w:ind w:right="254"/>
              <w:spacing w:after="0"/>
              <w:rPr>
                <w:sz w:val="20"/>
                <w:szCs w:val="20"/>
                <w:color w:val="auto"/>
              </w:rPr>
            </w:pPr>
            <w:r>
              <w:rPr>
                <w:rFonts w:ascii="Arial" w:cs="Arial" w:eastAsia="Arial" w:hAnsi="Arial"/>
                <w:sz w:val="18"/>
                <w:szCs w:val="18"/>
                <w:b w:val="1"/>
                <w:bCs w:val="1"/>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b w:val="1"/>
                <w:bCs w:val="1"/>
                <w:color w:val="auto"/>
              </w:rPr>
              <w:t>Operating costs and expenses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Programming and production</w:t>
            </w:r>
          </w:p>
        </w:tc>
        <w:tc>
          <w:tcPr>
            <w:tcW w:w="1320" w:type="dxa"/>
            <w:vAlign w:val="bottom"/>
            <w:gridSpan w:val="2"/>
            <w:shd w:val="clear" w:color="auto" w:fill="E5E5E5"/>
          </w:tcPr>
          <w:p>
            <w:pPr>
              <w:jc w:val="right"/>
              <w:ind w:right="292"/>
              <w:spacing w:after="0"/>
              <w:rPr>
                <w:sz w:val="20"/>
                <w:szCs w:val="20"/>
                <w:color w:val="auto"/>
              </w:rPr>
            </w:pPr>
            <w:r>
              <w:rPr>
                <w:rFonts w:ascii="Arial" w:cs="Arial" w:eastAsia="Arial" w:hAnsi="Arial"/>
                <w:sz w:val="18"/>
                <w:szCs w:val="18"/>
                <w:color w:val="auto"/>
              </w:rPr>
              <w:t>1,357</w:t>
            </w:r>
          </w:p>
        </w:tc>
        <w:tc>
          <w:tcPr>
            <w:tcW w:w="1000" w:type="dxa"/>
            <w:vAlign w:val="bottom"/>
            <w:gridSpan w:val="2"/>
            <w:shd w:val="clear" w:color="auto" w:fill="E5E5E5"/>
          </w:tcPr>
          <w:p>
            <w:pPr>
              <w:jc w:val="right"/>
              <w:ind w:right="214"/>
              <w:spacing w:after="0"/>
              <w:rPr>
                <w:sz w:val="20"/>
                <w:szCs w:val="20"/>
                <w:color w:val="auto"/>
              </w:rPr>
            </w:pPr>
            <w:r>
              <w:rPr>
                <w:rFonts w:ascii="Arial" w:cs="Arial" w:eastAsia="Arial" w:hAnsi="Arial"/>
                <w:sz w:val="18"/>
                <w:szCs w:val="18"/>
                <w:color w:val="auto"/>
              </w:rPr>
              <w:t>1,214</w:t>
            </w:r>
          </w:p>
        </w:tc>
        <w:tc>
          <w:tcPr>
            <w:tcW w:w="320" w:type="dxa"/>
            <w:vAlign w:val="bottom"/>
            <w:shd w:val="clear" w:color="auto" w:fill="E5E5E5"/>
          </w:tcPr>
          <w:p>
            <w:pPr>
              <w:spacing w:after="0"/>
              <w:rPr>
                <w:sz w:val="18"/>
                <w:szCs w:val="18"/>
                <w:color w:val="auto"/>
              </w:rPr>
            </w:pPr>
          </w:p>
        </w:tc>
        <w:tc>
          <w:tcPr>
            <w:tcW w:w="440" w:type="dxa"/>
            <w:vAlign w:val="bottom"/>
            <w:shd w:val="clear" w:color="auto" w:fill="E5E5E5"/>
          </w:tcPr>
          <w:p>
            <w:pPr>
              <w:jc w:val="right"/>
              <w:ind w:right="98"/>
              <w:spacing w:after="0"/>
              <w:rPr>
                <w:sz w:val="20"/>
                <w:szCs w:val="20"/>
                <w:color w:val="auto"/>
              </w:rPr>
            </w:pPr>
            <w:r>
              <w:rPr>
                <w:rFonts w:ascii="Arial" w:cs="Arial" w:eastAsia="Arial" w:hAnsi="Arial"/>
                <w:sz w:val="18"/>
                <w:szCs w:val="18"/>
                <w:color w:val="auto"/>
                <w:w w:val="79"/>
              </w:rPr>
              <w:t>143</w:t>
            </w:r>
          </w:p>
        </w:tc>
        <w:tc>
          <w:tcPr>
            <w:tcW w:w="720" w:type="dxa"/>
            <w:vAlign w:val="bottom"/>
            <w:shd w:val="clear" w:color="auto" w:fill="E5E5E5"/>
          </w:tcPr>
          <w:p>
            <w:pPr>
              <w:jc w:val="right"/>
              <w:ind w:right="254"/>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420"/>
              <w:spacing w:after="0"/>
              <w:rPr>
                <w:sz w:val="20"/>
                <w:szCs w:val="20"/>
                <w:color w:val="auto"/>
              </w:rPr>
            </w:pPr>
            <w:r>
              <w:rPr>
                <w:rFonts w:ascii="Arial" w:cs="Arial" w:eastAsia="Arial" w:hAnsi="Arial"/>
                <w:sz w:val="18"/>
                <w:szCs w:val="18"/>
                <w:color w:val="auto"/>
              </w:rPr>
              <w:t>Other operating and administrative</w:t>
            </w:r>
          </w:p>
        </w:tc>
        <w:tc>
          <w:tcPr>
            <w:tcW w:w="1320" w:type="dxa"/>
            <w:vAlign w:val="bottom"/>
            <w:gridSpan w:val="2"/>
          </w:tcPr>
          <w:p>
            <w:pPr>
              <w:jc w:val="right"/>
              <w:ind w:right="292"/>
              <w:spacing w:after="0"/>
              <w:rPr>
                <w:sz w:val="20"/>
                <w:szCs w:val="20"/>
                <w:color w:val="auto"/>
              </w:rPr>
            </w:pPr>
            <w:r>
              <w:rPr>
                <w:rFonts w:ascii="Arial" w:cs="Arial" w:eastAsia="Arial" w:hAnsi="Arial"/>
                <w:sz w:val="18"/>
                <w:szCs w:val="18"/>
                <w:color w:val="auto"/>
              </w:rPr>
              <w:t>326</w:t>
            </w:r>
          </w:p>
        </w:tc>
        <w:tc>
          <w:tcPr>
            <w:tcW w:w="380" w:type="dxa"/>
            <w:vAlign w:val="bottom"/>
          </w:tcPr>
          <w:p>
            <w:pPr>
              <w:spacing w:after="0"/>
              <w:rPr>
                <w:sz w:val="18"/>
                <w:szCs w:val="18"/>
                <w:color w:val="auto"/>
              </w:rPr>
            </w:pPr>
          </w:p>
        </w:tc>
        <w:tc>
          <w:tcPr>
            <w:tcW w:w="620" w:type="dxa"/>
            <w:vAlign w:val="bottom"/>
          </w:tcPr>
          <w:p>
            <w:pPr>
              <w:jc w:val="right"/>
              <w:ind w:right="214"/>
              <w:spacing w:after="0"/>
              <w:rPr>
                <w:sz w:val="20"/>
                <w:szCs w:val="20"/>
                <w:color w:val="auto"/>
              </w:rPr>
            </w:pPr>
            <w:r>
              <w:rPr>
                <w:rFonts w:ascii="Arial" w:cs="Arial" w:eastAsia="Arial" w:hAnsi="Arial"/>
                <w:sz w:val="18"/>
                <w:szCs w:val="18"/>
                <w:color w:val="auto"/>
                <w:w w:val="99"/>
              </w:rPr>
              <w:t>290</w:t>
            </w:r>
          </w:p>
        </w:tc>
        <w:tc>
          <w:tcPr>
            <w:tcW w:w="320" w:type="dxa"/>
            <w:vAlign w:val="bottom"/>
          </w:tcPr>
          <w:p>
            <w:pPr>
              <w:spacing w:after="0"/>
              <w:rPr>
                <w:sz w:val="18"/>
                <w:szCs w:val="18"/>
                <w:color w:val="auto"/>
              </w:rPr>
            </w:pPr>
          </w:p>
        </w:tc>
        <w:tc>
          <w:tcPr>
            <w:tcW w:w="440" w:type="dxa"/>
            <w:vAlign w:val="bottom"/>
          </w:tcPr>
          <w:p>
            <w:pPr>
              <w:jc w:val="right"/>
              <w:ind w:right="98"/>
              <w:spacing w:after="0"/>
              <w:rPr>
                <w:sz w:val="20"/>
                <w:szCs w:val="20"/>
                <w:color w:val="auto"/>
              </w:rPr>
            </w:pPr>
            <w:r>
              <w:rPr>
                <w:rFonts w:ascii="Arial" w:cs="Arial" w:eastAsia="Arial" w:hAnsi="Arial"/>
                <w:sz w:val="18"/>
                <w:szCs w:val="18"/>
                <w:color w:val="auto"/>
              </w:rPr>
              <w:t>36</w:t>
            </w:r>
          </w:p>
        </w:tc>
        <w:tc>
          <w:tcPr>
            <w:tcW w:w="720" w:type="dxa"/>
            <w:vAlign w:val="bottom"/>
          </w:tcPr>
          <w:p>
            <w:pPr>
              <w:jc w:val="right"/>
              <w:ind w:right="254"/>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Advertising, marketing and promotion</w:t>
            </w:r>
          </w:p>
        </w:tc>
        <w:tc>
          <w:tcPr>
            <w:tcW w:w="1320" w:type="dxa"/>
            <w:vAlign w:val="bottom"/>
            <w:tcBorders>
              <w:bottom w:val="single" w:sz="8" w:color="auto"/>
            </w:tcBorders>
            <w:gridSpan w:val="2"/>
            <w:shd w:val="clear" w:color="auto" w:fill="E5E5E5"/>
          </w:tcPr>
          <w:p>
            <w:pPr>
              <w:jc w:val="right"/>
              <w:ind w:right="292"/>
              <w:spacing w:after="0"/>
              <w:rPr>
                <w:sz w:val="20"/>
                <w:szCs w:val="20"/>
                <w:color w:val="auto"/>
              </w:rPr>
            </w:pPr>
            <w:r>
              <w:rPr>
                <w:rFonts w:ascii="Arial" w:cs="Arial" w:eastAsia="Arial" w:hAnsi="Arial"/>
                <w:sz w:val="18"/>
                <w:szCs w:val="18"/>
                <w:color w:val="auto"/>
              </w:rPr>
              <w:t>138</w:t>
            </w:r>
          </w:p>
        </w:tc>
        <w:tc>
          <w:tcPr>
            <w:tcW w:w="38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214"/>
              <w:spacing w:after="0"/>
              <w:rPr>
                <w:sz w:val="20"/>
                <w:szCs w:val="20"/>
                <w:color w:val="auto"/>
              </w:rPr>
            </w:pPr>
            <w:r>
              <w:rPr>
                <w:rFonts w:ascii="Arial" w:cs="Arial" w:eastAsia="Arial" w:hAnsi="Arial"/>
                <w:sz w:val="18"/>
                <w:szCs w:val="18"/>
                <w:color w:val="auto"/>
                <w:w w:val="99"/>
              </w:rPr>
              <w:t>124</w:t>
            </w:r>
          </w:p>
        </w:tc>
        <w:tc>
          <w:tcPr>
            <w:tcW w:w="320" w:type="dxa"/>
            <w:vAlign w:val="bottom"/>
            <w:tcBorders>
              <w:bottom w:val="single" w:sz="8" w:color="auto"/>
            </w:tcBorders>
            <w:shd w:val="clear" w:color="auto" w:fill="E5E5E5"/>
          </w:tcPr>
          <w:p>
            <w:pPr>
              <w:spacing w:after="0"/>
              <w:rPr>
                <w:sz w:val="18"/>
                <w:szCs w:val="18"/>
                <w:color w:val="auto"/>
              </w:rPr>
            </w:pPr>
          </w:p>
        </w:tc>
        <w:tc>
          <w:tcPr>
            <w:tcW w:w="440" w:type="dxa"/>
            <w:vAlign w:val="bottom"/>
            <w:tcBorders>
              <w:bottom w:val="single" w:sz="8" w:color="auto"/>
            </w:tcBorders>
            <w:shd w:val="clear" w:color="auto" w:fill="E5E5E5"/>
          </w:tcPr>
          <w:p>
            <w:pPr>
              <w:jc w:val="right"/>
              <w:ind w:right="98"/>
              <w:spacing w:after="0"/>
              <w:rPr>
                <w:sz w:val="20"/>
                <w:szCs w:val="20"/>
                <w:color w:val="auto"/>
              </w:rPr>
            </w:pPr>
            <w:r>
              <w:rPr>
                <w:rFonts w:ascii="Arial" w:cs="Arial" w:eastAsia="Arial" w:hAnsi="Arial"/>
                <w:sz w:val="18"/>
                <w:szCs w:val="18"/>
                <w:color w:val="auto"/>
              </w:rPr>
              <w:t>14</w:t>
            </w:r>
          </w:p>
        </w:tc>
        <w:tc>
          <w:tcPr>
            <w:tcW w:w="720" w:type="dxa"/>
            <w:vAlign w:val="bottom"/>
            <w:tcBorders>
              <w:bottom w:val="single" w:sz="8" w:color="auto"/>
            </w:tcBorders>
            <w:shd w:val="clear" w:color="auto" w:fill="E5E5E5"/>
          </w:tcPr>
          <w:p>
            <w:pPr>
              <w:jc w:val="right"/>
              <w:ind w:right="254"/>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operating costs and expenses</w:t>
            </w:r>
          </w:p>
        </w:tc>
        <w:tc>
          <w:tcPr>
            <w:tcW w:w="1320" w:type="dxa"/>
            <w:vAlign w:val="bottom"/>
            <w:tcBorders>
              <w:bottom w:val="single" w:sz="8" w:color="auto"/>
            </w:tcBorders>
            <w:gridSpan w:val="2"/>
          </w:tcPr>
          <w:p>
            <w:pPr>
              <w:jc w:val="right"/>
              <w:ind w:right="292"/>
              <w:spacing w:after="0"/>
              <w:rPr>
                <w:sz w:val="20"/>
                <w:szCs w:val="20"/>
                <w:color w:val="auto"/>
              </w:rPr>
            </w:pPr>
            <w:r>
              <w:rPr>
                <w:rFonts w:ascii="Arial" w:cs="Arial" w:eastAsia="Arial" w:hAnsi="Arial"/>
                <w:sz w:val="18"/>
                <w:szCs w:val="18"/>
                <w:color w:val="auto"/>
              </w:rPr>
              <w:t>1,821</w:t>
            </w:r>
          </w:p>
        </w:tc>
        <w:tc>
          <w:tcPr>
            <w:tcW w:w="1000" w:type="dxa"/>
            <w:vAlign w:val="bottom"/>
            <w:tcBorders>
              <w:bottom w:val="single" w:sz="8" w:color="auto"/>
            </w:tcBorders>
            <w:gridSpan w:val="2"/>
          </w:tcPr>
          <w:p>
            <w:pPr>
              <w:jc w:val="right"/>
              <w:ind w:right="214"/>
              <w:spacing w:after="0"/>
              <w:rPr>
                <w:sz w:val="20"/>
                <w:szCs w:val="20"/>
                <w:color w:val="auto"/>
              </w:rPr>
            </w:pPr>
            <w:r>
              <w:rPr>
                <w:rFonts w:ascii="Arial" w:cs="Arial" w:eastAsia="Arial" w:hAnsi="Arial"/>
                <w:sz w:val="18"/>
                <w:szCs w:val="18"/>
                <w:color w:val="auto"/>
              </w:rPr>
              <w:t>1,628</w:t>
            </w:r>
          </w:p>
        </w:tc>
        <w:tc>
          <w:tcPr>
            <w:tcW w:w="3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98"/>
              <w:spacing w:after="0"/>
              <w:rPr>
                <w:sz w:val="20"/>
                <w:szCs w:val="20"/>
                <w:color w:val="auto"/>
              </w:rPr>
            </w:pPr>
            <w:r>
              <w:rPr>
                <w:rFonts w:ascii="Arial" w:cs="Arial" w:eastAsia="Arial" w:hAnsi="Arial"/>
                <w:sz w:val="18"/>
                <w:szCs w:val="18"/>
                <w:color w:val="auto"/>
                <w:w w:val="79"/>
              </w:rPr>
              <w:t>193</w:t>
            </w:r>
          </w:p>
        </w:tc>
        <w:tc>
          <w:tcPr>
            <w:tcW w:w="720" w:type="dxa"/>
            <w:vAlign w:val="bottom"/>
            <w:tcBorders>
              <w:bottom w:val="single" w:sz="8" w:color="auto"/>
            </w:tcBorders>
          </w:tcPr>
          <w:p>
            <w:pPr>
              <w:jc w:val="right"/>
              <w:ind w:right="254"/>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1320" w:type="dxa"/>
            <w:vAlign w:val="bottom"/>
            <w:tcBorders>
              <w:bottom w:val="single" w:sz="8" w:color="auto"/>
            </w:tcBorders>
            <w:gridSpan w:val="2"/>
            <w:shd w:val="clear" w:color="auto" w:fill="E5E5E5"/>
          </w:tcPr>
          <w:p>
            <w:pPr>
              <w:jc w:val="right"/>
              <w:ind w:right="292"/>
              <w:spacing w:after="0"/>
              <w:rPr>
                <w:sz w:val="20"/>
                <w:szCs w:val="20"/>
                <w:color w:val="auto"/>
              </w:rPr>
            </w:pPr>
            <w:r>
              <w:rPr>
                <w:rFonts w:ascii="Arial" w:cs="Arial" w:eastAsia="Arial" w:hAnsi="Arial"/>
                <w:sz w:val="18"/>
                <w:szCs w:val="18"/>
                <w:b w:val="1"/>
                <w:bCs w:val="1"/>
                <w:color w:val="auto"/>
              </w:rPr>
              <w:t>$  150</w:t>
            </w:r>
          </w:p>
        </w:tc>
        <w:tc>
          <w:tcPr>
            <w:tcW w:w="380" w:type="dxa"/>
            <w:vAlign w:val="bottom"/>
            <w:tcBorders>
              <w:bottom w:val="single" w:sz="8" w:color="auto"/>
            </w:tcBorders>
            <w:shd w:val="clear" w:color="auto" w:fill="E5E5E5"/>
          </w:tcPr>
          <w:p>
            <w:pPr>
              <w:jc w:val="right"/>
              <w:ind w:right="55"/>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shd w:val="clear" w:color="auto" w:fill="E5E5E5"/>
          </w:tcPr>
          <w:p>
            <w:pPr>
              <w:jc w:val="right"/>
              <w:ind w:right="214"/>
              <w:spacing w:after="0"/>
              <w:rPr>
                <w:sz w:val="20"/>
                <w:szCs w:val="20"/>
                <w:color w:val="auto"/>
              </w:rPr>
            </w:pPr>
            <w:r>
              <w:rPr>
                <w:rFonts w:ascii="Arial" w:cs="Arial" w:eastAsia="Arial" w:hAnsi="Arial"/>
                <w:sz w:val="18"/>
                <w:szCs w:val="18"/>
                <w:b w:val="1"/>
                <w:bCs w:val="1"/>
                <w:color w:val="auto"/>
                <w:w w:val="99"/>
              </w:rPr>
              <w:t>142</w:t>
            </w:r>
          </w:p>
        </w:tc>
        <w:tc>
          <w:tcPr>
            <w:tcW w:w="3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auto"/>
            </w:tcBorders>
            <w:shd w:val="clear" w:color="auto" w:fill="E5E5E5"/>
          </w:tcPr>
          <w:p>
            <w:pPr>
              <w:jc w:val="right"/>
              <w:ind w:right="98"/>
              <w:spacing w:after="0"/>
              <w:rPr>
                <w:sz w:val="20"/>
                <w:szCs w:val="20"/>
                <w:color w:val="auto"/>
              </w:rPr>
            </w:pPr>
            <w:r>
              <w:rPr>
                <w:rFonts w:ascii="Arial" w:cs="Arial" w:eastAsia="Arial" w:hAnsi="Arial"/>
                <w:sz w:val="18"/>
                <w:szCs w:val="18"/>
                <w:b w:val="1"/>
                <w:bCs w:val="1"/>
                <w:color w:val="auto"/>
              </w:rPr>
              <w:t>8</w:t>
            </w:r>
          </w:p>
        </w:tc>
        <w:tc>
          <w:tcPr>
            <w:tcW w:w="720" w:type="dxa"/>
            <w:vAlign w:val="bottom"/>
            <w:tcBorders>
              <w:bottom w:val="single" w:sz="8" w:color="auto"/>
            </w:tcBorders>
            <w:shd w:val="clear" w:color="auto" w:fill="E5E5E5"/>
          </w:tcPr>
          <w:p>
            <w:pPr>
              <w:jc w:val="right"/>
              <w:ind w:right="74"/>
              <w:spacing w:after="0"/>
              <w:rPr>
                <w:sz w:val="20"/>
                <w:szCs w:val="20"/>
                <w:color w:val="auto"/>
              </w:rPr>
            </w:pPr>
            <w:r>
              <w:rPr>
                <w:rFonts w:ascii="Arial" w:cs="Arial" w:eastAsia="Arial" w:hAnsi="Arial"/>
                <w:sz w:val="18"/>
                <w:szCs w:val="18"/>
                <w:b w:val="1"/>
                <w:bCs w:val="1"/>
                <w:color w:val="auto"/>
              </w:rPr>
              <w:t>6.1%</w:t>
            </w: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76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20" w:type="dxa"/>
            <w:vAlign w:val="bottom"/>
            <w:gridSpan w:val="3"/>
          </w:tcPr>
          <w:p>
            <w:pPr>
              <w:jc w:val="right"/>
              <w:ind w:right="314"/>
              <w:spacing w:after="0"/>
              <w:rPr>
                <w:sz w:val="20"/>
                <w:szCs w:val="20"/>
                <w:color w:val="auto"/>
              </w:rPr>
            </w:pPr>
            <w:r>
              <w:rPr>
                <w:rFonts w:ascii="Arial" w:cs="Arial" w:eastAsia="Arial" w:hAnsi="Arial"/>
                <w:sz w:val="14"/>
                <w:szCs w:val="14"/>
                <w:color w:val="auto"/>
              </w:rPr>
              <w:t>Nine Months Ended</w:t>
            </w:r>
          </w:p>
        </w:tc>
        <w:tc>
          <w:tcPr>
            <w:tcW w:w="320" w:type="dxa"/>
            <w:vAlign w:val="bottom"/>
          </w:tcPr>
          <w:p>
            <w:pPr>
              <w:spacing w:after="0"/>
              <w:rPr>
                <w:sz w:val="23"/>
                <w:szCs w:val="23"/>
                <w:color w:val="auto"/>
              </w:rPr>
            </w:pPr>
          </w:p>
        </w:tc>
        <w:tc>
          <w:tcPr>
            <w:tcW w:w="1160" w:type="dxa"/>
            <w:vAlign w:val="bottom"/>
            <w:gridSpan w:val="2"/>
          </w:tcPr>
          <w:p>
            <w:pPr>
              <w:jc w:val="right"/>
              <w:ind w:right="434"/>
              <w:spacing w:after="0"/>
              <w:rPr>
                <w:sz w:val="20"/>
                <w:szCs w:val="20"/>
                <w:color w:val="auto"/>
              </w:rPr>
            </w:pPr>
            <w:r>
              <w:rPr>
                <w:rFonts w:ascii="Arial" w:cs="Arial" w:eastAsia="Arial" w:hAnsi="Arial"/>
                <w:sz w:val="14"/>
                <w:szCs w:val="14"/>
                <w:color w:val="auto"/>
              </w:rPr>
              <w:t>Increase/</w:t>
            </w:r>
          </w:p>
        </w:tc>
        <w:tc>
          <w:tcPr>
            <w:tcW w:w="0" w:type="dxa"/>
            <w:vAlign w:val="bottom"/>
          </w:tcPr>
          <w:p>
            <w:pPr>
              <w:spacing w:after="0"/>
              <w:rPr>
                <w:sz w:val="1"/>
                <w:szCs w:val="1"/>
                <w:color w:val="auto"/>
              </w:rPr>
            </w:pPr>
          </w:p>
        </w:tc>
      </w:tr>
      <w:tr>
        <w:trPr>
          <w:trHeight w:val="159"/>
        </w:trPr>
        <w:tc>
          <w:tcPr>
            <w:tcW w:w="762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300" w:type="dxa"/>
            <w:vAlign w:val="bottom"/>
          </w:tcPr>
          <w:p>
            <w:pPr>
              <w:spacing w:after="0"/>
              <w:rPr>
                <w:sz w:val="13"/>
                <w:szCs w:val="13"/>
                <w:color w:val="auto"/>
              </w:rPr>
            </w:pPr>
          </w:p>
        </w:tc>
        <w:tc>
          <w:tcPr>
            <w:tcW w:w="2020" w:type="dxa"/>
            <w:vAlign w:val="bottom"/>
            <w:tcBorders>
              <w:bottom w:val="single" w:sz="8" w:color="auto"/>
            </w:tcBorders>
            <w:gridSpan w:val="3"/>
          </w:tcPr>
          <w:p>
            <w:pPr>
              <w:jc w:val="right"/>
              <w:ind w:right="494"/>
              <w:spacing w:after="0" w:line="159" w:lineRule="exact"/>
              <w:rPr>
                <w:sz w:val="20"/>
                <w:szCs w:val="20"/>
                <w:color w:val="auto"/>
              </w:rPr>
            </w:pPr>
            <w:r>
              <w:rPr>
                <w:rFonts w:ascii="Arial" w:cs="Arial" w:eastAsia="Arial" w:hAnsi="Arial"/>
                <w:sz w:val="14"/>
                <w:szCs w:val="14"/>
                <w:color w:val="auto"/>
              </w:rPr>
              <w:t>September 30</w:t>
            </w:r>
          </w:p>
        </w:tc>
        <w:tc>
          <w:tcPr>
            <w:tcW w:w="3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tcPr>
          <w:p>
            <w:pPr>
              <w:jc w:val="right"/>
              <w:ind w:right="374"/>
              <w:spacing w:after="0" w:line="159" w:lineRule="exact"/>
              <w:rPr>
                <w:sz w:val="20"/>
                <w:szCs w:val="20"/>
                <w:color w:val="auto"/>
              </w:rPr>
            </w:pPr>
            <w:r>
              <w:rPr>
                <w:rFonts w:ascii="Arial" w:cs="Arial" w:eastAsia="Arial" w:hAnsi="Arial"/>
                <w:sz w:val="14"/>
                <w:szCs w:val="14"/>
                <w:color w:val="auto"/>
                <w:w w:val="98"/>
              </w:rPr>
              <w:t>(Decrease)</w:t>
            </w:r>
          </w:p>
        </w:tc>
        <w:tc>
          <w:tcPr>
            <w:tcW w:w="0" w:type="dxa"/>
            <w:vAlign w:val="bottom"/>
          </w:tcPr>
          <w:p>
            <w:pPr>
              <w:spacing w:after="0"/>
              <w:rPr>
                <w:sz w:val="1"/>
                <w:szCs w:val="1"/>
                <w:color w:val="auto"/>
              </w:rPr>
            </w:pPr>
          </w:p>
        </w:tc>
      </w:tr>
      <w:tr>
        <w:trPr>
          <w:trHeight w:val="142"/>
        </w:trPr>
        <w:tc>
          <w:tcPr>
            <w:tcW w:w="76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ind w:right="212"/>
              <w:spacing w:after="0" w:line="142" w:lineRule="exact"/>
              <w:rPr>
                <w:sz w:val="20"/>
                <w:szCs w:val="20"/>
                <w:color w:val="auto"/>
              </w:rPr>
            </w:pPr>
            <w:r>
              <w:rPr>
                <w:rFonts w:ascii="Arial" w:cs="Arial" w:eastAsia="Arial" w:hAnsi="Arial"/>
                <w:sz w:val="14"/>
                <w:szCs w:val="14"/>
                <w:color w:val="auto"/>
              </w:rPr>
              <w:t>2015</w:t>
            </w:r>
          </w:p>
        </w:tc>
        <w:tc>
          <w:tcPr>
            <w:tcW w:w="380" w:type="dxa"/>
            <w:vAlign w:val="bottom"/>
          </w:tcPr>
          <w:p>
            <w:pPr>
              <w:spacing w:after="0"/>
              <w:rPr>
                <w:sz w:val="12"/>
                <w:szCs w:val="12"/>
                <w:color w:val="auto"/>
              </w:rPr>
            </w:pPr>
          </w:p>
        </w:tc>
        <w:tc>
          <w:tcPr>
            <w:tcW w:w="620" w:type="dxa"/>
            <w:vAlign w:val="bottom"/>
          </w:tcPr>
          <w:p>
            <w:pPr>
              <w:jc w:val="right"/>
              <w:ind w:right="234"/>
              <w:spacing w:after="0" w:line="142" w:lineRule="exact"/>
              <w:rPr>
                <w:sz w:val="20"/>
                <w:szCs w:val="20"/>
                <w:color w:val="auto"/>
              </w:rPr>
            </w:pPr>
            <w:r>
              <w:rPr>
                <w:rFonts w:ascii="Arial" w:cs="Arial" w:eastAsia="Arial" w:hAnsi="Arial"/>
                <w:sz w:val="14"/>
                <w:szCs w:val="14"/>
                <w:color w:val="auto"/>
                <w:w w:val="89"/>
              </w:rPr>
              <w:t>2014</w:t>
            </w:r>
          </w:p>
        </w:tc>
        <w:tc>
          <w:tcPr>
            <w:tcW w:w="320" w:type="dxa"/>
            <w:vAlign w:val="bottom"/>
          </w:tcPr>
          <w:p>
            <w:pPr>
              <w:spacing w:after="0"/>
              <w:rPr>
                <w:sz w:val="12"/>
                <w:szCs w:val="12"/>
                <w:color w:val="auto"/>
              </w:rPr>
            </w:pPr>
          </w:p>
        </w:tc>
        <w:tc>
          <w:tcPr>
            <w:tcW w:w="440" w:type="dxa"/>
            <w:vAlign w:val="bottom"/>
          </w:tcPr>
          <w:p>
            <w:pPr>
              <w:jc w:val="right"/>
              <w:ind w:right="218"/>
              <w:spacing w:after="0" w:line="142"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294"/>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300" w:type="dxa"/>
            <w:vAlign w:val="bottom"/>
            <w:tcBorders>
              <w:top w:val="single" w:sz="8" w:color="auto"/>
            </w:tcBorders>
            <w:shd w:val="clear" w:color="auto" w:fill="E5E5E5"/>
          </w:tcPr>
          <w:p>
            <w:pPr>
              <w:spacing w:after="0"/>
              <w:rPr>
                <w:sz w:val="18"/>
                <w:szCs w:val="18"/>
                <w:color w:val="auto"/>
              </w:rPr>
            </w:pPr>
          </w:p>
        </w:tc>
        <w:tc>
          <w:tcPr>
            <w:tcW w:w="1020" w:type="dxa"/>
            <w:vAlign w:val="bottom"/>
            <w:tcBorders>
              <w:top w:val="single" w:sz="8" w:color="auto"/>
            </w:tcBorders>
            <w:shd w:val="clear" w:color="auto" w:fill="E5E5E5"/>
          </w:tcPr>
          <w:p>
            <w:pPr>
              <w:spacing w:after="0"/>
              <w:rPr>
                <w:sz w:val="18"/>
                <w:szCs w:val="18"/>
                <w:color w:val="auto"/>
              </w:rPr>
            </w:pPr>
          </w:p>
        </w:tc>
        <w:tc>
          <w:tcPr>
            <w:tcW w:w="380" w:type="dxa"/>
            <w:vAlign w:val="bottom"/>
            <w:tcBorders>
              <w:top w:val="single" w:sz="8" w:color="auto"/>
            </w:tcBorders>
            <w:shd w:val="clear" w:color="auto" w:fill="E5E5E5"/>
          </w:tcPr>
          <w:p>
            <w:pPr>
              <w:spacing w:after="0"/>
              <w:rPr>
                <w:sz w:val="18"/>
                <w:szCs w:val="18"/>
                <w:color w:val="auto"/>
              </w:rPr>
            </w:pPr>
          </w:p>
        </w:tc>
        <w:tc>
          <w:tcPr>
            <w:tcW w:w="620" w:type="dxa"/>
            <w:vAlign w:val="bottom"/>
            <w:tcBorders>
              <w:top w:val="single" w:sz="8" w:color="auto"/>
            </w:tcBorders>
            <w:shd w:val="clear" w:color="auto" w:fill="E5E5E5"/>
          </w:tcPr>
          <w:p>
            <w:pPr>
              <w:spacing w:after="0"/>
              <w:rPr>
                <w:sz w:val="18"/>
                <w:szCs w:val="18"/>
                <w:color w:val="auto"/>
              </w:rPr>
            </w:pPr>
          </w:p>
        </w:tc>
        <w:tc>
          <w:tcPr>
            <w:tcW w:w="320" w:type="dxa"/>
            <w:vAlign w:val="bottom"/>
            <w:tcBorders>
              <w:top w:val="single" w:sz="8" w:color="auto"/>
            </w:tcBorders>
            <w:shd w:val="clear" w:color="auto" w:fill="E5E5E5"/>
          </w:tcPr>
          <w:p>
            <w:pPr>
              <w:spacing w:after="0"/>
              <w:rPr>
                <w:sz w:val="18"/>
                <w:szCs w:val="18"/>
                <w:color w:val="auto"/>
              </w:rPr>
            </w:pPr>
          </w:p>
        </w:tc>
        <w:tc>
          <w:tcPr>
            <w:tcW w:w="440" w:type="dxa"/>
            <w:vAlign w:val="bottom"/>
            <w:tcBorders>
              <w:top w:val="single" w:sz="8" w:color="auto"/>
            </w:tcBorders>
            <w:shd w:val="clear" w:color="auto" w:fill="E5E5E5"/>
          </w:tcPr>
          <w:p>
            <w:pPr>
              <w:spacing w:after="0"/>
              <w:rPr>
                <w:sz w:val="18"/>
                <w:szCs w:val="18"/>
                <w:color w:val="auto"/>
              </w:rPr>
            </w:pPr>
          </w:p>
        </w:tc>
        <w:tc>
          <w:tcPr>
            <w:tcW w:w="72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420"/>
              <w:spacing w:after="0"/>
              <w:rPr>
                <w:sz w:val="20"/>
                <w:szCs w:val="20"/>
                <w:color w:val="auto"/>
              </w:rPr>
            </w:pPr>
            <w:r>
              <w:rPr>
                <w:rFonts w:ascii="Arial" w:cs="Arial" w:eastAsia="Arial" w:hAnsi="Arial"/>
                <w:sz w:val="18"/>
                <w:szCs w:val="18"/>
                <w:color w:val="auto"/>
              </w:rPr>
              <w:t>Advertising</w:t>
            </w:r>
          </w:p>
        </w:tc>
        <w:tc>
          <w:tcPr>
            <w:tcW w:w="1320" w:type="dxa"/>
            <w:vAlign w:val="bottom"/>
            <w:gridSpan w:val="2"/>
          </w:tcPr>
          <w:p>
            <w:pPr>
              <w:jc w:val="right"/>
              <w:ind w:right="92"/>
              <w:spacing w:after="0"/>
              <w:rPr>
                <w:sz w:val="20"/>
                <w:szCs w:val="20"/>
                <w:color w:val="auto"/>
              </w:rPr>
            </w:pPr>
            <w:r>
              <w:rPr>
                <w:rFonts w:ascii="Arial" w:cs="Arial" w:eastAsia="Arial" w:hAnsi="Arial"/>
                <w:sz w:val="18"/>
                <w:szCs w:val="18"/>
                <w:color w:val="auto"/>
              </w:rPr>
              <w:t>$ 3,974</w:t>
            </w:r>
          </w:p>
        </w:tc>
        <w:tc>
          <w:tcPr>
            <w:tcW w:w="1000" w:type="dxa"/>
            <w:vAlign w:val="bottom"/>
            <w:gridSpan w:val="2"/>
          </w:tcPr>
          <w:p>
            <w:pPr>
              <w:jc w:val="right"/>
              <w:ind w:right="114"/>
              <w:spacing w:after="0"/>
              <w:rPr>
                <w:sz w:val="20"/>
                <w:szCs w:val="20"/>
                <w:color w:val="auto"/>
              </w:rPr>
            </w:pPr>
            <w:r>
              <w:rPr>
                <w:rFonts w:ascii="Arial" w:cs="Arial" w:eastAsia="Arial" w:hAnsi="Arial"/>
                <w:sz w:val="18"/>
                <w:szCs w:val="18"/>
                <w:color w:val="auto"/>
              </w:rPr>
              <w:t>$ 4,231</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$(257)</w:t>
            </w:r>
          </w:p>
        </w:tc>
        <w:tc>
          <w:tcPr>
            <w:tcW w:w="72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E5E5E5"/>
          </w:tcPr>
          <w:p>
            <w:pPr>
              <w:ind w:left="420"/>
              <w:spacing w:after="0"/>
              <w:rPr>
                <w:sz w:val="20"/>
                <w:szCs w:val="20"/>
                <w:color w:val="auto"/>
              </w:rPr>
            </w:pPr>
            <w:r>
              <w:rPr>
                <w:rFonts w:ascii="Arial" w:cs="Arial" w:eastAsia="Arial" w:hAnsi="Arial"/>
                <w:sz w:val="18"/>
                <w:szCs w:val="18"/>
                <w:color w:val="auto"/>
              </w:rPr>
              <w:t>Content licensing</w:t>
            </w:r>
          </w:p>
        </w:tc>
        <w:tc>
          <w:tcPr>
            <w:tcW w:w="1320" w:type="dxa"/>
            <w:vAlign w:val="bottom"/>
            <w:gridSpan w:val="2"/>
            <w:shd w:val="clear" w:color="auto" w:fill="E5E5E5"/>
          </w:tcPr>
          <w:p>
            <w:pPr>
              <w:jc w:val="right"/>
              <w:ind w:right="92"/>
              <w:spacing w:after="0"/>
              <w:rPr>
                <w:sz w:val="20"/>
                <w:szCs w:val="20"/>
                <w:color w:val="auto"/>
              </w:rPr>
            </w:pPr>
            <w:r>
              <w:rPr>
                <w:rFonts w:ascii="Arial" w:cs="Arial" w:eastAsia="Arial" w:hAnsi="Arial"/>
                <w:sz w:val="18"/>
                <w:szCs w:val="18"/>
                <w:color w:val="auto"/>
              </w:rPr>
              <w:t>1,342</w:t>
            </w:r>
          </w:p>
        </w:tc>
        <w:tc>
          <w:tcPr>
            <w:tcW w:w="38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14"/>
              <w:spacing w:after="0"/>
              <w:rPr>
                <w:sz w:val="20"/>
                <w:szCs w:val="20"/>
                <w:color w:val="auto"/>
              </w:rPr>
            </w:pPr>
            <w:r>
              <w:rPr>
                <w:rFonts w:ascii="Arial" w:cs="Arial" w:eastAsia="Arial" w:hAnsi="Arial"/>
                <w:sz w:val="18"/>
                <w:szCs w:val="18"/>
                <w:color w:val="auto"/>
                <w:w w:val="88"/>
              </w:rPr>
              <w:t>1,242</w:t>
            </w:r>
          </w:p>
        </w:tc>
        <w:tc>
          <w:tcPr>
            <w:tcW w:w="320" w:type="dxa"/>
            <w:vAlign w:val="bottom"/>
            <w:shd w:val="clear" w:color="auto" w:fill="E5E5E5"/>
          </w:tcPr>
          <w:p>
            <w:pPr>
              <w:spacing w:after="0"/>
              <w:rPr>
                <w:sz w:val="18"/>
                <w:szCs w:val="18"/>
                <w:color w:val="auto"/>
              </w:rPr>
            </w:pPr>
          </w:p>
        </w:tc>
        <w:tc>
          <w:tcPr>
            <w:tcW w:w="440" w:type="dxa"/>
            <w:vAlign w:val="bottom"/>
            <w:shd w:val="clear" w:color="auto" w:fill="E5E5E5"/>
          </w:tcPr>
          <w:p>
            <w:pPr>
              <w:jc w:val="right"/>
              <w:ind w:right="38"/>
              <w:spacing w:after="0"/>
              <w:rPr>
                <w:sz w:val="20"/>
                <w:szCs w:val="20"/>
                <w:color w:val="auto"/>
              </w:rPr>
            </w:pPr>
            <w:r>
              <w:rPr>
                <w:rFonts w:ascii="Arial" w:cs="Arial" w:eastAsia="Arial" w:hAnsi="Arial"/>
                <w:sz w:val="18"/>
                <w:szCs w:val="18"/>
                <w:color w:val="auto"/>
                <w:w w:val="99"/>
              </w:rPr>
              <w:t>100</w:t>
            </w:r>
          </w:p>
        </w:tc>
        <w:tc>
          <w:tcPr>
            <w:tcW w:w="720" w:type="dxa"/>
            <w:vAlign w:val="bottom"/>
            <w:shd w:val="clear" w:color="auto" w:fill="E5E5E5"/>
          </w:tcPr>
          <w:p>
            <w:pPr>
              <w:jc w:val="right"/>
              <w:ind w:right="174"/>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Other</w:t>
            </w:r>
          </w:p>
        </w:tc>
        <w:tc>
          <w:tcPr>
            <w:tcW w:w="132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8"/>
                <w:szCs w:val="18"/>
                <w:color w:val="auto"/>
              </w:rPr>
              <w:t>716</w:t>
            </w:r>
          </w:p>
        </w:tc>
        <w:tc>
          <w:tcPr>
            <w:tcW w:w="3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734</w:t>
            </w:r>
          </w:p>
        </w:tc>
        <w:tc>
          <w:tcPr>
            <w:tcW w:w="3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72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Total revenue</w:t>
            </w:r>
          </w:p>
        </w:tc>
        <w:tc>
          <w:tcPr>
            <w:tcW w:w="1320" w:type="dxa"/>
            <w:vAlign w:val="bottom"/>
            <w:gridSpan w:val="2"/>
            <w:shd w:val="clear" w:color="auto" w:fill="E5E5E5"/>
          </w:tcPr>
          <w:p>
            <w:pPr>
              <w:jc w:val="right"/>
              <w:ind w:right="92"/>
              <w:spacing w:after="0"/>
              <w:rPr>
                <w:sz w:val="20"/>
                <w:szCs w:val="20"/>
                <w:color w:val="auto"/>
              </w:rPr>
            </w:pPr>
            <w:r>
              <w:rPr>
                <w:rFonts w:ascii="Arial" w:cs="Arial" w:eastAsia="Arial" w:hAnsi="Arial"/>
                <w:sz w:val="18"/>
                <w:szCs w:val="18"/>
                <w:b w:val="1"/>
                <w:bCs w:val="1"/>
                <w:color w:val="auto"/>
              </w:rPr>
              <w:t>6,032</w:t>
            </w:r>
          </w:p>
        </w:tc>
        <w:tc>
          <w:tcPr>
            <w:tcW w:w="38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14"/>
              <w:spacing w:after="0"/>
              <w:rPr>
                <w:sz w:val="20"/>
                <w:szCs w:val="20"/>
                <w:color w:val="auto"/>
              </w:rPr>
            </w:pPr>
            <w:r>
              <w:rPr>
                <w:rFonts w:ascii="Arial" w:cs="Arial" w:eastAsia="Arial" w:hAnsi="Arial"/>
                <w:sz w:val="18"/>
                <w:szCs w:val="18"/>
                <w:b w:val="1"/>
                <w:bCs w:val="1"/>
                <w:color w:val="auto"/>
                <w:w w:val="88"/>
              </w:rPr>
              <w:t>6,207</w:t>
            </w:r>
          </w:p>
        </w:tc>
        <w:tc>
          <w:tcPr>
            <w:tcW w:w="320" w:type="dxa"/>
            <w:vAlign w:val="bottom"/>
            <w:shd w:val="clear" w:color="auto" w:fill="E5E5E5"/>
          </w:tcPr>
          <w:p>
            <w:pPr>
              <w:spacing w:after="0"/>
              <w:rPr>
                <w:sz w:val="18"/>
                <w:szCs w:val="18"/>
                <w:color w:val="auto"/>
              </w:rPr>
            </w:pPr>
          </w:p>
        </w:tc>
        <w:tc>
          <w:tcPr>
            <w:tcW w:w="4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w w:val="85"/>
              </w:rPr>
              <w:t>(175)</w:t>
            </w:r>
          </w:p>
        </w:tc>
        <w:tc>
          <w:tcPr>
            <w:tcW w:w="720" w:type="dxa"/>
            <w:vAlign w:val="bottom"/>
            <w:shd w:val="clear" w:color="auto" w:fill="E5E5E5"/>
          </w:tcPr>
          <w:p>
            <w:pPr>
              <w:jc w:val="right"/>
              <w:ind w:right="114"/>
              <w:spacing w:after="0"/>
              <w:rPr>
                <w:sz w:val="20"/>
                <w:szCs w:val="20"/>
                <w:color w:val="auto"/>
              </w:rPr>
            </w:pPr>
            <w:r>
              <w:rPr>
                <w:rFonts w:ascii="Arial" w:cs="Arial" w:eastAsia="Arial" w:hAnsi="Arial"/>
                <w:sz w:val="18"/>
                <w:szCs w:val="18"/>
                <w:b w:val="1"/>
                <w:bCs w:val="1"/>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b w:val="1"/>
                <w:bCs w:val="1"/>
                <w:color w:val="auto"/>
              </w:rPr>
              <w:t>Operating costs and expenses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Programming and production</w:t>
            </w:r>
          </w:p>
        </w:tc>
        <w:tc>
          <w:tcPr>
            <w:tcW w:w="1320" w:type="dxa"/>
            <w:vAlign w:val="bottom"/>
            <w:gridSpan w:val="2"/>
            <w:shd w:val="clear" w:color="auto" w:fill="E5E5E5"/>
          </w:tcPr>
          <w:p>
            <w:pPr>
              <w:jc w:val="right"/>
              <w:ind w:right="92"/>
              <w:spacing w:after="0"/>
              <w:rPr>
                <w:sz w:val="20"/>
                <w:szCs w:val="20"/>
                <w:color w:val="auto"/>
              </w:rPr>
            </w:pPr>
            <w:r>
              <w:rPr>
                <w:rFonts w:ascii="Arial" w:cs="Arial" w:eastAsia="Arial" w:hAnsi="Arial"/>
                <w:sz w:val="18"/>
                <w:szCs w:val="18"/>
                <w:color w:val="auto"/>
              </w:rPr>
              <w:t>4,133</w:t>
            </w:r>
          </w:p>
        </w:tc>
        <w:tc>
          <w:tcPr>
            <w:tcW w:w="38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14"/>
              <w:spacing w:after="0"/>
              <w:rPr>
                <w:sz w:val="20"/>
                <w:szCs w:val="20"/>
                <w:color w:val="auto"/>
              </w:rPr>
            </w:pPr>
            <w:r>
              <w:rPr>
                <w:rFonts w:ascii="Arial" w:cs="Arial" w:eastAsia="Arial" w:hAnsi="Arial"/>
                <w:sz w:val="18"/>
                <w:szCs w:val="18"/>
                <w:color w:val="auto"/>
                <w:w w:val="88"/>
              </w:rPr>
              <w:t>4,425</w:t>
            </w:r>
          </w:p>
        </w:tc>
        <w:tc>
          <w:tcPr>
            <w:tcW w:w="320" w:type="dxa"/>
            <w:vAlign w:val="bottom"/>
            <w:shd w:val="clear" w:color="auto" w:fill="E5E5E5"/>
          </w:tcPr>
          <w:p>
            <w:pPr>
              <w:spacing w:after="0"/>
              <w:rPr>
                <w:sz w:val="18"/>
                <w:szCs w:val="18"/>
                <w:color w:val="auto"/>
              </w:rPr>
            </w:pPr>
          </w:p>
        </w:tc>
        <w:tc>
          <w:tcPr>
            <w:tcW w:w="440" w:type="dxa"/>
            <w:vAlign w:val="bottom"/>
            <w:shd w:val="clear" w:color="auto" w:fill="E5E5E5"/>
          </w:tcPr>
          <w:p>
            <w:pPr>
              <w:jc w:val="right"/>
              <w:spacing w:after="0"/>
              <w:rPr>
                <w:sz w:val="20"/>
                <w:szCs w:val="20"/>
                <w:color w:val="auto"/>
              </w:rPr>
            </w:pPr>
            <w:r>
              <w:rPr>
                <w:rFonts w:ascii="Arial" w:cs="Arial" w:eastAsia="Arial" w:hAnsi="Arial"/>
                <w:sz w:val="18"/>
                <w:szCs w:val="18"/>
                <w:color w:val="auto"/>
                <w:w w:val="85"/>
              </w:rPr>
              <w:t>(292)</w:t>
            </w:r>
          </w:p>
        </w:tc>
        <w:tc>
          <w:tcPr>
            <w:tcW w:w="720" w:type="dxa"/>
            <w:vAlign w:val="bottom"/>
            <w:shd w:val="clear" w:color="auto" w:fill="E5E5E5"/>
          </w:tcPr>
          <w:p>
            <w:pPr>
              <w:jc w:val="right"/>
              <w:ind w:right="114"/>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420"/>
              <w:spacing w:after="0"/>
              <w:rPr>
                <w:sz w:val="20"/>
                <w:szCs w:val="20"/>
                <w:color w:val="auto"/>
              </w:rPr>
            </w:pPr>
            <w:r>
              <w:rPr>
                <w:rFonts w:ascii="Arial" w:cs="Arial" w:eastAsia="Arial" w:hAnsi="Arial"/>
                <w:sz w:val="18"/>
                <w:szCs w:val="18"/>
                <w:color w:val="auto"/>
              </w:rPr>
              <w:t>Other operating and administrative</w:t>
            </w:r>
          </w:p>
        </w:tc>
        <w:tc>
          <w:tcPr>
            <w:tcW w:w="1320" w:type="dxa"/>
            <w:vAlign w:val="bottom"/>
            <w:gridSpan w:val="2"/>
          </w:tcPr>
          <w:p>
            <w:pPr>
              <w:jc w:val="right"/>
              <w:ind w:right="92"/>
              <w:spacing w:after="0"/>
              <w:rPr>
                <w:sz w:val="20"/>
                <w:szCs w:val="20"/>
                <w:color w:val="auto"/>
              </w:rPr>
            </w:pPr>
            <w:r>
              <w:rPr>
                <w:rFonts w:ascii="Arial" w:cs="Arial" w:eastAsia="Arial" w:hAnsi="Arial"/>
                <w:sz w:val="18"/>
                <w:szCs w:val="18"/>
                <w:color w:val="auto"/>
              </w:rPr>
              <w:t>957</w:t>
            </w:r>
          </w:p>
        </w:tc>
        <w:tc>
          <w:tcPr>
            <w:tcW w:w="380" w:type="dxa"/>
            <w:vAlign w:val="bottom"/>
          </w:tcPr>
          <w:p>
            <w:pPr>
              <w:spacing w:after="0"/>
              <w:rPr>
                <w:sz w:val="18"/>
                <w:szCs w:val="18"/>
                <w:color w:val="auto"/>
              </w:rPr>
            </w:pPr>
          </w:p>
        </w:tc>
        <w:tc>
          <w:tcPr>
            <w:tcW w:w="620" w:type="dxa"/>
            <w:vAlign w:val="bottom"/>
          </w:tcPr>
          <w:p>
            <w:pPr>
              <w:jc w:val="right"/>
              <w:ind w:right="114"/>
              <w:spacing w:after="0"/>
              <w:rPr>
                <w:sz w:val="20"/>
                <w:szCs w:val="20"/>
                <w:color w:val="auto"/>
              </w:rPr>
            </w:pPr>
            <w:r>
              <w:rPr>
                <w:rFonts w:ascii="Arial" w:cs="Arial" w:eastAsia="Arial" w:hAnsi="Arial"/>
                <w:sz w:val="18"/>
                <w:szCs w:val="18"/>
                <w:color w:val="auto"/>
              </w:rPr>
              <w:t>901</w:t>
            </w:r>
          </w:p>
        </w:tc>
        <w:tc>
          <w:tcPr>
            <w:tcW w:w="320" w:type="dxa"/>
            <w:vAlign w:val="bottom"/>
          </w:tcPr>
          <w:p>
            <w:pPr>
              <w:spacing w:after="0"/>
              <w:rPr>
                <w:sz w:val="18"/>
                <w:szCs w:val="18"/>
                <w:color w:val="auto"/>
              </w:rPr>
            </w:pPr>
          </w:p>
        </w:tc>
        <w:tc>
          <w:tcPr>
            <w:tcW w:w="440" w:type="dxa"/>
            <w:vAlign w:val="bottom"/>
          </w:tcPr>
          <w:p>
            <w:pPr>
              <w:jc w:val="right"/>
              <w:ind w:right="38"/>
              <w:spacing w:after="0"/>
              <w:rPr>
                <w:sz w:val="20"/>
                <w:szCs w:val="20"/>
                <w:color w:val="auto"/>
              </w:rPr>
            </w:pPr>
            <w:r>
              <w:rPr>
                <w:rFonts w:ascii="Arial" w:cs="Arial" w:eastAsia="Arial" w:hAnsi="Arial"/>
                <w:sz w:val="18"/>
                <w:szCs w:val="18"/>
                <w:color w:val="auto"/>
              </w:rPr>
              <w:t>56</w:t>
            </w:r>
          </w:p>
        </w:tc>
        <w:tc>
          <w:tcPr>
            <w:tcW w:w="720" w:type="dxa"/>
            <w:vAlign w:val="bottom"/>
          </w:tcPr>
          <w:p>
            <w:pPr>
              <w:jc w:val="right"/>
              <w:ind w:right="174"/>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Advertising, marketing and promotion</w:t>
            </w:r>
          </w:p>
        </w:tc>
        <w:tc>
          <w:tcPr>
            <w:tcW w:w="1320" w:type="dxa"/>
            <w:vAlign w:val="bottom"/>
            <w:tcBorders>
              <w:bottom w:val="single" w:sz="8" w:color="auto"/>
            </w:tcBorders>
            <w:gridSpan w:val="2"/>
            <w:shd w:val="clear" w:color="auto" w:fill="E5E5E5"/>
          </w:tcPr>
          <w:p>
            <w:pPr>
              <w:jc w:val="right"/>
              <w:ind w:right="92"/>
              <w:spacing w:after="0"/>
              <w:rPr>
                <w:sz w:val="20"/>
                <w:szCs w:val="20"/>
                <w:color w:val="auto"/>
              </w:rPr>
            </w:pPr>
            <w:r>
              <w:rPr>
                <w:rFonts w:ascii="Arial" w:cs="Arial" w:eastAsia="Arial" w:hAnsi="Arial"/>
                <w:sz w:val="18"/>
                <w:szCs w:val="18"/>
                <w:color w:val="auto"/>
              </w:rPr>
              <w:t>379</w:t>
            </w:r>
          </w:p>
        </w:tc>
        <w:tc>
          <w:tcPr>
            <w:tcW w:w="38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14"/>
              <w:spacing w:after="0"/>
              <w:rPr>
                <w:sz w:val="20"/>
                <w:szCs w:val="20"/>
                <w:color w:val="auto"/>
              </w:rPr>
            </w:pPr>
            <w:r>
              <w:rPr>
                <w:rFonts w:ascii="Arial" w:cs="Arial" w:eastAsia="Arial" w:hAnsi="Arial"/>
                <w:sz w:val="18"/>
                <w:szCs w:val="18"/>
                <w:color w:val="auto"/>
              </w:rPr>
              <w:t>377</w:t>
            </w:r>
          </w:p>
        </w:tc>
        <w:tc>
          <w:tcPr>
            <w:tcW w:w="320" w:type="dxa"/>
            <w:vAlign w:val="bottom"/>
            <w:tcBorders>
              <w:bottom w:val="single" w:sz="8" w:color="auto"/>
            </w:tcBorders>
            <w:shd w:val="clear" w:color="auto" w:fill="E5E5E5"/>
          </w:tcPr>
          <w:p>
            <w:pPr>
              <w:spacing w:after="0"/>
              <w:rPr>
                <w:sz w:val="18"/>
                <w:szCs w:val="18"/>
                <w:color w:val="auto"/>
              </w:rPr>
            </w:pPr>
          </w:p>
        </w:tc>
        <w:tc>
          <w:tcPr>
            <w:tcW w:w="440" w:type="dxa"/>
            <w:vAlign w:val="bottom"/>
            <w:tcBorders>
              <w:bottom w:val="single" w:sz="8" w:color="auto"/>
            </w:tcBorders>
            <w:shd w:val="clear" w:color="auto" w:fill="E5E5E5"/>
          </w:tcPr>
          <w:p>
            <w:pPr>
              <w:jc w:val="right"/>
              <w:ind w:right="38"/>
              <w:spacing w:after="0"/>
              <w:rPr>
                <w:sz w:val="20"/>
                <w:szCs w:val="20"/>
                <w:color w:val="auto"/>
              </w:rPr>
            </w:pPr>
            <w:r>
              <w:rPr>
                <w:rFonts w:ascii="Arial" w:cs="Arial" w:eastAsia="Arial" w:hAnsi="Arial"/>
                <w:sz w:val="18"/>
                <w:szCs w:val="18"/>
                <w:color w:val="auto"/>
              </w:rPr>
              <w:t>2</w:t>
            </w:r>
          </w:p>
        </w:tc>
        <w:tc>
          <w:tcPr>
            <w:tcW w:w="720" w:type="dxa"/>
            <w:vAlign w:val="bottom"/>
            <w:tcBorders>
              <w:bottom w:val="single" w:sz="8" w:color="auto"/>
            </w:tcBorders>
            <w:shd w:val="clear" w:color="auto" w:fill="E5E5E5"/>
          </w:tcPr>
          <w:p>
            <w:pPr>
              <w:jc w:val="right"/>
              <w:ind w:right="174"/>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operating costs and expenses</w:t>
            </w:r>
          </w:p>
        </w:tc>
        <w:tc>
          <w:tcPr>
            <w:tcW w:w="132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8"/>
                <w:szCs w:val="18"/>
                <w:color w:val="auto"/>
              </w:rPr>
              <w:t>5,469</w:t>
            </w:r>
          </w:p>
        </w:tc>
        <w:tc>
          <w:tcPr>
            <w:tcW w:w="3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w w:val="88"/>
              </w:rPr>
              <w:t>5,703</w:t>
            </w:r>
          </w:p>
        </w:tc>
        <w:tc>
          <w:tcPr>
            <w:tcW w:w="3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(234)</w:t>
            </w:r>
          </w:p>
        </w:tc>
        <w:tc>
          <w:tcPr>
            <w:tcW w:w="72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1320" w:type="dxa"/>
            <w:vAlign w:val="bottom"/>
            <w:tcBorders>
              <w:bottom w:val="single" w:sz="8" w:color="auto"/>
            </w:tcBorders>
            <w:gridSpan w:val="2"/>
            <w:shd w:val="clear" w:color="auto" w:fill="E5E5E5"/>
          </w:tcPr>
          <w:p>
            <w:pPr>
              <w:jc w:val="right"/>
              <w:ind w:right="92"/>
              <w:spacing w:after="0"/>
              <w:rPr>
                <w:sz w:val="20"/>
                <w:szCs w:val="20"/>
                <w:color w:val="auto"/>
              </w:rPr>
            </w:pPr>
            <w:r>
              <w:rPr>
                <w:rFonts w:ascii="Arial" w:cs="Arial" w:eastAsia="Arial" w:hAnsi="Arial"/>
                <w:sz w:val="18"/>
                <w:szCs w:val="18"/>
                <w:b w:val="1"/>
                <w:bCs w:val="1"/>
                <w:color w:val="auto"/>
              </w:rPr>
              <w:t>$  563</w:t>
            </w:r>
          </w:p>
        </w:tc>
        <w:tc>
          <w:tcPr>
            <w:tcW w:w="3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shd w:val="clear" w:color="auto" w:fill="E5E5E5"/>
          </w:tcPr>
          <w:p>
            <w:pPr>
              <w:jc w:val="right"/>
              <w:ind w:right="114"/>
              <w:spacing w:after="0"/>
              <w:rPr>
                <w:sz w:val="20"/>
                <w:szCs w:val="20"/>
                <w:color w:val="auto"/>
              </w:rPr>
            </w:pPr>
            <w:r>
              <w:rPr>
                <w:rFonts w:ascii="Arial" w:cs="Arial" w:eastAsia="Arial" w:hAnsi="Arial"/>
                <w:sz w:val="18"/>
                <w:szCs w:val="18"/>
                <w:b w:val="1"/>
                <w:bCs w:val="1"/>
                <w:color w:val="auto"/>
              </w:rPr>
              <w:t>504</w:t>
            </w:r>
          </w:p>
        </w:tc>
        <w:tc>
          <w:tcPr>
            <w:tcW w:w="3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auto"/>
            </w:tcBorders>
            <w:shd w:val="clear" w:color="auto" w:fill="E5E5E5"/>
          </w:tcPr>
          <w:p>
            <w:pPr>
              <w:jc w:val="right"/>
              <w:ind w:right="38"/>
              <w:spacing w:after="0"/>
              <w:rPr>
                <w:sz w:val="20"/>
                <w:szCs w:val="20"/>
                <w:color w:val="auto"/>
              </w:rPr>
            </w:pPr>
            <w:r>
              <w:rPr>
                <w:rFonts w:ascii="Arial" w:cs="Arial" w:eastAsia="Arial" w:hAnsi="Arial"/>
                <w:sz w:val="18"/>
                <w:szCs w:val="18"/>
                <w:b w:val="1"/>
                <w:bCs w:val="1"/>
                <w:color w:val="auto"/>
              </w:rPr>
              <w:t>59</w:t>
            </w: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11.8%</w:t>
            </w: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Broadcast Television Segment—Revenue</w:t>
      </w:r>
    </w:p>
    <w:p>
      <w:pPr>
        <w:spacing w:after="0" w:line="7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Broadcast Television revenue increased for the three months ended September 30, 2015 compared to the same period in 2014 due to increases in content licensing revenue, other revenue and advertising revenue. The increase in content licensing revenue was primarily due to the timing of content provided under our licensing agreements. The increase in other revenue was primarily due to an increase in fees recognized under our retransmission consent agreements, as well as new syndication agreements entered into in the current year period. The increase in advertising revenue was primarily due to higher demand in the scatter market partially offset by one less broadcast of a NFL game compared to the same period in 2014.</w:t>
      </w:r>
    </w:p>
    <w:p>
      <w:pPr>
        <w:spacing w:after="0" w:line="2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Broadcast Television revenue decreased for the nine months ended September 30, 2015 compared to the same period in 2014 primarily due to a decrease in advertising revenue, which was partially offset by an increase in content licensing revenue. The decrease in advertising revenue was primarily due to additional advertising revenue in the prior year period associated with our broadcast of the 2014 Sochi Olympics, which was partially offset by an increase in advertising revenue in the current year period associated with our broadcast of the 2015 Super Bowl. The increase in content licensing revenue was primarily due to the timing of content provided under our licensing agreements. Excluding $846 million of revenue associated with our broadcast of the 2014 Sochi Olympics in the prior year period and $376 million of revenue associated with our broadcast of the 2015 Super Bowl in the current year period, revenue increased 5.5% for the nine months ended September 30, 2015.</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Broadcast Television Segment—Operating Costs and Expenses</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Operating costs and expenses increased for the three months ended September 30, 2015 compared to the same period in 2014 primarily due to increases in programming and production costs and other operating and administrative expenses. The increase in programming and production costs was primarily due to the timing of content provided under our licensing agreements and higher studio production costs. The increase in other operating and administrative expenses was primarily due to an increase in employee-related costs.</w:t>
      </w:r>
    </w:p>
    <w:p>
      <w:pPr>
        <w:spacing w:after="0" w:line="103" w:lineRule="exact"/>
        <w:rPr>
          <w:sz w:val="20"/>
          <w:szCs w:val="20"/>
          <w:color w:val="auto"/>
        </w:rPr>
      </w:pPr>
    </w:p>
    <w:p>
      <w:pPr>
        <w:jc w:val="both"/>
        <w:spacing w:after="0" w:line="335" w:lineRule="auto"/>
        <w:rPr>
          <w:sz w:val="20"/>
          <w:szCs w:val="20"/>
          <w:color w:val="auto"/>
        </w:rPr>
      </w:pPr>
      <w:r>
        <w:rPr>
          <w:rFonts w:ascii="Arial" w:cs="Arial" w:eastAsia="Arial" w:hAnsi="Arial"/>
          <w:sz w:val="15"/>
          <w:szCs w:val="15"/>
          <w:color w:val="auto"/>
        </w:rPr>
        <w:t>Operating costs and expenses decreased for the nine months ended September 30, 2015 compared to the same period in 2014 primarily due to our broadcast of the 2014 Sochi Olympics in the prior year period. The decrease was partially offset by an increase in programming and production costs associated with our broadcast of the 2015 Super Bowl and an increase in other operating and administrative expenses that was primarily due to an increase in employee-related costs.</w:t>
      </w:r>
    </w:p>
    <w:p>
      <w:pPr>
        <w:spacing w:after="0" w:line="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Filmed Entertainment Segment Results of Operations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80" w:type="dxa"/>
            <w:vAlign w:val="bottom"/>
            <w:gridSpan w:val="4"/>
          </w:tcPr>
          <w:p>
            <w:pPr>
              <w:jc w:val="center"/>
              <w:ind w:right="213"/>
              <w:spacing w:after="0"/>
              <w:rPr>
                <w:sz w:val="20"/>
                <w:szCs w:val="20"/>
                <w:color w:val="auto"/>
              </w:rPr>
            </w:pPr>
            <w:r>
              <w:rPr>
                <w:rFonts w:ascii="Arial" w:cs="Arial" w:eastAsia="Arial" w:hAnsi="Arial"/>
                <w:sz w:val="14"/>
                <w:szCs w:val="14"/>
                <w:color w:val="auto"/>
                <w:w w:val="87"/>
              </w:rPr>
              <w:t>Three Months Ended</w:t>
            </w:r>
          </w:p>
        </w:tc>
        <w:tc>
          <w:tcPr>
            <w:tcW w:w="1680" w:type="dxa"/>
            <w:vAlign w:val="bottom"/>
            <w:gridSpan w:val="2"/>
          </w:tcPr>
          <w:p>
            <w:pPr>
              <w:jc w:val="right"/>
              <w:ind w:right="474"/>
              <w:spacing w:after="0"/>
              <w:rPr>
                <w:sz w:val="20"/>
                <w:szCs w:val="20"/>
                <w:color w:val="auto"/>
              </w:rPr>
            </w:pPr>
            <w:r>
              <w:rPr>
                <w:rFonts w:ascii="Arial" w:cs="Arial" w:eastAsia="Arial" w:hAnsi="Arial"/>
                <w:sz w:val="14"/>
                <w:szCs w:val="14"/>
                <w:color w:val="auto"/>
              </w:rPr>
              <w:t>Increase/</w:t>
            </w:r>
          </w:p>
        </w:tc>
        <w:tc>
          <w:tcPr>
            <w:tcW w:w="0" w:type="dxa"/>
            <w:vAlign w:val="bottom"/>
          </w:tcPr>
          <w:p>
            <w:pPr>
              <w:spacing w:after="0"/>
              <w:rPr>
                <w:sz w:val="1"/>
                <w:szCs w:val="1"/>
                <w:color w:val="auto"/>
              </w:rPr>
            </w:pPr>
          </w:p>
        </w:tc>
      </w:tr>
      <w:tr>
        <w:trPr>
          <w:trHeight w:val="159"/>
        </w:trPr>
        <w:tc>
          <w:tcPr>
            <w:tcW w:w="754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5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3"/>
          </w:tcPr>
          <w:p>
            <w:pPr>
              <w:jc w:val="center"/>
              <w:ind w:left="238"/>
              <w:spacing w:after="0" w:line="159" w:lineRule="exact"/>
              <w:rPr>
                <w:sz w:val="20"/>
                <w:szCs w:val="20"/>
                <w:color w:val="auto"/>
              </w:rPr>
            </w:pPr>
            <w:r>
              <w:rPr>
                <w:rFonts w:ascii="Arial" w:cs="Arial" w:eastAsia="Arial" w:hAnsi="Arial"/>
                <w:sz w:val="14"/>
                <w:szCs w:val="14"/>
                <w:color w:val="auto"/>
                <w:w w:val="84"/>
              </w:rPr>
              <w:t>September 30</w:t>
            </w:r>
          </w:p>
        </w:tc>
        <w:tc>
          <w:tcPr>
            <w:tcW w:w="62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2"/>
          </w:tcPr>
          <w:p>
            <w:pPr>
              <w:jc w:val="right"/>
              <w:ind w:right="414"/>
              <w:spacing w:after="0" w:line="159" w:lineRule="exact"/>
              <w:rPr>
                <w:sz w:val="20"/>
                <w:szCs w:val="20"/>
                <w:color w:val="auto"/>
              </w:rPr>
            </w:pPr>
            <w:r>
              <w:rPr>
                <w:rFonts w:ascii="Arial" w:cs="Arial" w:eastAsia="Arial" w:hAnsi="Arial"/>
                <w:sz w:val="14"/>
                <w:szCs w:val="14"/>
                <w:color w:val="auto"/>
              </w:rPr>
              <w:t>(Decrease)</w:t>
            </w:r>
          </w:p>
        </w:tc>
        <w:tc>
          <w:tcPr>
            <w:tcW w:w="0" w:type="dxa"/>
            <w:vAlign w:val="bottom"/>
          </w:tcPr>
          <w:p>
            <w:pPr>
              <w:spacing w:after="0"/>
              <w:rPr>
                <w:sz w:val="1"/>
                <w:szCs w:val="1"/>
                <w:color w:val="auto"/>
              </w:rPr>
            </w:pPr>
          </w:p>
        </w:tc>
      </w:tr>
      <w:tr>
        <w:trPr>
          <w:trHeight w:val="142"/>
        </w:trPr>
        <w:tc>
          <w:tcPr>
            <w:tcW w:w="7540" w:type="dxa"/>
            <w:vAlign w:val="bottom"/>
            <w:tcBorders>
              <w:bottom w:val="single" w:sz="8" w:color="auto"/>
            </w:tcBorders>
            <w:gridSpan w:val="2"/>
            <w:vMerge w:val="continue"/>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38"/>
              <w:spacing w:after="0" w:line="142" w:lineRule="exact"/>
              <w:rPr>
                <w:sz w:val="20"/>
                <w:szCs w:val="20"/>
                <w:color w:val="auto"/>
              </w:rPr>
            </w:pPr>
            <w:r>
              <w:rPr>
                <w:rFonts w:ascii="Arial" w:cs="Arial" w:eastAsia="Arial" w:hAnsi="Arial"/>
                <w:sz w:val="14"/>
                <w:szCs w:val="14"/>
                <w:color w:val="auto"/>
                <w:w w:val="89"/>
              </w:rPr>
              <w:t>2015</w:t>
            </w:r>
          </w:p>
        </w:tc>
        <w:tc>
          <w:tcPr>
            <w:tcW w:w="3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color w:val="auto"/>
                <w:w w:val="83"/>
              </w:rPr>
              <w:t>2014</w:t>
            </w:r>
          </w:p>
        </w:tc>
        <w:tc>
          <w:tcPr>
            <w:tcW w:w="900" w:type="dxa"/>
            <w:vAlign w:val="bottom"/>
            <w:tcBorders>
              <w:bottom w:val="single" w:sz="8" w:color="auto"/>
            </w:tcBorders>
          </w:tcPr>
          <w:p>
            <w:pPr>
              <w:jc w:val="right"/>
              <w:ind w:right="277"/>
              <w:spacing w:after="0" w:line="142"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314"/>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7540" w:type="dxa"/>
            <w:vAlign w:val="bottom"/>
            <w:gridSpan w:val="2"/>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52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90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gridSpan w:val="2"/>
          </w:tcPr>
          <w:p>
            <w:pPr>
              <w:ind w:left="440"/>
              <w:spacing w:after="0"/>
              <w:rPr>
                <w:sz w:val="20"/>
                <w:szCs w:val="20"/>
                <w:color w:val="auto"/>
              </w:rPr>
            </w:pPr>
            <w:r>
              <w:rPr>
                <w:rFonts w:ascii="Arial" w:cs="Arial" w:eastAsia="Arial" w:hAnsi="Arial"/>
                <w:sz w:val="18"/>
                <w:szCs w:val="18"/>
                <w:color w:val="auto"/>
              </w:rPr>
              <w:t>Theatrical</w:t>
            </w:r>
          </w:p>
        </w:tc>
        <w:tc>
          <w:tcPr>
            <w:tcW w:w="520" w:type="dxa"/>
            <w:vAlign w:val="bottom"/>
          </w:tcPr>
          <w:p>
            <w:pPr>
              <w:ind w:left="40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18"/>
              <w:spacing w:after="0"/>
              <w:rPr>
                <w:sz w:val="20"/>
                <w:szCs w:val="20"/>
                <w:color w:val="auto"/>
              </w:rPr>
            </w:pPr>
            <w:r>
              <w:rPr>
                <w:rFonts w:ascii="Arial" w:cs="Arial" w:eastAsia="Arial" w:hAnsi="Arial"/>
                <w:sz w:val="18"/>
                <w:szCs w:val="18"/>
                <w:color w:val="auto"/>
              </w:rPr>
              <w:t>886</w:t>
            </w:r>
          </w:p>
        </w:tc>
        <w:tc>
          <w:tcPr>
            <w:tcW w:w="3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13"/>
              <w:spacing w:after="0"/>
              <w:rPr>
                <w:sz w:val="20"/>
                <w:szCs w:val="20"/>
                <w:color w:val="auto"/>
              </w:rPr>
            </w:pPr>
            <w:r>
              <w:rPr>
                <w:rFonts w:ascii="Arial" w:cs="Arial" w:eastAsia="Arial" w:hAnsi="Arial"/>
                <w:sz w:val="18"/>
                <w:szCs w:val="18"/>
                <w:color w:val="auto"/>
              </w:rPr>
              <w:t>265</w:t>
            </w:r>
          </w:p>
        </w:tc>
        <w:tc>
          <w:tcPr>
            <w:tcW w:w="900" w:type="dxa"/>
            <w:vAlign w:val="bottom"/>
          </w:tcPr>
          <w:p>
            <w:pPr>
              <w:jc w:val="right"/>
              <w:ind w:right="137"/>
              <w:spacing w:after="0"/>
              <w:rPr>
                <w:sz w:val="20"/>
                <w:szCs w:val="20"/>
                <w:color w:val="auto"/>
              </w:rPr>
            </w:pPr>
            <w:r>
              <w:rPr>
                <w:rFonts w:ascii="Arial" w:cs="Arial" w:eastAsia="Arial" w:hAnsi="Arial"/>
                <w:sz w:val="18"/>
                <w:szCs w:val="18"/>
                <w:color w:val="auto"/>
              </w:rPr>
              <w:t>$621</w:t>
            </w:r>
          </w:p>
        </w:tc>
        <w:tc>
          <w:tcPr>
            <w:tcW w:w="780" w:type="dxa"/>
            <w:vAlign w:val="bottom"/>
          </w:tcPr>
          <w:p>
            <w:pPr>
              <w:jc w:val="right"/>
              <w:spacing w:after="0"/>
              <w:rPr>
                <w:sz w:val="20"/>
                <w:szCs w:val="20"/>
                <w:color w:val="auto"/>
              </w:rPr>
            </w:pPr>
            <w:r>
              <w:rPr>
                <w:rFonts w:ascii="Arial" w:cs="Arial" w:eastAsia="Arial" w:hAnsi="Arial"/>
                <w:sz w:val="18"/>
                <w:szCs w:val="18"/>
                <w:color w:val="auto"/>
              </w:rPr>
              <w:t>234.5%</w:t>
            </w:r>
          </w:p>
        </w:tc>
        <w:tc>
          <w:tcPr>
            <w:tcW w:w="0" w:type="dxa"/>
            <w:vAlign w:val="bottom"/>
          </w:tcPr>
          <w:p>
            <w:pPr>
              <w:spacing w:after="0"/>
              <w:rPr>
                <w:sz w:val="1"/>
                <w:szCs w:val="1"/>
                <w:color w:val="auto"/>
              </w:rPr>
            </w:pPr>
          </w:p>
        </w:tc>
      </w:tr>
      <w:tr>
        <w:trPr>
          <w:trHeight w:val="216"/>
        </w:trPr>
        <w:tc>
          <w:tcPr>
            <w:tcW w:w="7540" w:type="dxa"/>
            <w:vAlign w:val="bottom"/>
            <w:gridSpan w:val="2"/>
            <w:shd w:val="clear" w:color="auto" w:fill="E5E5E5"/>
          </w:tcPr>
          <w:p>
            <w:pPr>
              <w:ind w:left="440"/>
              <w:spacing w:after="0"/>
              <w:rPr>
                <w:sz w:val="20"/>
                <w:szCs w:val="20"/>
                <w:color w:val="auto"/>
              </w:rPr>
            </w:pPr>
            <w:r>
              <w:rPr>
                <w:rFonts w:ascii="Arial" w:cs="Arial" w:eastAsia="Arial" w:hAnsi="Arial"/>
                <w:sz w:val="18"/>
                <w:szCs w:val="18"/>
                <w:color w:val="auto"/>
              </w:rPr>
              <w:t>Content licensing</w:t>
            </w:r>
          </w:p>
        </w:tc>
        <w:tc>
          <w:tcPr>
            <w:tcW w:w="5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18"/>
              <w:spacing w:after="0"/>
              <w:rPr>
                <w:sz w:val="20"/>
                <w:szCs w:val="20"/>
                <w:color w:val="auto"/>
              </w:rPr>
            </w:pPr>
            <w:r>
              <w:rPr>
                <w:rFonts w:ascii="Arial" w:cs="Arial" w:eastAsia="Arial" w:hAnsi="Arial"/>
                <w:sz w:val="18"/>
                <w:szCs w:val="18"/>
                <w:color w:val="auto"/>
              </w:rPr>
              <w:t>496</w:t>
            </w:r>
          </w:p>
        </w:tc>
        <w:tc>
          <w:tcPr>
            <w:tcW w:w="32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439</w:t>
            </w:r>
          </w:p>
        </w:tc>
        <w:tc>
          <w:tcPr>
            <w:tcW w:w="900" w:type="dxa"/>
            <w:vAlign w:val="bottom"/>
            <w:shd w:val="clear" w:color="auto" w:fill="E5E5E5"/>
          </w:tcPr>
          <w:p>
            <w:pPr>
              <w:jc w:val="right"/>
              <w:ind w:right="137"/>
              <w:spacing w:after="0"/>
              <w:rPr>
                <w:sz w:val="20"/>
                <w:szCs w:val="20"/>
                <w:color w:val="auto"/>
              </w:rPr>
            </w:pPr>
            <w:r>
              <w:rPr>
                <w:rFonts w:ascii="Arial" w:cs="Arial" w:eastAsia="Arial" w:hAnsi="Arial"/>
                <w:sz w:val="18"/>
                <w:szCs w:val="18"/>
                <w:color w:val="auto"/>
              </w:rPr>
              <w:t>57</w:t>
            </w:r>
          </w:p>
        </w:tc>
        <w:tc>
          <w:tcPr>
            <w:tcW w:w="78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7540" w:type="dxa"/>
            <w:vAlign w:val="bottom"/>
            <w:gridSpan w:val="2"/>
          </w:tcPr>
          <w:p>
            <w:pPr>
              <w:ind w:left="440"/>
              <w:spacing w:after="0"/>
              <w:rPr>
                <w:sz w:val="20"/>
                <w:szCs w:val="20"/>
                <w:color w:val="auto"/>
              </w:rPr>
            </w:pPr>
            <w:r>
              <w:rPr>
                <w:rFonts w:ascii="Arial" w:cs="Arial" w:eastAsia="Arial" w:hAnsi="Arial"/>
                <w:sz w:val="18"/>
                <w:szCs w:val="18"/>
                <w:color w:val="auto"/>
              </w:rPr>
              <w:t>Home entertainment</w:t>
            </w:r>
          </w:p>
        </w:tc>
        <w:tc>
          <w:tcPr>
            <w:tcW w:w="520" w:type="dxa"/>
            <w:vAlign w:val="bottom"/>
          </w:tcPr>
          <w:p>
            <w:pPr>
              <w:spacing w:after="0"/>
              <w:rPr>
                <w:sz w:val="18"/>
                <w:szCs w:val="18"/>
                <w:color w:val="auto"/>
              </w:rPr>
            </w:pPr>
          </w:p>
        </w:tc>
        <w:tc>
          <w:tcPr>
            <w:tcW w:w="620" w:type="dxa"/>
            <w:vAlign w:val="bottom"/>
          </w:tcPr>
          <w:p>
            <w:pPr>
              <w:jc w:val="right"/>
              <w:ind w:right="118"/>
              <w:spacing w:after="0"/>
              <w:rPr>
                <w:sz w:val="20"/>
                <w:szCs w:val="20"/>
                <w:color w:val="auto"/>
              </w:rPr>
            </w:pPr>
            <w:r>
              <w:rPr>
                <w:rFonts w:ascii="Arial" w:cs="Arial" w:eastAsia="Arial" w:hAnsi="Arial"/>
                <w:sz w:val="18"/>
                <w:szCs w:val="18"/>
                <w:color w:val="auto"/>
              </w:rPr>
              <w:t>379</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ind w:right="113"/>
              <w:spacing w:after="0"/>
              <w:rPr>
                <w:sz w:val="20"/>
                <w:szCs w:val="20"/>
                <w:color w:val="auto"/>
              </w:rPr>
            </w:pPr>
            <w:r>
              <w:rPr>
                <w:rFonts w:ascii="Arial" w:cs="Arial" w:eastAsia="Arial" w:hAnsi="Arial"/>
                <w:sz w:val="18"/>
                <w:szCs w:val="18"/>
                <w:color w:val="auto"/>
              </w:rPr>
              <w:t>321</w:t>
            </w:r>
          </w:p>
        </w:tc>
        <w:tc>
          <w:tcPr>
            <w:tcW w:w="900" w:type="dxa"/>
            <w:vAlign w:val="bottom"/>
          </w:tcPr>
          <w:p>
            <w:pPr>
              <w:jc w:val="right"/>
              <w:ind w:right="137"/>
              <w:spacing w:after="0"/>
              <w:rPr>
                <w:sz w:val="20"/>
                <w:szCs w:val="20"/>
                <w:color w:val="auto"/>
              </w:rPr>
            </w:pPr>
            <w:r>
              <w:rPr>
                <w:rFonts w:ascii="Arial" w:cs="Arial" w:eastAsia="Arial" w:hAnsi="Arial"/>
                <w:sz w:val="18"/>
                <w:szCs w:val="18"/>
                <w:color w:val="auto"/>
              </w:rPr>
              <w:t>58</w:t>
            </w:r>
          </w:p>
        </w:tc>
        <w:tc>
          <w:tcPr>
            <w:tcW w:w="780" w:type="dxa"/>
            <w:vAlign w:val="bottom"/>
          </w:tcPr>
          <w:p>
            <w:pPr>
              <w:jc w:val="right"/>
              <w:ind w:right="134"/>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7540" w:type="dxa"/>
            <w:vAlign w:val="bottom"/>
            <w:tcBorders>
              <w:bottom w:val="single" w:sz="8" w:color="auto"/>
            </w:tcBorders>
            <w:gridSpan w:val="2"/>
            <w:shd w:val="clear" w:color="auto" w:fill="E5E5E5"/>
          </w:tcPr>
          <w:p>
            <w:pPr>
              <w:ind w:left="440"/>
              <w:spacing w:after="0"/>
              <w:rPr>
                <w:sz w:val="20"/>
                <w:szCs w:val="20"/>
                <w:color w:val="auto"/>
              </w:rPr>
            </w:pPr>
            <w:r>
              <w:rPr>
                <w:rFonts w:ascii="Arial" w:cs="Arial" w:eastAsia="Arial" w:hAnsi="Arial"/>
                <w:sz w:val="18"/>
                <w:szCs w:val="18"/>
                <w:color w:val="auto"/>
              </w:rPr>
              <w:t>Other</w:t>
            </w:r>
          </w:p>
        </w:tc>
        <w:tc>
          <w:tcPr>
            <w:tcW w:w="52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18"/>
              <w:spacing w:after="0"/>
              <w:rPr>
                <w:sz w:val="20"/>
                <w:szCs w:val="20"/>
                <w:color w:val="auto"/>
              </w:rPr>
            </w:pPr>
            <w:r>
              <w:rPr>
                <w:rFonts w:ascii="Arial" w:cs="Arial" w:eastAsia="Arial" w:hAnsi="Arial"/>
                <w:sz w:val="18"/>
                <w:szCs w:val="18"/>
                <w:color w:val="auto"/>
              </w:rPr>
              <w:t>185</w:t>
            </w:r>
          </w:p>
        </w:tc>
        <w:tc>
          <w:tcPr>
            <w:tcW w:w="320" w:type="dxa"/>
            <w:vAlign w:val="bottom"/>
            <w:tcBorders>
              <w:bottom w:val="single" w:sz="8" w:color="auto"/>
            </w:tcBorders>
            <w:shd w:val="clear" w:color="auto" w:fill="E5E5E5"/>
          </w:tcPr>
          <w:p>
            <w:pPr>
              <w:spacing w:after="0"/>
              <w:rPr>
                <w:sz w:val="18"/>
                <w:szCs w:val="18"/>
                <w:color w:val="auto"/>
              </w:rPr>
            </w:pPr>
          </w:p>
        </w:tc>
        <w:tc>
          <w:tcPr>
            <w:tcW w:w="12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161</w:t>
            </w:r>
          </w:p>
        </w:tc>
        <w:tc>
          <w:tcPr>
            <w:tcW w:w="900" w:type="dxa"/>
            <w:vAlign w:val="bottom"/>
            <w:tcBorders>
              <w:bottom w:val="single" w:sz="8" w:color="auto"/>
            </w:tcBorders>
            <w:shd w:val="clear" w:color="auto" w:fill="E5E5E5"/>
          </w:tcPr>
          <w:p>
            <w:pPr>
              <w:jc w:val="right"/>
              <w:ind w:right="137"/>
              <w:spacing w:after="0"/>
              <w:rPr>
                <w:sz w:val="20"/>
                <w:szCs w:val="20"/>
                <w:color w:val="auto"/>
              </w:rPr>
            </w:pPr>
            <w:r>
              <w:rPr>
                <w:rFonts w:ascii="Arial" w:cs="Arial" w:eastAsia="Arial" w:hAnsi="Arial"/>
                <w:sz w:val="18"/>
                <w:szCs w:val="18"/>
                <w:color w:val="auto"/>
              </w:rPr>
              <w:t>24</w:t>
            </w:r>
          </w:p>
        </w:tc>
        <w:tc>
          <w:tcPr>
            <w:tcW w:w="780" w:type="dxa"/>
            <w:vAlign w:val="bottom"/>
            <w:tcBorders>
              <w:bottom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0"/>
        </w:trPr>
        <w:tc>
          <w:tcPr>
            <w:tcW w:w="7540" w:type="dxa"/>
            <w:vAlign w:val="bottom"/>
            <w:gridSpan w:val="2"/>
          </w:tcPr>
          <w:p>
            <w:pPr>
              <w:spacing w:after="0"/>
              <w:rPr>
                <w:sz w:val="20"/>
                <w:szCs w:val="20"/>
                <w:color w:val="auto"/>
              </w:rPr>
            </w:pPr>
            <w:r>
              <w:rPr>
                <w:rFonts w:ascii="Arial" w:cs="Arial" w:eastAsia="Arial" w:hAnsi="Arial"/>
                <w:sz w:val="18"/>
                <w:szCs w:val="18"/>
                <w:b w:val="1"/>
                <w:bCs w:val="1"/>
                <w:color w:val="auto"/>
              </w:rPr>
              <w:t>Total revenue</w:t>
            </w:r>
          </w:p>
        </w:tc>
        <w:tc>
          <w:tcPr>
            <w:tcW w:w="520" w:type="dxa"/>
            <w:vAlign w:val="bottom"/>
          </w:tcPr>
          <w:p>
            <w:pPr>
              <w:spacing w:after="0"/>
              <w:rPr>
                <w:sz w:val="18"/>
                <w:szCs w:val="18"/>
                <w:color w:val="auto"/>
              </w:rPr>
            </w:pPr>
          </w:p>
        </w:tc>
        <w:tc>
          <w:tcPr>
            <w:tcW w:w="620" w:type="dxa"/>
            <w:vAlign w:val="bottom"/>
          </w:tcPr>
          <w:p>
            <w:pPr>
              <w:jc w:val="right"/>
              <w:ind w:right="118"/>
              <w:spacing w:after="0"/>
              <w:rPr>
                <w:sz w:val="20"/>
                <w:szCs w:val="20"/>
                <w:color w:val="auto"/>
              </w:rPr>
            </w:pPr>
            <w:r>
              <w:rPr>
                <w:rFonts w:ascii="Arial" w:cs="Arial" w:eastAsia="Arial" w:hAnsi="Arial"/>
                <w:sz w:val="18"/>
                <w:szCs w:val="18"/>
                <w:b w:val="1"/>
                <w:bCs w:val="1"/>
                <w:color w:val="auto"/>
                <w:w w:val="88"/>
              </w:rPr>
              <w:t>1,946</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ind w:right="113"/>
              <w:spacing w:after="0"/>
              <w:rPr>
                <w:sz w:val="20"/>
                <w:szCs w:val="20"/>
                <w:color w:val="auto"/>
              </w:rPr>
            </w:pPr>
            <w:r>
              <w:rPr>
                <w:rFonts w:ascii="Arial" w:cs="Arial" w:eastAsia="Arial" w:hAnsi="Arial"/>
                <w:sz w:val="18"/>
                <w:szCs w:val="18"/>
                <w:b w:val="1"/>
                <w:bCs w:val="1"/>
                <w:color w:val="auto"/>
                <w:w w:val="88"/>
              </w:rPr>
              <w:t>1,186</w:t>
            </w:r>
          </w:p>
        </w:tc>
        <w:tc>
          <w:tcPr>
            <w:tcW w:w="900" w:type="dxa"/>
            <w:vAlign w:val="bottom"/>
          </w:tcPr>
          <w:p>
            <w:pPr>
              <w:jc w:val="right"/>
              <w:ind w:right="137"/>
              <w:spacing w:after="0"/>
              <w:rPr>
                <w:sz w:val="20"/>
                <w:szCs w:val="20"/>
                <w:color w:val="auto"/>
              </w:rPr>
            </w:pPr>
            <w:r>
              <w:rPr>
                <w:rFonts w:ascii="Arial" w:cs="Arial" w:eastAsia="Arial" w:hAnsi="Arial"/>
                <w:sz w:val="18"/>
                <w:szCs w:val="18"/>
                <w:b w:val="1"/>
                <w:bCs w:val="1"/>
                <w:color w:val="auto"/>
              </w:rPr>
              <w:t>760</w:t>
            </w:r>
          </w:p>
        </w:tc>
        <w:tc>
          <w:tcPr>
            <w:tcW w:w="780" w:type="dxa"/>
            <w:vAlign w:val="bottom"/>
          </w:tcPr>
          <w:p>
            <w:pPr>
              <w:jc w:val="right"/>
              <w:ind w:right="134"/>
              <w:spacing w:after="0"/>
              <w:rPr>
                <w:sz w:val="20"/>
                <w:szCs w:val="20"/>
                <w:color w:val="auto"/>
              </w:rPr>
            </w:pPr>
            <w:r>
              <w:rPr>
                <w:rFonts w:ascii="Arial" w:cs="Arial" w:eastAsia="Arial" w:hAnsi="Arial"/>
                <w:sz w:val="18"/>
                <w:szCs w:val="18"/>
                <w:b w:val="1"/>
                <w:bCs w:val="1"/>
                <w:color w:val="auto"/>
              </w:rPr>
              <w:t>64.0</w:t>
            </w:r>
          </w:p>
        </w:tc>
        <w:tc>
          <w:tcPr>
            <w:tcW w:w="0" w:type="dxa"/>
            <w:vAlign w:val="bottom"/>
          </w:tcPr>
          <w:p>
            <w:pPr>
              <w:spacing w:after="0"/>
              <w:rPr>
                <w:sz w:val="1"/>
                <w:szCs w:val="1"/>
                <w:color w:val="auto"/>
              </w:rPr>
            </w:pPr>
          </w:p>
        </w:tc>
      </w:tr>
      <w:tr>
        <w:trPr>
          <w:trHeight w:val="216"/>
        </w:trPr>
        <w:tc>
          <w:tcPr>
            <w:tcW w:w="7540" w:type="dxa"/>
            <w:vAlign w:val="bottom"/>
            <w:gridSpan w:val="2"/>
            <w:shd w:val="clear" w:color="auto" w:fill="E5E5E5"/>
          </w:tcPr>
          <w:p>
            <w:pPr>
              <w:spacing w:after="0"/>
              <w:rPr>
                <w:sz w:val="20"/>
                <w:szCs w:val="20"/>
                <w:color w:val="auto"/>
              </w:rPr>
            </w:pPr>
            <w:r>
              <w:rPr>
                <w:rFonts w:ascii="Arial" w:cs="Arial" w:eastAsia="Arial" w:hAnsi="Arial"/>
                <w:sz w:val="18"/>
                <w:szCs w:val="18"/>
                <w:b w:val="1"/>
                <w:bCs w:val="1"/>
                <w:color w:val="auto"/>
              </w:rPr>
              <w:t>Operating costs and expenses</w:t>
            </w:r>
          </w:p>
        </w:tc>
        <w:tc>
          <w:tcPr>
            <w:tcW w:w="52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90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gridSpan w:val="2"/>
          </w:tcPr>
          <w:p>
            <w:pPr>
              <w:ind w:left="440"/>
              <w:spacing w:after="0"/>
              <w:rPr>
                <w:sz w:val="20"/>
                <w:szCs w:val="20"/>
                <w:color w:val="auto"/>
              </w:rPr>
            </w:pPr>
            <w:r>
              <w:rPr>
                <w:rFonts w:ascii="Arial" w:cs="Arial" w:eastAsia="Arial" w:hAnsi="Arial"/>
                <w:sz w:val="18"/>
                <w:szCs w:val="18"/>
                <w:color w:val="auto"/>
              </w:rPr>
              <w:t>Programming and production</w:t>
            </w:r>
          </w:p>
        </w:tc>
        <w:tc>
          <w:tcPr>
            <w:tcW w:w="520" w:type="dxa"/>
            <w:vAlign w:val="bottom"/>
          </w:tcPr>
          <w:p>
            <w:pPr>
              <w:spacing w:after="0"/>
              <w:rPr>
                <w:sz w:val="18"/>
                <w:szCs w:val="18"/>
                <w:color w:val="auto"/>
              </w:rPr>
            </w:pPr>
          </w:p>
        </w:tc>
        <w:tc>
          <w:tcPr>
            <w:tcW w:w="620" w:type="dxa"/>
            <w:vAlign w:val="bottom"/>
          </w:tcPr>
          <w:p>
            <w:pPr>
              <w:jc w:val="right"/>
              <w:ind w:right="118"/>
              <w:spacing w:after="0"/>
              <w:rPr>
                <w:sz w:val="20"/>
                <w:szCs w:val="20"/>
                <w:color w:val="auto"/>
              </w:rPr>
            </w:pPr>
            <w:r>
              <w:rPr>
                <w:rFonts w:ascii="Arial" w:cs="Arial" w:eastAsia="Arial" w:hAnsi="Arial"/>
                <w:sz w:val="18"/>
                <w:szCs w:val="18"/>
                <w:color w:val="auto"/>
              </w:rPr>
              <w:t>911</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ind w:right="113"/>
              <w:spacing w:after="0"/>
              <w:rPr>
                <w:sz w:val="20"/>
                <w:szCs w:val="20"/>
                <w:color w:val="auto"/>
              </w:rPr>
            </w:pPr>
            <w:r>
              <w:rPr>
                <w:rFonts w:ascii="Arial" w:cs="Arial" w:eastAsia="Arial" w:hAnsi="Arial"/>
                <w:sz w:val="18"/>
                <w:szCs w:val="18"/>
                <w:color w:val="auto"/>
              </w:rPr>
              <w:t>541</w:t>
            </w:r>
          </w:p>
        </w:tc>
        <w:tc>
          <w:tcPr>
            <w:tcW w:w="900" w:type="dxa"/>
            <w:vAlign w:val="bottom"/>
          </w:tcPr>
          <w:p>
            <w:pPr>
              <w:jc w:val="right"/>
              <w:ind w:right="137"/>
              <w:spacing w:after="0"/>
              <w:rPr>
                <w:sz w:val="20"/>
                <w:szCs w:val="20"/>
                <w:color w:val="auto"/>
              </w:rPr>
            </w:pPr>
            <w:r>
              <w:rPr>
                <w:rFonts w:ascii="Arial" w:cs="Arial" w:eastAsia="Arial" w:hAnsi="Arial"/>
                <w:sz w:val="18"/>
                <w:szCs w:val="18"/>
                <w:color w:val="auto"/>
              </w:rPr>
              <w:t>370</w:t>
            </w:r>
          </w:p>
        </w:tc>
        <w:tc>
          <w:tcPr>
            <w:tcW w:w="780" w:type="dxa"/>
            <w:vAlign w:val="bottom"/>
          </w:tcPr>
          <w:p>
            <w:pPr>
              <w:jc w:val="right"/>
              <w:ind w:right="134"/>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16"/>
        </w:trPr>
        <w:tc>
          <w:tcPr>
            <w:tcW w:w="7540" w:type="dxa"/>
            <w:vAlign w:val="bottom"/>
            <w:gridSpan w:val="2"/>
            <w:shd w:val="clear" w:color="auto" w:fill="E5E5E5"/>
          </w:tcPr>
          <w:p>
            <w:pPr>
              <w:ind w:left="440"/>
              <w:spacing w:after="0"/>
              <w:rPr>
                <w:sz w:val="20"/>
                <w:szCs w:val="20"/>
                <w:color w:val="auto"/>
              </w:rPr>
            </w:pPr>
            <w:r>
              <w:rPr>
                <w:rFonts w:ascii="Arial" w:cs="Arial" w:eastAsia="Arial" w:hAnsi="Arial"/>
                <w:sz w:val="18"/>
                <w:szCs w:val="18"/>
                <w:color w:val="auto"/>
              </w:rPr>
              <w:t>Other operating and administrative</w:t>
            </w:r>
          </w:p>
        </w:tc>
        <w:tc>
          <w:tcPr>
            <w:tcW w:w="5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18"/>
              <w:spacing w:after="0"/>
              <w:rPr>
                <w:sz w:val="20"/>
                <w:szCs w:val="20"/>
                <w:color w:val="auto"/>
              </w:rPr>
            </w:pPr>
            <w:r>
              <w:rPr>
                <w:rFonts w:ascii="Arial" w:cs="Arial" w:eastAsia="Arial" w:hAnsi="Arial"/>
                <w:sz w:val="18"/>
                <w:szCs w:val="18"/>
                <w:color w:val="auto"/>
              </w:rPr>
              <w:t>221</w:t>
            </w:r>
          </w:p>
        </w:tc>
        <w:tc>
          <w:tcPr>
            <w:tcW w:w="32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223</w:t>
            </w:r>
          </w:p>
        </w:tc>
        <w:tc>
          <w:tcPr>
            <w:tcW w:w="900" w:type="dxa"/>
            <w:vAlign w:val="bottom"/>
            <w:shd w:val="clear" w:color="auto" w:fill="E5E5E5"/>
          </w:tcPr>
          <w:p>
            <w:pPr>
              <w:jc w:val="right"/>
              <w:ind w:right="77"/>
              <w:spacing w:after="0"/>
              <w:rPr>
                <w:sz w:val="20"/>
                <w:szCs w:val="20"/>
                <w:color w:val="auto"/>
              </w:rPr>
            </w:pPr>
            <w:r>
              <w:rPr>
                <w:rFonts w:ascii="Arial" w:cs="Arial" w:eastAsia="Arial" w:hAnsi="Arial"/>
                <w:sz w:val="18"/>
                <w:szCs w:val="18"/>
                <w:color w:val="auto"/>
              </w:rPr>
              <w:t>(2)</w:t>
            </w:r>
          </w:p>
        </w:tc>
        <w:tc>
          <w:tcPr>
            <w:tcW w:w="780" w:type="dxa"/>
            <w:vAlign w:val="bottom"/>
            <w:shd w:val="clear" w:color="auto" w:fill="E5E5E5"/>
          </w:tcPr>
          <w:p>
            <w:pPr>
              <w:jc w:val="right"/>
              <w:ind w:right="94"/>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7540" w:type="dxa"/>
            <w:vAlign w:val="bottom"/>
            <w:tcBorders>
              <w:bottom w:val="single" w:sz="8" w:color="auto"/>
            </w:tcBorders>
            <w:gridSpan w:val="2"/>
          </w:tcPr>
          <w:p>
            <w:pPr>
              <w:ind w:left="440"/>
              <w:spacing w:after="0"/>
              <w:rPr>
                <w:sz w:val="20"/>
                <w:szCs w:val="20"/>
                <w:color w:val="auto"/>
              </w:rPr>
            </w:pPr>
            <w:r>
              <w:rPr>
                <w:rFonts w:ascii="Arial" w:cs="Arial" w:eastAsia="Arial" w:hAnsi="Arial"/>
                <w:sz w:val="18"/>
                <w:szCs w:val="18"/>
                <w:color w:val="auto"/>
              </w:rPr>
              <w:t>Advertising, marketing and promotion</w:t>
            </w:r>
          </w:p>
        </w:tc>
        <w:tc>
          <w:tcPr>
            <w:tcW w:w="5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18"/>
              <w:spacing w:after="0"/>
              <w:rPr>
                <w:sz w:val="20"/>
                <w:szCs w:val="20"/>
                <w:color w:val="auto"/>
              </w:rPr>
            </w:pPr>
            <w:r>
              <w:rPr>
                <w:rFonts w:ascii="Arial" w:cs="Arial" w:eastAsia="Arial" w:hAnsi="Arial"/>
                <w:sz w:val="18"/>
                <w:szCs w:val="18"/>
                <w:color w:val="auto"/>
              </w:rPr>
              <w:t>438</w:t>
            </w:r>
          </w:p>
        </w:tc>
        <w:tc>
          <w:tcPr>
            <w:tcW w:w="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271</w:t>
            </w:r>
          </w:p>
        </w:tc>
        <w:tc>
          <w:tcPr>
            <w:tcW w:w="90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rPr>
              <w:t>167</w:t>
            </w:r>
          </w:p>
        </w:tc>
        <w:tc>
          <w:tcPr>
            <w:tcW w:w="78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10"/>
        </w:trPr>
        <w:tc>
          <w:tcPr>
            <w:tcW w:w="7540" w:type="dxa"/>
            <w:vAlign w:val="bottom"/>
            <w:tcBorders>
              <w:bottom w:val="single" w:sz="8" w:color="auto"/>
            </w:tcBorders>
            <w:gridSpan w:val="2"/>
            <w:shd w:val="clear" w:color="auto" w:fill="E5E5E5"/>
          </w:tcPr>
          <w:p>
            <w:pPr>
              <w:spacing w:after="0"/>
              <w:rPr>
                <w:sz w:val="20"/>
                <w:szCs w:val="20"/>
                <w:color w:val="auto"/>
              </w:rPr>
            </w:pPr>
            <w:r>
              <w:rPr>
                <w:rFonts w:ascii="Arial" w:cs="Arial" w:eastAsia="Arial" w:hAnsi="Arial"/>
                <w:sz w:val="18"/>
                <w:szCs w:val="18"/>
                <w:color w:val="auto"/>
              </w:rPr>
              <w:t>Total operating costs and expenses</w:t>
            </w:r>
          </w:p>
        </w:tc>
        <w:tc>
          <w:tcPr>
            <w:tcW w:w="52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18"/>
              <w:spacing w:after="0"/>
              <w:rPr>
                <w:sz w:val="20"/>
                <w:szCs w:val="20"/>
                <w:color w:val="auto"/>
              </w:rPr>
            </w:pPr>
            <w:r>
              <w:rPr>
                <w:rFonts w:ascii="Arial" w:cs="Arial" w:eastAsia="Arial" w:hAnsi="Arial"/>
                <w:sz w:val="18"/>
                <w:szCs w:val="18"/>
                <w:color w:val="auto"/>
                <w:w w:val="88"/>
              </w:rPr>
              <w:t>1,570</w:t>
            </w:r>
          </w:p>
        </w:tc>
        <w:tc>
          <w:tcPr>
            <w:tcW w:w="320" w:type="dxa"/>
            <w:vAlign w:val="bottom"/>
            <w:tcBorders>
              <w:bottom w:val="single" w:sz="8" w:color="auto"/>
            </w:tcBorders>
            <w:shd w:val="clear" w:color="auto" w:fill="E5E5E5"/>
          </w:tcPr>
          <w:p>
            <w:pPr>
              <w:spacing w:after="0"/>
              <w:rPr>
                <w:sz w:val="18"/>
                <w:szCs w:val="18"/>
                <w:color w:val="auto"/>
              </w:rPr>
            </w:pPr>
          </w:p>
        </w:tc>
        <w:tc>
          <w:tcPr>
            <w:tcW w:w="12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w w:val="88"/>
              </w:rPr>
              <w:t>1,035</w:t>
            </w:r>
          </w:p>
        </w:tc>
        <w:tc>
          <w:tcPr>
            <w:tcW w:w="900" w:type="dxa"/>
            <w:vAlign w:val="bottom"/>
            <w:tcBorders>
              <w:bottom w:val="single" w:sz="8" w:color="auto"/>
            </w:tcBorders>
            <w:shd w:val="clear" w:color="auto" w:fill="E5E5E5"/>
          </w:tcPr>
          <w:p>
            <w:pPr>
              <w:jc w:val="right"/>
              <w:ind w:right="137"/>
              <w:spacing w:after="0"/>
              <w:rPr>
                <w:sz w:val="20"/>
                <w:szCs w:val="20"/>
                <w:color w:val="auto"/>
              </w:rPr>
            </w:pPr>
            <w:r>
              <w:rPr>
                <w:rFonts w:ascii="Arial" w:cs="Arial" w:eastAsia="Arial" w:hAnsi="Arial"/>
                <w:sz w:val="18"/>
                <w:szCs w:val="18"/>
                <w:color w:val="auto"/>
              </w:rPr>
              <w:t>535</w:t>
            </w:r>
          </w:p>
        </w:tc>
        <w:tc>
          <w:tcPr>
            <w:tcW w:w="780" w:type="dxa"/>
            <w:vAlign w:val="bottom"/>
            <w:tcBorders>
              <w:bottom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17"/>
        </w:trPr>
        <w:tc>
          <w:tcPr>
            <w:tcW w:w="75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52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bottom w:val="single" w:sz="8" w:color="auto"/>
            </w:tcBorders>
          </w:tcPr>
          <w:p>
            <w:pPr>
              <w:jc w:val="right"/>
              <w:ind w:right="118"/>
              <w:spacing w:after="0"/>
              <w:rPr>
                <w:sz w:val="20"/>
                <w:szCs w:val="20"/>
                <w:color w:val="auto"/>
              </w:rPr>
            </w:pPr>
            <w:r>
              <w:rPr>
                <w:rFonts w:ascii="Arial" w:cs="Arial" w:eastAsia="Arial" w:hAnsi="Arial"/>
                <w:sz w:val="18"/>
                <w:szCs w:val="18"/>
                <w:b w:val="1"/>
                <w:bCs w:val="1"/>
                <w:color w:val="auto"/>
              </w:rPr>
              <w:t>376</w:t>
            </w:r>
          </w:p>
        </w:tc>
        <w:tc>
          <w:tcPr>
            <w:tcW w:w="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b w:val="1"/>
                <w:bCs w:val="1"/>
                <w:color w:val="auto"/>
              </w:rPr>
              <w:t>151</w:t>
            </w:r>
          </w:p>
        </w:tc>
        <w:tc>
          <w:tcPr>
            <w:tcW w:w="90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b w:val="1"/>
                <w:bCs w:val="1"/>
                <w:color w:val="auto"/>
              </w:rPr>
              <w:t>$225</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149.5%</w:t>
            </w:r>
          </w:p>
        </w:tc>
        <w:tc>
          <w:tcPr>
            <w:tcW w:w="0" w:type="dxa"/>
            <w:vAlign w:val="bottom"/>
          </w:tcPr>
          <w:p>
            <w:pPr>
              <w:spacing w:after="0"/>
              <w:rPr>
                <w:sz w:val="1"/>
                <w:szCs w:val="1"/>
                <w:color w:val="auto"/>
              </w:rPr>
            </w:pPr>
          </w:p>
        </w:tc>
      </w:tr>
      <w:tr>
        <w:trPr>
          <w:trHeight w:val="273"/>
        </w:trPr>
        <w:tc>
          <w:tcPr>
            <w:tcW w:w="74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680" w:type="dxa"/>
            <w:vAlign w:val="bottom"/>
            <w:gridSpan w:val="4"/>
          </w:tcPr>
          <w:p>
            <w:pPr>
              <w:jc w:val="right"/>
              <w:ind w:right="493"/>
              <w:spacing w:after="0"/>
              <w:rPr>
                <w:sz w:val="20"/>
                <w:szCs w:val="20"/>
                <w:color w:val="auto"/>
              </w:rPr>
            </w:pPr>
            <w:r>
              <w:rPr>
                <w:rFonts w:ascii="Arial" w:cs="Arial" w:eastAsia="Arial" w:hAnsi="Arial"/>
                <w:sz w:val="14"/>
                <w:szCs w:val="14"/>
                <w:color w:val="auto"/>
                <w:w w:val="87"/>
              </w:rPr>
              <w:t>Nine Months Ended</w:t>
            </w:r>
          </w:p>
        </w:tc>
        <w:tc>
          <w:tcPr>
            <w:tcW w:w="1680" w:type="dxa"/>
            <w:vAlign w:val="bottom"/>
            <w:gridSpan w:val="2"/>
          </w:tcPr>
          <w:p>
            <w:pPr>
              <w:jc w:val="right"/>
              <w:ind w:right="534"/>
              <w:spacing w:after="0"/>
              <w:rPr>
                <w:sz w:val="20"/>
                <w:szCs w:val="20"/>
                <w:color w:val="auto"/>
              </w:rPr>
            </w:pPr>
            <w:r>
              <w:rPr>
                <w:rFonts w:ascii="Arial" w:cs="Arial" w:eastAsia="Arial" w:hAnsi="Arial"/>
                <w:sz w:val="14"/>
                <w:szCs w:val="14"/>
                <w:color w:val="auto"/>
              </w:rPr>
              <w:t>Increase/</w:t>
            </w:r>
          </w:p>
        </w:tc>
        <w:tc>
          <w:tcPr>
            <w:tcW w:w="0" w:type="dxa"/>
            <w:vAlign w:val="bottom"/>
          </w:tcPr>
          <w:p>
            <w:pPr>
              <w:spacing w:after="0"/>
              <w:rPr>
                <w:sz w:val="1"/>
                <w:szCs w:val="1"/>
                <w:color w:val="auto"/>
              </w:rPr>
            </w:pPr>
          </w:p>
        </w:tc>
      </w:tr>
      <w:tr>
        <w:trPr>
          <w:trHeight w:val="159"/>
        </w:trPr>
        <w:tc>
          <w:tcPr>
            <w:tcW w:w="74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September 30</w:t>
            </w: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2"/>
          </w:tcPr>
          <w:p>
            <w:pPr>
              <w:jc w:val="right"/>
              <w:ind w:right="494"/>
              <w:spacing w:after="0" w:line="159" w:lineRule="exact"/>
              <w:rPr>
                <w:sz w:val="20"/>
                <w:szCs w:val="20"/>
                <w:color w:val="auto"/>
              </w:rPr>
            </w:pPr>
            <w:r>
              <w:rPr>
                <w:rFonts w:ascii="Arial" w:cs="Arial" w:eastAsia="Arial" w:hAnsi="Arial"/>
                <w:sz w:val="14"/>
                <w:szCs w:val="14"/>
                <w:color w:val="auto"/>
              </w:rPr>
              <w:t>(Decrease)</w:t>
            </w:r>
          </w:p>
        </w:tc>
        <w:tc>
          <w:tcPr>
            <w:tcW w:w="0" w:type="dxa"/>
            <w:vAlign w:val="bottom"/>
          </w:tcPr>
          <w:p>
            <w:pPr>
              <w:spacing w:after="0"/>
              <w:rPr>
                <w:sz w:val="1"/>
                <w:szCs w:val="1"/>
                <w:color w:val="auto"/>
              </w:rPr>
            </w:pPr>
          </w:p>
        </w:tc>
      </w:tr>
      <w:tr>
        <w:trPr>
          <w:trHeight w:val="142"/>
        </w:trPr>
        <w:tc>
          <w:tcPr>
            <w:tcW w:w="740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(in millions)</w:t>
            </w: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2"/>
          </w:tcPr>
          <w:p>
            <w:pPr>
              <w:ind w:left="400"/>
              <w:spacing w:after="0" w:line="142" w:lineRule="exact"/>
              <w:rPr>
                <w:sz w:val="20"/>
                <w:szCs w:val="20"/>
                <w:color w:val="auto"/>
              </w:rPr>
            </w:pPr>
            <w:r>
              <w:rPr>
                <w:rFonts w:ascii="Arial" w:cs="Arial" w:eastAsia="Arial" w:hAnsi="Arial"/>
                <w:sz w:val="14"/>
                <w:szCs w:val="14"/>
                <w:color w:val="auto"/>
              </w:rPr>
              <w:t>2015</w:t>
            </w:r>
          </w:p>
        </w:tc>
        <w:tc>
          <w:tcPr>
            <w:tcW w:w="3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color w:val="auto"/>
              </w:rPr>
              <w:t>2014</w:t>
            </w:r>
          </w:p>
        </w:tc>
        <w:tc>
          <w:tcPr>
            <w:tcW w:w="900" w:type="dxa"/>
            <w:vAlign w:val="bottom"/>
            <w:tcBorders>
              <w:bottom w:val="single" w:sz="8" w:color="auto"/>
            </w:tcBorders>
          </w:tcPr>
          <w:p>
            <w:pPr>
              <w:jc w:val="right"/>
              <w:ind w:right="357"/>
              <w:spacing w:after="0" w:line="142"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314"/>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7540" w:type="dxa"/>
            <w:vAlign w:val="bottom"/>
            <w:gridSpan w:val="2"/>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52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90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gridSpan w:val="2"/>
          </w:tcPr>
          <w:p>
            <w:pPr>
              <w:ind w:left="440"/>
              <w:spacing w:after="0"/>
              <w:rPr>
                <w:sz w:val="20"/>
                <w:szCs w:val="20"/>
                <w:color w:val="auto"/>
              </w:rPr>
            </w:pPr>
            <w:r>
              <w:rPr>
                <w:rFonts w:ascii="Arial" w:cs="Arial" w:eastAsia="Arial" w:hAnsi="Arial"/>
                <w:sz w:val="18"/>
                <w:szCs w:val="18"/>
                <w:color w:val="auto"/>
              </w:rPr>
              <w:t>Theatrical</w:t>
            </w:r>
          </w:p>
        </w:tc>
        <w:tc>
          <w:tcPr>
            <w:tcW w:w="1140" w:type="dxa"/>
            <w:vAlign w:val="bottom"/>
            <w:gridSpan w:val="2"/>
          </w:tcPr>
          <w:p>
            <w:pPr>
              <w:jc w:val="right"/>
              <w:ind w:right="238"/>
              <w:spacing w:after="0"/>
              <w:rPr>
                <w:sz w:val="20"/>
                <w:szCs w:val="20"/>
                <w:color w:val="auto"/>
              </w:rPr>
            </w:pPr>
            <w:r>
              <w:rPr>
                <w:rFonts w:ascii="Arial" w:cs="Arial" w:eastAsia="Arial" w:hAnsi="Arial"/>
                <w:sz w:val="18"/>
                <w:szCs w:val="18"/>
                <w:color w:val="auto"/>
              </w:rPr>
              <w:t>$ 2,663</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20" w:type="dxa"/>
            <w:vAlign w:val="bottom"/>
          </w:tcPr>
          <w:p>
            <w:pPr>
              <w:jc w:val="right"/>
              <w:ind w:right="253"/>
              <w:spacing w:after="0"/>
              <w:rPr>
                <w:sz w:val="20"/>
                <w:szCs w:val="20"/>
                <w:color w:val="auto"/>
              </w:rPr>
            </w:pPr>
            <w:r>
              <w:rPr>
                <w:rFonts w:ascii="Arial" w:cs="Arial" w:eastAsia="Arial" w:hAnsi="Arial"/>
                <w:sz w:val="18"/>
                <w:szCs w:val="18"/>
                <w:color w:val="auto"/>
                <w:w w:val="86"/>
              </w:rPr>
              <w:t>836</w:t>
            </w:r>
          </w:p>
        </w:tc>
        <w:tc>
          <w:tcPr>
            <w:tcW w:w="900" w:type="dxa"/>
            <w:vAlign w:val="bottom"/>
          </w:tcPr>
          <w:p>
            <w:pPr>
              <w:jc w:val="right"/>
              <w:ind w:right="137"/>
              <w:spacing w:after="0"/>
              <w:rPr>
                <w:sz w:val="20"/>
                <w:szCs w:val="20"/>
                <w:color w:val="auto"/>
              </w:rPr>
            </w:pPr>
            <w:r>
              <w:rPr>
                <w:rFonts w:ascii="Arial" w:cs="Arial" w:eastAsia="Arial" w:hAnsi="Arial"/>
                <w:sz w:val="18"/>
                <w:szCs w:val="18"/>
                <w:color w:val="auto"/>
              </w:rPr>
              <w:t>$1,827</w:t>
            </w:r>
          </w:p>
        </w:tc>
        <w:tc>
          <w:tcPr>
            <w:tcW w:w="780" w:type="dxa"/>
            <w:vAlign w:val="bottom"/>
          </w:tcPr>
          <w:p>
            <w:pPr>
              <w:jc w:val="right"/>
              <w:spacing w:after="0"/>
              <w:rPr>
                <w:sz w:val="20"/>
                <w:szCs w:val="20"/>
                <w:color w:val="auto"/>
              </w:rPr>
            </w:pPr>
            <w:r>
              <w:rPr>
                <w:rFonts w:ascii="Arial" w:cs="Arial" w:eastAsia="Arial" w:hAnsi="Arial"/>
                <w:sz w:val="18"/>
                <w:szCs w:val="18"/>
                <w:color w:val="auto"/>
              </w:rPr>
              <w:t>218.7%</w:t>
            </w:r>
          </w:p>
        </w:tc>
        <w:tc>
          <w:tcPr>
            <w:tcW w:w="0" w:type="dxa"/>
            <w:vAlign w:val="bottom"/>
          </w:tcPr>
          <w:p>
            <w:pPr>
              <w:spacing w:after="0"/>
              <w:rPr>
                <w:sz w:val="1"/>
                <w:szCs w:val="1"/>
                <w:color w:val="auto"/>
              </w:rPr>
            </w:pPr>
          </w:p>
        </w:tc>
      </w:tr>
      <w:tr>
        <w:trPr>
          <w:trHeight w:val="216"/>
        </w:trPr>
        <w:tc>
          <w:tcPr>
            <w:tcW w:w="7540" w:type="dxa"/>
            <w:vAlign w:val="bottom"/>
            <w:gridSpan w:val="2"/>
            <w:shd w:val="clear" w:color="auto" w:fill="E5E5E5"/>
          </w:tcPr>
          <w:p>
            <w:pPr>
              <w:ind w:left="440"/>
              <w:spacing w:after="0"/>
              <w:rPr>
                <w:sz w:val="20"/>
                <w:szCs w:val="20"/>
                <w:color w:val="auto"/>
              </w:rPr>
            </w:pPr>
            <w:r>
              <w:rPr>
                <w:rFonts w:ascii="Arial" w:cs="Arial" w:eastAsia="Arial" w:hAnsi="Arial"/>
                <w:sz w:val="18"/>
                <w:szCs w:val="18"/>
                <w:color w:val="auto"/>
              </w:rPr>
              <w:t>Content licensing</w:t>
            </w:r>
          </w:p>
        </w:tc>
        <w:tc>
          <w:tcPr>
            <w:tcW w:w="1140" w:type="dxa"/>
            <w:vAlign w:val="bottom"/>
            <w:gridSpan w:val="2"/>
            <w:shd w:val="clear" w:color="auto" w:fill="E5E5E5"/>
          </w:tcPr>
          <w:p>
            <w:pPr>
              <w:jc w:val="right"/>
              <w:ind w:right="238"/>
              <w:spacing w:after="0"/>
              <w:rPr>
                <w:sz w:val="20"/>
                <w:szCs w:val="20"/>
                <w:color w:val="auto"/>
              </w:rPr>
            </w:pPr>
            <w:r>
              <w:rPr>
                <w:rFonts w:ascii="Arial" w:cs="Arial" w:eastAsia="Arial" w:hAnsi="Arial"/>
                <w:sz w:val="18"/>
                <w:szCs w:val="18"/>
                <w:color w:val="auto"/>
              </w:rPr>
              <w:t>1,401</w:t>
            </w:r>
          </w:p>
        </w:tc>
        <w:tc>
          <w:tcPr>
            <w:tcW w:w="320" w:type="dxa"/>
            <w:vAlign w:val="bottom"/>
            <w:shd w:val="clear" w:color="auto" w:fill="E5E5E5"/>
          </w:tcPr>
          <w:p>
            <w:pPr>
              <w:spacing w:after="0"/>
              <w:rPr>
                <w:sz w:val="18"/>
                <w:szCs w:val="18"/>
                <w:color w:val="auto"/>
              </w:rPr>
            </w:pPr>
          </w:p>
        </w:tc>
        <w:tc>
          <w:tcPr>
            <w:tcW w:w="740" w:type="dxa"/>
            <w:vAlign w:val="bottom"/>
            <w:gridSpan w:val="2"/>
            <w:shd w:val="clear" w:color="auto" w:fill="E5E5E5"/>
          </w:tcPr>
          <w:p>
            <w:pPr>
              <w:jc w:val="right"/>
              <w:ind w:right="253"/>
              <w:spacing w:after="0"/>
              <w:rPr>
                <w:sz w:val="20"/>
                <w:szCs w:val="20"/>
                <w:color w:val="auto"/>
              </w:rPr>
            </w:pPr>
            <w:r>
              <w:rPr>
                <w:rFonts w:ascii="Arial" w:cs="Arial" w:eastAsia="Arial" w:hAnsi="Arial"/>
                <w:sz w:val="18"/>
                <w:szCs w:val="18"/>
                <w:color w:val="auto"/>
                <w:w w:val="84"/>
              </w:rPr>
              <w:t>1,366</w:t>
            </w:r>
          </w:p>
        </w:tc>
        <w:tc>
          <w:tcPr>
            <w:tcW w:w="900" w:type="dxa"/>
            <w:vAlign w:val="bottom"/>
            <w:shd w:val="clear" w:color="auto" w:fill="E5E5E5"/>
          </w:tcPr>
          <w:p>
            <w:pPr>
              <w:jc w:val="right"/>
              <w:ind w:right="137"/>
              <w:spacing w:after="0"/>
              <w:rPr>
                <w:sz w:val="20"/>
                <w:szCs w:val="20"/>
                <w:color w:val="auto"/>
              </w:rPr>
            </w:pPr>
            <w:r>
              <w:rPr>
                <w:rFonts w:ascii="Arial" w:cs="Arial" w:eastAsia="Arial" w:hAnsi="Arial"/>
                <w:sz w:val="18"/>
                <w:szCs w:val="18"/>
                <w:color w:val="auto"/>
              </w:rPr>
              <w:t>35</w:t>
            </w:r>
          </w:p>
        </w:tc>
        <w:tc>
          <w:tcPr>
            <w:tcW w:w="78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7540" w:type="dxa"/>
            <w:vAlign w:val="bottom"/>
            <w:gridSpan w:val="2"/>
          </w:tcPr>
          <w:p>
            <w:pPr>
              <w:ind w:left="440"/>
              <w:spacing w:after="0"/>
              <w:rPr>
                <w:sz w:val="20"/>
                <w:szCs w:val="20"/>
                <w:color w:val="auto"/>
              </w:rPr>
            </w:pPr>
            <w:r>
              <w:rPr>
                <w:rFonts w:ascii="Arial" w:cs="Arial" w:eastAsia="Arial" w:hAnsi="Arial"/>
                <w:sz w:val="18"/>
                <w:szCs w:val="18"/>
                <w:color w:val="auto"/>
              </w:rPr>
              <w:t>Home entertainment</w:t>
            </w:r>
          </w:p>
        </w:tc>
        <w:tc>
          <w:tcPr>
            <w:tcW w:w="1140" w:type="dxa"/>
            <w:vAlign w:val="bottom"/>
            <w:gridSpan w:val="2"/>
          </w:tcPr>
          <w:p>
            <w:pPr>
              <w:jc w:val="right"/>
              <w:ind w:right="238"/>
              <w:spacing w:after="0"/>
              <w:rPr>
                <w:sz w:val="20"/>
                <w:szCs w:val="20"/>
                <w:color w:val="auto"/>
              </w:rPr>
            </w:pPr>
            <w:r>
              <w:rPr>
                <w:rFonts w:ascii="Arial" w:cs="Arial" w:eastAsia="Arial" w:hAnsi="Arial"/>
                <w:sz w:val="18"/>
                <w:szCs w:val="18"/>
                <w:color w:val="auto"/>
              </w:rPr>
              <w:t>1,065</w:t>
            </w:r>
          </w:p>
        </w:tc>
        <w:tc>
          <w:tcPr>
            <w:tcW w:w="320" w:type="dxa"/>
            <w:vAlign w:val="bottom"/>
          </w:tcPr>
          <w:p>
            <w:pPr>
              <w:spacing w:after="0"/>
              <w:rPr>
                <w:sz w:val="18"/>
                <w:szCs w:val="18"/>
                <w:color w:val="auto"/>
              </w:rPr>
            </w:pPr>
          </w:p>
        </w:tc>
        <w:tc>
          <w:tcPr>
            <w:tcW w:w="740" w:type="dxa"/>
            <w:vAlign w:val="bottom"/>
            <w:gridSpan w:val="2"/>
          </w:tcPr>
          <w:p>
            <w:pPr>
              <w:jc w:val="right"/>
              <w:ind w:right="253"/>
              <w:spacing w:after="0"/>
              <w:rPr>
                <w:sz w:val="20"/>
                <w:szCs w:val="20"/>
                <w:color w:val="auto"/>
              </w:rPr>
            </w:pPr>
            <w:r>
              <w:rPr>
                <w:rFonts w:ascii="Arial" w:cs="Arial" w:eastAsia="Arial" w:hAnsi="Arial"/>
                <w:sz w:val="18"/>
                <w:szCs w:val="18"/>
                <w:color w:val="auto"/>
                <w:w w:val="84"/>
              </w:rPr>
              <w:t>1,036</w:t>
            </w:r>
          </w:p>
        </w:tc>
        <w:tc>
          <w:tcPr>
            <w:tcW w:w="900" w:type="dxa"/>
            <w:vAlign w:val="bottom"/>
          </w:tcPr>
          <w:p>
            <w:pPr>
              <w:jc w:val="right"/>
              <w:ind w:right="137"/>
              <w:spacing w:after="0"/>
              <w:rPr>
                <w:sz w:val="20"/>
                <w:szCs w:val="20"/>
                <w:color w:val="auto"/>
              </w:rPr>
            </w:pPr>
            <w:r>
              <w:rPr>
                <w:rFonts w:ascii="Arial" w:cs="Arial" w:eastAsia="Arial" w:hAnsi="Arial"/>
                <w:sz w:val="18"/>
                <w:szCs w:val="18"/>
                <w:color w:val="auto"/>
              </w:rPr>
              <w:t>29</w:t>
            </w:r>
          </w:p>
        </w:tc>
        <w:tc>
          <w:tcPr>
            <w:tcW w:w="780" w:type="dxa"/>
            <w:vAlign w:val="bottom"/>
          </w:tcPr>
          <w:p>
            <w:pPr>
              <w:jc w:val="right"/>
              <w:ind w:right="134"/>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7540" w:type="dxa"/>
            <w:vAlign w:val="bottom"/>
            <w:tcBorders>
              <w:bottom w:val="single" w:sz="8" w:color="auto"/>
            </w:tcBorders>
            <w:gridSpan w:val="2"/>
            <w:shd w:val="clear" w:color="auto" w:fill="E5E5E5"/>
          </w:tcPr>
          <w:p>
            <w:pPr>
              <w:ind w:left="440"/>
              <w:spacing w:after="0"/>
              <w:rPr>
                <w:sz w:val="20"/>
                <w:szCs w:val="20"/>
                <w:color w:val="auto"/>
              </w:rPr>
            </w:pPr>
            <w:r>
              <w:rPr>
                <w:rFonts w:ascii="Arial" w:cs="Arial" w:eastAsia="Arial" w:hAnsi="Arial"/>
                <w:sz w:val="18"/>
                <w:szCs w:val="18"/>
                <w:color w:val="auto"/>
              </w:rPr>
              <w:t>Other</w:t>
            </w:r>
          </w:p>
        </w:tc>
        <w:tc>
          <w:tcPr>
            <w:tcW w:w="52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238"/>
              <w:spacing w:after="0"/>
              <w:rPr>
                <w:sz w:val="20"/>
                <w:szCs w:val="20"/>
                <w:color w:val="auto"/>
              </w:rPr>
            </w:pPr>
            <w:r>
              <w:rPr>
                <w:rFonts w:ascii="Arial" w:cs="Arial" w:eastAsia="Arial" w:hAnsi="Arial"/>
                <w:sz w:val="18"/>
                <w:szCs w:val="18"/>
                <w:color w:val="auto"/>
                <w:w w:val="93"/>
              </w:rPr>
              <w:t>529</w:t>
            </w:r>
          </w:p>
        </w:tc>
        <w:tc>
          <w:tcPr>
            <w:tcW w:w="320" w:type="dxa"/>
            <w:vAlign w:val="bottom"/>
            <w:tcBorders>
              <w:bottom w:val="single" w:sz="8" w:color="auto"/>
            </w:tcBorders>
            <w:shd w:val="clear" w:color="auto" w:fill="E5E5E5"/>
          </w:tcPr>
          <w:p>
            <w:pPr>
              <w:spacing w:after="0"/>
              <w:rPr>
                <w:sz w:val="18"/>
                <w:szCs w:val="18"/>
                <w:color w:val="auto"/>
              </w:rPr>
            </w:pPr>
          </w:p>
        </w:tc>
        <w:tc>
          <w:tcPr>
            <w:tcW w:w="12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253"/>
              <w:spacing w:after="0"/>
              <w:rPr>
                <w:sz w:val="20"/>
                <w:szCs w:val="20"/>
                <w:color w:val="auto"/>
              </w:rPr>
            </w:pPr>
            <w:r>
              <w:rPr>
                <w:rFonts w:ascii="Arial" w:cs="Arial" w:eastAsia="Arial" w:hAnsi="Arial"/>
                <w:sz w:val="18"/>
                <w:szCs w:val="18"/>
                <w:color w:val="auto"/>
                <w:w w:val="86"/>
              </w:rPr>
              <w:t>475</w:t>
            </w:r>
          </w:p>
        </w:tc>
        <w:tc>
          <w:tcPr>
            <w:tcW w:w="900" w:type="dxa"/>
            <w:vAlign w:val="bottom"/>
            <w:tcBorders>
              <w:bottom w:val="single" w:sz="8" w:color="auto"/>
            </w:tcBorders>
            <w:shd w:val="clear" w:color="auto" w:fill="E5E5E5"/>
          </w:tcPr>
          <w:p>
            <w:pPr>
              <w:jc w:val="right"/>
              <w:ind w:right="137"/>
              <w:spacing w:after="0"/>
              <w:rPr>
                <w:sz w:val="20"/>
                <w:szCs w:val="20"/>
                <w:color w:val="auto"/>
              </w:rPr>
            </w:pPr>
            <w:r>
              <w:rPr>
                <w:rFonts w:ascii="Arial" w:cs="Arial" w:eastAsia="Arial" w:hAnsi="Arial"/>
                <w:sz w:val="18"/>
                <w:szCs w:val="18"/>
                <w:color w:val="auto"/>
              </w:rPr>
              <w:t>54</w:t>
            </w:r>
          </w:p>
        </w:tc>
        <w:tc>
          <w:tcPr>
            <w:tcW w:w="780" w:type="dxa"/>
            <w:vAlign w:val="bottom"/>
            <w:tcBorders>
              <w:bottom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0"/>
        </w:trPr>
        <w:tc>
          <w:tcPr>
            <w:tcW w:w="7540" w:type="dxa"/>
            <w:vAlign w:val="bottom"/>
            <w:gridSpan w:val="2"/>
          </w:tcPr>
          <w:p>
            <w:pPr>
              <w:spacing w:after="0"/>
              <w:rPr>
                <w:sz w:val="20"/>
                <w:szCs w:val="20"/>
                <w:color w:val="auto"/>
              </w:rPr>
            </w:pPr>
            <w:r>
              <w:rPr>
                <w:rFonts w:ascii="Arial" w:cs="Arial" w:eastAsia="Arial" w:hAnsi="Arial"/>
                <w:sz w:val="18"/>
                <w:szCs w:val="18"/>
                <w:b w:val="1"/>
                <w:bCs w:val="1"/>
                <w:color w:val="auto"/>
              </w:rPr>
              <w:t>Total revenue</w:t>
            </w:r>
          </w:p>
        </w:tc>
        <w:tc>
          <w:tcPr>
            <w:tcW w:w="1140" w:type="dxa"/>
            <w:vAlign w:val="bottom"/>
            <w:gridSpan w:val="2"/>
          </w:tcPr>
          <w:p>
            <w:pPr>
              <w:jc w:val="right"/>
              <w:ind w:right="238"/>
              <w:spacing w:after="0"/>
              <w:rPr>
                <w:sz w:val="20"/>
                <w:szCs w:val="20"/>
                <w:color w:val="auto"/>
              </w:rPr>
            </w:pPr>
            <w:r>
              <w:rPr>
                <w:rFonts w:ascii="Arial" w:cs="Arial" w:eastAsia="Arial" w:hAnsi="Arial"/>
                <w:sz w:val="18"/>
                <w:szCs w:val="18"/>
                <w:b w:val="1"/>
                <w:bCs w:val="1"/>
                <w:color w:val="auto"/>
              </w:rPr>
              <w:t>5,658</w:t>
            </w:r>
          </w:p>
        </w:tc>
        <w:tc>
          <w:tcPr>
            <w:tcW w:w="320" w:type="dxa"/>
            <w:vAlign w:val="bottom"/>
          </w:tcPr>
          <w:p>
            <w:pPr>
              <w:spacing w:after="0"/>
              <w:rPr>
                <w:sz w:val="18"/>
                <w:szCs w:val="18"/>
                <w:color w:val="auto"/>
              </w:rPr>
            </w:pPr>
          </w:p>
        </w:tc>
        <w:tc>
          <w:tcPr>
            <w:tcW w:w="740" w:type="dxa"/>
            <w:vAlign w:val="bottom"/>
            <w:gridSpan w:val="2"/>
          </w:tcPr>
          <w:p>
            <w:pPr>
              <w:jc w:val="right"/>
              <w:ind w:right="253"/>
              <w:spacing w:after="0"/>
              <w:rPr>
                <w:sz w:val="20"/>
                <w:szCs w:val="20"/>
                <w:color w:val="auto"/>
              </w:rPr>
            </w:pPr>
            <w:r>
              <w:rPr>
                <w:rFonts w:ascii="Arial" w:cs="Arial" w:eastAsia="Arial" w:hAnsi="Arial"/>
                <w:sz w:val="18"/>
                <w:szCs w:val="18"/>
                <w:b w:val="1"/>
                <w:bCs w:val="1"/>
                <w:color w:val="auto"/>
                <w:w w:val="84"/>
              </w:rPr>
              <w:t>3,713</w:t>
            </w:r>
          </w:p>
        </w:tc>
        <w:tc>
          <w:tcPr>
            <w:tcW w:w="900" w:type="dxa"/>
            <w:vAlign w:val="bottom"/>
          </w:tcPr>
          <w:p>
            <w:pPr>
              <w:jc w:val="right"/>
              <w:ind w:right="137"/>
              <w:spacing w:after="0"/>
              <w:rPr>
                <w:sz w:val="20"/>
                <w:szCs w:val="20"/>
                <w:color w:val="auto"/>
              </w:rPr>
            </w:pPr>
            <w:r>
              <w:rPr>
                <w:rFonts w:ascii="Arial" w:cs="Arial" w:eastAsia="Arial" w:hAnsi="Arial"/>
                <w:sz w:val="18"/>
                <w:szCs w:val="18"/>
                <w:b w:val="1"/>
                <w:bCs w:val="1"/>
                <w:color w:val="auto"/>
              </w:rPr>
              <w:t>1,945</w:t>
            </w:r>
          </w:p>
        </w:tc>
        <w:tc>
          <w:tcPr>
            <w:tcW w:w="780" w:type="dxa"/>
            <w:vAlign w:val="bottom"/>
          </w:tcPr>
          <w:p>
            <w:pPr>
              <w:jc w:val="right"/>
              <w:ind w:right="134"/>
              <w:spacing w:after="0"/>
              <w:rPr>
                <w:sz w:val="20"/>
                <w:szCs w:val="20"/>
                <w:color w:val="auto"/>
              </w:rPr>
            </w:pPr>
            <w:r>
              <w:rPr>
                <w:rFonts w:ascii="Arial" w:cs="Arial" w:eastAsia="Arial" w:hAnsi="Arial"/>
                <w:sz w:val="18"/>
                <w:szCs w:val="18"/>
                <w:b w:val="1"/>
                <w:bCs w:val="1"/>
                <w:color w:val="auto"/>
              </w:rPr>
              <w:t>52.4</w:t>
            </w:r>
          </w:p>
        </w:tc>
        <w:tc>
          <w:tcPr>
            <w:tcW w:w="0" w:type="dxa"/>
            <w:vAlign w:val="bottom"/>
          </w:tcPr>
          <w:p>
            <w:pPr>
              <w:spacing w:after="0"/>
              <w:rPr>
                <w:sz w:val="1"/>
                <w:szCs w:val="1"/>
                <w:color w:val="auto"/>
              </w:rPr>
            </w:pPr>
          </w:p>
        </w:tc>
      </w:tr>
      <w:tr>
        <w:trPr>
          <w:trHeight w:val="216"/>
        </w:trPr>
        <w:tc>
          <w:tcPr>
            <w:tcW w:w="7540" w:type="dxa"/>
            <w:vAlign w:val="bottom"/>
            <w:gridSpan w:val="2"/>
            <w:shd w:val="clear" w:color="auto" w:fill="E5E5E5"/>
          </w:tcPr>
          <w:p>
            <w:pPr>
              <w:spacing w:after="0"/>
              <w:rPr>
                <w:sz w:val="20"/>
                <w:szCs w:val="20"/>
                <w:color w:val="auto"/>
              </w:rPr>
            </w:pPr>
            <w:r>
              <w:rPr>
                <w:rFonts w:ascii="Arial" w:cs="Arial" w:eastAsia="Arial" w:hAnsi="Arial"/>
                <w:sz w:val="18"/>
                <w:szCs w:val="18"/>
                <w:b w:val="1"/>
                <w:bCs w:val="1"/>
                <w:color w:val="auto"/>
              </w:rPr>
              <w:t>Operating costs and expenses</w:t>
            </w:r>
          </w:p>
        </w:tc>
        <w:tc>
          <w:tcPr>
            <w:tcW w:w="52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90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gridSpan w:val="2"/>
          </w:tcPr>
          <w:p>
            <w:pPr>
              <w:ind w:left="440"/>
              <w:spacing w:after="0"/>
              <w:rPr>
                <w:sz w:val="20"/>
                <w:szCs w:val="20"/>
                <w:color w:val="auto"/>
              </w:rPr>
            </w:pPr>
            <w:r>
              <w:rPr>
                <w:rFonts w:ascii="Arial" w:cs="Arial" w:eastAsia="Arial" w:hAnsi="Arial"/>
                <w:sz w:val="18"/>
                <w:szCs w:val="18"/>
                <w:color w:val="auto"/>
              </w:rPr>
              <w:t>Programming and production</w:t>
            </w:r>
          </w:p>
        </w:tc>
        <w:tc>
          <w:tcPr>
            <w:tcW w:w="1140" w:type="dxa"/>
            <w:vAlign w:val="bottom"/>
            <w:gridSpan w:val="2"/>
          </w:tcPr>
          <w:p>
            <w:pPr>
              <w:jc w:val="right"/>
              <w:ind w:right="238"/>
              <w:spacing w:after="0"/>
              <w:rPr>
                <w:sz w:val="20"/>
                <w:szCs w:val="20"/>
                <w:color w:val="auto"/>
              </w:rPr>
            </w:pPr>
            <w:r>
              <w:rPr>
                <w:rFonts w:ascii="Arial" w:cs="Arial" w:eastAsia="Arial" w:hAnsi="Arial"/>
                <w:sz w:val="18"/>
                <w:szCs w:val="18"/>
                <w:color w:val="auto"/>
              </w:rPr>
              <w:t>2,671</w:t>
            </w:r>
          </w:p>
        </w:tc>
        <w:tc>
          <w:tcPr>
            <w:tcW w:w="320" w:type="dxa"/>
            <w:vAlign w:val="bottom"/>
          </w:tcPr>
          <w:p>
            <w:pPr>
              <w:spacing w:after="0"/>
              <w:rPr>
                <w:sz w:val="18"/>
                <w:szCs w:val="18"/>
                <w:color w:val="auto"/>
              </w:rPr>
            </w:pPr>
          </w:p>
        </w:tc>
        <w:tc>
          <w:tcPr>
            <w:tcW w:w="740" w:type="dxa"/>
            <w:vAlign w:val="bottom"/>
            <w:gridSpan w:val="2"/>
          </w:tcPr>
          <w:p>
            <w:pPr>
              <w:jc w:val="right"/>
              <w:ind w:right="253"/>
              <w:spacing w:after="0"/>
              <w:rPr>
                <w:sz w:val="20"/>
                <w:szCs w:val="20"/>
                <w:color w:val="auto"/>
              </w:rPr>
            </w:pPr>
            <w:r>
              <w:rPr>
                <w:rFonts w:ascii="Arial" w:cs="Arial" w:eastAsia="Arial" w:hAnsi="Arial"/>
                <w:sz w:val="18"/>
                <w:szCs w:val="18"/>
                <w:color w:val="auto"/>
                <w:w w:val="84"/>
              </w:rPr>
              <w:t>1,692</w:t>
            </w:r>
          </w:p>
        </w:tc>
        <w:tc>
          <w:tcPr>
            <w:tcW w:w="900" w:type="dxa"/>
            <w:vAlign w:val="bottom"/>
          </w:tcPr>
          <w:p>
            <w:pPr>
              <w:jc w:val="right"/>
              <w:ind w:right="137"/>
              <w:spacing w:after="0"/>
              <w:rPr>
                <w:sz w:val="20"/>
                <w:szCs w:val="20"/>
                <w:color w:val="auto"/>
              </w:rPr>
            </w:pPr>
            <w:r>
              <w:rPr>
                <w:rFonts w:ascii="Arial" w:cs="Arial" w:eastAsia="Arial" w:hAnsi="Arial"/>
                <w:sz w:val="18"/>
                <w:szCs w:val="18"/>
                <w:color w:val="auto"/>
              </w:rPr>
              <w:t>979</w:t>
            </w:r>
          </w:p>
        </w:tc>
        <w:tc>
          <w:tcPr>
            <w:tcW w:w="780" w:type="dxa"/>
            <w:vAlign w:val="bottom"/>
          </w:tcPr>
          <w:p>
            <w:pPr>
              <w:jc w:val="right"/>
              <w:ind w:right="134"/>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16"/>
        </w:trPr>
        <w:tc>
          <w:tcPr>
            <w:tcW w:w="7540" w:type="dxa"/>
            <w:vAlign w:val="bottom"/>
            <w:gridSpan w:val="2"/>
            <w:shd w:val="clear" w:color="auto" w:fill="E5E5E5"/>
          </w:tcPr>
          <w:p>
            <w:pPr>
              <w:ind w:left="440"/>
              <w:spacing w:after="0"/>
              <w:rPr>
                <w:sz w:val="20"/>
                <w:szCs w:val="20"/>
                <w:color w:val="auto"/>
              </w:rPr>
            </w:pPr>
            <w:r>
              <w:rPr>
                <w:rFonts w:ascii="Arial" w:cs="Arial" w:eastAsia="Arial" w:hAnsi="Arial"/>
                <w:sz w:val="18"/>
                <w:szCs w:val="18"/>
                <w:color w:val="auto"/>
              </w:rPr>
              <w:t>Other operating and administrative</w:t>
            </w:r>
          </w:p>
        </w:tc>
        <w:tc>
          <w:tcPr>
            <w:tcW w:w="5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238"/>
              <w:spacing w:after="0"/>
              <w:rPr>
                <w:sz w:val="20"/>
                <w:szCs w:val="20"/>
                <w:color w:val="auto"/>
              </w:rPr>
            </w:pPr>
            <w:r>
              <w:rPr>
                <w:rFonts w:ascii="Arial" w:cs="Arial" w:eastAsia="Arial" w:hAnsi="Arial"/>
                <w:sz w:val="18"/>
                <w:szCs w:val="18"/>
                <w:color w:val="auto"/>
                <w:w w:val="93"/>
              </w:rPr>
              <w:t>631</w:t>
            </w:r>
          </w:p>
        </w:tc>
        <w:tc>
          <w:tcPr>
            <w:tcW w:w="32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253"/>
              <w:spacing w:after="0"/>
              <w:rPr>
                <w:sz w:val="20"/>
                <w:szCs w:val="20"/>
                <w:color w:val="auto"/>
              </w:rPr>
            </w:pPr>
            <w:r>
              <w:rPr>
                <w:rFonts w:ascii="Arial" w:cs="Arial" w:eastAsia="Arial" w:hAnsi="Arial"/>
                <w:sz w:val="18"/>
                <w:szCs w:val="18"/>
                <w:color w:val="auto"/>
                <w:w w:val="86"/>
              </w:rPr>
              <w:t>620</w:t>
            </w:r>
          </w:p>
        </w:tc>
        <w:tc>
          <w:tcPr>
            <w:tcW w:w="900" w:type="dxa"/>
            <w:vAlign w:val="bottom"/>
            <w:shd w:val="clear" w:color="auto" w:fill="E5E5E5"/>
          </w:tcPr>
          <w:p>
            <w:pPr>
              <w:jc w:val="right"/>
              <w:ind w:right="137"/>
              <w:spacing w:after="0"/>
              <w:rPr>
                <w:sz w:val="20"/>
                <w:szCs w:val="20"/>
                <w:color w:val="auto"/>
              </w:rPr>
            </w:pPr>
            <w:r>
              <w:rPr>
                <w:rFonts w:ascii="Arial" w:cs="Arial" w:eastAsia="Arial" w:hAnsi="Arial"/>
                <w:sz w:val="18"/>
                <w:szCs w:val="18"/>
                <w:color w:val="auto"/>
              </w:rPr>
              <w:t>11</w:t>
            </w:r>
          </w:p>
        </w:tc>
        <w:tc>
          <w:tcPr>
            <w:tcW w:w="78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7540" w:type="dxa"/>
            <w:vAlign w:val="bottom"/>
            <w:tcBorders>
              <w:bottom w:val="single" w:sz="8" w:color="auto"/>
            </w:tcBorders>
            <w:gridSpan w:val="2"/>
          </w:tcPr>
          <w:p>
            <w:pPr>
              <w:ind w:left="440"/>
              <w:spacing w:after="0"/>
              <w:rPr>
                <w:sz w:val="20"/>
                <w:szCs w:val="20"/>
                <w:color w:val="auto"/>
              </w:rPr>
            </w:pPr>
            <w:r>
              <w:rPr>
                <w:rFonts w:ascii="Arial" w:cs="Arial" w:eastAsia="Arial" w:hAnsi="Arial"/>
                <w:sz w:val="18"/>
                <w:szCs w:val="18"/>
                <w:color w:val="auto"/>
              </w:rPr>
              <w:t>Advertising, marketing and promotion</w:t>
            </w:r>
          </w:p>
        </w:tc>
        <w:tc>
          <w:tcPr>
            <w:tcW w:w="1140" w:type="dxa"/>
            <w:vAlign w:val="bottom"/>
            <w:tcBorders>
              <w:bottom w:val="single" w:sz="8" w:color="auto"/>
            </w:tcBorders>
            <w:gridSpan w:val="2"/>
          </w:tcPr>
          <w:p>
            <w:pPr>
              <w:jc w:val="right"/>
              <w:ind w:right="238"/>
              <w:spacing w:after="0"/>
              <w:rPr>
                <w:sz w:val="20"/>
                <w:szCs w:val="20"/>
                <w:color w:val="auto"/>
              </w:rPr>
            </w:pPr>
            <w:r>
              <w:rPr>
                <w:rFonts w:ascii="Arial" w:cs="Arial" w:eastAsia="Arial" w:hAnsi="Arial"/>
                <w:sz w:val="18"/>
                <w:szCs w:val="18"/>
                <w:color w:val="auto"/>
              </w:rPr>
              <w:t>1,265</w:t>
            </w:r>
          </w:p>
        </w:tc>
        <w:tc>
          <w:tcPr>
            <w:tcW w:w="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253"/>
              <w:spacing w:after="0"/>
              <w:rPr>
                <w:sz w:val="20"/>
                <w:szCs w:val="20"/>
                <w:color w:val="auto"/>
              </w:rPr>
            </w:pPr>
            <w:r>
              <w:rPr>
                <w:rFonts w:ascii="Arial" w:cs="Arial" w:eastAsia="Arial" w:hAnsi="Arial"/>
                <w:sz w:val="18"/>
                <w:szCs w:val="18"/>
                <w:color w:val="auto"/>
                <w:w w:val="86"/>
              </w:rPr>
              <w:t>767</w:t>
            </w:r>
          </w:p>
        </w:tc>
        <w:tc>
          <w:tcPr>
            <w:tcW w:w="90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rPr>
              <w:t>498</w:t>
            </w:r>
          </w:p>
        </w:tc>
        <w:tc>
          <w:tcPr>
            <w:tcW w:w="78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10"/>
        </w:trPr>
        <w:tc>
          <w:tcPr>
            <w:tcW w:w="7540" w:type="dxa"/>
            <w:vAlign w:val="bottom"/>
            <w:tcBorders>
              <w:bottom w:val="single" w:sz="8" w:color="auto"/>
            </w:tcBorders>
            <w:gridSpan w:val="2"/>
            <w:shd w:val="clear" w:color="auto" w:fill="E5E5E5"/>
          </w:tcPr>
          <w:p>
            <w:pPr>
              <w:spacing w:after="0"/>
              <w:rPr>
                <w:sz w:val="20"/>
                <w:szCs w:val="20"/>
                <w:color w:val="auto"/>
              </w:rPr>
            </w:pPr>
            <w:r>
              <w:rPr>
                <w:rFonts w:ascii="Arial" w:cs="Arial" w:eastAsia="Arial" w:hAnsi="Arial"/>
                <w:sz w:val="18"/>
                <w:szCs w:val="18"/>
                <w:color w:val="auto"/>
              </w:rPr>
              <w:t>Total operating costs and expenses</w:t>
            </w:r>
          </w:p>
        </w:tc>
        <w:tc>
          <w:tcPr>
            <w:tcW w:w="1140" w:type="dxa"/>
            <w:vAlign w:val="bottom"/>
            <w:tcBorders>
              <w:bottom w:val="single" w:sz="8" w:color="auto"/>
            </w:tcBorders>
            <w:gridSpan w:val="2"/>
            <w:shd w:val="clear" w:color="auto" w:fill="E5E5E5"/>
          </w:tcPr>
          <w:p>
            <w:pPr>
              <w:jc w:val="right"/>
              <w:ind w:right="238"/>
              <w:spacing w:after="0"/>
              <w:rPr>
                <w:sz w:val="20"/>
                <w:szCs w:val="20"/>
                <w:color w:val="auto"/>
              </w:rPr>
            </w:pPr>
            <w:r>
              <w:rPr>
                <w:rFonts w:ascii="Arial" w:cs="Arial" w:eastAsia="Arial" w:hAnsi="Arial"/>
                <w:sz w:val="18"/>
                <w:szCs w:val="18"/>
                <w:color w:val="auto"/>
              </w:rPr>
              <w:t>4,567</w:t>
            </w:r>
          </w:p>
        </w:tc>
        <w:tc>
          <w:tcPr>
            <w:tcW w:w="32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gridSpan w:val="2"/>
            <w:shd w:val="clear" w:color="auto" w:fill="E5E5E5"/>
          </w:tcPr>
          <w:p>
            <w:pPr>
              <w:jc w:val="right"/>
              <w:ind w:right="253"/>
              <w:spacing w:after="0"/>
              <w:rPr>
                <w:sz w:val="20"/>
                <w:szCs w:val="20"/>
                <w:color w:val="auto"/>
              </w:rPr>
            </w:pPr>
            <w:r>
              <w:rPr>
                <w:rFonts w:ascii="Arial" w:cs="Arial" w:eastAsia="Arial" w:hAnsi="Arial"/>
                <w:sz w:val="18"/>
                <w:szCs w:val="18"/>
                <w:color w:val="auto"/>
                <w:w w:val="84"/>
              </w:rPr>
              <w:t>3,079</w:t>
            </w:r>
          </w:p>
        </w:tc>
        <w:tc>
          <w:tcPr>
            <w:tcW w:w="900" w:type="dxa"/>
            <w:vAlign w:val="bottom"/>
            <w:tcBorders>
              <w:bottom w:val="single" w:sz="8" w:color="auto"/>
            </w:tcBorders>
            <w:shd w:val="clear" w:color="auto" w:fill="E5E5E5"/>
          </w:tcPr>
          <w:p>
            <w:pPr>
              <w:jc w:val="right"/>
              <w:ind w:right="137"/>
              <w:spacing w:after="0"/>
              <w:rPr>
                <w:sz w:val="20"/>
                <w:szCs w:val="20"/>
                <w:color w:val="auto"/>
              </w:rPr>
            </w:pPr>
            <w:r>
              <w:rPr>
                <w:rFonts w:ascii="Arial" w:cs="Arial" w:eastAsia="Arial" w:hAnsi="Arial"/>
                <w:sz w:val="18"/>
                <w:szCs w:val="18"/>
                <w:color w:val="auto"/>
              </w:rPr>
              <w:t>1,488</w:t>
            </w:r>
          </w:p>
        </w:tc>
        <w:tc>
          <w:tcPr>
            <w:tcW w:w="780" w:type="dxa"/>
            <w:vAlign w:val="bottom"/>
            <w:tcBorders>
              <w:bottom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30"/>
        </w:trPr>
        <w:tc>
          <w:tcPr>
            <w:tcW w:w="75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1140" w:type="dxa"/>
            <w:vAlign w:val="bottom"/>
            <w:tcBorders>
              <w:bottom w:val="single" w:sz="8" w:color="auto"/>
            </w:tcBorders>
            <w:gridSpan w:val="2"/>
          </w:tcPr>
          <w:p>
            <w:pPr>
              <w:jc w:val="right"/>
              <w:ind w:right="238"/>
              <w:spacing w:after="0"/>
              <w:rPr>
                <w:sz w:val="20"/>
                <w:szCs w:val="20"/>
                <w:color w:val="auto"/>
              </w:rPr>
            </w:pPr>
            <w:r>
              <w:rPr>
                <w:rFonts w:ascii="Arial" w:cs="Arial" w:eastAsia="Arial" w:hAnsi="Arial"/>
                <w:sz w:val="18"/>
                <w:szCs w:val="18"/>
                <w:b w:val="1"/>
                <w:bCs w:val="1"/>
                <w:color w:val="auto"/>
              </w:rPr>
              <w:t>$ 1,091</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253"/>
              <w:spacing w:after="0"/>
              <w:rPr>
                <w:sz w:val="20"/>
                <w:szCs w:val="20"/>
                <w:color w:val="auto"/>
              </w:rPr>
            </w:pPr>
            <w:r>
              <w:rPr>
                <w:rFonts w:ascii="Arial" w:cs="Arial" w:eastAsia="Arial" w:hAnsi="Arial"/>
                <w:sz w:val="18"/>
                <w:szCs w:val="18"/>
                <w:b w:val="1"/>
                <w:bCs w:val="1"/>
                <w:color w:val="auto"/>
                <w:w w:val="86"/>
              </w:rPr>
              <w:t>634</w:t>
            </w:r>
          </w:p>
        </w:tc>
        <w:tc>
          <w:tcPr>
            <w:tcW w:w="90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b w:val="1"/>
                <w:bCs w:val="1"/>
                <w:color w:val="auto"/>
              </w:rPr>
              <w:t>$  457</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72.2%</w:t>
            </w: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 Segment—Revenue</w:t>
      </w:r>
    </w:p>
    <w:p>
      <w:pPr>
        <w:spacing w:after="0" w:line="7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 xml:space="preserve">Filmed Entertainment revenue increased for the three and nine months ended September 30, 2015 compared to the same periods in 2014 primarily due to an increase in theatrical revenue. The increase in theatrical revenue for the three months ended September 30, 2015 was due to the strong performances of </w:t>
      </w:r>
      <w:r>
        <w:rPr>
          <w:rFonts w:ascii="Arial" w:cs="Arial" w:eastAsia="Arial" w:hAnsi="Arial"/>
          <w:sz w:val="16"/>
          <w:szCs w:val="16"/>
          <w:i w:val="1"/>
          <w:iCs w:val="1"/>
          <w:color w:val="auto"/>
        </w:rPr>
        <w:t>Jurassic</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World </w:t>
      </w:r>
      <w:r>
        <w:rPr>
          <w:rFonts w:ascii="Arial" w:cs="Arial" w:eastAsia="Arial" w:hAnsi="Arial"/>
          <w:sz w:val="16"/>
          <w:szCs w:val="16"/>
          <w:color w:val="auto"/>
        </w:rPr>
        <w:t>and</w:t>
      </w:r>
      <w:r>
        <w:rPr>
          <w:rFonts w:ascii="Arial" w:cs="Arial" w:eastAsia="Arial" w:hAnsi="Arial"/>
          <w:sz w:val="16"/>
          <w:szCs w:val="16"/>
          <w:i w:val="1"/>
          <w:iCs w:val="1"/>
          <w:color w:val="auto"/>
        </w:rPr>
        <w:t xml:space="preserve"> Minions </w:t>
      </w:r>
      <w:r>
        <w:rPr>
          <w:rFonts w:ascii="Arial" w:cs="Arial" w:eastAsia="Arial" w:hAnsi="Arial"/>
          <w:sz w:val="16"/>
          <w:szCs w:val="16"/>
          <w:color w:val="auto"/>
        </w:rPr>
        <w:t>in the current year period. The increase in theatrical revenue for the nine months ended September 30, 2015 was due to the strong performance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of our larger film slate, which included </w:t>
      </w:r>
      <w:r>
        <w:rPr>
          <w:rFonts w:ascii="Arial" w:cs="Arial" w:eastAsia="Arial" w:hAnsi="Arial"/>
          <w:sz w:val="16"/>
          <w:szCs w:val="16"/>
          <w:i w:val="1"/>
          <w:iCs w:val="1"/>
          <w:color w:val="auto"/>
        </w:rPr>
        <w:t>Furious 7, Jurassic World</w:t>
      </w:r>
      <w:r>
        <w:rPr>
          <w:rFonts w:ascii="Arial" w:cs="Arial" w:eastAsia="Arial" w:hAnsi="Arial"/>
          <w:sz w:val="16"/>
          <w:szCs w:val="16"/>
          <w:color w:val="auto"/>
        </w:rPr>
        <w:t xml:space="preserve"> and </w:t>
      </w:r>
      <w:r>
        <w:rPr>
          <w:rFonts w:ascii="Arial" w:cs="Arial" w:eastAsia="Arial" w:hAnsi="Arial"/>
          <w:sz w:val="16"/>
          <w:szCs w:val="16"/>
          <w:i w:val="1"/>
          <w:iCs w:val="1"/>
          <w:color w:val="auto"/>
        </w:rPr>
        <w:t>Minions,</w:t>
      </w:r>
      <w:r>
        <w:rPr>
          <w:rFonts w:ascii="Arial" w:cs="Arial" w:eastAsia="Arial" w:hAnsi="Arial"/>
          <w:sz w:val="16"/>
          <w:szCs w:val="16"/>
          <w:color w:val="auto"/>
        </w:rPr>
        <w:t xml:space="preserve"> in the current year period.</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 Segment—Operating Costs and Expenses</w:t>
      </w:r>
    </w:p>
    <w:p>
      <w:pPr>
        <w:spacing w:after="0" w:line="7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Operating costs and expenses increased for the three and nine months ended September 30, 2015 compared to the same periods in 2014 primarily due to increases in programming and production costs as well as advertising, marketing and promotion expenses. The increases in programming and production costs were primarily due to higher amortization of film production costs associated with our larger film slate, which included </w:t>
      </w:r>
      <w:r>
        <w:rPr>
          <w:rFonts w:ascii="Arial" w:cs="Arial" w:eastAsia="Arial" w:hAnsi="Arial"/>
          <w:sz w:val="16"/>
          <w:szCs w:val="16"/>
          <w:i w:val="1"/>
          <w:iCs w:val="1"/>
          <w:color w:val="auto"/>
        </w:rPr>
        <w:t>Furious 7</w:t>
      </w:r>
      <w:r>
        <w:rPr>
          <w:rFonts w:ascii="Arial" w:cs="Arial" w:eastAsia="Arial" w:hAnsi="Arial"/>
          <w:sz w:val="16"/>
          <w:szCs w:val="16"/>
          <w:color w:val="auto"/>
        </w:rPr>
        <w:t xml:space="preserve">, </w:t>
      </w:r>
      <w:r>
        <w:rPr>
          <w:rFonts w:ascii="Arial" w:cs="Arial" w:eastAsia="Arial" w:hAnsi="Arial"/>
          <w:sz w:val="16"/>
          <w:szCs w:val="16"/>
          <w:i w:val="1"/>
          <w:iCs w:val="1"/>
          <w:color w:val="auto"/>
        </w:rPr>
        <w:t>Jurassic World</w:t>
      </w:r>
      <w:r>
        <w:rPr>
          <w:rFonts w:ascii="Arial" w:cs="Arial" w:eastAsia="Arial" w:hAnsi="Arial"/>
          <w:sz w:val="16"/>
          <w:szCs w:val="16"/>
          <w:color w:val="auto"/>
        </w:rPr>
        <w:t xml:space="preserve"> and </w:t>
      </w:r>
      <w:r>
        <w:rPr>
          <w:rFonts w:ascii="Arial" w:cs="Arial" w:eastAsia="Arial" w:hAnsi="Arial"/>
          <w:sz w:val="16"/>
          <w:szCs w:val="16"/>
          <w:i w:val="1"/>
          <w:iCs w:val="1"/>
          <w:color w:val="auto"/>
        </w:rPr>
        <w:t>Minions</w:t>
      </w:r>
      <w:r>
        <w:rPr>
          <w:rFonts w:ascii="Arial" w:cs="Arial" w:eastAsia="Arial" w:hAnsi="Arial"/>
          <w:sz w:val="16"/>
          <w:szCs w:val="16"/>
          <w:color w:val="auto"/>
        </w:rPr>
        <w:t>, compared to the same periods in 2014. The increases in advertising, marketing and promotion expenses were primarily due to higher promotional costs associated with our larger film slate. Operating costs and expenses for both the three and nine months ended September 30, 2015 included $31 million of expenses associated with fair value adjustments to capitalized film production costs. Operating costs and expenses for the three and nine months ended September 30, 2014 included $7 million and $25 million, respectively, of expenses associated with fair value adjustments to capitalized film production costs.</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Theme Parks Segment Results of Operations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40" w:type="dxa"/>
            <w:vAlign w:val="bottom"/>
            <w:gridSpan w:val="4"/>
          </w:tcPr>
          <w:p>
            <w:pPr>
              <w:ind w:left="120"/>
              <w:spacing w:after="0"/>
              <w:rPr>
                <w:sz w:val="20"/>
                <w:szCs w:val="20"/>
                <w:color w:val="auto"/>
              </w:rPr>
            </w:pPr>
            <w:r>
              <w:rPr>
                <w:rFonts w:ascii="Arial" w:cs="Arial" w:eastAsia="Arial" w:hAnsi="Arial"/>
                <w:sz w:val="14"/>
                <w:szCs w:val="14"/>
                <w:color w:val="auto"/>
              </w:rPr>
              <w:t>Three Months Ended</w:t>
            </w:r>
          </w:p>
        </w:tc>
        <w:tc>
          <w:tcPr>
            <w:tcW w:w="1420" w:type="dxa"/>
            <w:vAlign w:val="bottom"/>
            <w:gridSpan w:val="2"/>
          </w:tcPr>
          <w:p>
            <w:pPr>
              <w:ind w:left="440"/>
              <w:spacing w:after="0"/>
              <w:rPr>
                <w:sz w:val="20"/>
                <w:szCs w:val="20"/>
                <w:color w:val="auto"/>
              </w:rPr>
            </w:pPr>
            <w:r>
              <w:rPr>
                <w:rFonts w:ascii="Arial" w:cs="Arial" w:eastAsia="Arial" w:hAnsi="Arial"/>
                <w:sz w:val="14"/>
                <w:szCs w:val="14"/>
                <w:color w:val="auto"/>
              </w:rPr>
              <w:t>Increase/</w:t>
            </w:r>
          </w:p>
        </w:tc>
        <w:tc>
          <w:tcPr>
            <w:tcW w:w="0" w:type="dxa"/>
            <w:vAlign w:val="bottom"/>
          </w:tcPr>
          <w:p>
            <w:pPr>
              <w:spacing w:after="0"/>
              <w:rPr>
                <w:sz w:val="1"/>
                <w:szCs w:val="1"/>
                <w:color w:val="auto"/>
              </w:rPr>
            </w:pPr>
          </w:p>
        </w:tc>
      </w:tr>
      <w:tr>
        <w:trPr>
          <w:trHeight w:val="159"/>
        </w:trPr>
        <w:tc>
          <w:tcPr>
            <w:tcW w:w="764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3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2"/>
          </w:tcPr>
          <w:p>
            <w:pPr>
              <w:ind w:left="320"/>
              <w:spacing w:after="0" w:line="159" w:lineRule="exact"/>
              <w:rPr>
                <w:sz w:val="20"/>
                <w:szCs w:val="20"/>
                <w:color w:val="auto"/>
              </w:rPr>
            </w:pPr>
            <w:r>
              <w:rPr>
                <w:rFonts w:ascii="Arial" w:cs="Arial" w:eastAsia="Arial" w:hAnsi="Arial"/>
                <w:sz w:val="14"/>
                <w:szCs w:val="14"/>
                <w:color w:val="auto"/>
                <w:w w:val="84"/>
              </w:rPr>
              <w:t>September 30</w:t>
            </w: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2"/>
          </w:tcPr>
          <w:p>
            <w:pPr>
              <w:jc w:val="right"/>
              <w:ind w:right="377"/>
              <w:spacing w:after="0" w:line="159" w:lineRule="exact"/>
              <w:rPr>
                <w:sz w:val="20"/>
                <w:szCs w:val="20"/>
                <w:color w:val="auto"/>
              </w:rPr>
            </w:pPr>
            <w:r>
              <w:rPr>
                <w:rFonts w:ascii="Arial" w:cs="Arial" w:eastAsia="Arial" w:hAnsi="Arial"/>
                <w:sz w:val="14"/>
                <w:szCs w:val="14"/>
                <w:color w:val="auto"/>
              </w:rPr>
              <w:t>(Decrease)</w:t>
            </w:r>
          </w:p>
        </w:tc>
        <w:tc>
          <w:tcPr>
            <w:tcW w:w="0" w:type="dxa"/>
            <w:vAlign w:val="bottom"/>
          </w:tcPr>
          <w:p>
            <w:pPr>
              <w:spacing w:after="0"/>
              <w:rPr>
                <w:sz w:val="1"/>
                <w:szCs w:val="1"/>
                <w:color w:val="auto"/>
              </w:rPr>
            </w:pPr>
          </w:p>
        </w:tc>
      </w:tr>
      <w:tr>
        <w:trPr>
          <w:trHeight w:val="142"/>
        </w:trPr>
        <w:tc>
          <w:tcPr>
            <w:tcW w:w="7640" w:type="dxa"/>
            <w:vAlign w:val="bottom"/>
            <w:tcBorders>
              <w:bottom w:val="single" w:sz="8" w:color="auto"/>
            </w:tcBorders>
            <w:vMerge w:val="continue"/>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color w:val="auto"/>
              </w:rPr>
              <w:t>2015</w:t>
            </w:r>
          </w:p>
        </w:tc>
        <w:tc>
          <w:tcPr>
            <w:tcW w:w="2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jc w:val="right"/>
              <w:ind w:right="395"/>
              <w:spacing w:after="0" w:line="142" w:lineRule="exact"/>
              <w:rPr>
                <w:sz w:val="20"/>
                <w:szCs w:val="20"/>
                <w:color w:val="auto"/>
              </w:rPr>
            </w:pPr>
            <w:r>
              <w:rPr>
                <w:rFonts w:ascii="Arial" w:cs="Arial" w:eastAsia="Arial" w:hAnsi="Arial"/>
                <w:sz w:val="14"/>
                <w:szCs w:val="14"/>
                <w:color w:val="auto"/>
                <w:w w:val="83"/>
              </w:rPr>
              <w:t>2014</w:t>
            </w:r>
          </w:p>
        </w:tc>
        <w:tc>
          <w:tcPr>
            <w:tcW w:w="7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ind w:left="200"/>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764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520" w:type="dxa"/>
            <w:vAlign w:val="bottom"/>
            <w:gridSpan w:val="2"/>
            <w:shd w:val="clear" w:color="auto" w:fill="E5E5E5"/>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E5E5E5"/>
          </w:tcPr>
          <w:p>
            <w:pPr>
              <w:ind w:left="180"/>
              <w:spacing w:after="0"/>
              <w:rPr>
                <w:sz w:val="20"/>
                <w:szCs w:val="20"/>
                <w:color w:val="auto"/>
              </w:rPr>
            </w:pPr>
            <w:r>
              <w:rPr>
                <w:rFonts w:ascii="Arial" w:cs="Arial" w:eastAsia="Arial" w:hAnsi="Arial"/>
                <w:sz w:val="18"/>
                <w:szCs w:val="18"/>
                <w:color w:val="auto"/>
              </w:rPr>
              <w:t>896</w:t>
            </w:r>
          </w:p>
        </w:tc>
        <w:tc>
          <w:tcPr>
            <w:tcW w:w="2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255"/>
              <w:spacing w:after="0"/>
              <w:rPr>
                <w:sz w:val="20"/>
                <w:szCs w:val="20"/>
                <w:color w:val="auto"/>
              </w:rPr>
            </w:pPr>
            <w:r>
              <w:rPr>
                <w:rFonts w:ascii="Arial" w:cs="Arial" w:eastAsia="Arial" w:hAnsi="Arial"/>
                <w:sz w:val="18"/>
                <w:szCs w:val="18"/>
                <w:color w:val="auto"/>
                <w:w w:val="86"/>
              </w:rPr>
              <w:t>786</w:t>
            </w:r>
          </w:p>
        </w:tc>
        <w:tc>
          <w:tcPr>
            <w:tcW w:w="760" w:type="dxa"/>
            <w:vAlign w:val="bottom"/>
            <w:shd w:val="clear" w:color="auto" w:fill="E5E5E5"/>
          </w:tcPr>
          <w:p>
            <w:pPr>
              <w:jc w:val="center"/>
              <w:ind w:right="2"/>
              <w:spacing w:after="0"/>
              <w:rPr>
                <w:sz w:val="20"/>
                <w:szCs w:val="20"/>
                <w:color w:val="auto"/>
              </w:rPr>
            </w:pPr>
            <w:r>
              <w:rPr>
                <w:rFonts w:ascii="Arial" w:cs="Arial" w:eastAsia="Arial" w:hAnsi="Arial"/>
                <w:sz w:val="18"/>
                <w:szCs w:val="18"/>
                <w:color w:val="auto"/>
                <w:w w:val="79"/>
              </w:rPr>
              <w:t>$ 110</w:t>
            </w:r>
          </w:p>
        </w:tc>
        <w:tc>
          <w:tcPr>
            <w:tcW w:w="660" w:type="dxa"/>
            <w:vAlign w:val="bottom"/>
            <w:shd w:val="clear" w:color="auto" w:fill="E5E5E5"/>
          </w:tcPr>
          <w:p>
            <w:pPr>
              <w:ind w:left="12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7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Operating costs and expenses</w:t>
            </w:r>
          </w:p>
        </w:tc>
        <w:tc>
          <w:tcPr>
            <w:tcW w:w="3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438</w:t>
            </w:r>
          </w:p>
        </w:tc>
        <w:tc>
          <w:tcPr>
            <w:tcW w:w="2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255"/>
              <w:spacing w:after="0"/>
              <w:rPr>
                <w:sz w:val="20"/>
                <w:szCs w:val="20"/>
                <w:color w:val="auto"/>
              </w:rPr>
            </w:pPr>
            <w:r>
              <w:rPr>
                <w:rFonts w:ascii="Arial" w:cs="Arial" w:eastAsia="Arial" w:hAnsi="Arial"/>
                <w:sz w:val="18"/>
                <w:szCs w:val="18"/>
                <w:color w:val="auto"/>
                <w:w w:val="86"/>
              </w:rPr>
              <w:t>384</w:t>
            </w:r>
          </w:p>
        </w:tc>
        <w:tc>
          <w:tcPr>
            <w:tcW w:w="760" w:type="dxa"/>
            <w:vAlign w:val="bottom"/>
            <w:tcBorders>
              <w:bottom w:val="single" w:sz="8" w:color="auto"/>
            </w:tcBorders>
          </w:tcPr>
          <w:p>
            <w:pPr>
              <w:jc w:val="center"/>
              <w:ind w:left="42"/>
              <w:spacing w:after="0"/>
              <w:rPr>
                <w:sz w:val="20"/>
                <w:szCs w:val="20"/>
                <w:color w:val="auto"/>
              </w:rPr>
            </w:pPr>
            <w:r>
              <w:rPr>
                <w:rFonts w:ascii="Arial" w:cs="Arial" w:eastAsia="Arial" w:hAnsi="Arial"/>
                <w:sz w:val="18"/>
                <w:szCs w:val="18"/>
                <w:color w:val="auto"/>
                <w:w w:val="79"/>
              </w:rPr>
              <w:t>54</w:t>
            </w:r>
          </w:p>
        </w:tc>
        <w:tc>
          <w:tcPr>
            <w:tcW w:w="6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7"/>
        </w:trPr>
        <w:tc>
          <w:tcPr>
            <w:tcW w:w="76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520" w:type="dxa"/>
            <w:vAlign w:val="bottom"/>
            <w:tcBorders>
              <w:bottom w:val="single" w:sz="8" w:color="auto"/>
            </w:tcBorders>
            <w:gridSpan w:val="2"/>
            <w:shd w:val="clear" w:color="auto" w:fill="E5E5E5"/>
          </w:tcPr>
          <w:p>
            <w:pPr>
              <w:jc w:val="right"/>
              <w:ind w:right="2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shd w:val="clear" w:color="auto" w:fill="E5E5E5"/>
          </w:tcPr>
          <w:p>
            <w:pPr>
              <w:ind w:left="180"/>
              <w:spacing w:after="0"/>
              <w:rPr>
                <w:sz w:val="20"/>
                <w:szCs w:val="20"/>
                <w:color w:val="auto"/>
              </w:rPr>
            </w:pPr>
            <w:r>
              <w:rPr>
                <w:rFonts w:ascii="Arial" w:cs="Arial" w:eastAsia="Arial" w:hAnsi="Arial"/>
                <w:sz w:val="18"/>
                <w:szCs w:val="18"/>
                <w:b w:val="1"/>
                <w:bCs w:val="1"/>
                <w:color w:val="auto"/>
              </w:rPr>
              <w:t>458</w:t>
            </w:r>
          </w:p>
        </w:tc>
        <w:tc>
          <w:tcPr>
            <w:tcW w:w="2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255"/>
              <w:spacing w:after="0"/>
              <w:rPr>
                <w:sz w:val="20"/>
                <w:szCs w:val="20"/>
                <w:color w:val="auto"/>
              </w:rPr>
            </w:pPr>
            <w:r>
              <w:rPr>
                <w:rFonts w:ascii="Arial" w:cs="Arial" w:eastAsia="Arial" w:hAnsi="Arial"/>
                <w:sz w:val="18"/>
                <w:szCs w:val="18"/>
                <w:b w:val="1"/>
                <w:bCs w:val="1"/>
                <w:color w:val="auto"/>
                <w:w w:val="86"/>
              </w:rPr>
              <w:t>402</w:t>
            </w:r>
          </w:p>
        </w:tc>
        <w:tc>
          <w:tcPr>
            <w:tcW w:w="760" w:type="dxa"/>
            <w:vAlign w:val="bottom"/>
            <w:tcBorders>
              <w:bottom w:val="single" w:sz="8" w:color="auto"/>
            </w:tcBorders>
            <w:shd w:val="clear" w:color="auto" w:fill="E5E5E5"/>
          </w:tcPr>
          <w:p>
            <w:pPr>
              <w:jc w:val="center"/>
              <w:ind w:right="2"/>
              <w:spacing w:after="0"/>
              <w:rPr>
                <w:sz w:val="20"/>
                <w:szCs w:val="20"/>
                <w:color w:val="auto"/>
              </w:rPr>
            </w:pPr>
            <w:r>
              <w:rPr>
                <w:rFonts w:ascii="Arial" w:cs="Arial" w:eastAsia="Arial" w:hAnsi="Arial"/>
                <w:sz w:val="18"/>
                <w:szCs w:val="18"/>
                <w:b w:val="1"/>
                <w:bCs w:val="1"/>
                <w:color w:val="auto"/>
              </w:rPr>
              <w:t>$ 56</w:t>
            </w:r>
          </w:p>
        </w:tc>
        <w:tc>
          <w:tcPr>
            <w:tcW w:w="66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rPr>
              <w:t>14.1%</w:t>
            </w:r>
          </w:p>
        </w:tc>
        <w:tc>
          <w:tcPr>
            <w:tcW w:w="0" w:type="dxa"/>
            <w:vAlign w:val="bottom"/>
          </w:tcPr>
          <w:p>
            <w:pPr>
              <w:spacing w:after="0"/>
              <w:rPr>
                <w:sz w:val="1"/>
                <w:szCs w:val="1"/>
                <w:color w:val="auto"/>
              </w:rPr>
            </w:pPr>
          </w:p>
        </w:tc>
      </w:tr>
      <w:tr>
        <w:trPr>
          <w:trHeight w:val="273"/>
        </w:trPr>
        <w:tc>
          <w:tcPr>
            <w:tcW w:w="76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40" w:type="dxa"/>
            <w:vAlign w:val="bottom"/>
            <w:gridSpan w:val="4"/>
          </w:tcPr>
          <w:p>
            <w:pPr>
              <w:jc w:val="center"/>
              <w:spacing w:after="0"/>
              <w:rPr>
                <w:sz w:val="20"/>
                <w:szCs w:val="20"/>
                <w:color w:val="auto"/>
              </w:rPr>
            </w:pPr>
            <w:r>
              <w:rPr>
                <w:rFonts w:ascii="Arial" w:cs="Arial" w:eastAsia="Arial" w:hAnsi="Arial"/>
                <w:sz w:val="14"/>
                <w:szCs w:val="14"/>
                <w:color w:val="auto"/>
                <w:w w:val="89"/>
              </w:rPr>
              <w:t>Nine Months Ended</w:t>
            </w:r>
          </w:p>
        </w:tc>
        <w:tc>
          <w:tcPr>
            <w:tcW w:w="1420" w:type="dxa"/>
            <w:vAlign w:val="bottom"/>
            <w:gridSpan w:val="2"/>
          </w:tcPr>
          <w:p>
            <w:pPr>
              <w:jc w:val="right"/>
              <w:ind w:right="377"/>
              <w:spacing w:after="0"/>
              <w:rPr>
                <w:sz w:val="20"/>
                <w:szCs w:val="20"/>
                <w:color w:val="auto"/>
              </w:rPr>
            </w:pPr>
            <w:r>
              <w:rPr>
                <w:rFonts w:ascii="Arial" w:cs="Arial" w:eastAsia="Arial" w:hAnsi="Arial"/>
                <w:sz w:val="14"/>
                <w:szCs w:val="14"/>
                <w:color w:val="auto"/>
              </w:rPr>
              <w:t>Increase/</w:t>
            </w:r>
          </w:p>
        </w:tc>
        <w:tc>
          <w:tcPr>
            <w:tcW w:w="0" w:type="dxa"/>
            <w:vAlign w:val="bottom"/>
          </w:tcPr>
          <w:p>
            <w:pPr>
              <w:spacing w:after="0"/>
              <w:rPr>
                <w:sz w:val="1"/>
                <w:szCs w:val="1"/>
                <w:color w:val="auto"/>
              </w:rPr>
            </w:pPr>
          </w:p>
        </w:tc>
      </w:tr>
      <w:tr>
        <w:trPr>
          <w:trHeight w:val="159"/>
        </w:trPr>
        <w:tc>
          <w:tcPr>
            <w:tcW w:w="764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3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4"/>
          </w:tcPr>
          <w:p>
            <w:pPr>
              <w:jc w:val="center"/>
              <w:spacing w:after="0" w:line="159" w:lineRule="exact"/>
              <w:rPr>
                <w:sz w:val="20"/>
                <w:szCs w:val="20"/>
                <w:color w:val="auto"/>
              </w:rPr>
            </w:pPr>
            <w:r>
              <w:rPr>
                <w:rFonts w:ascii="Arial" w:cs="Arial" w:eastAsia="Arial" w:hAnsi="Arial"/>
                <w:sz w:val="14"/>
                <w:szCs w:val="14"/>
                <w:color w:val="auto"/>
                <w:w w:val="84"/>
              </w:rPr>
              <w:t>September 30</w:t>
            </w:r>
          </w:p>
        </w:tc>
        <w:tc>
          <w:tcPr>
            <w:tcW w:w="1420" w:type="dxa"/>
            <w:vAlign w:val="bottom"/>
            <w:tcBorders>
              <w:bottom w:val="single" w:sz="8" w:color="auto"/>
            </w:tcBorders>
            <w:gridSpan w:val="2"/>
          </w:tcPr>
          <w:p>
            <w:pPr>
              <w:ind w:left="440"/>
              <w:spacing w:after="0" w:line="159" w:lineRule="exact"/>
              <w:rPr>
                <w:sz w:val="20"/>
                <w:szCs w:val="20"/>
                <w:color w:val="auto"/>
              </w:rPr>
            </w:pPr>
            <w:r>
              <w:rPr>
                <w:rFonts w:ascii="Arial" w:cs="Arial" w:eastAsia="Arial" w:hAnsi="Arial"/>
                <w:sz w:val="14"/>
                <w:szCs w:val="14"/>
                <w:color w:val="auto"/>
              </w:rPr>
              <w:t>(Decrease)</w:t>
            </w:r>
          </w:p>
        </w:tc>
        <w:tc>
          <w:tcPr>
            <w:tcW w:w="0" w:type="dxa"/>
            <w:vAlign w:val="bottom"/>
          </w:tcPr>
          <w:p>
            <w:pPr>
              <w:spacing w:after="0"/>
              <w:rPr>
                <w:sz w:val="1"/>
                <w:szCs w:val="1"/>
                <w:color w:val="auto"/>
              </w:rPr>
            </w:pPr>
          </w:p>
        </w:tc>
      </w:tr>
      <w:tr>
        <w:trPr>
          <w:trHeight w:val="142"/>
        </w:trPr>
        <w:tc>
          <w:tcPr>
            <w:tcW w:w="7640" w:type="dxa"/>
            <w:vAlign w:val="bottom"/>
            <w:tcBorders>
              <w:bottom w:val="single" w:sz="8" w:color="auto"/>
            </w:tcBorders>
            <w:vMerge w:val="continue"/>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ind w:left="320"/>
              <w:spacing w:after="0" w:line="142" w:lineRule="exact"/>
              <w:rPr>
                <w:sz w:val="20"/>
                <w:szCs w:val="20"/>
                <w:color w:val="auto"/>
              </w:rPr>
            </w:pPr>
            <w:r>
              <w:rPr>
                <w:rFonts w:ascii="Arial" w:cs="Arial" w:eastAsia="Arial" w:hAnsi="Arial"/>
                <w:sz w:val="14"/>
                <w:szCs w:val="14"/>
                <w:color w:val="auto"/>
              </w:rPr>
              <w:t>2015</w:t>
            </w:r>
          </w:p>
        </w:tc>
        <w:tc>
          <w:tcPr>
            <w:tcW w:w="2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15"/>
              <w:spacing w:after="0" w:line="142" w:lineRule="exact"/>
              <w:rPr>
                <w:sz w:val="20"/>
                <w:szCs w:val="20"/>
                <w:color w:val="auto"/>
              </w:rPr>
            </w:pPr>
            <w:r>
              <w:rPr>
                <w:rFonts w:ascii="Arial" w:cs="Arial" w:eastAsia="Arial" w:hAnsi="Arial"/>
                <w:sz w:val="14"/>
                <w:szCs w:val="14"/>
                <w:color w:val="auto"/>
                <w:w w:val="96"/>
              </w:rPr>
              <w:t>2014</w:t>
            </w:r>
          </w:p>
        </w:tc>
        <w:tc>
          <w:tcPr>
            <w:tcW w:w="760" w:type="dxa"/>
            <w:vAlign w:val="bottom"/>
            <w:tcBorders>
              <w:bottom w:val="single" w:sz="8" w:color="auto"/>
            </w:tcBorders>
          </w:tcPr>
          <w:p>
            <w:pPr>
              <w:jc w:val="center"/>
              <w:ind w:left="42"/>
              <w:spacing w:after="0" w:line="142"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ind w:left="200"/>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764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38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840" w:type="dxa"/>
            <w:vAlign w:val="bottom"/>
            <w:shd w:val="clear" w:color="auto" w:fill="E5E5E5"/>
          </w:tcPr>
          <w:p>
            <w:pPr>
              <w:ind w:left="180"/>
              <w:spacing w:after="0"/>
              <w:rPr>
                <w:sz w:val="20"/>
                <w:szCs w:val="20"/>
                <w:color w:val="auto"/>
              </w:rPr>
            </w:pPr>
            <w:r>
              <w:rPr>
                <w:rFonts w:ascii="Arial" w:cs="Arial" w:eastAsia="Arial" w:hAnsi="Arial"/>
                <w:sz w:val="18"/>
                <w:szCs w:val="18"/>
                <w:color w:val="auto"/>
              </w:rPr>
              <w:t>$ 2,320</w:t>
            </w:r>
          </w:p>
        </w:tc>
        <w:tc>
          <w:tcPr>
            <w:tcW w:w="240" w:type="dxa"/>
            <w:vAlign w:val="bottom"/>
            <w:shd w:val="clear" w:color="auto" w:fill="E5E5E5"/>
          </w:tcPr>
          <w:p>
            <w:pPr>
              <w:spacing w:after="0"/>
              <w:rPr>
                <w:sz w:val="18"/>
                <w:szCs w:val="18"/>
                <w:color w:val="auto"/>
              </w:rPr>
            </w:pPr>
          </w:p>
        </w:tc>
        <w:tc>
          <w:tcPr>
            <w:tcW w:w="1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E5E5E5"/>
          </w:tcPr>
          <w:p>
            <w:pPr>
              <w:jc w:val="right"/>
              <w:ind w:right="75"/>
              <w:spacing w:after="0"/>
              <w:rPr>
                <w:sz w:val="20"/>
                <w:szCs w:val="20"/>
                <w:color w:val="auto"/>
              </w:rPr>
            </w:pPr>
            <w:r>
              <w:rPr>
                <w:rFonts w:ascii="Arial" w:cs="Arial" w:eastAsia="Arial" w:hAnsi="Arial"/>
                <w:sz w:val="18"/>
                <w:szCs w:val="18"/>
                <w:color w:val="auto"/>
                <w:w w:val="97"/>
              </w:rPr>
              <w:t>1,888</w:t>
            </w:r>
          </w:p>
        </w:tc>
        <w:tc>
          <w:tcPr>
            <w:tcW w:w="760" w:type="dxa"/>
            <w:vAlign w:val="bottom"/>
            <w:shd w:val="clear" w:color="auto" w:fill="E5E5E5"/>
          </w:tcPr>
          <w:p>
            <w:pPr>
              <w:jc w:val="center"/>
              <w:ind w:left="42"/>
              <w:spacing w:after="0"/>
              <w:rPr>
                <w:sz w:val="20"/>
                <w:szCs w:val="20"/>
                <w:color w:val="auto"/>
              </w:rPr>
            </w:pPr>
            <w:r>
              <w:rPr>
                <w:rFonts w:ascii="Arial" w:cs="Arial" w:eastAsia="Arial" w:hAnsi="Arial"/>
                <w:sz w:val="18"/>
                <w:szCs w:val="18"/>
                <w:color w:val="auto"/>
                <w:w w:val="89"/>
              </w:rPr>
              <w:t>$432</w:t>
            </w:r>
          </w:p>
        </w:tc>
        <w:tc>
          <w:tcPr>
            <w:tcW w:w="660" w:type="dxa"/>
            <w:vAlign w:val="bottom"/>
            <w:shd w:val="clear" w:color="auto" w:fill="E5E5E5"/>
          </w:tcPr>
          <w:p>
            <w:pPr>
              <w:ind w:left="12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6"/>
        </w:trPr>
        <w:tc>
          <w:tcPr>
            <w:tcW w:w="7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Operating costs and expenses</w:t>
            </w:r>
          </w:p>
        </w:tc>
        <w:tc>
          <w:tcPr>
            <w:tcW w:w="3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1,245</w:t>
            </w:r>
          </w:p>
        </w:tc>
        <w:tc>
          <w:tcPr>
            <w:tcW w:w="2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w w:val="97"/>
              </w:rPr>
              <w:t>1,072</w:t>
            </w:r>
          </w:p>
        </w:tc>
        <w:tc>
          <w:tcPr>
            <w:tcW w:w="760" w:type="dxa"/>
            <w:vAlign w:val="bottom"/>
            <w:tcBorders>
              <w:bottom w:val="single" w:sz="8" w:color="auto"/>
            </w:tcBorders>
          </w:tcPr>
          <w:p>
            <w:pPr>
              <w:jc w:val="right"/>
              <w:ind w:right="62"/>
              <w:spacing w:after="0"/>
              <w:rPr>
                <w:sz w:val="20"/>
                <w:szCs w:val="20"/>
                <w:color w:val="auto"/>
              </w:rPr>
            </w:pPr>
            <w:r>
              <w:rPr>
                <w:rFonts w:ascii="Arial" w:cs="Arial" w:eastAsia="Arial" w:hAnsi="Arial"/>
                <w:sz w:val="18"/>
                <w:szCs w:val="18"/>
                <w:color w:val="auto"/>
              </w:rPr>
              <w:t>173</w:t>
            </w:r>
          </w:p>
        </w:tc>
        <w:tc>
          <w:tcPr>
            <w:tcW w:w="6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30"/>
        </w:trPr>
        <w:tc>
          <w:tcPr>
            <w:tcW w:w="76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380" w:type="dxa"/>
            <w:vAlign w:val="bottom"/>
            <w:tcBorders>
              <w:bottom w:val="single" w:sz="8" w:color="auto"/>
            </w:tcBorders>
            <w:shd w:val="clear" w:color="auto" w:fill="E5E5E5"/>
          </w:tcPr>
          <w:p>
            <w:pPr>
              <w:spacing w:after="0"/>
              <w:rPr>
                <w:sz w:val="20"/>
                <w:szCs w:val="20"/>
                <w:color w:val="auto"/>
              </w:rPr>
            </w:pPr>
          </w:p>
        </w:tc>
        <w:tc>
          <w:tcPr>
            <w:tcW w:w="140" w:type="dxa"/>
            <w:vAlign w:val="bottom"/>
            <w:tcBorders>
              <w:bottom w:val="single" w:sz="8" w:color="auto"/>
            </w:tcBorders>
            <w:shd w:val="clear" w:color="auto" w:fill="E5E5E5"/>
          </w:tcPr>
          <w:p>
            <w:pPr>
              <w:spacing w:after="0"/>
              <w:rPr>
                <w:sz w:val="20"/>
                <w:szCs w:val="20"/>
                <w:color w:val="auto"/>
              </w:rPr>
            </w:pPr>
          </w:p>
        </w:tc>
        <w:tc>
          <w:tcPr>
            <w:tcW w:w="840" w:type="dxa"/>
            <w:vAlign w:val="bottom"/>
            <w:tcBorders>
              <w:bottom w:val="single" w:sz="8" w:color="auto"/>
            </w:tcBorders>
            <w:shd w:val="clear" w:color="auto" w:fill="E5E5E5"/>
          </w:tcPr>
          <w:p>
            <w:pPr>
              <w:ind w:left="180"/>
              <w:spacing w:after="0"/>
              <w:rPr>
                <w:sz w:val="20"/>
                <w:szCs w:val="20"/>
                <w:color w:val="auto"/>
              </w:rPr>
            </w:pPr>
            <w:r>
              <w:rPr>
                <w:rFonts w:ascii="Arial" w:cs="Arial" w:eastAsia="Arial" w:hAnsi="Arial"/>
                <w:sz w:val="18"/>
                <w:szCs w:val="18"/>
                <w:b w:val="1"/>
                <w:bCs w:val="1"/>
                <w:color w:val="auto"/>
              </w:rPr>
              <w:t>$ 1,075</w:t>
            </w:r>
          </w:p>
        </w:tc>
        <w:tc>
          <w:tcPr>
            <w:tcW w:w="240" w:type="dxa"/>
            <w:vAlign w:val="bottom"/>
            <w:tcBorders>
              <w:bottom w:val="single" w:sz="8" w:color="auto"/>
            </w:tcBorders>
            <w:shd w:val="clear" w:color="auto" w:fill="E5E5E5"/>
          </w:tcPr>
          <w:p>
            <w:pPr>
              <w:spacing w:after="0"/>
              <w:rPr>
                <w:sz w:val="20"/>
                <w:szCs w:val="20"/>
                <w:color w:val="auto"/>
              </w:rPr>
            </w:pPr>
          </w:p>
        </w:tc>
        <w:tc>
          <w:tcPr>
            <w:tcW w:w="1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shd w:val="clear" w:color="auto" w:fill="E5E5E5"/>
          </w:tcPr>
          <w:p>
            <w:pPr>
              <w:jc w:val="right"/>
              <w:ind w:right="75"/>
              <w:spacing w:after="0"/>
              <w:rPr>
                <w:sz w:val="20"/>
                <w:szCs w:val="20"/>
                <w:color w:val="auto"/>
              </w:rPr>
            </w:pPr>
            <w:r>
              <w:rPr>
                <w:rFonts w:ascii="Arial" w:cs="Arial" w:eastAsia="Arial" w:hAnsi="Arial"/>
                <w:sz w:val="18"/>
                <w:szCs w:val="18"/>
                <w:b w:val="1"/>
                <w:bCs w:val="1"/>
                <w:color w:val="auto"/>
              </w:rPr>
              <w:t>816</w:t>
            </w:r>
          </w:p>
        </w:tc>
        <w:tc>
          <w:tcPr>
            <w:tcW w:w="760" w:type="dxa"/>
            <w:vAlign w:val="bottom"/>
            <w:tcBorders>
              <w:bottom w:val="single" w:sz="8" w:color="auto"/>
            </w:tcBorders>
            <w:shd w:val="clear" w:color="auto" w:fill="E5E5E5"/>
          </w:tcPr>
          <w:p>
            <w:pPr>
              <w:jc w:val="center"/>
              <w:ind w:left="42"/>
              <w:spacing w:after="0"/>
              <w:rPr>
                <w:sz w:val="20"/>
                <w:szCs w:val="20"/>
                <w:color w:val="auto"/>
              </w:rPr>
            </w:pPr>
            <w:r>
              <w:rPr>
                <w:rFonts w:ascii="Arial" w:cs="Arial" w:eastAsia="Arial" w:hAnsi="Arial"/>
                <w:sz w:val="18"/>
                <w:szCs w:val="18"/>
                <w:b w:val="1"/>
                <w:bCs w:val="1"/>
                <w:color w:val="auto"/>
                <w:w w:val="89"/>
              </w:rPr>
              <w:t>$259</w:t>
            </w:r>
          </w:p>
        </w:tc>
        <w:tc>
          <w:tcPr>
            <w:tcW w:w="66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rPr>
              <w:t>31.8%</w:t>
            </w: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 Segment—Revenue</w:t>
      </w:r>
    </w:p>
    <w:p>
      <w:pPr>
        <w:spacing w:after="0" w:line="7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 xml:space="preserve">Theme Parks revenue increased for the three and nine months ended September 30, 2015 compared to the same periods in 2014 primarily due to increases in guest attendance and increases in per capita spending as a result of the continued success of our attractions, including </w:t>
      </w:r>
      <w:r>
        <w:rPr>
          <w:rFonts w:ascii="Arial" w:cs="Arial" w:eastAsia="Arial" w:hAnsi="Arial"/>
          <w:sz w:val="16"/>
          <w:szCs w:val="16"/>
          <w:i w:val="1"/>
          <w:iCs w:val="1"/>
          <w:color w:val="auto"/>
        </w:rPr>
        <w:t>The Wizarding World of Harry Potter</w:t>
      </w:r>
      <w:r>
        <w:rPr>
          <w:rFonts w:ascii="Arial" w:cs="Arial" w:eastAsia="Arial" w:hAnsi="Arial"/>
          <w:sz w:val="10"/>
          <w:szCs w:val="10"/>
          <w:color w:val="auto"/>
        </w:rPr>
        <w:t>™</w:t>
      </w:r>
      <w:r>
        <w:rPr>
          <w:rFonts w:ascii="Arial" w:cs="Arial" w:eastAsia="Arial" w:hAnsi="Arial"/>
          <w:sz w:val="16"/>
          <w:szCs w:val="16"/>
          <w:color w:val="auto"/>
        </w:rPr>
        <w:t xml:space="preserve">— </w:t>
      </w:r>
      <w:r>
        <w:rPr>
          <w:rFonts w:ascii="Arial" w:cs="Arial" w:eastAsia="Arial" w:hAnsi="Arial"/>
          <w:sz w:val="16"/>
          <w:szCs w:val="16"/>
          <w:i w:val="1"/>
          <w:iCs w:val="1"/>
          <w:color w:val="auto"/>
        </w:rPr>
        <w:t>Diagon Alley</w:t>
      </w:r>
      <w:r>
        <w:rPr>
          <w:rFonts w:ascii="Arial" w:cs="Arial" w:eastAsia="Arial" w:hAnsi="Arial"/>
          <w:sz w:val="10"/>
          <w:szCs w:val="10"/>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in Orlando, which opened in July 2014 and the</w:t>
      </w:r>
      <w:r>
        <w:rPr>
          <w:rFonts w:ascii="Arial" w:cs="Arial" w:eastAsia="Arial" w:hAnsi="Arial"/>
          <w:sz w:val="16"/>
          <w:szCs w:val="16"/>
          <w:i w:val="1"/>
          <w:iCs w:val="1"/>
          <w:color w:val="auto"/>
        </w:rPr>
        <w:t xml:space="preserve"> Fast and Furious</w:t>
      </w:r>
      <w:r>
        <w:rPr>
          <w:rFonts w:ascii="Arial" w:cs="Arial" w:eastAsia="Arial" w:hAnsi="Arial"/>
          <w:sz w:val="10"/>
          <w:szCs w:val="10"/>
          <w:color w:val="auto"/>
        </w:rPr>
        <w:t>™</w:t>
      </w:r>
      <w:r>
        <w:rPr>
          <w:rFonts w:ascii="Arial" w:cs="Arial" w:eastAsia="Arial" w:hAnsi="Arial"/>
          <w:sz w:val="16"/>
          <w:szCs w:val="16"/>
          <w:color w:val="auto"/>
        </w:rPr>
        <w:t>—</w:t>
      </w:r>
      <w:r>
        <w:rPr>
          <w:rFonts w:ascii="Arial" w:cs="Arial" w:eastAsia="Arial" w:hAnsi="Arial"/>
          <w:sz w:val="16"/>
          <w:szCs w:val="16"/>
          <w:i w:val="1"/>
          <w:iCs w:val="1"/>
          <w:color w:val="auto"/>
        </w:rPr>
        <w:t>Supercharged</w:t>
      </w:r>
      <w:r>
        <w:rPr>
          <w:rFonts w:ascii="Arial" w:cs="Arial" w:eastAsia="Arial" w:hAnsi="Arial"/>
          <w:sz w:val="10"/>
          <w:szCs w:val="10"/>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studio tour in Hollywood, which opened in July 2015.</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 Segment—Operating Costs and Expenses</w:t>
      </w:r>
    </w:p>
    <w:p>
      <w:pPr>
        <w:spacing w:after="0" w:line="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Operating costs and expenses increased for the three and nine months ended September 30, 2015 compared to the same periods in 2014 primarily due to additional costs associated with newer attractions, such as </w:t>
      </w:r>
      <w:r>
        <w:rPr>
          <w:rFonts w:ascii="Arial" w:cs="Arial" w:eastAsia="Arial" w:hAnsi="Arial"/>
          <w:sz w:val="18"/>
          <w:szCs w:val="18"/>
          <w:i w:val="1"/>
          <w:iCs w:val="1"/>
          <w:color w:val="auto"/>
        </w:rPr>
        <w:t>The Wizarding World of Harry Potter</w:t>
      </w:r>
      <w:r>
        <w:rPr>
          <w:rFonts w:ascii="Arial" w:cs="Arial" w:eastAsia="Arial" w:hAnsi="Arial"/>
          <w:sz w:val="11"/>
          <w:szCs w:val="11"/>
          <w:color w:val="auto"/>
        </w:rPr>
        <w:t>™</w:t>
      </w:r>
      <w:r>
        <w:rPr>
          <w:rFonts w:ascii="Arial" w:cs="Arial" w:eastAsia="Arial" w:hAnsi="Arial"/>
          <w:sz w:val="18"/>
          <w:szCs w:val="18"/>
          <w:color w:val="auto"/>
        </w:rPr>
        <w:t>—</w:t>
      </w:r>
      <w:r>
        <w:rPr>
          <w:rFonts w:ascii="Arial" w:cs="Arial" w:eastAsia="Arial" w:hAnsi="Arial"/>
          <w:sz w:val="18"/>
          <w:szCs w:val="18"/>
          <w:i w:val="1"/>
          <w:iCs w:val="1"/>
          <w:color w:val="auto"/>
        </w:rPr>
        <w:t>Diagon Alley</w:t>
      </w:r>
      <w:r>
        <w:rPr>
          <w:rFonts w:ascii="Arial" w:cs="Arial" w:eastAsia="Arial" w:hAnsi="Arial"/>
          <w:sz w:val="11"/>
          <w:szCs w:val="11"/>
          <w:color w:val="auto"/>
        </w:rPr>
        <w:t>™</w:t>
      </w:r>
      <w:r>
        <w:rPr>
          <w:rFonts w:ascii="Arial" w:cs="Arial" w:eastAsia="Arial" w:hAnsi="Arial"/>
          <w:sz w:val="18"/>
          <w:szCs w:val="18"/>
          <w:color w:val="auto"/>
        </w:rPr>
        <w:t xml:space="preserve"> in Orlando and the </w:t>
      </w:r>
      <w:r>
        <w:rPr>
          <w:rFonts w:ascii="Arial" w:cs="Arial" w:eastAsia="Arial" w:hAnsi="Arial"/>
          <w:sz w:val="18"/>
          <w:szCs w:val="18"/>
          <w:i w:val="1"/>
          <w:iCs w:val="1"/>
          <w:color w:val="auto"/>
        </w:rPr>
        <w:t>Fast and Furious</w:t>
      </w:r>
      <w:r>
        <w:rPr>
          <w:rFonts w:ascii="Arial" w:cs="Arial" w:eastAsia="Arial" w:hAnsi="Arial"/>
          <w:sz w:val="11"/>
          <w:szCs w:val="1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Supercharged</w:t>
      </w:r>
      <w:r>
        <w:rPr>
          <w:rFonts w:ascii="Arial" w:cs="Arial" w:eastAsia="Arial" w:hAnsi="Arial"/>
          <w:sz w:val="11"/>
          <w:szCs w:val="1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studio tour in Hollywood, and costs associated with increased attendance and per capita spending. Operating costs and expenses also increased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three and nine months ended September 30, 2015 due to $18 million of transaction-related costs related to an agreement to enter into a joint venture to build and operate a theme park in China.</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Corporate and Other Results of Operations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780" w:type="dxa"/>
            <w:vAlign w:val="bottom"/>
            <w:gridSpan w:val="3"/>
          </w:tcPr>
          <w:p>
            <w:pPr>
              <w:jc w:val="right"/>
              <w:ind w:right="437"/>
              <w:spacing w:after="0"/>
              <w:rPr>
                <w:sz w:val="20"/>
                <w:szCs w:val="20"/>
                <w:color w:val="auto"/>
              </w:rPr>
            </w:pPr>
            <w:r>
              <w:rPr>
                <w:rFonts w:ascii="Arial" w:cs="Arial" w:eastAsia="Arial" w:hAnsi="Arial"/>
                <w:sz w:val="14"/>
                <w:szCs w:val="14"/>
                <w:color w:val="auto"/>
                <w:w w:val="94"/>
              </w:rPr>
              <w:t>Three Months Ended</w:t>
            </w:r>
          </w:p>
        </w:tc>
        <w:tc>
          <w:tcPr>
            <w:tcW w:w="1560" w:type="dxa"/>
            <w:vAlign w:val="bottom"/>
            <w:gridSpan w:val="2"/>
          </w:tcPr>
          <w:p>
            <w:pPr>
              <w:jc w:val="right"/>
              <w:ind w:right="497"/>
              <w:spacing w:after="0"/>
              <w:rPr>
                <w:sz w:val="20"/>
                <w:szCs w:val="20"/>
                <w:color w:val="auto"/>
              </w:rPr>
            </w:pPr>
            <w:r>
              <w:rPr>
                <w:rFonts w:ascii="Arial" w:cs="Arial" w:eastAsia="Arial" w:hAnsi="Arial"/>
                <w:sz w:val="14"/>
                <w:szCs w:val="14"/>
                <w:color w:val="auto"/>
              </w:rPr>
              <w:t>Increase/</w:t>
            </w:r>
          </w:p>
        </w:tc>
        <w:tc>
          <w:tcPr>
            <w:tcW w:w="0" w:type="dxa"/>
            <w:vAlign w:val="bottom"/>
          </w:tcPr>
          <w:p>
            <w:pPr>
              <w:spacing w:after="0"/>
              <w:rPr>
                <w:sz w:val="1"/>
                <w:szCs w:val="1"/>
                <w:color w:val="auto"/>
              </w:rPr>
            </w:pPr>
          </w:p>
        </w:tc>
      </w:tr>
      <w:tr>
        <w:trPr>
          <w:trHeight w:val="159"/>
        </w:trPr>
        <w:tc>
          <w:tcPr>
            <w:tcW w:w="478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276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September 30</w:t>
            </w:r>
          </w:p>
        </w:tc>
        <w:tc>
          <w:tcPr>
            <w:tcW w:w="70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2"/>
          </w:tcPr>
          <w:p>
            <w:pPr>
              <w:jc w:val="right"/>
              <w:ind w:right="457"/>
              <w:spacing w:after="0" w:line="159" w:lineRule="exact"/>
              <w:rPr>
                <w:sz w:val="20"/>
                <w:szCs w:val="20"/>
                <w:color w:val="auto"/>
              </w:rPr>
            </w:pPr>
            <w:r>
              <w:rPr>
                <w:rFonts w:ascii="Arial" w:cs="Arial" w:eastAsia="Arial" w:hAnsi="Arial"/>
                <w:sz w:val="14"/>
                <w:szCs w:val="14"/>
                <w:color w:val="auto"/>
              </w:rPr>
              <w:t>(Decrease)</w:t>
            </w:r>
          </w:p>
        </w:tc>
        <w:tc>
          <w:tcPr>
            <w:tcW w:w="0" w:type="dxa"/>
            <w:vAlign w:val="bottom"/>
          </w:tcPr>
          <w:p>
            <w:pPr>
              <w:spacing w:after="0"/>
              <w:rPr>
                <w:sz w:val="1"/>
                <w:szCs w:val="1"/>
                <w:color w:val="auto"/>
              </w:rPr>
            </w:pPr>
          </w:p>
        </w:tc>
      </w:tr>
      <w:tr>
        <w:trPr>
          <w:trHeight w:val="142"/>
        </w:trPr>
        <w:tc>
          <w:tcPr>
            <w:tcW w:w="4780" w:type="dxa"/>
            <w:vAlign w:val="bottom"/>
            <w:tcBorders>
              <w:bottom w:val="single" w:sz="8" w:color="auto"/>
            </w:tcBorders>
            <w:vMerge w:val="continue"/>
          </w:tcPr>
          <w:p>
            <w:pPr>
              <w:spacing w:after="0"/>
              <w:rPr>
                <w:sz w:val="12"/>
                <w:szCs w:val="12"/>
                <w:color w:val="auto"/>
              </w:rPr>
            </w:pPr>
          </w:p>
        </w:tc>
        <w:tc>
          <w:tcPr>
            <w:tcW w:w="27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62"/>
              <w:spacing w:after="0" w:line="142" w:lineRule="exact"/>
              <w:rPr>
                <w:sz w:val="20"/>
                <w:szCs w:val="20"/>
                <w:color w:val="auto"/>
              </w:rPr>
            </w:pPr>
            <w:r>
              <w:rPr>
                <w:rFonts w:ascii="Arial" w:cs="Arial" w:eastAsia="Arial" w:hAnsi="Arial"/>
                <w:sz w:val="14"/>
                <w:szCs w:val="14"/>
                <w:color w:val="auto"/>
                <w:w w:val="83"/>
              </w:rPr>
              <w:t>2015</w:t>
            </w:r>
          </w:p>
        </w:tc>
        <w:tc>
          <w:tcPr>
            <w:tcW w:w="3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337"/>
              <w:spacing w:after="0" w:line="142" w:lineRule="exact"/>
              <w:rPr>
                <w:sz w:val="20"/>
                <w:szCs w:val="20"/>
                <w:color w:val="auto"/>
              </w:rPr>
            </w:pPr>
            <w:r>
              <w:rPr>
                <w:rFonts w:ascii="Arial" w:cs="Arial" w:eastAsia="Arial" w:hAnsi="Arial"/>
                <w:sz w:val="14"/>
                <w:szCs w:val="14"/>
                <w:color w:val="auto"/>
                <w:w w:val="83"/>
              </w:rPr>
              <w:t>2014</w:t>
            </w:r>
          </w:p>
        </w:tc>
        <w:tc>
          <w:tcPr>
            <w:tcW w:w="740" w:type="dxa"/>
            <w:vAlign w:val="bottom"/>
            <w:tcBorders>
              <w:bottom w:val="single" w:sz="8" w:color="auto"/>
            </w:tcBorders>
          </w:tcPr>
          <w:p>
            <w:pPr>
              <w:jc w:val="right"/>
              <w:ind w:right="222"/>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17"/>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478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3300" w:type="dxa"/>
            <w:vAlign w:val="bottom"/>
            <w:gridSpan w:val="2"/>
            <w:shd w:val="clear" w:color="auto" w:fill="E5E5E5"/>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E5E5E5"/>
          </w:tcPr>
          <w:p>
            <w:pPr>
              <w:jc w:val="right"/>
              <w:ind w:right="222"/>
              <w:spacing w:after="0"/>
              <w:rPr>
                <w:sz w:val="20"/>
                <w:szCs w:val="20"/>
                <w:color w:val="auto"/>
              </w:rPr>
            </w:pPr>
            <w:r>
              <w:rPr>
                <w:rFonts w:ascii="Arial" w:cs="Arial" w:eastAsia="Arial" w:hAnsi="Arial"/>
                <w:sz w:val="18"/>
                <w:szCs w:val="18"/>
                <w:color w:val="auto"/>
              </w:rPr>
              <w:t>180</w:t>
            </w:r>
          </w:p>
        </w:tc>
        <w:tc>
          <w:tcPr>
            <w:tcW w:w="3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5E5E5"/>
          </w:tcPr>
          <w:p>
            <w:pPr>
              <w:jc w:val="right"/>
              <w:ind w:right="217"/>
              <w:spacing w:after="0"/>
              <w:rPr>
                <w:sz w:val="20"/>
                <w:szCs w:val="20"/>
                <w:color w:val="auto"/>
              </w:rPr>
            </w:pPr>
            <w:r>
              <w:rPr>
                <w:rFonts w:ascii="Arial" w:cs="Arial" w:eastAsia="Arial" w:hAnsi="Arial"/>
                <w:sz w:val="18"/>
                <w:szCs w:val="18"/>
                <w:color w:val="auto"/>
              </w:rPr>
              <w:t>174</w:t>
            </w:r>
          </w:p>
        </w:tc>
        <w:tc>
          <w:tcPr>
            <w:tcW w:w="740" w:type="dxa"/>
            <w:vAlign w:val="bottom"/>
            <w:shd w:val="clear" w:color="auto" w:fill="E5E5E5"/>
          </w:tcPr>
          <w:p>
            <w:pPr>
              <w:jc w:val="right"/>
              <w:ind w:right="82"/>
              <w:spacing w:after="0"/>
              <w:rPr>
                <w:sz w:val="20"/>
                <w:szCs w:val="20"/>
                <w:color w:val="auto"/>
              </w:rPr>
            </w:pPr>
            <w:r>
              <w:rPr>
                <w:rFonts w:ascii="Arial" w:cs="Arial" w:eastAsia="Arial" w:hAnsi="Arial"/>
                <w:sz w:val="18"/>
                <w:szCs w:val="18"/>
                <w:color w:val="auto"/>
              </w:rPr>
              <w:t>$  6</w:t>
            </w:r>
          </w:p>
        </w:tc>
        <w:tc>
          <w:tcPr>
            <w:tcW w:w="820" w:type="dxa"/>
            <w:vAlign w:val="bottom"/>
            <w:shd w:val="clear" w:color="auto" w:fill="E5E5E5"/>
          </w:tcPr>
          <w:p>
            <w:pPr>
              <w:jc w:val="right"/>
              <w:ind w:right="117"/>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Operating costs and expenses</w:t>
            </w:r>
          </w:p>
        </w:tc>
        <w:tc>
          <w:tcPr>
            <w:tcW w:w="27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22"/>
              <w:spacing w:after="0"/>
              <w:rPr>
                <w:sz w:val="20"/>
                <w:szCs w:val="20"/>
                <w:color w:val="auto"/>
              </w:rPr>
            </w:pPr>
            <w:r>
              <w:rPr>
                <w:rFonts w:ascii="Arial" w:cs="Arial" w:eastAsia="Arial" w:hAnsi="Arial"/>
                <w:sz w:val="18"/>
                <w:szCs w:val="18"/>
                <w:color w:val="auto"/>
              </w:rPr>
              <w:t>412</w:t>
            </w:r>
          </w:p>
        </w:tc>
        <w:tc>
          <w:tcPr>
            <w:tcW w:w="3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17"/>
              <w:spacing w:after="0"/>
              <w:rPr>
                <w:sz w:val="20"/>
                <w:szCs w:val="20"/>
                <w:color w:val="auto"/>
              </w:rPr>
            </w:pPr>
            <w:r>
              <w:rPr>
                <w:rFonts w:ascii="Arial" w:cs="Arial" w:eastAsia="Arial" w:hAnsi="Arial"/>
                <w:sz w:val="18"/>
                <w:szCs w:val="18"/>
                <w:color w:val="auto"/>
              </w:rPr>
              <w:t>371</w:t>
            </w:r>
          </w:p>
        </w:tc>
        <w:tc>
          <w:tcPr>
            <w:tcW w:w="740" w:type="dxa"/>
            <w:vAlign w:val="bottom"/>
            <w:tcBorders>
              <w:bottom w:val="single" w:sz="8" w:color="auto"/>
            </w:tcBorders>
          </w:tcPr>
          <w:p>
            <w:pPr>
              <w:jc w:val="right"/>
              <w:ind w:right="82"/>
              <w:spacing w:after="0"/>
              <w:rPr>
                <w:sz w:val="20"/>
                <w:szCs w:val="20"/>
                <w:color w:val="auto"/>
              </w:rPr>
            </w:pPr>
            <w:r>
              <w:rPr>
                <w:rFonts w:ascii="Arial" w:cs="Arial" w:eastAsia="Arial" w:hAnsi="Arial"/>
                <w:sz w:val="18"/>
                <w:szCs w:val="18"/>
                <w:color w:val="auto"/>
              </w:rPr>
              <w:t>41</w:t>
            </w:r>
          </w:p>
        </w:tc>
        <w:tc>
          <w:tcPr>
            <w:tcW w:w="820" w:type="dxa"/>
            <w:vAlign w:val="bottom"/>
            <w:tcBorders>
              <w:bottom w:val="single" w:sz="8" w:color="auto"/>
            </w:tcBorders>
          </w:tcPr>
          <w:p>
            <w:pPr>
              <w:jc w:val="right"/>
              <w:ind w:right="257"/>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7"/>
        </w:trPr>
        <w:tc>
          <w:tcPr>
            <w:tcW w:w="47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Operating loss before depreciation and amortization</w:t>
            </w:r>
          </w:p>
        </w:tc>
        <w:tc>
          <w:tcPr>
            <w:tcW w:w="3300" w:type="dxa"/>
            <w:vAlign w:val="bottom"/>
            <w:tcBorders>
              <w:bottom w:val="single" w:sz="8" w:color="auto"/>
            </w:tcBorders>
            <w:gridSpan w:val="2"/>
            <w:shd w:val="clear" w:color="auto" w:fill="E5E5E5"/>
          </w:tcPr>
          <w:p>
            <w:pPr>
              <w:jc w:val="right"/>
              <w:ind w:right="20"/>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E5E5E5"/>
          </w:tcPr>
          <w:p>
            <w:pPr>
              <w:jc w:val="right"/>
              <w:ind w:right="162"/>
              <w:spacing w:after="0"/>
              <w:rPr>
                <w:sz w:val="20"/>
                <w:szCs w:val="20"/>
                <w:color w:val="auto"/>
              </w:rPr>
            </w:pPr>
            <w:r>
              <w:rPr>
                <w:rFonts w:ascii="Arial" w:cs="Arial" w:eastAsia="Arial" w:hAnsi="Arial"/>
                <w:sz w:val="18"/>
                <w:szCs w:val="18"/>
                <w:b w:val="1"/>
                <w:bCs w:val="1"/>
                <w:color w:val="auto"/>
              </w:rPr>
              <w:t>(232)</w:t>
            </w:r>
          </w:p>
        </w:tc>
        <w:tc>
          <w:tcPr>
            <w:tcW w:w="3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E5E5E5"/>
          </w:tcPr>
          <w:p>
            <w:pPr>
              <w:jc w:val="right"/>
              <w:ind w:right="157"/>
              <w:spacing w:after="0"/>
              <w:rPr>
                <w:sz w:val="20"/>
                <w:szCs w:val="20"/>
                <w:color w:val="auto"/>
              </w:rPr>
            </w:pPr>
            <w:r>
              <w:rPr>
                <w:rFonts w:ascii="Arial" w:cs="Arial" w:eastAsia="Arial" w:hAnsi="Arial"/>
                <w:sz w:val="18"/>
                <w:szCs w:val="18"/>
                <w:b w:val="1"/>
                <w:bCs w:val="1"/>
                <w:color w:val="auto"/>
              </w:rPr>
              <w:t>(197)</w:t>
            </w:r>
          </w:p>
        </w:tc>
        <w:tc>
          <w:tcPr>
            <w:tcW w:w="740" w:type="dxa"/>
            <w:vAlign w:val="bottom"/>
            <w:tcBorders>
              <w:bottom w:val="single" w:sz="8" w:color="auto"/>
            </w:tcBorders>
            <w:shd w:val="clear" w:color="auto" w:fill="E5E5E5"/>
          </w:tcPr>
          <w:p>
            <w:pPr>
              <w:jc w:val="right"/>
              <w:ind w:right="22"/>
              <w:spacing w:after="0"/>
              <w:rPr>
                <w:sz w:val="20"/>
                <w:szCs w:val="20"/>
                <w:color w:val="auto"/>
              </w:rPr>
            </w:pPr>
            <w:r>
              <w:rPr>
                <w:rFonts w:ascii="Arial" w:cs="Arial" w:eastAsia="Arial" w:hAnsi="Arial"/>
                <w:sz w:val="18"/>
                <w:szCs w:val="18"/>
                <w:b w:val="1"/>
                <w:bCs w:val="1"/>
                <w:color w:val="auto"/>
              </w:rPr>
              <w:t>$(35)</w:t>
            </w:r>
          </w:p>
        </w:tc>
        <w:tc>
          <w:tcPr>
            <w:tcW w:w="820" w:type="dxa"/>
            <w:vAlign w:val="bottom"/>
            <w:tcBorders>
              <w:bottom w:val="single" w:sz="8" w:color="auto"/>
            </w:tcBorders>
            <w:shd w:val="clear" w:color="auto" w:fill="E5E5E5"/>
          </w:tcPr>
          <w:p>
            <w:pPr>
              <w:jc w:val="right"/>
              <w:ind w:right="17"/>
              <w:spacing w:after="0"/>
              <w:rPr>
                <w:sz w:val="20"/>
                <w:szCs w:val="20"/>
                <w:color w:val="auto"/>
              </w:rPr>
            </w:pPr>
            <w:r>
              <w:rPr>
                <w:rFonts w:ascii="Arial" w:cs="Arial" w:eastAsia="Arial" w:hAnsi="Arial"/>
                <w:sz w:val="18"/>
                <w:szCs w:val="18"/>
                <w:b w:val="1"/>
                <w:bCs w:val="1"/>
                <w:color w:val="auto"/>
              </w:rPr>
              <w:t>(17.4)%</w:t>
            </w:r>
          </w:p>
        </w:tc>
        <w:tc>
          <w:tcPr>
            <w:tcW w:w="0" w:type="dxa"/>
            <w:vAlign w:val="bottom"/>
          </w:tcPr>
          <w:p>
            <w:pPr>
              <w:spacing w:after="0"/>
              <w:rPr>
                <w:sz w:val="1"/>
                <w:szCs w:val="1"/>
                <w:color w:val="auto"/>
              </w:rPr>
            </w:pPr>
          </w:p>
        </w:tc>
      </w:tr>
      <w:tr>
        <w:trPr>
          <w:trHeight w:val="363"/>
        </w:trPr>
        <w:tc>
          <w:tcPr>
            <w:tcW w:w="4780" w:type="dxa"/>
            <w:vAlign w:val="bottom"/>
          </w:tcPr>
          <w:p>
            <w:pPr>
              <w:spacing w:after="0"/>
              <w:rPr>
                <w:sz w:val="24"/>
                <w:szCs w:val="24"/>
                <w:color w:val="auto"/>
              </w:rPr>
            </w:pPr>
          </w:p>
        </w:tc>
        <w:tc>
          <w:tcPr>
            <w:tcW w:w="2760" w:type="dxa"/>
            <w:vAlign w:val="bottom"/>
          </w:tcPr>
          <w:p>
            <w:pPr>
              <w:jc w:val="right"/>
              <w:ind w:right="1632"/>
              <w:spacing w:after="0"/>
              <w:rPr>
                <w:sz w:val="20"/>
                <w:szCs w:val="20"/>
                <w:color w:val="auto"/>
              </w:rPr>
            </w:pPr>
            <w:r>
              <w:rPr>
                <w:rFonts w:ascii="Arial" w:cs="Arial" w:eastAsia="Arial" w:hAnsi="Arial"/>
                <w:sz w:val="18"/>
                <w:szCs w:val="18"/>
                <w:color w:val="auto"/>
              </w:rPr>
              <w:t>38</w:t>
            </w: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780" w:type="dxa"/>
            <w:vAlign w:val="bottom"/>
            <w:gridSpan w:val="3"/>
          </w:tcPr>
          <w:p>
            <w:pPr>
              <w:jc w:val="right"/>
              <w:ind w:right="477"/>
              <w:spacing w:after="0"/>
              <w:rPr>
                <w:sz w:val="20"/>
                <w:szCs w:val="20"/>
                <w:color w:val="auto"/>
              </w:rPr>
            </w:pPr>
            <w:r>
              <w:rPr>
                <w:rFonts w:ascii="Arial" w:cs="Arial" w:eastAsia="Arial" w:hAnsi="Arial"/>
                <w:sz w:val="14"/>
                <w:szCs w:val="14"/>
                <w:color w:val="auto"/>
                <w:w w:val="97"/>
              </w:rPr>
              <w:t>Nine Months Ended</w:t>
            </w:r>
          </w:p>
        </w:tc>
        <w:tc>
          <w:tcPr>
            <w:tcW w:w="1640" w:type="dxa"/>
            <w:vAlign w:val="bottom"/>
            <w:gridSpan w:val="2"/>
          </w:tcPr>
          <w:p>
            <w:pPr>
              <w:jc w:val="right"/>
              <w:ind w:right="537"/>
              <w:spacing w:after="0"/>
              <w:rPr>
                <w:sz w:val="20"/>
                <w:szCs w:val="20"/>
                <w:color w:val="auto"/>
              </w:rPr>
            </w:pPr>
            <w:r>
              <w:rPr>
                <w:rFonts w:ascii="Arial" w:cs="Arial" w:eastAsia="Arial" w:hAnsi="Arial"/>
                <w:sz w:val="14"/>
                <w:szCs w:val="14"/>
                <w:color w:val="auto"/>
              </w:rPr>
              <w:t>Increase/</w:t>
            </w:r>
          </w:p>
        </w:tc>
        <w:tc>
          <w:tcPr>
            <w:tcW w:w="0" w:type="dxa"/>
            <w:vAlign w:val="bottom"/>
          </w:tcPr>
          <w:p>
            <w:pPr>
              <w:spacing w:after="0"/>
              <w:rPr>
                <w:sz w:val="1"/>
                <w:szCs w:val="1"/>
                <w:color w:val="auto"/>
              </w:rPr>
            </w:pPr>
          </w:p>
        </w:tc>
      </w:tr>
      <w:tr>
        <w:trPr>
          <w:trHeight w:val="159"/>
        </w:trPr>
        <w:tc>
          <w:tcPr>
            <w:tcW w:w="746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5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September 30</w:t>
            </w:r>
          </w:p>
        </w:tc>
        <w:tc>
          <w:tcPr>
            <w:tcW w:w="70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2"/>
          </w:tcPr>
          <w:p>
            <w:pPr>
              <w:jc w:val="right"/>
              <w:ind w:right="497"/>
              <w:spacing w:after="0" w:line="159" w:lineRule="exact"/>
              <w:rPr>
                <w:sz w:val="20"/>
                <w:szCs w:val="20"/>
                <w:color w:val="auto"/>
              </w:rPr>
            </w:pPr>
            <w:r>
              <w:rPr>
                <w:rFonts w:ascii="Arial" w:cs="Arial" w:eastAsia="Arial" w:hAnsi="Arial"/>
                <w:sz w:val="14"/>
                <w:szCs w:val="14"/>
                <w:color w:val="auto"/>
              </w:rPr>
              <w:t>(Decrease)</w:t>
            </w:r>
          </w:p>
        </w:tc>
        <w:tc>
          <w:tcPr>
            <w:tcW w:w="0" w:type="dxa"/>
            <w:vAlign w:val="bottom"/>
          </w:tcPr>
          <w:p>
            <w:pPr>
              <w:spacing w:after="0"/>
              <w:rPr>
                <w:sz w:val="1"/>
                <w:szCs w:val="1"/>
                <w:color w:val="auto"/>
              </w:rPr>
            </w:pPr>
          </w:p>
        </w:tc>
      </w:tr>
      <w:tr>
        <w:trPr>
          <w:trHeight w:val="142"/>
        </w:trPr>
        <w:tc>
          <w:tcPr>
            <w:tcW w:w="7460" w:type="dxa"/>
            <w:vAlign w:val="bottom"/>
            <w:tcBorders>
              <w:bottom w:val="single" w:sz="8" w:color="auto"/>
            </w:tcBorders>
            <w:vMerge w:val="continue"/>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62"/>
              <w:spacing w:after="0" w:line="142" w:lineRule="exact"/>
              <w:rPr>
                <w:sz w:val="20"/>
                <w:szCs w:val="20"/>
                <w:color w:val="auto"/>
              </w:rPr>
            </w:pPr>
            <w:r>
              <w:rPr>
                <w:rFonts w:ascii="Arial" w:cs="Arial" w:eastAsia="Arial" w:hAnsi="Arial"/>
                <w:sz w:val="14"/>
                <w:szCs w:val="14"/>
                <w:color w:val="auto"/>
                <w:w w:val="83"/>
              </w:rPr>
              <w:t>2015</w:t>
            </w:r>
          </w:p>
        </w:tc>
        <w:tc>
          <w:tcPr>
            <w:tcW w:w="3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337"/>
              <w:spacing w:after="0" w:line="142" w:lineRule="exact"/>
              <w:rPr>
                <w:sz w:val="20"/>
                <w:szCs w:val="20"/>
                <w:color w:val="auto"/>
              </w:rPr>
            </w:pPr>
            <w:r>
              <w:rPr>
                <w:rFonts w:ascii="Arial" w:cs="Arial" w:eastAsia="Arial" w:hAnsi="Arial"/>
                <w:sz w:val="14"/>
                <w:szCs w:val="14"/>
                <w:color w:val="auto"/>
                <w:w w:val="83"/>
              </w:rPr>
              <w:t>2014</w:t>
            </w:r>
          </w:p>
        </w:tc>
        <w:tc>
          <w:tcPr>
            <w:tcW w:w="820" w:type="dxa"/>
            <w:vAlign w:val="bottom"/>
            <w:tcBorders>
              <w:bottom w:val="single" w:sz="8" w:color="auto"/>
            </w:tcBorders>
          </w:tcPr>
          <w:p>
            <w:pPr>
              <w:jc w:val="right"/>
              <w:ind w:right="262"/>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17"/>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746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5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5E5E5"/>
          </w:tcPr>
          <w:p>
            <w:pPr>
              <w:jc w:val="right"/>
              <w:ind w:right="222"/>
              <w:spacing w:after="0"/>
              <w:rPr>
                <w:sz w:val="20"/>
                <w:szCs w:val="20"/>
                <w:color w:val="auto"/>
              </w:rPr>
            </w:pPr>
            <w:r>
              <w:rPr>
                <w:rFonts w:ascii="Arial" w:cs="Arial" w:eastAsia="Arial" w:hAnsi="Arial"/>
                <w:sz w:val="18"/>
                <w:szCs w:val="18"/>
                <w:color w:val="auto"/>
              </w:rPr>
              <w:t>560</w:t>
            </w:r>
          </w:p>
        </w:tc>
        <w:tc>
          <w:tcPr>
            <w:tcW w:w="3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5E5E5"/>
          </w:tcPr>
          <w:p>
            <w:pPr>
              <w:jc w:val="right"/>
              <w:ind w:right="217"/>
              <w:spacing w:after="0"/>
              <w:rPr>
                <w:sz w:val="20"/>
                <w:szCs w:val="20"/>
                <w:color w:val="auto"/>
              </w:rPr>
            </w:pPr>
            <w:r>
              <w:rPr>
                <w:rFonts w:ascii="Arial" w:cs="Arial" w:eastAsia="Arial" w:hAnsi="Arial"/>
                <w:sz w:val="18"/>
                <w:szCs w:val="18"/>
                <w:color w:val="auto"/>
              </w:rPr>
              <w:t>520</w:t>
            </w:r>
          </w:p>
        </w:tc>
        <w:tc>
          <w:tcPr>
            <w:tcW w:w="820" w:type="dxa"/>
            <w:vAlign w:val="bottom"/>
            <w:shd w:val="clear" w:color="auto" w:fill="E5E5E5"/>
          </w:tcPr>
          <w:p>
            <w:pPr>
              <w:jc w:val="right"/>
              <w:ind w:right="82"/>
              <w:spacing w:after="0"/>
              <w:rPr>
                <w:sz w:val="20"/>
                <w:szCs w:val="20"/>
                <w:color w:val="auto"/>
              </w:rPr>
            </w:pPr>
            <w:r>
              <w:rPr>
                <w:rFonts w:ascii="Arial" w:cs="Arial" w:eastAsia="Arial" w:hAnsi="Arial"/>
                <w:sz w:val="18"/>
                <w:szCs w:val="18"/>
                <w:color w:val="auto"/>
              </w:rPr>
              <w:t>$  40</w:t>
            </w:r>
          </w:p>
        </w:tc>
        <w:tc>
          <w:tcPr>
            <w:tcW w:w="820" w:type="dxa"/>
            <w:vAlign w:val="bottom"/>
            <w:shd w:val="clear" w:color="auto" w:fill="E5E5E5"/>
          </w:tcPr>
          <w:p>
            <w:pPr>
              <w:jc w:val="right"/>
              <w:ind w:right="117"/>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7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Operating costs and expenses</w:t>
            </w:r>
          </w:p>
        </w:tc>
        <w:tc>
          <w:tcPr>
            <w:tcW w:w="5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22"/>
              <w:spacing w:after="0"/>
              <w:rPr>
                <w:sz w:val="20"/>
                <w:szCs w:val="20"/>
                <w:color w:val="auto"/>
              </w:rPr>
            </w:pPr>
            <w:r>
              <w:rPr>
                <w:rFonts w:ascii="Arial" w:cs="Arial" w:eastAsia="Arial" w:hAnsi="Arial"/>
                <w:sz w:val="18"/>
                <w:szCs w:val="18"/>
                <w:color w:val="auto"/>
                <w:w w:val="88"/>
              </w:rPr>
              <w:t>1,269</w:t>
            </w:r>
          </w:p>
        </w:tc>
        <w:tc>
          <w:tcPr>
            <w:tcW w:w="3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17"/>
              <w:spacing w:after="0"/>
              <w:rPr>
                <w:sz w:val="20"/>
                <w:szCs w:val="20"/>
                <w:color w:val="auto"/>
              </w:rPr>
            </w:pPr>
            <w:r>
              <w:rPr>
                <w:rFonts w:ascii="Arial" w:cs="Arial" w:eastAsia="Arial" w:hAnsi="Arial"/>
                <w:sz w:val="18"/>
                <w:szCs w:val="18"/>
                <w:color w:val="auto"/>
                <w:w w:val="84"/>
              </w:rPr>
              <w:t>1,052</w:t>
            </w:r>
          </w:p>
        </w:tc>
        <w:tc>
          <w:tcPr>
            <w:tcW w:w="820" w:type="dxa"/>
            <w:vAlign w:val="bottom"/>
            <w:tcBorders>
              <w:bottom w:val="single" w:sz="8" w:color="auto"/>
            </w:tcBorders>
          </w:tcPr>
          <w:p>
            <w:pPr>
              <w:jc w:val="right"/>
              <w:ind w:right="82"/>
              <w:spacing w:after="0"/>
              <w:rPr>
                <w:sz w:val="20"/>
                <w:szCs w:val="20"/>
                <w:color w:val="auto"/>
              </w:rPr>
            </w:pPr>
            <w:r>
              <w:rPr>
                <w:rFonts w:ascii="Arial" w:cs="Arial" w:eastAsia="Arial" w:hAnsi="Arial"/>
                <w:sz w:val="18"/>
                <w:szCs w:val="18"/>
                <w:color w:val="auto"/>
              </w:rPr>
              <w:t>217</w:t>
            </w:r>
          </w:p>
        </w:tc>
        <w:tc>
          <w:tcPr>
            <w:tcW w:w="820" w:type="dxa"/>
            <w:vAlign w:val="bottom"/>
            <w:tcBorders>
              <w:bottom w:val="single" w:sz="8" w:color="auto"/>
            </w:tcBorders>
          </w:tcPr>
          <w:p>
            <w:pPr>
              <w:jc w:val="right"/>
              <w:ind w:right="257"/>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7"/>
        </w:trPr>
        <w:tc>
          <w:tcPr>
            <w:tcW w:w="74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Operating loss before depreciation and amortization</w:t>
            </w:r>
          </w:p>
        </w:tc>
        <w:tc>
          <w:tcPr>
            <w:tcW w:w="5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E5E5E5"/>
          </w:tcPr>
          <w:p>
            <w:pPr>
              <w:jc w:val="right"/>
              <w:ind w:right="162"/>
              <w:spacing w:after="0"/>
              <w:rPr>
                <w:sz w:val="20"/>
                <w:szCs w:val="20"/>
                <w:color w:val="auto"/>
              </w:rPr>
            </w:pPr>
            <w:r>
              <w:rPr>
                <w:rFonts w:ascii="Arial" w:cs="Arial" w:eastAsia="Arial" w:hAnsi="Arial"/>
                <w:sz w:val="18"/>
                <w:szCs w:val="18"/>
                <w:b w:val="1"/>
                <w:bCs w:val="1"/>
                <w:color w:val="auto"/>
              </w:rPr>
              <w:t>(709)</w:t>
            </w:r>
          </w:p>
        </w:tc>
        <w:tc>
          <w:tcPr>
            <w:tcW w:w="3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E5E5E5"/>
          </w:tcPr>
          <w:p>
            <w:pPr>
              <w:jc w:val="right"/>
              <w:ind w:right="157"/>
              <w:spacing w:after="0"/>
              <w:rPr>
                <w:sz w:val="20"/>
                <w:szCs w:val="20"/>
                <w:color w:val="auto"/>
              </w:rPr>
            </w:pPr>
            <w:r>
              <w:rPr>
                <w:rFonts w:ascii="Arial" w:cs="Arial" w:eastAsia="Arial" w:hAnsi="Arial"/>
                <w:sz w:val="18"/>
                <w:szCs w:val="18"/>
                <w:b w:val="1"/>
                <w:bCs w:val="1"/>
                <w:color w:val="auto"/>
              </w:rPr>
              <w:t>(532)</w:t>
            </w:r>
          </w:p>
        </w:tc>
        <w:tc>
          <w:tcPr>
            <w:tcW w:w="820" w:type="dxa"/>
            <w:vAlign w:val="bottom"/>
            <w:tcBorders>
              <w:bottom w:val="single" w:sz="8" w:color="auto"/>
            </w:tcBorders>
            <w:shd w:val="clear" w:color="auto" w:fill="E5E5E5"/>
          </w:tcPr>
          <w:p>
            <w:pPr>
              <w:jc w:val="right"/>
              <w:ind w:right="22"/>
              <w:spacing w:after="0"/>
              <w:rPr>
                <w:sz w:val="20"/>
                <w:szCs w:val="20"/>
                <w:color w:val="auto"/>
              </w:rPr>
            </w:pPr>
            <w:r>
              <w:rPr>
                <w:rFonts w:ascii="Arial" w:cs="Arial" w:eastAsia="Arial" w:hAnsi="Arial"/>
                <w:sz w:val="18"/>
                <w:szCs w:val="18"/>
                <w:b w:val="1"/>
                <w:bCs w:val="1"/>
                <w:color w:val="auto"/>
              </w:rPr>
              <w:t>$(177)</w:t>
            </w:r>
          </w:p>
        </w:tc>
        <w:tc>
          <w:tcPr>
            <w:tcW w:w="820" w:type="dxa"/>
            <w:vAlign w:val="bottom"/>
            <w:tcBorders>
              <w:bottom w:val="single" w:sz="8" w:color="auto"/>
            </w:tcBorders>
            <w:shd w:val="clear" w:color="auto" w:fill="E5E5E5"/>
          </w:tcPr>
          <w:p>
            <w:pPr>
              <w:jc w:val="right"/>
              <w:ind w:right="17"/>
              <w:spacing w:after="0"/>
              <w:rPr>
                <w:sz w:val="20"/>
                <w:szCs w:val="20"/>
                <w:color w:val="auto"/>
              </w:rPr>
            </w:pPr>
            <w:r>
              <w:rPr>
                <w:rFonts w:ascii="Arial" w:cs="Arial" w:eastAsia="Arial" w:hAnsi="Arial"/>
                <w:sz w:val="18"/>
                <w:szCs w:val="18"/>
                <w:b w:val="1"/>
                <w:bCs w:val="1"/>
                <w:color w:val="auto"/>
              </w:rPr>
              <w:t>(33.2)%</w:t>
            </w:r>
          </w:p>
        </w:tc>
        <w:tc>
          <w:tcPr>
            <w:tcW w:w="0" w:type="dxa"/>
            <w:vAlign w:val="bottom"/>
          </w:tcPr>
          <w:p>
            <w:pPr>
              <w:spacing w:after="0"/>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Other—Revenue</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Other revenue primarily relates to Comcast Spectacor, which owns the Philadelphia Flyers and the Wells Fargo Center arena in Philadelphia, Pennsylvania and operates arena management-related businesses.</w:t>
      </w:r>
    </w:p>
    <w:p>
      <w:pPr>
        <w:spacing w:after="0" w:line="3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Other revenue increased for the three and nine months ended September 30, 2015 compared to the same periods in 2014 primarily due to increases in revenue from food and other services associated with new contracts entered into by our Comcast Spectacor business.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Other—Operating Costs and Expenses</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Corporate and Other operating costs and expenses primarily includes overhead, personnel costs, the costs of corporate initiatives and branding, and operating costs and expenses associated with Comcast Spectacor.</w:t>
      </w:r>
    </w:p>
    <w:p>
      <w:pPr>
        <w:spacing w:after="0" w:line="3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Corporate and Other operating costs and expenses for the three and nine months ended September 30, 2015 included $56 million of expenses related to a contract settlement. Corporate and Other operating expenses for the nine months ended September 30, 2015 included $178 million of transaction-related costs associated with the Time Warner Cable merger and related divestiture transactions. Corporate and Other operating costs and expenses for the three and nine months ended September 30, 2014 included $77 million and $138 million, respectively, of transaction-related costs associated with the Time Warner Cable merger and related divestiture transactions.</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Other Income (Expense) Items, Net</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20" w:type="dxa"/>
            <w:vAlign w:val="bottom"/>
            <w:gridSpan w:val="3"/>
          </w:tcPr>
          <w:p>
            <w:pPr>
              <w:jc w:val="right"/>
              <w:ind w:right="456"/>
              <w:spacing w:after="0"/>
              <w:rPr>
                <w:sz w:val="20"/>
                <w:szCs w:val="20"/>
                <w:color w:val="auto"/>
              </w:rPr>
            </w:pPr>
            <w:r>
              <w:rPr>
                <w:rFonts w:ascii="Arial" w:cs="Arial" w:eastAsia="Arial" w:hAnsi="Arial"/>
                <w:sz w:val="14"/>
                <w:szCs w:val="14"/>
                <w:color w:val="auto"/>
                <w:w w:val="96"/>
              </w:rPr>
              <w:t>Three Months Ended</w:t>
            </w:r>
          </w:p>
        </w:tc>
        <w:tc>
          <w:tcPr>
            <w:tcW w:w="1880" w:type="dxa"/>
            <w:vAlign w:val="bottom"/>
            <w:gridSpan w:val="2"/>
          </w:tcPr>
          <w:p>
            <w:pPr>
              <w:jc w:val="right"/>
              <w:ind w:right="296"/>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59"/>
        </w:trPr>
        <w:tc>
          <w:tcPr>
            <w:tcW w:w="718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5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September 30</w:t>
            </w:r>
          </w:p>
        </w:tc>
        <w:tc>
          <w:tcPr>
            <w:tcW w:w="72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gridSpan w:val="2"/>
          </w:tcPr>
          <w:p>
            <w:pPr>
              <w:jc w:val="right"/>
              <w:ind w:right="476"/>
              <w:spacing w:after="0" w:line="159" w:lineRule="exact"/>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42"/>
        </w:trPr>
        <w:tc>
          <w:tcPr>
            <w:tcW w:w="7180" w:type="dxa"/>
            <w:vAlign w:val="bottom"/>
            <w:tcBorders>
              <w:bottom w:val="single" w:sz="8" w:color="auto"/>
            </w:tcBorders>
            <w:vMerge w:val="continue"/>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60"/>
              <w:spacing w:after="0" w:line="142" w:lineRule="exact"/>
              <w:rPr>
                <w:sz w:val="20"/>
                <w:szCs w:val="20"/>
                <w:color w:val="auto"/>
              </w:rPr>
            </w:pPr>
            <w:r>
              <w:rPr>
                <w:rFonts w:ascii="Arial" w:cs="Arial" w:eastAsia="Arial" w:hAnsi="Arial"/>
                <w:sz w:val="14"/>
                <w:szCs w:val="14"/>
                <w:color w:val="auto"/>
                <w:w w:val="89"/>
              </w:rPr>
              <w:t>2015</w:t>
            </w:r>
          </w:p>
        </w:tc>
        <w:tc>
          <w:tcPr>
            <w:tcW w:w="3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56"/>
              <w:spacing w:after="0" w:line="142" w:lineRule="exact"/>
              <w:rPr>
                <w:sz w:val="20"/>
                <w:szCs w:val="20"/>
                <w:color w:val="auto"/>
              </w:rPr>
            </w:pPr>
            <w:r>
              <w:rPr>
                <w:rFonts w:ascii="Arial" w:cs="Arial" w:eastAsia="Arial" w:hAnsi="Arial"/>
                <w:sz w:val="14"/>
                <w:szCs w:val="14"/>
                <w:color w:val="auto"/>
                <w:w w:val="83"/>
              </w:rPr>
              <w:t>2014</w:t>
            </w:r>
          </w:p>
        </w:tc>
        <w:tc>
          <w:tcPr>
            <w:tcW w:w="980" w:type="dxa"/>
            <w:vAlign w:val="bottom"/>
            <w:tcBorders>
              <w:bottom w:val="single" w:sz="8" w:color="auto"/>
            </w:tcBorders>
          </w:tcPr>
          <w:p>
            <w:pPr>
              <w:jc w:val="right"/>
              <w:ind w:right="260"/>
              <w:spacing w:after="0" w:line="142" w:lineRule="exact"/>
              <w:rPr>
                <w:sz w:val="20"/>
                <w:szCs w:val="20"/>
                <w:color w:val="auto"/>
              </w:rPr>
            </w:pPr>
            <w:r>
              <w:rPr>
                <w:rFonts w:ascii="Arial" w:cs="Arial" w:eastAsia="Arial" w:hAnsi="Arial"/>
                <w:sz w:val="14"/>
                <w:szCs w:val="14"/>
                <w:color w:val="auto"/>
              </w:rPr>
              <w:t>2015</w:t>
            </w:r>
          </w:p>
        </w:tc>
        <w:tc>
          <w:tcPr>
            <w:tcW w:w="900" w:type="dxa"/>
            <w:vAlign w:val="bottom"/>
            <w:tcBorders>
              <w:bottom w:val="single" w:sz="8" w:color="auto"/>
            </w:tcBorders>
          </w:tcPr>
          <w:p>
            <w:pPr>
              <w:jc w:val="right"/>
              <w:ind w:right="276"/>
              <w:spacing w:after="0" w:line="142" w:lineRule="exact"/>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210"/>
        </w:trPr>
        <w:tc>
          <w:tcPr>
            <w:tcW w:w="7180" w:type="dxa"/>
            <w:vAlign w:val="bottom"/>
            <w:shd w:val="clear" w:color="auto" w:fill="E5E5E5"/>
          </w:tcPr>
          <w:p>
            <w:pPr>
              <w:spacing w:after="0"/>
              <w:rPr>
                <w:sz w:val="20"/>
                <w:szCs w:val="20"/>
                <w:color w:val="auto"/>
              </w:rPr>
            </w:pPr>
            <w:r>
              <w:rPr>
                <w:rFonts w:ascii="Arial" w:cs="Arial" w:eastAsia="Arial" w:hAnsi="Arial"/>
                <w:sz w:val="18"/>
                <w:szCs w:val="18"/>
                <w:color w:val="auto"/>
              </w:rPr>
              <w:t>Interest expense</w:t>
            </w:r>
          </w:p>
        </w:tc>
        <w:tc>
          <w:tcPr>
            <w:tcW w:w="5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E5E5E5"/>
          </w:tcPr>
          <w:p>
            <w:pPr>
              <w:jc w:val="right"/>
              <w:ind w:right="160"/>
              <w:spacing w:after="0"/>
              <w:rPr>
                <w:sz w:val="20"/>
                <w:szCs w:val="20"/>
                <w:color w:val="auto"/>
              </w:rPr>
            </w:pPr>
            <w:r>
              <w:rPr>
                <w:rFonts w:ascii="Arial" w:cs="Arial" w:eastAsia="Arial" w:hAnsi="Arial"/>
                <w:sz w:val="18"/>
                <w:szCs w:val="18"/>
                <w:color w:val="auto"/>
              </w:rPr>
              <w:t>(659)</w:t>
            </w:r>
          </w:p>
        </w:tc>
        <w:tc>
          <w:tcPr>
            <w:tcW w:w="3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5E5E5"/>
          </w:tcPr>
          <w:p>
            <w:pPr>
              <w:jc w:val="right"/>
              <w:ind w:right="156"/>
              <w:spacing w:after="0"/>
              <w:rPr>
                <w:sz w:val="20"/>
                <w:szCs w:val="20"/>
                <w:color w:val="auto"/>
              </w:rPr>
            </w:pPr>
            <w:r>
              <w:rPr>
                <w:rFonts w:ascii="Arial" w:cs="Arial" w:eastAsia="Arial" w:hAnsi="Arial"/>
                <w:sz w:val="18"/>
                <w:szCs w:val="18"/>
                <w:color w:val="auto"/>
              </w:rPr>
              <w:t>(663)</w:t>
            </w:r>
          </w:p>
        </w:tc>
        <w:tc>
          <w:tcPr>
            <w:tcW w:w="980" w:type="dxa"/>
            <w:vAlign w:val="bottom"/>
            <w:shd w:val="clear" w:color="auto" w:fill="E5E5E5"/>
          </w:tcPr>
          <w:p>
            <w:pPr>
              <w:jc w:val="right"/>
              <w:ind w:right="60"/>
              <w:spacing w:after="0"/>
              <w:rPr>
                <w:sz w:val="20"/>
                <w:szCs w:val="20"/>
                <w:color w:val="auto"/>
              </w:rPr>
            </w:pPr>
            <w:r>
              <w:rPr>
                <w:rFonts w:ascii="Arial" w:cs="Arial" w:eastAsia="Arial" w:hAnsi="Arial"/>
                <w:sz w:val="18"/>
                <w:szCs w:val="18"/>
                <w:color w:val="auto"/>
              </w:rPr>
              <w:t>$(2,028)</w:t>
            </w:r>
          </w:p>
        </w:tc>
        <w:tc>
          <w:tcPr>
            <w:tcW w:w="900" w:type="dxa"/>
            <w:vAlign w:val="bottom"/>
            <w:shd w:val="clear" w:color="auto" w:fill="E5E5E5"/>
          </w:tcPr>
          <w:p>
            <w:pPr>
              <w:jc w:val="right"/>
              <w:ind w:right="76"/>
              <w:spacing w:after="0"/>
              <w:rPr>
                <w:sz w:val="20"/>
                <w:szCs w:val="20"/>
                <w:color w:val="auto"/>
              </w:rPr>
            </w:pPr>
            <w:r>
              <w:rPr>
                <w:rFonts w:ascii="Arial" w:cs="Arial" w:eastAsia="Arial" w:hAnsi="Arial"/>
                <w:sz w:val="18"/>
                <w:szCs w:val="18"/>
                <w:color w:val="auto"/>
              </w:rPr>
              <w:t>$(1,953)</w:t>
            </w:r>
          </w:p>
        </w:tc>
        <w:tc>
          <w:tcPr>
            <w:tcW w:w="0" w:type="dxa"/>
            <w:vAlign w:val="bottom"/>
          </w:tcPr>
          <w:p>
            <w:pPr>
              <w:spacing w:after="0"/>
              <w:rPr>
                <w:sz w:val="1"/>
                <w:szCs w:val="1"/>
                <w:color w:val="auto"/>
              </w:rPr>
            </w:pP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Investment income (loss), net</w:t>
            </w:r>
          </w:p>
        </w:tc>
        <w:tc>
          <w:tcPr>
            <w:tcW w:w="540" w:type="dxa"/>
            <w:vAlign w:val="bottom"/>
          </w:tcPr>
          <w:p>
            <w:pPr>
              <w:spacing w:after="0"/>
              <w:rPr>
                <w:sz w:val="18"/>
                <w:szCs w:val="18"/>
                <w:color w:val="auto"/>
              </w:rPr>
            </w:pPr>
          </w:p>
        </w:tc>
        <w:tc>
          <w:tcPr>
            <w:tcW w:w="740" w:type="dxa"/>
            <w:vAlign w:val="bottom"/>
          </w:tcPr>
          <w:p>
            <w:pPr>
              <w:jc w:val="right"/>
              <w:ind w:right="160"/>
              <w:spacing w:after="0"/>
              <w:rPr>
                <w:sz w:val="20"/>
                <w:szCs w:val="20"/>
                <w:color w:val="auto"/>
              </w:rPr>
            </w:pPr>
            <w:r>
              <w:rPr>
                <w:rFonts w:ascii="Arial" w:cs="Arial" w:eastAsia="Arial" w:hAnsi="Arial"/>
                <w:sz w:val="18"/>
                <w:szCs w:val="18"/>
                <w:color w:val="auto"/>
              </w:rPr>
              <w:t>(26)</w:t>
            </w:r>
          </w:p>
        </w:tc>
        <w:tc>
          <w:tcPr>
            <w:tcW w:w="360" w:type="dxa"/>
            <w:vAlign w:val="bottom"/>
          </w:tcPr>
          <w:p>
            <w:pPr>
              <w:spacing w:after="0"/>
              <w:rPr>
                <w:sz w:val="18"/>
                <w:szCs w:val="18"/>
                <w:color w:val="auto"/>
              </w:rPr>
            </w:pPr>
          </w:p>
        </w:tc>
        <w:tc>
          <w:tcPr>
            <w:tcW w:w="720" w:type="dxa"/>
            <w:vAlign w:val="bottom"/>
          </w:tcPr>
          <w:p>
            <w:pPr>
              <w:jc w:val="right"/>
              <w:ind w:right="216"/>
              <w:spacing w:after="0"/>
              <w:rPr>
                <w:sz w:val="20"/>
                <w:szCs w:val="20"/>
                <w:color w:val="auto"/>
              </w:rPr>
            </w:pPr>
            <w:r>
              <w:rPr>
                <w:rFonts w:ascii="Arial" w:cs="Arial" w:eastAsia="Arial" w:hAnsi="Arial"/>
                <w:sz w:val="18"/>
                <w:szCs w:val="18"/>
                <w:color w:val="auto"/>
              </w:rPr>
              <w:t>21</w:t>
            </w:r>
          </w:p>
        </w:tc>
        <w:tc>
          <w:tcPr>
            <w:tcW w:w="980" w:type="dxa"/>
            <w:vAlign w:val="bottom"/>
          </w:tcPr>
          <w:p>
            <w:pPr>
              <w:jc w:val="right"/>
              <w:ind w:right="120"/>
              <w:spacing w:after="0"/>
              <w:rPr>
                <w:sz w:val="20"/>
                <w:szCs w:val="20"/>
                <w:color w:val="auto"/>
              </w:rPr>
            </w:pPr>
            <w:r>
              <w:rPr>
                <w:rFonts w:ascii="Arial" w:cs="Arial" w:eastAsia="Arial" w:hAnsi="Arial"/>
                <w:sz w:val="18"/>
                <w:szCs w:val="18"/>
                <w:color w:val="auto"/>
              </w:rPr>
              <w:t>24</w:t>
            </w:r>
          </w:p>
        </w:tc>
        <w:tc>
          <w:tcPr>
            <w:tcW w:w="900" w:type="dxa"/>
            <w:vAlign w:val="bottom"/>
          </w:tcPr>
          <w:p>
            <w:pPr>
              <w:jc w:val="right"/>
              <w:ind w:right="136"/>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6"/>
        </w:trPr>
        <w:tc>
          <w:tcPr>
            <w:tcW w:w="7180" w:type="dxa"/>
            <w:vAlign w:val="bottom"/>
            <w:shd w:val="clear" w:color="auto" w:fill="E5E5E5"/>
          </w:tcPr>
          <w:p>
            <w:pPr>
              <w:spacing w:after="0"/>
              <w:rPr>
                <w:sz w:val="20"/>
                <w:szCs w:val="20"/>
                <w:color w:val="auto"/>
              </w:rPr>
            </w:pPr>
            <w:r>
              <w:rPr>
                <w:rFonts w:ascii="Arial" w:cs="Arial" w:eastAsia="Arial" w:hAnsi="Arial"/>
                <w:sz w:val="18"/>
                <w:szCs w:val="18"/>
                <w:color w:val="auto"/>
              </w:rPr>
              <w:t>Equity in net income (losses) of investees, net</w:t>
            </w:r>
          </w:p>
        </w:tc>
        <w:tc>
          <w:tcPr>
            <w:tcW w:w="5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220"/>
              <w:spacing w:after="0"/>
              <w:rPr>
                <w:sz w:val="20"/>
                <w:szCs w:val="20"/>
                <w:color w:val="auto"/>
              </w:rPr>
            </w:pPr>
            <w:r>
              <w:rPr>
                <w:rFonts w:ascii="Arial" w:cs="Arial" w:eastAsia="Arial" w:hAnsi="Arial"/>
                <w:sz w:val="18"/>
                <w:szCs w:val="18"/>
                <w:color w:val="auto"/>
              </w:rPr>
              <w:t>1</w:t>
            </w:r>
          </w:p>
        </w:tc>
        <w:tc>
          <w:tcPr>
            <w:tcW w:w="3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216"/>
              <w:spacing w:after="0"/>
              <w:rPr>
                <w:sz w:val="20"/>
                <w:szCs w:val="20"/>
                <w:color w:val="auto"/>
              </w:rPr>
            </w:pPr>
            <w:r>
              <w:rPr>
                <w:rFonts w:ascii="Arial" w:cs="Arial" w:eastAsia="Arial" w:hAnsi="Arial"/>
                <w:sz w:val="18"/>
                <w:szCs w:val="18"/>
                <w:color w:val="auto"/>
              </w:rPr>
              <w:t>33</w:t>
            </w:r>
          </w:p>
        </w:tc>
        <w:tc>
          <w:tcPr>
            <w:tcW w:w="980" w:type="dxa"/>
            <w:vAlign w:val="bottom"/>
            <w:shd w:val="clear" w:color="auto" w:fill="E5E5E5"/>
          </w:tcPr>
          <w:p>
            <w:pPr>
              <w:jc w:val="right"/>
              <w:ind w:right="60"/>
              <w:spacing w:after="0"/>
              <w:rPr>
                <w:sz w:val="20"/>
                <w:szCs w:val="20"/>
                <w:color w:val="auto"/>
              </w:rPr>
            </w:pPr>
            <w:r>
              <w:rPr>
                <w:rFonts w:ascii="Arial" w:cs="Arial" w:eastAsia="Arial" w:hAnsi="Arial"/>
                <w:sz w:val="18"/>
                <w:szCs w:val="18"/>
                <w:color w:val="auto"/>
              </w:rPr>
              <w:t>(202)</w:t>
            </w:r>
          </w:p>
        </w:tc>
        <w:tc>
          <w:tcPr>
            <w:tcW w:w="900" w:type="dxa"/>
            <w:vAlign w:val="bottom"/>
            <w:shd w:val="clear" w:color="auto" w:fill="E5E5E5"/>
          </w:tcPr>
          <w:p>
            <w:pPr>
              <w:jc w:val="right"/>
              <w:ind w:right="136"/>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7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income (expense), net</w:t>
            </w:r>
          </w:p>
        </w:tc>
        <w:tc>
          <w:tcPr>
            <w:tcW w:w="5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60"/>
              <w:spacing w:after="0"/>
              <w:rPr>
                <w:sz w:val="20"/>
                <w:szCs w:val="20"/>
                <w:color w:val="auto"/>
              </w:rPr>
            </w:pPr>
            <w:r>
              <w:rPr>
                <w:rFonts w:ascii="Arial" w:cs="Arial" w:eastAsia="Arial" w:hAnsi="Arial"/>
                <w:sz w:val="18"/>
                <w:szCs w:val="18"/>
                <w:color w:val="auto"/>
              </w:rPr>
              <w:t>(53)</w:t>
            </w:r>
          </w:p>
        </w:tc>
        <w:tc>
          <w:tcPr>
            <w:tcW w:w="3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color w:val="auto"/>
              </w:rPr>
              <w:t>(96)</w:t>
            </w:r>
          </w:p>
        </w:tc>
        <w:tc>
          <w:tcPr>
            <w:tcW w:w="980" w:type="dxa"/>
            <w:vAlign w:val="bottom"/>
            <w:tcBorders>
              <w:bottom w:val="single" w:sz="8" w:color="auto"/>
            </w:tcBorders>
          </w:tcPr>
          <w:p>
            <w:pPr>
              <w:jc w:val="right"/>
              <w:ind w:right="120"/>
              <w:spacing w:after="0"/>
              <w:rPr>
                <w:sz w:val="20"/>
                <w:szCs w:val="20"/>
                <w:color w:val="auto"/>
              </w:rPr>
            </w:pPr>
            <w:r>
              <w:rPr>
                <w:rFonts w:ascii="Arial" w:cs="Arial" w:eastAsia="Arial" w:hAnsi="Arial"/>
                <w:sz w:val="18"/>
                <w:szCs w:val="18"/>
                <w:color w:val="auto"/>
              </w:rPr>
              <w:t>364</w:t>
            </w:r>
          </w:p>
        </w:tc>
        <w:tc>
          <w:tcPr>
            <w:tcW w:w="90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7"/>
        </w:trPr>
        <w:tc>
          <w:tcPr>
            <w:tcW w:w="71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w:t>
            </w:r>
          </w:p>
        </w:tc>
        <w:tc>
          <w:tcPr>
            <w:tcW w:w="5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shd w:val="clear" w:color="auto" w:fill="E5E5E5"/>
          </w:tcPr>
          <w:p>
            <w:pPr>
              <w:jc w:val="right"/>
              <w:ind w:right="160"/>
              <w:spacing w:after="0"/>
              <w:rPr>
                <w:sz w:val="20"/>
                <w:szCs w:val="20"/>
                <w:color w:val="auto"/>
              </w:rPr>
            </w:pPr>
            <w:r>
              <w:rPr>
                <w:rFonts w:ascii="Arial" w:cs="Arial" w:eastAsia="Arial" w:hAnsi="Arial"/>
                <w:sz w:val="18"/>
                <w:szCs w:val="18"/>
                <w:b w:val="1"/>
                <w:bCs w:val="1"/>
                <w:color w:val="auto"/>
              </w:rPr>
              <w:t>(737)</w:t>
            </w:r>
          </w:p>
        </w:tc>
        <w:tc>
          <w:tcPr>
            <w:tcW w:w="3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E5E5E5"/>
          </w:tcPr>
          <w:p>
            <w:pPr>
              <w:jc w:val="right"/>
              <w:ind w:right="156"/>
              <w:spacing w:after="0"/>
              <w:rPr>
                <w:sz w:val="20"/>
                <w:szCs w:val="20"/>
                <w:color w:val="auto"/>
              </w:rPr>
            </w:pPr>
            <w:r>
              <w:rPr>
                <w:rFonts w:ascii="Arial" w:cs="Arial" w:eastAsia="Arial" w:hAnsi="Arial"/>
                <w:sz w:val="18"/>
                <w:szCs w:val="18"/>
                <w:b w:val="1"/>
                <w:bCs w:val="1"/>
                <w:color w:val="auto"/>
              </w:rPr>
              <w:t>(705)</w:t>
            </w:r>
          </w:p>
        </w:tc>
        <w:tc>
          <w:tcPr>
            <w:tcW w:w="980" w:type="dxa"/>
            <w:vAlign w:val="bottom"/>
            <w:tcBorders>
              <w:bottom w:val="single" w:sz="8" w:color="auto"/>
            </w:tcBorders>
            <w:shd w:val="clear" w:color="auto" w:fill="E5E5E5"/>
          </w:tcPr>
          <w:p>
            <w:pPr>
              <w:jc w:val="right"/>
              <w:ind w:right="60"/>
              <w:spacing w:after="0"/>
              <w:rPr>
                <w:sz w:val="20"/>
                <w:szCs w:val="20"/>
                <w:color w:val="auto"/>
              </w:rPr>
            </w:pPr>
            <w:r>
              <w:rPr>
                <w:rFonts w:ascii="Arial" w:cs="Arial" w:eastAsia="Arial" w:hAnsi="Arial"/>
                <w:sz w:val="18"/>
                <w:szCs w:val="18"/>
                <w:b w:val="1"/>
                <w:bCs w:val="1"/>
                <w:color w:val="auto"/>
              </w:rPr>
              <w:t>$(1,842)</w:t>
            </w:r>
          </w:p>
        </w:tc>
        <w:tc>
          <w:tcPr>
            <w:tcW w:w="900" w:type="dxa"/>
            <w:vAlign w:val="bottom"/>
            <w:tcBorders>
              <w:bottom w:val="single" w:sz="8" w:color="auto"/>
            </w:tcBorders>
            <w:shd w:val="clear" w:color="auto" w:fill="E5E5E5"/>
          </w:tcPr>
          <w:p>
            <w:pPr>
              <w:jc w:val="right"/>
              <w:ind w:right="76"/>
              <w:spacing w:after="0"/>
              <w:rPr>
                <w:sz w:val="20"/>
                <w:szCs w:val="20"/>
                <w:color w:val="auto"/>
              </w:rPr>
            </w:pPr>
            <w:r>
              <w:rPr>
                <w:rFonts w:ascii="Arial" w:cs="Arial" w:eastAsia="Arial" w:hAnsi="Arial"/>
                <w:sz w:val="18"/>
                <w:szCs w:val="18"/>
                <w:b w:val="1"/>
                <w:bCs w:val="1"/>
                <w:color w:val="auto"/>
              </w:rPr>
              <w:t>$(1,762)</w:t>
            </w: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Interest expense remained relatively flat for the three months ended September 30, 2015 compared to the same period in 2014. Interest expense increased for the nine months ended September 30, 2015 compared to the same period in 2014 primarily due to $47 million of additional interest expense associated with the early redemption in June 2015 of our $750 million aggregate principal amount of 5.85% senior notes due November 2015 and our $1.0 billion aggregate principal amount of 5.90% senior notes due March 2016.</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Income (Loss), Net</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components of investment income (loss), net for the three and nine months ended September 30, 2015 and 2014 are presented in a table in Note 6 to Comcast’s condensed consolidated financial statements.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 Net Income (Losses) of Investees, Net</w:t>
      </w:r>
    </w:p>
    <w:p>
      <w:pPr>
        <w:spacing w:after="0" w:line="74" w:lineRule="exact"/>
        <w:rPr>
          <w:sz w:val="20"/>
          <w:szCs w:val="20"/>
          <w:color w:val="auto"/>
        </w:rPr>
      </w:pPr>
    </w:p>
    <w:p>
      <w:pPr>
        <w:jc w:val="both"/>
        <w:ind w:right="20"/>
        <w:spacing w:after="0" w:line="370" w:lineRule="auto"/>
        <w:rPr>
          <w:sz w:val="20"/>
          <w:szCs w:val="20"/>
          <w:color w:val="auto"/>
        </w:rPr>
      </w:pPr>
      <w:r>
        <w:rPr>
          <w:rFonts w:ascii="Arial" w:cs="Arial" w:eastAsia="Arial" w:hAnsi="Arial"/>
          <w:sz w:val="15"/>
          <w:szCs w:val="15"/>
          <w:color w:val="auto"/>
        </w:rPr>
        <w:t>The change in equity in net income (losses) of investees, net for the three months ended September 30, 2015 compared to the same period in 2014 was primarily due to changes in the operating results of our equity method investments. The change in equity in net income (losses) of investees, net for the nine months ended</w:t>
      </w:r>
    </w:p>
    <w:p>
      <w:pPr>
        <w:spacing w:after="0" w:line="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September 30, 2015 compared to the same period in 2014 was primarily due to The Weather Channel Holding Corp. recording an impairment charge related to goodwill in the current year period. We recorded an expense of $252 million representing NBCUniversal’s proportionate share of this impairment charge in equity in net income (losses) of investees, net.</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7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Other income (expense), net for the three months ended September 30, 2015 included a gain of $43 million related to an equity method investment, which was more than offset by $100 million of expenses related to fair value adjustments to contractual obligations. Other income (expense), net for the three months ended September 30, 2014 included $35 million of expenses related to the indemnification receivable associated with the adjustment to our accruals for uncertain tax positions and $52 million of expenses related to fair value adjustments to contractual obligations.</w:t>
      </w:r>
    </w:p>
    <w:p>
      <w:pPr>
        <w:spacing w:after="0" w:line="18"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Other income (expense), net for the nine months ended September 30, 2015 included gains of $335 million on the sales of a business and an investment and $240 million on the settlement of a contingent consideration liability with General Electric Company related to the acquisition of NBCUniversal which was partially offset by $236 million of expenses related to fair value adjustments to contractual obligations. Other income (expense), net for the nine months ended September 30, 2014 included a $27 million favorable settlement of a contingency related to the AT&amp;T Broadband transaction in 2002, which was more than offset by $120 million of expenses related to fair value adjustments to contractual obligations.</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Income Tax Expense</w:t>
      </w:r>
    </w:p>
    <w:p>
      <w:pPr>
        <w:spacing w:after="0" w:line="8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Income tax expense for the three and nine months ended September 30, 2015 and 2014 reflects an effective income tax rate that differs from the federal statutory rate primarily due to state income taxes and adjustments associated with uncertain tax positions. During the three months ended September 30, 2014, we reduced our accruals for uncertain tax positions and the related accrued interest on these tax positions that resulted in a decrease of $759 million in income tax expense. We expect our 2015 annual effective tax rate to be in the range of 37% to 39%, absent changes in tax laws or further changes in uncertain tax positions. It is reasonably possible that certain tax contests could be resolved within the next 12 months that may result in a decrease in our effective tax rate.</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businesses generate significant cash flows from operating activities. We believe that we will be able to continue to meet our current and long-term liquidity and capital requirements, including fixed charges, through our cash flows from operating activities, existing cash, cash equivalents and investments; available borrowings under our existing credit facilities; and our ability to obtain future external financing. We anticipate that we will continue to use a substantial portion of our cash flows to meet our debt repayment obligations, to fund our capital expenditures, to invest in business opportunities and to return capital to shareholders.</w:t>
      </w:r>
    </w:p>
    <w:p>
      <w:pPr>
        <w:spacing w:after="0" w:line="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September 2015, NBCUniversal entered into an agreement to acquire a 51% economic interest in the entity that owns the Universal Studios Japan theme park for $1.5 billion. The acquisition is expected to be funded through cash on hand and borrowings under our commercial paper program. The transaction, which is subject to customary closing conditions, is expected to close in the fourth quarter of 2015.</w:t>
      </w:r>
    </w:p>
    <w:p>
      <w:pPr>
        <w:spacing w:after="0" w:line="4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On March 30, 2015, we entered into an agreement to establish a new, strategic company focused on investing in and operating growth-oriented companies, both domestically and internationally. Michael J. Angelakis, who served as our Chief Financial Officer through June 30, 2015, will serve as the Chief Executive Officer of this company, and the agreement will be exclusively with us as the only non-management investor. The company will have a term of up to 12 years. We have committed to invest up to $4 billion in the company and also will pay an annual $40 million management fee, subject to certain offsets.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Components of Net Cash Provided by Operating Activities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60" w:type="dxa"/>
            <w:vAlign w:val="bottom"/>
          </w:tcPr>
          <w:p>
            <w:pPr>
              <w:spacing w:after="0"/>
              <w:rPr>
                <w:sz w:val="14"/>
                <w:szCs w:val="14"/>
                <w:color w:val="auto"/>
              </w:rPr>
            </w:pPr>
          </w:p>
        </w:tc>
        <w:tc>
          <w:tcPr>
            <w:tcW w:w="2060" w:type="dxa"/>
            <w:vAlign w:val="bottom"/>
            <w:gridSpan w:val="3"/>
          </w:tcPr>
          <w:p>
            <w:pPr>
              <w:jc w:val="right"/>
              <w:ind w:right="294"/>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59"/>
        </w:trPr>
        <w:tc>
          <w:tcPr>
            <w:tcW w:w="936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2060" w:type="dxa"/>
            <w:vAlign w:val="bottom"/>
            <w:tcBorders>
              <w:bottom w:val="single" w:sz="8" w:color="auto"/>
            </w:tcBorders>
            <w:gridSpan w:val="3"/>
          </w:tcPr>
          <w:p>
            <w:pPr>
              <w:jc w:val="right"/>
              <w:ind w:right="454"/>
              <w:spacing w:after="0" w:line="159" w:lineRule="exact"/>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42"/>
        </w:trPr>
        <w:tc>
          <w:tcPr>
            <w:tcW w:w="9360" w:type="dxa"/>
            <w:vAlign w:val="bottom"/>
            <w:tcBorders>
              <w:bottom w:val="single" w:sz="8" w:color="auto"/>
            </w:tcBorders>
            <w:vMerge w:val="continue"/>
          </w:tcPr>
          <w:p>
            <w:pPr>
              <w:spacing w:after="0"/>
              <w:rPr>
                <w:sz w:val="12"/>
                <w:szCs w:val="12"/>
                <w:color w:val="auto"/>
              </w:rPr>
            </w:pPr>
          </w:p>
        </w:tc>
        <w:tc>
          <w:tcPr>
            <w:tcW w:w="1160" w:type="dxa"/>
            <w:vAlign w:val="bottom"/>
            <w:tcBorders>
              <w:bottom w:val="single" w:sz="8" w:color="auto"/>
            </w:tcBorders>
          </w:tcPr>
          <w:p>
            <w:pPr>
              <w:jc w:val="right"/>
              <w:ind w:right="297"/>
              <w:spacing w:after="0" w:line="142" w:lineRule="exact"/>
              <w:rPr>
                <w:sz w:val="20"/>
                <w:szCs w:val="20"/>
                <w:color w:val="auto"/>
              </w:rPr>
            </w:pPr>
            <w:r>
              <w:rPr>
                <w:rFonts w:ascii="Arial" w:cs="Arial" w:eastAsia="Arial" w:hAnsi="Arial"/>
                <w:sz w:val="14"/>
                <w:szCs w:val="14"/>
                <w:color w:val="auto"/>
              </w:rPr>
              <w:t>2015</w:t>
            </w:r>
          </w:p>
        </w:tc>
        <w:tc>
          <w:tcPr>
            <w:tcW w:w="2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210"/>
        </w:trPr>
        <w:tc>
          <w:tcPr>
            <w:tcW w:w="9360" w:type="dxa"/>
            <w:vAlign w:val="bottom"/>
            <w:shd w:val="clear" w:color="auto" w:fill="E5E5E5"/>
          </w:tcPr>
          <w:p>
            <w:pPr>
              <w:spacing w:after="0"/>
              <w:rPr>
                <w:sz w:val="20"/>
                <w:szCs w:val="20"/>
                <w:color w:val="auto"/>
              </w:rPr>
            </w:pPr>
            <w:r>
              <w:rPr>
                <w:rFonts w:ascii="Arial" w:cs="Arial" w:eastAsia="Arial" w:hAnsi="Arial"/>
                <w:sz w:val="18"/>
                <w:szCs w:val="18"/>
                <w:color w:val="auto"/>
              </w:rPr>
              <w:t>Operating income</w:t>
            </w:r>
          </w:p>
        </w:tc>
        <w:tc>
          <w:tcPr>
            <w:tcW w:w="1160" w:type="dxa"/>
            <w:vAlign w:val="bottom"/>
            <w:shd w:val="clear" w:color="auto" w:fill="E5E5E5"/>
          </w:tcPr>
          <w:p>
            <w:pPr>
              <w:jc w:val="right"/>
              <w:ind w:right="117"/>
              <w:spacing w:after="0"/>
              <w:rPr>
                <w:sz w:val="20"/>
                <w:szCs w:val="20"/>
                <w:color w:val="auto"/>
              </w:rPr>
            </w:pPr>
            <w:r>
              <w:rPr>
                <w:rFonts w:ascii="Arial" w:cs="Arial" w:eastAsia="Arial" w:hAnsi="Arial"/>
                <w:sz w:val="18"/>
                <w:szCs w:val="18"/>
                <w:color w:val="auto"/>
              </w:rPr>
              <w:t>$ 11,996</w:t>
            </w:r>
          </w:p>
        </w:tc>
        <w:tc>
          <w:tcPr>
            <w:tcW w:w="2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w w:val="94"/>
              </w:rPr>
              <w:t>11,117</w:t>
            </w:r>
          </w:p>
        </w:tc>
        <w:tc>
          <w:tcPr>
            <w:tcW w:w="0" w:type="dxa"/>
            <w:vAlign w:val="bottom"/>
          </w:tcPr>
          <w:p>
            <w:pPr>
              <w:spacing w:after="0"/>
              <w:rPr>
                <w:sz w:val="1"/>
                <w:szCs w:val="1"/>
                <w:color w:val="auto"/>
              </w:rPr>
            </w:pPr>
          </w:p>
        </w:tc>
      </w:tr>
      <w:tr>
        <w:trPr>
          <w:trHeight w:val="216"/>
        </w:trPr>
        <w:tc>
          <w:tcPr>
            <w:tcW w:w="9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Depreciation and amortization</w:t>
            </w:r>
          </w:p>
        </w:tc>
        <w:tc>
          <w:tcPr>
            <w:tcW w:w="1160" w:type="dxa"/>
            <w:vAlign w:val="bottom"/>
            <w:tcBorders>
              <w:bottom w:val="single" w:sz="8" w:color="auto"/>
            </w:tcBorders>
          </w:tcPr>
          <w:p>
            <w:pPr>
              <w:jc w:val="right"/>
              <w:ind w:right="117"/>
              <w:spacing w:after="0"/>
              <w:rPr>
                <w:sz w:val="20"/>
                <w:szCs w:val="20"/>
                <w:color w:val="auto"/>
              </w:rPr>
            </w:pPr>
            <w:r>
              <w:rPr>
                <w:rFonts w:ascii="Arial" w:cs="Arial" w:eastAsia="Arial" w:hAnsi="Arial"/>
                <w:sz w:val="18"/>
                <w:szCs w:val="18"/>
                <w:color w:val="auto"/>
              </w:rPr>
              <w:t>6,410</w:t>
            </w:r>
          </w:p>
        </w:tc>
        <w:tc>
          <w:tcPr>
            <w:tcW w:w="2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5,929</w:t>
            </w:r>
          </w:p>
        </w:tc>
        <w:tc>
          <w:tcPr>
            <w:tcW w:w="0" w:type="dxa"/>
            <w:vAlign w:val="bottom"/>
          </w:tcPr>
          <w:p>
            <w:pPr>
              <w:spacing w:after="0"/>
              <w:rPr>
                <w:sz w:val="1"/>
                <w:szCs w:val="1"/>
                <w:color w:val="auto"/>
              </w:rPr>
            </w:pPr>
          </w:p>
        </w:tc>
      </w:tr>
      <w:tr>
        <w:trPr>
          <w:trHeight w:val="210"/>
        </w:trPr>
        <w:tc>
          <w:tcPr>
            <w:tcW w:w="9360" w:type="dxa"/>
            <w:vAlign w:val="bottom"/>
            <w:shd w:val="clear" w:color="auto" w:fill="E5E5E5"/>
          </w:tcPr>
          <w:p>
            <w:pPr>
              <w:ind w:left="440"/>
              <w:spacing w:after="0"/>
              <w:rPr>
                <w:sz w:val="20"/>
                <w:szCs w:val="20"/>
                <w:color w:val="auto"/>
              </w:rPr>
            </w:pPr>
            <w:r>
              <w:rPr>
                <w:rFonts w:ascii="Arial" w:cs="Arial" w:eastAsia="Arial" w:hAnsi="Arial"/>
                <w:sz w:val="18"/>
                <w:szCs w:val="18"/>
                <w:color w:val="auto"/>
              </w:rPr>
              <w:t>Operating income before depreciation and amortization</w:t>
            </w:r>
          </w:p>
        </w:tc>
        <w:tc>
          <w:tcPr>
            <w:tcW w:w="1160" w:type="dxa"/>
            <w:vAlign w:val="bottom"/>
            <w:shd w:val="clear" w:color="auto" w:fill="E5E5E5"/>
          </w:tcPr>
          <w:p>
            <w:pPr>
              <w:jc w:val="right"/>
              <w:ind w:right="117"/>
              <w:spacing w:after="0"/>
              <w:rPr>
                <w:sz w:val="20"/>
                <w:szCs w:val="20"/>
                <w:color w:val="auto"/>
              </w:rPr>
            </w:pPr>
            <w:r>
              <w:rPr>
                <w:rFonts w:ascii="Arial" w:cs="Arial" w:eastAsia="Arial" w:hAnsi="Arial"/>
                <w:sz w:val="18"/>
                <w:szCs w:val="18"/>
                <w:color w:val="auto"/>
              </w:rPr>
              <w:t>18,406</w:t>
            </w:r>
          </w:p>
        </w:tc>
        <w:tc>
          <w:tcPr>
            <w:tcW w:w="26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w w:val="94"/>
              </w:rPr>
              <w:t>17,046</w:t>
            </w:r>
          </w:p>
        </w:tc>
        <w:tc>
          <w:tcPr>
            <w:tcW w:w="0" w:type="dxa"/>
            <w:vAlign w:val="bottom"/>
          </w:tcPr>
          <w:p>
            <w:pPr>
              <w:spacing w:after="0"/>
              <w:rPr>
                <w:sz w:val="1"/>
                <w:szCs w:val="1"/>
                <w:color w:val="auto"/>
              </w:rPr>
            </w:pP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Noncash share-based compensation</w:t>
            </w:r>
          </w:p>
        </w:tc>
        <w:tc>
          <w:tcPr>
            <w:tcW w:w="1160" w:type="dxa"/>
            <w:vAlign w:val="bottom"/>
          </w:tcPr>
          <w:p>
            <w:pPr>
              <w:jc w:val="right"/>
              <w:ind w:right="117"/>
              <w:spacing w:after="0"/>
              <w:rPr>
                <w:sz w:val="20"/>
                <w:szCs w:val="20"/>
                <w:color w:val="auto"/>
              </w:rPr>
            </w:pPr>
            <w:r>
              <w:rPr>
                <w:rFonts w:ascii="Arial" w:cs="Arial" w:eastAsia="Arial" w:hAnsi="Arial"/>
                <w:sz w:val="18"/>
                <w:szCs w:val="18"/>
                <w:color w:val="auto"/>
              </w:rPr>
              <w:t>430</w:t>
            </w:r>
          </w:p>
        </w:tc>
        <w:tc>
          <w:tcPr>
            <w:tcW w:w="260" w:type="dxa"/>
            <w:vAlign w:val="bottom"/>
          </w:tcPr>
          <w:p>
            <w:pPr>
              <w:spacing w:after="0"/>
              <w:rPr>
                <w:sz w:val="18"/>
                <w:szCs w:val="18"/>
                <w:color w:val="auto"/>
              </w:rPr>
            </w:pP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16"/>
        </w:trPr>
        <w:tc>
          <w:tcPr>
            <w:tcW w:w="93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Changes in operating assets and liabilities</w:t>
            </w:r>
          </w:p>
        </w:tc>
        <w:tc>
          <w:tcPr>
            <w:tcW w:w="1160" w:type="dxa"/>
            <w:vAlign w:val="bottom"/>
            <w:tcBorders>
              <w:bottom w:val="single" w:sz="8" w:color="auto"/>
            </w:tcBorders>
            <w:shd w:val="clear" w:color="auto" w:fill="E5E5E5"/>
          </w:tcPr>
          <w:p>
            <w:pPr>
              <w:jc w:val="right"/>
              <w:ind w:right="117"/>
              <w:spacing w:after="0"/>
              <w:rPr>
                <w:sz w:val="20"/>
                <w:szCs w:val="20"/>
                <w:color w:val="auto"/>
              </w:rPr>
            </w:pPr>
            <w:r>
              <w:rPr>
                <w:rFonts w:ascii="Arial" w:cs="Arial" w:eastAsia="Arial" w:hAnsi="Arial"/>
                <w:sz w:val="18"/>
                <w:szCs w:val="18"/>
                <w:color w:val="auto"/>
              </w:rPr>
              <w:t>108</w:t>
            </w:r>
          </w:p>
        </w:tc>
        <w:tc>
          <w:tcPr>
            <w:tcW w:w="26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10"/>
        </w:trPr>
        <w:tc>
          <w:tcPr>
            <w:tcW w:w="9360" w:type="dxa"/>
            <w:vAlign w:val="bottom"/>
          </w:tcPr>
          <w:p>
            <w:pPr>
              <w:ind w:left="440"/>
              <w:spacing w:after="0"/>
              <w:rPr>
                <w:sz w:val="20"/>
                <w:szCs w:val="20"/>
                <w:color w:val="auto"/>
              </w:rPr>
            </w:pPr>
            <w:r>
              <w:rPr>
                <w:rFonts w:ascii="Arial" w:cs="Arial" w:eastAsia="Arial" w:hAnsi="Arial"/>
                <w:sz w:val="18"/>
                <w:szCs w:val="18"/>
                <w:color w:val="auto"/>
              </w:rPr>
              <w:t>Cash basis operating income</w:t>
            </w:r>
          </w:p>
        </w:tc>
        <w:tc>
          <w:tcPr>
            <w:tcW w:w="1160" w:type="dxa"/>
            <w:vAlign w:val="bottom"/>
          </w:tcPr>
          <w:p>
            <w:pPr>
              <w:jc w:val="right"/>
              <w:ind w:right="117"/>
              <w:spacing w:after="0"/>
              <w:rPr>
                <w:sz w:val="20"/>
                <w:szCs w:val="20"/>
                <w:color w:val="auto"/>
              </w:rPr>
            </w:pPr>
            <w:r>
              <w:rPr>
                <w:rFonts w:ascii="Arial" w:cs="Arial" w:eastAsia="Arial" w:hAnsi="Arial"/>
                <w:sz w:val="18"/>
                <w:szCs w:val="18"/>
                <w:color w:val="auto"/>
              </w:rPr>
              <w:t>18,944</w:t>
            </w:r>
          </w:p>
        </w:tc>
        <w:tc>
          <w:tcPr>
            <w:tcW w:w="260" w:type="dxa"/>
            <w:vAlign w:val="bottom"/>
          </w:tcPr>
          <w:p>
            <w:pPr>
              <w:spacing w:after="0"/>
              <w:rPr>
                <w:sz w:val="18"/>
                <w:szCs w:val="18"/>
                <w:color w:val="auto"/>
              </w:rPr>
            </w:pPr>
          </w:p>
        </w:tc>
        <w:tc>
          <w:tcPr>
            <w:tcW w:w="640" w:type="dxa"/>
            <w:vAlign w:val="bottom"/>
          </w:tcPr>
          <w:p>
            <w:pPr>
              <w:jc w:val="right"/>
              <w:ind w:right="14"/>
              <w:spacing w:after="0"/>
              <w:rPr>
                <w:sz w:val="20"/>
                <w:szCs w:val="20"/>
                <w:color w:val="auto"/>
              </w:rPr>
            </w:pPr>
            <w:r>
              <w:rPr>
                <w:rFonts w:ascii="Arial" w:cs="Arial" w:eastAsia="Arial" w:hAnsi="Arial"/>
                <w:sz w:val="18"/>
                <w:szCs w:val="18"/>
                <w:color w:val="auto"/>
                <w:w w:val="94"/>
              </w:rPr>
              <w:t>17,089</w:t>
            </w:r>
          </w:p>
        </w:tc>
        <w:tc>
          <w:tcPr>
            <w:tcW w:w="0" w:type="dxa"/>
            <w:vAlign w:val="bottom"/>
          </w:tcPr>
          <w:p>
            <w:pPr>
              <w:spacing w:after="0"/>
              <w:rPr>
                <w:sz w:val="1"/>
                <w:szCs w:val="1"/>
                <w:color w:val="auto"/>
              </w:rPr>
            </w:pPr>
          </w:p>
        </w:tc>
      </w:tr>
      <w:tr>
        <w:trPr>
          <w:trHeight w:val="216"/>
        </w:trPr>
        <w:tc>
          <w:tcPr>
            <w:tcW w:w="9360" w:type="dxa"/>
            <w:vAlign w:val="bottom"/>
            <w:shd w:val="clear" w:color="auto" w:fill="E5E5E5"/>
          </w:tcPr>
          <w:p>
            <w:pPr>
              <w:spacing w:after="0"/>
              <w:rPr>
                <w:sz w:val="20"/>
                <w:szCs w:val="20"/>
                <w:color w:val="auto"/>
              </w:rPr>
            </w:pPr>
            <w:r>
              <w:rPr>
                <w:rFonts w:ascii="Arial" w:cs="Arial" w:eastAsia="Arial" w:hAnsi="Arial"/>
                <w:sz w:val="18"/>
                <w:szCs w:val="18"/>
                <w:color w:val="auto"/>
              </w:rPr>
              <w:t>Payments of interest</w:t>
            </w:r>
          </w:p>
        </w:tc>
        <w:tc>
          <w:tcPr>
            <w:tcW w:w="1160" w:type="dxa"/>
            <w:vAlign w:val="bottom"/>
            <w:shd w:val="clear" w:color="auto" w:fill="E5E5E5"/>
          </w:tcPr>
          <w:p>
            <w:pPr>
              <w:jc w:val="right"/>
              <w:ind w:right="57"/>
              <w:spacing w:after="0"/>
              <w:rPr>
                <w:sz w:val="20"/>
                <w:szCs w:val="20"/>
                <w:color w:val="auto"/>
              </w:rPr>
            </w:pPr>
            <w:r>
              <w:rPr>
                <w:rFonts w:ascii="Arial" w:cs="Arial" w:eastAsia="Arial" w:hAnsi="Arial"/>
                <w:sz w:val="18"/>
                <w:szCs w:val="18"/>
                <w:color w:val="auto"/>
              </w:rPr>
              <w:t>(1,914)</w:t>
            </w:r>
          </w:p>
        </w:tc>
        <w:tc>
          <w:tcPr>
            <w:tcW w:w="260" w:type="dxa"/>
            <w:vAlign w:val="bottom"/>
            <w:shd w:val="clear" w:color="auto" w:fill="E5E5E5"/>
          </w:tcPr>
          <w:p>
            <w:pPr>
              <w:spacing w:after="0"/>
              <w:rPr>
                <w:sz w:val="18"/>
                <w:szCs w:val="18"/>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(1,820)</w:t>
            </w:r>
          </w:p>
        </w:tc>
        <w:tc>
          <w:tcPr>
            <w:tcW w:w="0" w:type="dxa"/>
            <w:vAlign w:val="bottom"/>
          </w:tcPr>
          <w:p>
            <w:pPr>
              <w:spacing w:after="0"/>
              <w:rPr>
                <w:sz w:val="1"/>
                <w:szCs w:val="1"/>
                <w:color w:val="auto"/>
              </w:rPr>
            </w:pP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Payments of income taxes</w:t>
            </w:r>
          </w:p>
        </w:tc>
        <w:tc>
          <w:tcPr>
            <w:tcW w:w="1160" w:type="dxa"/>
            <w:vAlign w:val="bottom"/>
          </w:tcPr>
          <w:p>
            <w:pPr>
              <w:jc w:val="right"/>
              <w:ind w:right="57"/>
              <w:spacing w:after="0"/>
              <w:rPr>
                <w:sz w:val="20"/>
                <w:szCs w:val="20"/>
                <w:color w:val="auto"/>
              </w:rPr>
            </w:pPr>
            <w:r>
              <w:rPr>
                <w:rFonts w:ascii="Arial" w:cs="Arial" w:eastAsia="Arial" w:hAnsi="Arial"/>
                <w:sz w:val="18"/>
                <w:szCs w:val="18"/>
                <w:color w:val="auto"/>
              </w:rPr>
              <w:t>(3,145)</w:t>
            </w: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(2,878)</w:t>
            </w:r>
          </w:p>
        </w:tc>
        <w:tc>
          <w:tcPr>
            <w:tcW w:w="0" w:type="dxa"/>
            <w:vAlign w:val="bottom"/>
          </w:tcPr>
          <w:p>
            <w:pPr>
              <w:spacing w:after="0"/>
              <w:rPr>
                <w:sz w:val="1"/>
                <w:szCs w:val="1"/>
                <w:color w:val="auto"/>
              </w:rPr>
            </w:pPr>
          </w:p>
        </w:tc>
      </w:tr>
      <w:tr>
        <w:trPr>
          <w:trHeight w:val="216"/>
        </w:trPr>
        <w:tc>
          <w:tcPr>
            <w:tcW w:w="9360" w:type="dxa"/>
            <w:vAlign w:val="bottom"/>
            <w:shd w:val="clear" w:color="auto" w:fill="E5E5E5"/>
          </w:tcPr>
          <w:p>
            <w:pPr>
              <w:spacing w:after="0"/>
              <w:rPr>
                <w:sz w:val="20"/>
                <w:szCs w:val="20"/>
                <w:color w:val="auto"/>
              </w:rPr>
            </w:pPr>
            <w:r>
              <w:rPr>
                <w:rFonts w:ascii="Arial" w:cs="Arial" w:eastAsia="Arial" w:hAnsi="Arial"/>
                <w:sz w:val="18"/>
                <w:szCs w:val="18"/>
                <w:color w:val="auto"/>
              </w:rPr>
              <w:t>Excess tax benefits under share-based compensation</w:t>
            </w:r>
          </w:p>
        </w:tc>
        <w:tc>
          <w:tcPr>
            <w:tcW w:w="1160" w:type="dxa"/>
            <w:vAlign w:val="bottom"/>
            <w:shd w:val="clear" w:color="auto" w:fill="E5E5E5"/>
          </w:tcPr>
          <w:p>
            <w:pPr>
              <w:jc w:val="right"/>
              <w:ind w:right="57"/>
              <w:spacing w:after="0"/>
              <w:rPr>
                <w:sz w:val="20"/>
                <w:szCs w:val="20"/>
                <w:color w:val="auto"/>
              </w:rPr>
            </w:pPr>
            <w:r>
              <w:rPr>
                <w:rFonts w:ascii="Arial" w:cs="Arial" w:eastAsia="Arial" w:hAnsi="Arial"/>
                <w:sz w:val="18"/>
                <w:szCs w:val="18"/>
                <w:color w:val="auto"/>
              </w:rPr>
              <w:t>(255)</w:t>
            </w:r>
          </w:p>
        </w:tc>
        <w:tc>
          <w:tcPr>
            <w:tcW w:w="260" w:type="dxa"/>
            <w:vAlign w:val="bottom"/>
            <w:shd w:val="clear" w:color="auto" w:fill="E5E5E5"/>
          </w:tcPr>
          <w:p>
            <w:pPr>
              <w:spacing w:after="0"/>
              <w:rPr>
                <w:sz w:val="18"/>
                <w:szCs w:val="18"/>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9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1160" w:type="dxa"/>
            <w:vAlign w:val="bottom"/>
            <w:tcBorders>
              <w:bottom w:val="single" w:sz="8" w:color="auto"/>
            </w:tcBorders>
          </w:tcPr>
          <w:p>
            <w:pPr>
              <w:jc w:val="right"/>
              <w:ind w:right="117"/>
              <w:spacing w:after="0"/>
              <w:rPr>
                <w:sz w:val="20"/>
                <w:szCs w:val="20"/>
                <w:color w:val="auto"/>
              </w:rPr>
            </w:pPr>
            <w:r>
              <w:rPr>
                <w:rFonts w:ascii="Arial" w:cs="Arial" w:eastAsia="Arial" w:hAnsi="Arial"/>
                <w:sz w:val="18"/>
                <w:szCs w:val="18"/>
                <w:color w:val="auto"/>
              </w:rPr>
              <w:t>183</w:t>
            </w:r>
          </w:p>
        </w:tc>
        <w:tc>
          <w:tcPr>
            <w:tcW w:w="2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7"/>
        </w:trPr>
        <w:tc>
          <w:tcPr>
            <w:tcW w:w="93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160" w:type="dxa"/>
            <w:vAlign w:val="bottom"/>
            <w:tcBorders>
              <w:bottom w:val="single" w:sz="8" w:color="auto"/>
            </w:tcBorders>
            <w:shd w:val="clear" w:color="auto" w:fill="E5E5E5"/>
          </w:tcPr>
          <w:p>
            <w:pPr>
              <w:jc w:val="right"/>
              <w:ind w:right="117"/>
              <w:spacing w:after="0"/>
              <w:rPr>
                <w:sz w:val="20"/>
                <w:szCs w:val="20"/>
                <w:color w:val="auto"/>
              </w:rPr>
            </w:pPr>
            <w:r>
              <w:rPr>
                <w:rFonts w:ascii="Arial" w:cs="Arial" w:eastAsia="Arial" w:hAnsi="Arial"/>
                <w:sz w:val="18"/>
                <w:szCs w:val="18"/>
                <w:b w:val="1"/>
                <w:bCs w:val="1"/>
                <w:color w:val="auto"/>
              </w:rPr>
              <w:t>$ 13,813</w:t>
            </w:r>
          </w:p>
        </w:tc>
        <w:tc>
          <w:tcPr>
            <w:tcW w:w="2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b w:val="1"/>
                <w:bCs w:val="1"/>
                <w:color w:val="auto"/>
                <w:w w:val="94"/>
              </w:rPr>
              <w:t>12,302</w:t>
            </w:r>
          </w:p>
        </w:tc>
        <w:tc>
          <w:tcPr>
            <w:tcW w:w="0" w:type="dxa"/>
            <w:vAlign w:val="bottom"/>
          </w:tcPr>
          <w:p>
            <w:pPr>
              <w:spacing w:after="0"/>
              <w:rPr>
                <w:sz w:val="1"/>
                <w:szCs w:val="1"/>
                <w:color w:val="auto"/>
              </w:rPr>
            </w:pPr>
          </w:p>
        </w:tc>
      </w:tr>
    </w:tbl>
    <w:p>
      <w:pPr>
        <w:spacing w:after="0" w:line="5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variance in changes in operating assets and liabilities for the nine months ended September 30, 2015 compared to the same period in 2014 was primarily due to the timing of film and television production and related costs, net of amortization related to our larger film slate, our broadcast of the 2015 Super Bowl, and increases in deferred revenue offset by the timing of collections on our receivables.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7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Net cash used in investing activities for the nine months ended September 30, 2015 consisted primarily of cash paid for capital expenditures, intangible assets, acquisitions and the purchases of investments, which was partially offset by proceeds from the sale of businesses and investments. Capital expenditures increased for the nine months ended September 30, 2015 compared to the same period in 2014 primarily due to increased spending in our Cable Communications segment on customer premise equipment related to the deployment of our X1 platform and wireless gateways, our continued investment in network infrastructure to increase network capacity, increased investment in support capital as we expand our cloud-based initiatives, and our continued investment to expand business services. Purchases of investments increased for the nine months ended September 30, 2015 compared to the same period in 2014 as NBCUniversal made an additional investment in Vox Media, Inc. and acquired an interest in BuzzFeed, Inc.</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Net cash used in financing activities for the nine months ended September 30, 2015 consisted primarily of repurchases of our common stock, repayments of debt and dividend payments, which were partially offset by proceeds from new borrowings.</w:t>
      </w:r>
    </w:p>
    <w:p>
      <w:pPr>
        <w:spacing w:after="0" w:line="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made, and may from time to time in the future make, optional repayments on our debt obligations, which may include repurchases of our outstanding public notes and debentures, depending on various factors, such as market conditions. See Note 7 to Comcast’s condensed consolidated financial statements for additional information on our financing activities, including details of our debt repayments and borrowings.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 Borrowings Under Credit Facilities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We also maintain significant availability under our lines of credit and commercial paper programs to meet our short-term liquidity requirements.</w:t>
      </w:r>
    </w:p>
    <w:p>
      <w:pPr>
        <w:spacing w:after="0" w:line="77"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As of September 30, 2015, amounts available under our consolidated revolving credit facilities, net of amounts outstanding under our commercial paper programs and undrawn letters of credit, totaled $6.7 billion, which included $715 million available under NBCUniversal Enterprise’s credit facility.</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 and Dividends</w:t>
      </w:r>
    </w:p>
    <w:p>
      <w:pPr>
        <w:spacing w:after="0" w:line="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February 2015, our Board of Directors increased our share repurchase program authorization to $10 billion, which does not have an expiration date. Under this authorization, we may repurchase shares in the open market or in private transactions. During the nine months ended September 30, 2015, we repurchased approximately 100 million shares of our Class A and Class A Special common stock for approximately $5.8 billion. We continue to plan to repurchase $6.75 billion during 2015, subject to market conditions.</w:t>
      </w:r>
    </w:p>
    <w:p>
      <w:pPr>
        <w:spacing w:after="0" w:line="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February 2015, our Board of Directors approved an 11.1% increase in our dividend to $1.00 per share on an annualized basis. In each of February, May and July 2015, our Board of Directors approved a quarterly dividend of $0.25 per share as part of our planned annual dividend. We expect to continue to pay quarterly dividends, although each dividend is subject to approval by our Board of Directors.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Dividends Declared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3980" w:type="dxa"/>
            <w:vAlign w:val="bottom"/>
            <w:tcBorders>
              <w:bottom w:val="single" w:sz="8" w:color="auto"/>
            </w:tcBorders>
            <w:gridSpan w:val="2"/>
          </w:tcPr>
          <w:p>
            <w:pPr>
              <w:ind w:left="3260"/>
              <w:spacing w:after="0"/>
              <w:rPr>
                <w:sz w:val="20"/>
                <w:szCs w:val="20"/>
                <w:color w:val="auto"/>
              </w:rPr>
            </w:pPr>
            <w:r>
              <w:rPr>
                <w:rFonts w:ascii="Arial" w:cs="Arial" w:eastAsia="Arial" w:hAnsi="Arial"/>
                <w:sz w:val="14"/>
                <w:szCs w:val="14"/>
                <w:color w:val="auto"/>
              </w:rPr>
              <w:t>Amount</w:t>
            </w:r>
          </w:p>
        </w:tc>
        <w:tc>
          <w:tcPr>
            <w:tcW w:w="1280" w:type="dxa"/>
            <w:vAlign w:val="bottom"/>
            <w:tcBorders>
              <w:bottom w:val="single" w:sz="8" w:color="auto"/>
            </w:tcBorders>
          </w:tcPr>
          <w:p>
            <w:pPr>
              <w:jc w:val="center"/>
              <w:ind w:left="177"/>
              <w:spacing w:after="0"/>
              <w:rPr>
                <w:sz w:val="20"/>
                <w:szCs w:val="20"/>
                <w:color w:val="auto"/>
              </w:rPr>
            </w:pPr>
            <w:r>
              <w:rPr>
                <w:rFonts w:ascii="Arial" w:cs="Arial" w:eastAsia="Arial" w:hAnsi="Arial"/>
                <w:sz w:val="14"/>
                <w:szCs w:val="14"/>
                <w:color w:val="auto"/>
                <w:w w:val="89"/>
              </w:rPr>
              <w:t>Month of Payment</w:t>
            </w:r>
          </w:p>
        </w:tc>
      </w:tr>
      <w:tr>
        <w:trPr>
          <w:trHeight w:val="210"/>
        </w:trPr>
        <w:tc>
          <w:tcPr>
            <w:tcW w:w="6160" w:type="dxa"/>
            <w:vAlign w:val="bottom"/>
            <w:shd w:val="clear" w:color="auto" w:fill="E5E5E5"/>
          </w:tcPr>
          <w:p>
            <w:pPr>
              <w:spacing w:after="0"/>
              <w:rPr>
                <w:sz w:val="20"/>
                <w:szCs w:val="20"/>
                <w:color w:val="auto"/>
              </w:rPr>
            </w:pPr>
            <w:r>
              <w:rPr>
                <w:rFonts w:ascii="Arial" w:cs="Arial" w:eastAsia="Arial" w:hAnsi="Arial"/>
                <w:sz w:val="18"/>
                <w:szCs w:val="18"/>
                <w:color w:val="auto"/>
              </w:rPr>
              <w:t>Three months ended March 31, 2015</w:t>
            </w:r>
          </w:p>
        </w:tc>
        <w:tc>
          <w:tcPr>
            <w:tcW w:w="3400" w:type="dxa"/>
            <w:vAlign w:val="bottom"/>
            <w:shd w:val="clear" w:color="auto" w:fill="E5E5E5"/>
          </w:tcPr>
          <w:p>
            <w:pPr>
              <w:ind w:left="3260"/>
              <w:spacing w:after="0"/>
              <w:rPr>
                <w:sz w:val="20"/>
                <w:szCs w:val="20"/>
                <w:color w:val="auto"/>
              </w:rPr>
            </w:pPr>
            <w:r>
              <w:rPr>
                <w:rFonts w:ascii="Arial" w:cs="Arial" w:eastAsia="Arial" w:hAnsi="Arial"/>
                <w:sz w:val="18"/>
                <w:szCs w:val="18"/>
                <w:color w:val="auto"/>
              </w:rPr>
              <w:t>$</w:t>
            </w:r>
          </w:p>
        </w:tc>
        <w:tc>
          <w:tcPr>
            <w:tcW w:w="580" w:type="dxa"/>
            <w:vAlign w:val="bottom"/>
            <w:shd w:val="clear" w:color="auto" w:fill="E5E5E5"/>
          </w:tcPr>
          <w:p>
            <w:pPr>
              <w:jc w:val="right"/>
              <w:ind w:right="192"/>
              <w:spacing w:after="0"/>
              <w:rPr>
                <w:sz w:val="20"/>
                <w:szCs w:val="20"/>
                <w:color w:val="auto"/>
              </w:rPr>
            </w:pPr>
            <w:r>
              <w:rPr>
                <w:rFonts w:ascii="Arial" w:cs="Arial" w:eastAsia="Arial" w:hAnsi="Arial"/>
                <w:sz w:val="18"/>
                <w:szCs w:val="18"/>
                <w:color w:val="auto"/>
                <w:w w:val="93"/>
              </w:rPr>
              <w:t>630</w:t>
            </w:r>
          </w:p>
        </w:tc>
        <w:tc>
          <w:tcPr>
            <w:tcW w:w="1280" w:type="dxa"/>
            <w:vAlign w:val="bottom"/>
            <w:shd w:val="clear" w:color="auto" w:fill="E5E5E5"/>
          </w:tcPr>
          <w:p>
            <w:pPr>
              <w:jc w:val="center"/>
              <w:ind w:left="177"/>
              <w:spacing w:after="0"/>
              <w:rPr>
                <w:sz w:val="20"/>
                <w:szCs w:val="20"/>
                <w:color w:val="auto"/>
              </w:rPr>
            </w:pPr>
            <w:r>
              <w:rPr>
                <w:rFonts w:ascii="Arial" w:cs="Arial" w:eastAsia="Arial" w:hAnsi="Arial"/>
                <w:sz w:val="18"/>
                <w:szCs w:val="18"/>
                <w:color w:val="auto"/>
              </w:rPr>
              <w:t>April</w:t>
            </w: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Three months ended June 30, 2015</w:t>
            </w:r>
          </w:p>
        </w:tc>
        <w:tc>
          <w:tcPr>
            <w:tcW w:w="3400" w:type="dxa"/>
            <w:vAlign w:val="bottom"/>
          </w:tcPr>
          <w:p>
            <w:pPr>
              <w:ind w:left="326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92"/>
              <w:spacing w:after="0"/>
              <w:rPr>
                <w:sz w:val="20"/>
                <w:szCs w:val="20"/>
                <w:color w:val="auto"/>
              </w:rPr>
            </w:pPr>
            <w:r>
              <w:rPr>
                <w:rFonts w:ascii="Arial" w:cs="Arial" w:eastAsia="Arial" w:hAnsi="Arial"/>
                <w:sz w:val="18"/>
                <w:szCs w:val="18"/>
                <w:color w:val="auto"/>
                <w:w w:val="93"/>
              </w:rPr>
              <w:t>624</w:t>
            </w:r>
          </w:p>
        </w:tc>
        <w:tc>
          <w:tcPr>
            <w:tcW w:w="1280" w:type="dxa"/>
            <w:vAlign w:val="bottom"/>
          </w:tcPr>
          <w:p>
            <w:pPr>
              <w:jc w:val="center"/>
              <w:ind w:left="177"/>
              <w:spacing w:after="0"/>
              <w:rPr>
                <w:sz w:val="20"/>
                <w:szCs w:val="20"/>
                <w:color w:val="auto"/>
              </w:rPr>
            </w:pPr>
            <w:r>
              <w:rPr>
                <w:rFonts w:ascii="Arial" w:cs="Arial" w:eastAsia="Arial" w:hAnsi="Arial"/>
                <w:sz w:val="18"/>
                <w:szCs w:val="18"/>
                <w:color w:val="auto"/>
                <w:w w:val="93"/>
              </w:rPr>
              <w:t>July</w:t>
            </w:r>
          </w:p>
        </w:tc>
      </w:tr>
      <w:tr>
        <w:trPr>
          <w:trHeight w:val="216"/>
        </w:trPr>
        <w:tc>
          <w:tcPr>
            <w:tcW w:w="61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Three months ended September 30, 2015</w:t>
            </w:r>
          </w:p>
        </w:tc>
        <w:tc>
          <w:tcPr>
            <w:tcW w:w="3400" w:type="dxa"/>
            <w:vAlign w:val="bottom"/>
            <w:tcBorders>
              <w:bottom w:val="single" w:sz="8" w:color="auto"/>
            </w:tcBorders>
            <w:shd w:val="clear" w:color="auto" w:fill="E5E5E5"/>
          </w:tcPr>
          <w:p>
            <w:pPr>
              <w:ind w:left="326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E5E5E5"/>
          </w:tcPr>
          <w:p>
            <w:pPr>
              <w:jc w:val="right"/>
              <w:ind w:right="192"/>
              <w:spacing w:after="0"/>
              <w:rPr>
                <w:sz w:val="20"/>
                <w:szCs w:val="20"/>
                <w:color w:val="auto"/>
              </w:rPr>
            </w:pPr>
            <w:r>
              <w:rPr>
                <w:rFonts w:ascii="Arial" w:cs="Arial" w:eastAsia="Arial" w:hAnsi="Arial"/>
                <w:sz w:val="18"/>
                <w:szCs w:val="18"/>
                <w:color w:val="auto"/>
                <w:w w:val="93"/>
              </w:rPr>
              <w:t>617</w:t>
            </w:r>
          </w:p>
        </w:tc>
        <w:tc>
          <w:tcPr>
            <w:tcW w:w="1280" w:type="dxa"/>
            <w:vAlign w:val="bottom"/>
            <w:tcBorders>
              <w:bottom w:val="single" w:sz="8" w:color="auto"/>
            </w:tcBorders>
            <w:shd w:val="clear" w:color="auto" w:fill="E5E5E5"/>
          </w:tcPr>
          <w:p>
            <w:pPr>
              <w:jc w:val="center"/>
              <w:ind w:left="197"/>
              <w:spacing w:after="0"/>
              <w:rPr>
                <w:sz w:val="20"/>
                <w:szCs w:val="20"/>
                <w:color w:val="auto"/>
              </w:rPr>
            </w:pPr>
            <w:r>
              <w:rPr>
                <w:rFonts w:ascii="Arial" w:cs="Arial" w:eastAsia="Arial" w:hAnsi="Arial"/>
                <w:sz w:val="18"/>
                <w:szCs w:val="18"/>
                <w:color w:val="auto"/>
                <w:w w:val="87"/>
              </w:rPr>
              <w:t>October</w:t>
            </w:r>
          </w:p>
        </w:tc>
      </w:tr>
    </w:tbl>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Judgments and Estimates</w:t>
      </w:r>
    </w:p>
    <w:p>
      <w:pPr>
        <w:spacing w:after="0" w:line="8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preparation of our condensed consolidated financial statements requires us to make estimates that affect the reported amounts of assets, liabilities, revenue and expenses, and the related disclosure of contingent assets and contingent liabilities. We base our judgments on our historical experience and on various other assumptions that we believe are reasonable under the circumstances, the results of which form the basis for making estimates about the carrying values of assets and liabilities that are not readily apparent from other sources. Actual results may differ from these estimates under different assumptions or conditions.</w:t>
      </w:r>
    </w:p>
    <w:p>
      <w:pPr>
        <w:spacing w:after="0" w:line="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our judgments and related estimates associated with the valuation and impairment testing of our cable franchise rights, accounting for income taxes, and accounting for film and television costs are critical in the preparation of our condensed consolidated financial statements. We performed our annual impairment testing of our cable franchise rights as of July 1, 2015 and no impairment charge was required.</w:t>
      </w:r>
    </w:p>
    <w:p>
      <w:pPr>
        <w:spacing w:after="0" w:line="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a more complete discussion of the accounting judgments and estimates that we have identified as critical in the preparation of our condensed consolidated financial statements, please refer to our Management’s Discussion and Analysis of Financial Condition and Results of Operations in our 2014 Annual Report on Form 10-K.</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Accounting Pronouncements</w:t>
      </w:r>
    </w:p>
    <w:p>
      <w:pPr>
        <w:spacing w:after="0" w:line="8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See Note 2 to each of Comcast’s and NBCUniversal’s condensed consolidated financial statements for additional information related to recent accounting pronouncements.</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QUANTITATIVE AND QUALITATIVE DISCLOSURES ABOUT MARKET RISK</w:t>
      </w:r>
    </w:p>
    <w:p>
      <w:pPr>
        <w:spacing w:after="0" w:line="8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have evaluated the information required under this item that was disclosed in our 2014 Annual Report on Form 10-K and there have been no significant changes to this information.</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CONTROLS AND PROCEDURES</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Comcast Corporation</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Conclusions regarding disclosure controls and procedures</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principal executive and principal financial officers, after evaluating the effectiveness of Comcast’s disclosure controls and procedures (as defined in Rules 13a-15(e) and 15d-15(e) of the Securities Exchange Act of 1934, as amended (the “Exchange Act”)) as of the end of the period covered by this report, have concluded that, based on the evaluation of these controls and procedures required by paragraph (b) of Exchange Act Rules 13a-15 or 15d-15, Comcast’s disclosure controls and procedures were effective.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were no changes in Comcast’s internal control over financial reporting identified in connection with the evaluation required by paragraph (d) of Exchange Act Rules 13a-15 or 15d-15 that occurred during Comcast’s last fiscal quarter that have materially affected, or are reasonably likely to materially affect, Comcast’s internal control over financial reporting.</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NBCUniversal Media, LLC</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Conclusions regarding disclosure controls and procedures</w:t>
      </w:r>
    </w:p>
    <w:p>
      <w:pPr>
        <w:spacing w:after="0" w:line="7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Our principal executive and principal financial officers, after evaluating the effectiveness of NBCUniversal’s disclosure controls and procedures (as defined in Rules 13a-15(e) and 15d-15(e) of the Exchange Act) as of the end of the period covered by this report, have concluded that, based on the evaluation of these controls and procedures required by paragraph (b) of Exchange Act Rules 13a-15 or 15d-15, NBCUniversal’s disclosure controls and procedures were effective.</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were no changes in NBCUniversal’s internal control over financial reporting identified in connection with the evaluation required by paragraph (d) of Exchange Act Rules 13a-15 or 15d-15 that occurred during NBCUniversal’s last fiscal quarter that have materially affected, or are reasonably likely to materially affect, NBCUniversal’s internal control over financial reporting.</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II: OTHER INFORMATION</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LEGAL PROCEEDINGS</w:t>
      </w:r>
    </w:p>
    <w:p>
      <w:pPr>
        <w:spacing w:after="0" w:line="8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Refer to Note 11 to Comcast’s condensed consolidated financial statements included in this Quarterly Report on Form 10-Q for a discussion of legal proceedings. There have been no material developments in the matter reported in our 2014 Annual Report on Form 10-K regarding the California Attorney General and the Alameda County, California District Attorney’s investigation of certain of our waste disposal policies, procedures and practices.</w:t>
      </w:r>
    </w:p>
    <w:p>
      <w:pPr>
        <w:spacing w:after="0" w:line="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NBCUniversal is subject to legal proceedings and claims that arise in the ordinary course of its business and does not expect the final disposition of these matters to have a material adverse effect on its results of operations, cash flows or financial condition, although any such matters could be time-consuming and costly and could injure its reputation.</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 RISK FACTORS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significant changes from the risk factors previously disclosed in Item 1A of our 2014 Annual Report on Form 10-K.</w:t>
      </w:r>
    </w:p>
    <w:p>
      <w:pPr>
        <w:spacing w:after="0" w:line="16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UNREGISTERED SALES OF EQUITY SECURITIES AND USE OF PROCEEDS</w:t>
      </w:r>
    </w:p>
    <w:p>
      <w:pPr>
        <w:spacing w:after="0" w:line="8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table below summarizes Comcast’s common stock repurchases under its Board-authorized share repurchase program during the three months ended September 30, 2015.</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Purchases of Equity Securities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tcPr>
          <w:p>
            <w:pPr>
              <w:jc w:val="center"/>
              <w:ind w:right="261"/>
              <w:spacing w:after="0"/>
              <w:rPr>
                <w:sz w:val="20"/>
                <w:szCs w:val="20"/>
                <w:color w:val="auto"/>
              </w:rPr>
            </w:pPr>
            <w:r>
              <w:rPr>
                <w:rFonts w:ascii="Arial" w:cs="Arial" w:eastAsia="Arial" w:hAnsi="Arial"/>
                <w:sz w:val="14"/>
                <w:szCs w:val="14"/>
                <w:color w:val="auto"/>
                <w:w w:val="92"/>
              </w:rPr>
              <w:t>Total Dollar</w:t>
            </w:r>
          </w:p>
        </w:tc>
        <w:tc>
          <w:tcPr>
            <w:tcW w:w="1500" w:type="dxa"/>
            <w:vAlign w:val="bottom"/>
          </w:tcPr>
          <w:p>
            <w:pPr>
              <w:jc w:val="center"/>
              <w:ind w:left="81"/>
              <w:spacing w:after="0"/>
              <w:rPr>
                <w:sz w:val="20"/>
                <w:szCs w:val="20"/>
                <w:color w:val="auto"/>
              </w:rPr>
            </w:pPr>
            <w:r>
              <w:rPr>
                <w:rFonts w:ascii="Arial" w:cs="Arial" w:eastAsia="Arial" w:hAnsi="Arial"/>
                <w:sz w:val="14"/>
                <w:szCs w:val="14"/>
                <w:color w:val="auto"/>
                <w:w w:val="92"/>
              </w:rPr>
              <w:t>Maximum Dollar</w:t>
            </w:r>
          </w:p>
        </w:tc>
      </w:tr>
      <w:tr>
        <w:trPr>
          <w:trHeight w:val="149"/>
        </w:trPr>
        <w:tc>
          <w:tcPr>
            <w:tcW w:w="3240" w:type="dxa"/>
            <w:vAlign w:val="bottom"/>
          </w:tcPr>
          <w:p>
            <w:pPr>
              <w:spacing w:after="0"/>
              <w:rPr>
                <w:sz w:val="12"/>
                <w:szCs w:val="12"/>
                <w:color w:val="auto"/>
              </w:rPr>
            </w:pPr>
          </w:p>
        </w:tc>
        <w:tc>
          <w:tcPr>
            <w:tcW w:w="2100" w:type="dxa"/>
            <w:vAlign w:val="bottom"/>
          </w:tcPr>
          <w:p>
            <w:pPr>
              <w:jc w:val="center"/>
              <w:ind w:left="620"/>
              <w:spacing w:after="0" w:line="149" w:lineRule="exact"/>
              <w:rPr>
                <w:sz w:val="20"/>
                <w:szCs w:val="20"/>
                <w:color w:val="auto"/>
              </w:rPr>
            </w:pPr>
            <w:r>
              <w:rPr>
                <w:rFonts w:ascii="Arial" w:cs="Arial" w:eastAsia="Arial" w:hAnsi="Arial"/>
                <w:sz w:val="14"/>
                <w:szCs w:val="14"/>
                <w:color w:val="auto"/>
                <w:w w:val="89"/>
              </w:rPr>
              <w:t>Total</w:t>
            </w: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8"/>
              </w:rPr>
              <w:t>Average</w:t>
            </w:r>
          </w:p>
        </w:tc>
        <w:tc>
          <w:tcPr>
            <w:tcW w:w="1940" w:type="dxa"/>
            <w:vAlign w:val="bottom"/>
          </w:tcPr>
          <w:p>
            <w:pPr>
              <w:jc w:val="center"/>
              <w:spacing w:after="0" w:line="149" w:lineRule="exact"/>
              <w:rPr>
                <w:sz w:val="20"/>
                <w:szCs w:val="20"/>
                <w:color w:val="auto"/>
              </w:rPr>
            </w:pPr>
            <w:r>
              <w:rPr>
                <w:rFonts w:ascii="Arial" w:cs="Arial" w:eastAsia="Arial" w:hAnsi="Arial"/>
                <w:sz w:val="14"/>
                <w:szCs w:val="14"/>
                <w:color w:val="auto"/>
                <w:w w:val="89"/>
              </w:rPr>
              <w:t>Total Number of</w:t>
            </w:r>
          </w:p>
        </w:tc>
        <w:tc>
          <w:tcPr>
            <w:tcW w:w="340" w:type="dxa"/>
            <w:vAlign w:val="bottom"/>
          </w:tcPr>
          <w:p>
            <w:pPr>
              <w:spacing w:after="0"/>
              <w:rPr>
                <w:sz w:val="12"/>
                <w:szCs w:val="12"/>
                <w:color w:val="auto"/>
              </w:rPr>
            </w:pPr>
          </w:p>
        </w:tc>
        <w:tc>
          <w:tcPr>
            <w:tcW w:w="1280" w:type="dxa"/>
            <w:vAlign w:val="bottom"/>
          </w:tcPr>
          <w:p>
            <w:pPr>
              <w:jc w:val="center"/>
              <w:ind w:right="261"/>
              <w:spacing w:after="0" w:line="149" w:lineRule="exact"/>
              <w:rPr>
                <w:sz w:val="20"/>
                <w:szCs w:val="20"/>
                <w:color w:val="auto"/>
              </w:rPr>
            </w:pPr>
            <w:r>
              <w:rPr>
                <w:rFonts w:ascii="Arial" w:cs="Arial" w:eastAsia="Arial" w:hAnsi="Arial"/>
                <w:sz w:val="14"/>
                <w:szCs w:val="14"/>
                <w:color w:val="auto"/>
                <w:w w:val="95"/>
              </w:rPr>
              <w:t>Amount</w:t>
            </w:r>
          </w:p>
        </w:tc>
        <w:tc>
          <w:tcPr>
            <w:tcW w:w="1500" w:type="dxa"/>
            <w:vAlign w:val="bottom"/>
          </w:tcPr>
          <w:p>
            <w:pPr>
              <w:jc w:val="center"/>
              <w:ind w:left="101"/>
              <w:spacing w:after="0" w:line="149" w:lineRule="exact"/>
              <w:rPr>
                <w:sz w:val="20"/>
                <w:szCs w:val="20"/>
                <w:color w:val="auto"/>
              </w:rPr>
            </w:pPr>
            <w:r>
              <w:rPr>
                <w:rFonts w:ascii="Arial" w:cs="Arial" w:eastAsia="Arial" w:hAnsi="Arial"/>
                <w:sz w:val="14"/>
                <w:szCs w:val="14"/>
                <w:color w:val="auto"/>
                <w:w w:val="85"/>
              </w:rPr>
              <w:t>Value of Shares That</w:t>
            </w:r>
          </w:p>
        </w:tc>
      </w:tr>
      <w:tr>
        <w:trPr>
          <w:trHeight w:val="149"/>
        </w:trPr>
        <w:tc>
          <w:tcPr>
            <w:tcW w:w="3240" w:type="dxa"/>
            <w:vAlign w:val="bottom"/>
          </w:tcPr>
          <w:p>
            <w:pPr>
              <w:spacing w:after="0"/>
              <w:rPr>
                <w:sz w:val="12"/>
                <w:szCs w:val="12"/>
                <w:color w:val="auto"/>
              </w:rPr>
            </w:pPr>
          </w:p>
        </w:tc>
        <w:tc>
          <w:tcPr>
            <w:tcW w:w="2100" w:type="dxa"/>
            <w:vAlign w:val="bottom"/>
          </w:tcPr>
          <w:p>
            <w:pPr>
              <w:jc w:val="center"/>
              <w:ind w:left="640"/>
              <w:spacing w:after="0" w:line="149" w:lineRule="exact"/>
              <w:rPr>
                <w:sz w:val="20"/>
                <w:szCs w:val="20"/>
                <w:color w:val="auto"/>
              </w:rPr>
            </w:pPr>
            <w:r>
              <w:rPr>
                <w:rFonts w:ascii="Arial" w:cs="Arial" w:eastAsia="Arial" w:hAnsi="Arial"/>
                <w:sz w:val="14"/>
                <w:szCs w:val="14"/>
                <w:color w:val="auto"/>
                <w:w w:val="88"/>
              </w:rPr>
              <w:t>Number of</w:t>
            </w:r>
          </w:p>
        </w:tc>
        <w:tc>
          <w:tcPr>
            <w:tcW w:w="360" w:type="dxa"/>
            <w:vAlign w:val="bottom"/>
          </w:tcPr>
          <w:p>
            <w:pPr>
              <w:spacing w:after="0"/>
              <w:rPr>
                <w:sz w:val="12"/>
                <w:szCs w:val="12"/>
                <w:color w:val="auto"/>
              </w:rPr>
            </w:pPr>
          </w:p>
        </w:tc>
        <w:tc>
          <w:tcPr>
            <w:tcW w:w="660" w:type="dxa"/>
            <w:vAlign w:val="bottom"/>
          </w:tcPr>
          <w:p>
            <w:pPr>
              <w:jc w:val="center"/>
              <w:ind w:right="278"/>
              <w:spacing w:after="0" w:line="149" w:lineRule="exact"/>
              <w:rPr>
                <w:sz w:val="20"/>
                <w:szCs w:val="20"/>
                <w:color w:val="auto"/>
              </w:rPr>
            </w:pPr>
            <w:r>
              <w:rPr>
                <w:rFonts w:ascii="Arial" w:cs="Arial" w:eastAsia="Arial" w:hAnsi="Arial"/>
                <w:sz w:val="14"/>
                <w:szCs w:val="14"/>
                <w:color w:val="auto"/>
                <w:w w:val="81"/>
              </w:rPr>
              <w:t>Price</w:t>
            </w:r>
          </w:p>
        </w:tc>
        <w:tc>
          <w:tcPr>
            <w:tcW w:w="1940" w:type="dxa"/>
            <w:vAlign w:val="bottom"/>
          </w:tcPr>
          <w:p>
            <w:pPr>
              <w:jc w:val="center"/>
              <w:spacing w:after="0" w:line="149" w:lineRule="exact"/>
              <w:rPr>
                <w:sz w:val="20"/>
                <w:szCs w:val="20"/>
                <w:color w:val="auto"/>
              </w:rPr>
            </w:pPr>
            <w:r>
              <w:rPr>
                <w:rFonts w:ascii="Arial" w:cs="Arial" w:eastAsia="Arial" w:hAnsi="Arial"/>
                <w:sz w:val="14"/>
                <w:szCs w:val="14"/>
                <w:color w:val="auto"/>
                <w:w w:val="81"/>
              </w:rPr>
              <w:t>Shares Purchased</w:t>
            </w:r>
          </w:p>
        </w:tc>
        <w:tc>
          <w:tcPr>
            <w:tcW w:w="340" w:type="dxa"/>
            <w:vAlign w:val="bottom"/>
          </w:tcPr>
          <w:p>
            <w:pPr>
              <w:spacing w:after="0"/>
              <w:rPr>
                <w:sz w:val="12"/>
                <w:szCs w:val="12"/>
                <w:color w:val="auto"/>
              </w:rPr>
            </w:pPr>
          </w:p>
        </w:tc>
        <w:tc>
          <w:tcPr>
            <w:tcW w:w="1280" w:type="dxa"/>
            <w:vAlign w:val="bottom"/>
          </w:tcPr>
          <w:p>
            <w:pPr>
              <w:jc w:val="center"/>
              <w:ind w:right="261"/>
              <w:spacing w:after="0" w:line="149" w:lineRule="exact"/>
              <w:rPr>
                <w:sz w:val="20"/>
                <w:szCs w:val="20"/>
                <w:color w:val="auto"/>
              </w:rPr>
            </w:pPr>
            <w:r>
              <w:rPr>
                <w:rFonts w:ascii="Arial" w:cs="Arial" w:eastAsia="Arial" w:hAnsi="Arial"/>
                <w:sz w:val="14"/>
                <w:szCs w:val="14"/>
                <w:color w:val="auto"/>
                <w:w w:val="80"/>
              </w:rPr>
              <w:t>Purchased</w:t>
            </w:r>
          </w:p>
        </w:tc>
        <w:tc>
          <w:tcPr>
            <w:tcW w:w="1500" w:type="dxa"/>
            <w:vAlign w:val="bottom"/>
          </w:tcPr>
          <w:p>
            <w:pPr>
              <w:jc w:val="center"/>
              <w:ind w:left="101"/>
              <w:spacing w:after="0" w:line="149" w:lineRule="exact"/>
              <w:rPr>
                <w:sz w:val="20"/>
                <w:szCs w:val="20"/>
                <w:color w:val="auto"/>
              </w:rPr>
            </w:pPr>
            <w:r>
              <w:rPr>
                <w:rFonts w:ascii="Arial" w:cs="Arial" w:eastAsia="Arial" w:hAnsi="Arial"/>
                <w:sz w:val="14"/>
                <w:szCs w:val="14"/>
                <w:color w:val="auto"/>
                <w:w w:val="88"/>
              </w:rPr>
              <w:t>May Yet Be</w:t>
            </w:r>
          </w:p>
        </w:tc>
      </w:tr>
      <w:tr>
        <w:trPr>
          <w:trHeight w:val="132"/>
        </w:trPr>
        <w:tc>
          <w:tcPr>
            <w:tcW w:w="3240" w:type="dxa"/>
            <w:vAlign w:val="bottom"/>
          </w:tcPr>
          <w:p>
            <w:pPr>
              <w:spacing w:after="0"/>
              <w:rPr>
                <w:sz w:val="11"/>
                <w:szCs w:val="11"/>
                <w:color w:val="auto"/>
              </w:rPr>
            </w:pPr>
          </w:p>
        </w:tc>
        <w:tc>
          <w:tcPr>
            <w:tcW w:w="2100" w:type="dxa"/>
            <w:vAlign w:val="bottom"/>
          </w:tcPr>
          <w:p>
            <w:pPr>
              <w:jc w:val="center"/>
              <w:ind w:left="620"/>
              <w:spacing w:after="0" w:line="133" w:lineRule="exact"/>
              <w:rPr>
                <w:sz w:val="20"/>
                <w:szCs w:val="20"/>
                <w:color w:val="auto"/>
              </w:rPr>
            </w:pPr>
            <w:r>
              <w:rPr>
                <w:rFonts w:ascii="Arial" w:cs="Arial" w:eastAsia="Arial" w:hAnsi="Arial"/>
                <w:sz w:val="14"/>
                <w:szCs w:val="14"/>
                <w:color w:val="auto"/>
                <w:w w:val="81"/>
              </w:rPr>
              <w:t>Shares</w:t>
            </w:r>
          </w:p>
        </w:tc>
        <w:tc>
          <w:tcPr>
            <w:tcW w:w="360" w:type="dxa"/>
            <w:vAlign w:val="bottom"/>
          </w:tcPr>
          <w:p>
            <w:pPr>
              <w:spacing w:after="0"/>
              <w:rPr>
                <w:sz w:val="11"/>
                <w:szCs w:val="11"/>
                <w:color w:val="auto"/>
              </w:rPr>
            </w:pPr>
          </w:p>
        </w:tc>
        <w:tc>
          <w:tcPr>
            <w:tcW w:w="660" w:type="dxa"/>
            <w:vAlign w:val="bottom"/>
          </w:tcPr>
          <w:p>
            <w:pPr>
              <w:jc w:val="center"/>
              <w:ind w:right="278"/>
              <w:spacing w:after="0" w:line="133" w:lineRule="exact"/>
              <w:rPr>
                <w:sz w:val="20"/>
                <w:szCs w:val="20"/>
                <w:color w:val="auto"/>
              </w:rPr>
            </w:pPr>
            <w:r>
              <w:rPr>
                <w:rFonts w:ascii="Arial" w:cs="Arial" w:eastAsia="Arial" w:hAnsi="Arial"/>
                <w:sz w:val="14"/>
                <w:szCs w:val="14"/>
                <w:color w:val="auto"/>
                <w:w w:val="82"/>
              </w:rPr>
              <w:t>Per</w:t>
            </w:r>
          </w:p>
        </w:tc>
        <w:tc>
          <w:tcPr>
            <w:tcW w:w="1940" w:type="dxa"/>
            <w:vAlign w:val="bottom"/>
          </w:tcPr>
          <w:p>
            <w:pPr>
              <w:jc w:val="center"/>
              <w:spacing w:after="0" w:line="133" w:lineRule="exact"/>
              <w:rPr>
                <w:sz w:val="20"/>
                <w:szCs w:val="20"/>
                <w:color w:val="auto"/>
              </w:rPr>
            </w:pPr>
            <w:r>
              <w:rPr>
                <w:rFonts w:ascii="Arial" w:cs="Arial" w:eastAsia="Arial" w:hAnsi="Arial"/>
                <w:sz w:val="14"/>
                <w:szCs w:val="14"/>
                <w:color w:val="auto"/>
                <w:w w:val="87"/>
              </w:rPr>
              <w:t>as Part of Publicly</w:t>
            </w:r>
          </w:p>
        </w:tc>
        <w:tc>
          <w:tcPr>
            <w:tcW w:w="340" w:type="dxa"/>
            <w:vAlign w:val="bottom"/>
          </w:tcPr>
          <w:p>
            <w:pPr>
              <w:spacing w:after="0"/>
              <w:rPr>
                <w:sz w:val="11"/>
                <w:szCs w:val="11"/>
                <w:color w:val="auto"/>
              </w:rPr>
            </w:pPr>
          </w:p>
        </w:tc>
        <w:tc>
          <w:tcPr>
            <w:tcW w:w="1280" w:type="dxa"/>
            <w:vAlign w:val="bottom"/>
          </w:tcPr>
          <w:p>
            <w:pPr>
              <w:jc w:val="center"/>
              <w:ind w:right="261"/>
              <w:spacing w:after="0" w:line="133" w:lineRule="exact"/>
              <w:rPr>
                <w:sz w:val="20"/>
                <w:szCs w:val="20"/>
                <w:color w:val="auto"/>
              </w:rPr>
            </w:pPr>
            <w:r>
              <w:rPr>
                <w:rFonts w:ascii="Arial" w:cs="Arial" w:eastAsia="Arial" w:hAnsi="Arial"/>
                <w:sz w:val="14"/>
                <w:szCs w:val="14"/>
                <w:color w:val="auto"/>
                <w:w w:val="87"/>
              </w:rPr>
              <w:t>Under the</w:t>
            </w:r>
          </w:p>
        </w:tc>
        <w:tc>
          <w:tcPr>
            <w:tcW w:w="1500" w:type="dxa"/>
            <w:vAlign w:val="bottom"/>
          </w:tcPr>
          <w:p>
            <w:pPr>
              <w:jc w:val="center"/>
              <w:ind w:left="101"/>
              <w:spacing w:after="0" w:line="133" w:lineRule="exact"/>
              <w:rPr>
                <w:sz w:val="20"/>
                <w:szCs w:val="20"/>
                <w:color w:val="auto"/>
              </w:rPr>
            </w:pPr>
            <w:r>
              <w:rPr>
                <w:rFonts w:ascii="Arial" w:cs="Arial" w:eastAsia="Arial" w:hAnsi="Arial"/>
                <w:sz w:val="14"/>
                <w:szCs w:val="14"/>
                <w:color w:val="auto"/>
                <w:w w:val="84"/>
              </w:rPr>
              <w:t>Purchased Under the</w:t>
            </w:r>
          </w:p>
        </w:tc>
      </w:tr>
      <w:tr>
        <w:trPr>
          <w:trHeight w:val="176"/>
        </w:trPr>
        <w:tc>
          <w:tcPr>
            <w:tcW w:w="32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Period</w:t>
            </w:r>
          </w:p>
        </w:tc>
        <w:tc>
          <w:tcPr>
            <w:tcW w:w="2100" w:type="dxa"/>
            <w:vAlign w:val="bottom"/>
            <w:tcBorders>
              <w:bottom w:val="single" w:sz="8" w:color="auto"/>
            </w:tcBorders>
          </w:tcPr>
          <w:p>
            <w:pPr>
              <w:jc w:val="center"/>
              <w:ind w:left="620"/>
              <w:spacing w:after="0"/>
              <w:rPr>
                <w:sz w:val="20"/>
                <w:szCs w:val="20"/>
                <w:color w:val="auto"/>
              </w:rPr>
            </w:pPr>
            <w:r>
              <w:rPr>
                <w:rFonts w:ascii="Arial" w:cs="Arial" w:eastAsia="Arial" w:hAnsi="Arial"/>
                <w:sz w:val="14"/>
                <w:szCs w:val="14"/>
                <w:color w:val="auto"/>
                <w:w w:val="83"/>
              </w:rPr>
              <w:t>Purchased</w:t>
            </w:r>
          </w:p>
        </w:tc>
        <w:tc>
          <w:tcPr>
            <w:tcW w:w="3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278"/>
              <w:spacing w:after="0"/>
              <w:rPr>
                <w:sz w:val="20"/>
                <w:szCs w:val="20"/>
                <w:color w:val="auto"/>
              </w:rPr>
            </w:pPr>
            <w:r>
              <w:rPr>
                <w:rFonts w:ascii="Arial" w:cs="Arial" w:eastAsia="Arial" w:hAnsi="Arial"/>
                <w:sz w:val="14"/>
                <w:szCs w:val="14"/>
                <w:color w:val="auto"/>
                <w:w w:val="80"/>
              </w:rPr>
              <w:t>Share</w:t>
            </w: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Announced Authorization</w:t>
            </w:r>
          </w:p>
        </w:tc>
        <w:tc>
          <w:tcPr>
            <w:tcW w:w="3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261"/>
              <w:spacing w:after="0"/>
              <w:rPr>
                <w:sz w:val="20"/>
                <w:szCs w:val="20"/>
                <w:color w:val="auto"/>
              </w:rPr>
            </w:pPr>
            <w:r>
              <w:rPr>
                <w:rFonts w:ascii="Arial" w:cs="Arial" w:eastAsia="Arial" w:hAnsi="Arial"/>
                <w:sz w:val="14"/>
                <w:szCs w:val="14"/>
                <w:color w:val="auto"/>
                <w:w w:val="90"/>
              </w:rPr>
              <w:t>Authorization</w:t>
            </w:r>
          </w:p>
        </w:tc>
        <w:tc>
          <w:tcPr>
            <w:tcW w:w="1500" w:type="dxa"/>
            <w:vAlign w:val="bottom"/>
            <w:tcBorders>
              <w:bottom w:val="single" w:sz="8" w:color="auto"/>
            </w:tcBorders>
          </w:tcPr>
          <w:p>
            <w:pPr>
              <w:jc w:val="center"/>
              <w:ind w:left="101"/>
              <w:spacing w:after="0" w:line="176" w:lineRule="exact"/>
              <w:rPr>
                <w:sz w:val="20"/>
                <w:szCs w:val="20"/>
                <w:color w:val="auto"/>
              </w:rPr>
            </w:pPr>
            <w:r>
              <w:rPr>
                <w:rFonts w:ascii="Arial" w:cs="Arial" w:eastAsia="Arial" w:hAnsi="Arial"/>
                <w:sz w:val="13"/>
                <w:szCs w:val="13"/>
                <w:color w:val="auto"/>
                <w:w w:val="95"/>
              </w:rPr>
              <w:t>Authorization</w:t>
            </w:r>
            <w:r>
              <w:rPr>
                <w:rFonts w:ascii="Arial" w:cs="Arial" w:eastAsia="Arial" w:hAnsi="Arial"/>
                <w:sz w:val="20"/>
                <w:szCs w:val="20"/>
                <w:color w:val="auto"/>
                <w:w w:val="95"/>
                <w:vertAlign w:val="superscript"/>
              </w:rPr>
              <w:t>(a)</w:t>
            </w:r>
          </w:p>
        </w:tc>
      </w:tr>
      <w:tr>
        <w:trPr>
          <w:trHeight w:val="210"/>
        </w:trPr>
        <w:tc>
          <w:tcPr>
            <w:tcW w:w="3240" w:type="dxa"/>
            <w:vAlign w:val="bottom"/>
            <w:shd w:val="clear" w:color="auto" w:fill="E5E5E5"/>
          </w:tcPr>
          <w:p>
            <w:pPr>
              <w:spacing w:after="0"/>
              <w:rPr>
                <w:sz w:val="20"/>
                <w:szCs w:val="20"/>
                <w:color w:val="auto"/>
              </w:rPr>
            </w:pPr>
            <w:r>
              <w:rPr>
                <w:rFonts w:ascii="Arial" w:cs="Arial" w:eastAsia="Arial" w:hAnsi="Arial"/>
                <w:sz w:val="18"/>
                <w:szCs w:val="18"/>
                <w:color w:val="auto"/>
              </w:rPr>
              <w:t>July 1-31, 2015</w:t>
            </w:r>
          </w:p>
        </w:tc>
        <w:tc>
          <w:tcPr>
            <w:tcW w:w="210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194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1280" w:type="dxa"/>
            <w:vAlign w:val="bottom"/>
            <w:shd w:val="clear" w:color="auto" w:fill="E5E5E5"/>
          </w:tcPr>
          <w:p>
            <w:pPr>
              <w:spacing w:after="0"/>
              <w:rPr>
                <w:sz w:val="18"/>
                <w:szCs w:val="18"/>
                <w:color w:val="auto"/>
              </w:rPr>
            </w:pPr>
          </w:p>
        </w:tc>
        <w:tc>
          <w:tcPr>
            <w:tcW w:w="1500" w:type="dxa"/>
            <w:vAlign w:val="bottom"/>
            <w:shd w:val="clear" w:color="auto" w:fill="E5E5E5"/>
          </w:tcPr>
          <w:p>
            <w:pPr>
              <w:spacing w:after="0"/>
              <w:rPr>
                <w:sz w:val="18"/>
                <w:szCs w:val="18"/>
                <w:color w:val="auto"/>
              </w:rPr>
            </w:pPr>
          </w:p>
        </w:tc>
      </w:tr>
      <w:tr>
        <w:trPr>
          <w:trHeight w:val="216"/>
        </w:trPr>
        <w:tc>
          <w:tcPr>
            <w:tcW w:w="3240" w:type="dxa"/>
            <w:vAlign w:val="bottom"/>
          </w:tcPr>
          <w:p>
            <w:pPr>
              <w:ind w:left="440"/>
              <w:spacing w:after="0"/>
              <w:rPr>
                <w:sz w:val="20"/>
                <w:szCs w:val="20"/>
                <w:color w:val="auto"/>
              </w:rPr>
            </w:pPr>
            <w:r>
              <w:rPr>
                <w:rFonts w:ascii="Arial" w:cs="Arial" w:eastAsia="Arial" w:hAnsi="Arial"/>
                <w:sz w:val="18"/>
                <w:szCs w:val="18"/>
                <w:color w:val="auto"/>
              </w:rPr>
              <w:t>Comcast Class A</w:t>
            </w:r>
          </w:p>
        </w:tc>
        <w:tc>
          <w:tcPr>
            <w:tcW w:w="2100" w:type="dxa"/>
            <w:vAlign w:val="bottom"/>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78"/>
              <w:spacing w:after="0"/>
              <w:rPr>
                <w:sz w:val="20"/>
                <w:szCs w:val="20"/>
                <w:color w:val="auto"/>
              </w:rPr>
            </w:pPr>
            <w:r>
              <w:rPr>
                <w:rFonts w:ascii="Arial" w:cs="Arial" w:eastAsia="Arial" w:hAnsi="Arial"/>
                <w:sz w:val="18"/>
                <w:szCs w:val="18"/>
                <w:color w:val="auto"/>
              </w:rPr>
              <w:t>—</w:t>
            </w:r>
          </w:p>
        </w:tc>
        <w:tc>
          <w:tcPr>
            <w:tcW w:w="1940" w:type="dxa"/>
            <w:vAlign w:val="bottom"/>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81"/>
              <w:spacing w:after="0"/>
              <w:rPr>
                <w:sz w:val="20"/>
                <w:szCs w:val="20"/>
                <w:color w:val="auto"/>
              </w:rPr>
            </w:pPr>
            <w:r>
              <w:rPr>
                <w:rFonts w:ascii="Arial" w:cs="Arial" w:eastAsia="Arial" w:hAnsi="Arial"/>
                <w:sz w:val="18"/>
                <w:szCs w:val="18"/>
                <w:color w:val="auto"/>
              </w:rPr>
              <w:t>—</w:t>
            </w:r>
          </w:p>
        </w:tc>
        <w:tc>
          <w:tcPr>
            <w:tcW w:w="1500" w:type="dxa"/>
            <w:vAlign w:val="bottom"/>
          </w:tcPr>
          <w:p>
            <w:pPr>
              <w:jc w:val="center"/>
              <w:ind w:left="101"/>
              <w:spacing w:after="0"/>
              <w:rPr>
                <w:sz w:val="20"/>
                <w:szCs w:val="20"/>
                <w:color w:val="auto"/>
              </w:rPr>
            </w:pPr>
            <w:r>
              <w:rPr>
                <w:rFonts w:ascii="Arial" w:cs="Arial" w:eastAsia="Arial" w:hAnsi="Arial"/>
                <w:sz w:val="18"/>
                <w:szCs w:val="18"/>
                <w:color w:val="auto"/>
                <w:w w:val="86"/>
              </w:rPr>
              <w:t>$ 6,415,000,000</w:t>
            </w:r>
          </w:p>
        </w:tc>
      </w:tr>
      <w:tr>
        <w:trPr>
          <w:trHeight w:val="216"/>
        </w:trPr>
        <w:tc>
          <w:tcPr>
            <w:tcW w:w="324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Comcast Class A Special</w:t>
            </w:r>
          </w:p>
        </w:tc>
        <w:tc>
          <w:tcPr>
            <w:tcW w:w="2100" w:type="dxa"/>
            <w:vAlign w:val="bottom"/>
            <w:shd w:val="clear" w:color="auto" w:fill="E5E5E5"/>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E5E5E5"/>
          </w:tcPr>
          <w:p>
            <w:pPr>
              <w:jc w:val="right"/>
              <w:ind w:right="178"/>
              <w:spacing w:after="0"/>
              <w:rPr>
                <w:sz w:val="20"/>
                <w:szCs w:val="20"/>
                <w:color w:val="auto"/>
              </w:rPr>
            </w:pPr>
            <w:r>
              <w:rPr>
                <w:rFonts w:ascii="Arial" w:cs="Arial" w:eastAsia="Arial" w:hAnsi="Arial"/>
                <w:sz w:val="18"/>
                <w:szCs w:val="18"/>
                <w:color w:val="auto"/>
              </w:rPr>
              <w:t>—</w:t>
            </w:r>
          </w:p>
        </w:tc>
        <w:tc>
          <w:tcPr>
            <w:tcW w:w="1940" w:type="dxa"/>
            <w:vAlign w:val="bottom"/>
            <w:shd w:val="clear" w:color="auto" w:fill="E5E5E5"/>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E5E5E5"/>
          </w:tcPr>
          <w:p>
            <w:pPr>
              <w:jc w:val="right"/>
              <w:ind w:right="181"/>
              <w:spacing w:after="0"/>
              <w:rPr>
                <w:sz w:val="20"/>
                <w:szCs w:val="20"/>
                <w:color w:val="auto"/>
              </w:rPr>
            </w:pPr>
            <w:r>
              <w:rPr>
                <w:rFonts w:ascii="Arial" w:cs="Arial" w:eastAsia="Arial" w:hAnsi="Arial"/>
                <w:sz w:val="18"/>
                <w:szCs w:val="18"/>
                <w:color w:val="auto"/>
              </w:rPr>
              <w:t>—</w:t>
            </w:r>
          </w:p>
        </w:tc>
        <w:tc>
          <w:tcPr>
            <w:tcW w:w="1500" w:type="dxa"/>
            <w:vAlign w:val="bottom"/>
            <w:shd w:val="clear" w:color="auto" w:fill="E5E5E5"/>
          </w:tcPr>
          <w:p>
            <w:pPr>
              <w:jc w:val="center"/>
              <w:ind w:left="101"/>
              <w:spacing w:after="0"/>
              <w:rPr>
                <w:sz w:val="20"/>
                <w:szCs w:val="20"/>
                <w:color w:val="auto"/>
              </w:rPr>
            </w:pPr>
            <w:r>
              <w:rPr>
                <w:rFonts w:ascii="Arial" w:cs="Arial" w:eastAsia="Arial" w:hAnsi="Arial"/>
                <w:sz w:val="18"/>
                <w:szCs w:val="18"/>
                <w:color w:val="auto"/>
                <w:w w:val="86"/>
              </w:rPr>
              <w:t>$ 6,415,000,000</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August 1-31, 2015</w:t>
            </w:r>
          </w:p>
        </w:tc>
        <w:tc>
          <w:tcPr>
            <w:tcW w:w="2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6"/>
        </w:trPr>
        <w:tc>
          <w:tcPr>
            <w:tcW w:w="324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Comcast Class A</w:t>
            </w:r>
          </w:p>
        </w:tc>
        <w:tc>
          <w:tcPr>
            <w:tcW w:w="2100" w:type="dxa"/>
            <w:vAlign w:val="bottom"/>
            <w:shd w:val="clear" w:color="auto" w:fill="E5E5E5"/>
          </w:tcPr>
          <w:p>
            <w:pPr>
              <w:jc w:val="right"/>
              <w:ind w:right="180"/>
              <w:spacing w:after="0"/>
              <w:rPr>
                <w:sz w:val="20"/>
                <w:szCs w:val="20"/>
                <w:color w:val="auto"/>
              </w:rPr>
            </w:pPr>
            <w:r>
              <w:rPr>
                <w:rFonts w:ascii="Arial" w:cs="Arial" w:eastAsia="Arial" w:hAnsi="Arial"/>
                <w:sz w:val="18"/>
                <w:szCs w:val="18"/>
                <w:color w:val="auto"/>
              </w:rPr>
              <w:t>2,710,498</w:t>
            </w:r>
          </w:p>
        </w:tc>
        <w:tc>
          <w:tcPr>
            <w:tcW w:w="3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E5E5E5"/>
          </w:tcPr>
          <w:p>
            <w:pPr>
              <w:jc w:val="right"/>
              <w:ind w:right="178"/>
              <w:spacing w:after="0"/>
              <w:rPr>
                <w:sz w:val="20"/>
                <w:szCs w:val="20"/>
                <w:color w:val="auto"/>
              </w:rPr>
            </w:pPr>
            <w:r>
              <w:rPr>
                <w:rFonts w:ascii="Arial" w:cs="Arial" w:eastAsia="Arial" w:hAnsi="Arial"/>
                <w:sz w:val="18"/>
                <w:szCs w:val="18"/>
                <w:color w:val="auto"/>
                <w:w w:val="84"/>
              </w:rPr>
              <w:t>55.52</w:t>
            </w:r>
          </w:p>
        </w:tc>
        <w:tc>
          <w:tcPr>
            <w:tcW w:w="1940" w:type="dxa"/>
            <w:vAlign w:val="bottom"/>
            <w:shd w:val="clear" w:color="auto" w:fill="E5E5E5"/>
          </w:tcPr>
          <w:p>
            <w:pPr>
              <w:jc w:val="right"/>
              <w:ind w:right="180"/>
              <w:spacing w:after="0"/>
              <w:rPr>
                <w:sz w:val="20"/>
                <w:szCs w:val="20"/>
                <w:color w:val="auto"/>
              </w:rPr>
            </w:pPr>
            <w:r>
              <w:rPr>
                <w:rFonts w:ascii="Arial" w:cs="Arial" w:eastAsia="Arial" w:hAnsi="Arial"/>
                <w:sz w:val="18"/>
                <w:szCs w:val="18"/>
                <w:color w:val="auto"/>
              </w:rPr>
              <w:t>2,710,498</w:t>
            </w:r>
          </w:p>
        </w:tc>
        <w:tc>
          <w:tcPr>
            <w:tcW w:w="3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E5E5E5"/>
          </w:tcPr>
          <w:p>
            <w:pPr>
              <w:jc w:val="right"/>
              <w:ind w:right="181"/>
              <w:spacing w:after="0"/>
              <w:rPr>
                <w:sz w:val="20"/>
                <w:szCs w:val="20"/>
                <w:color w:val="auto"/>
              </w:rPr>
            </w:pPr>
            <w:r>
              <w:rPr>
                <w:rFonts w:ascii="Arial" w:cs="Arial" w:eastAsia="Arial" w:hAnsi="Arial"/>
                <w:sz w:val="18"/>
                <w:szCs w:val="18"/>
                <w:color w:val="auto"/>
                <w:w w:val="99"/>
              </w:rPr>
              <w:t>150,488,597</w:t>
            </w:r>
          </w:p>
        </w:tc>
        <w:tc>
          <w:tcPr>
            <w:tcW w:w="1500" w:type="dxa"/>
            <w:vAlign w:val="bottom"/>
            <w:shd w:val="clear" w:color="auto" w:fill="E5E5E5"/>
          </w:tcPr>
          <w:p>
            <w:pPr>
              <w:jc w:val="center"/>
              <w:ind w:left="101"/>
              <w:spacing w:after="0"/>
              <w:rPr>
                <w:sz w:val="20"/>
                <w:szCs w:val="20"/>
                <w:color w:val="auto"/>
              </w:rPr>
            </w:pPr>
            <w:r>
              <w:rPr>
                <w:rFonts w:ascii="Arial" w:cs="Arial" w:eastAsia="Arial" w:hAnsi="Arial"/>
                <w:sz w:val="18"/>
                <w:szCs w:val="18"/>
                <w:color w:val="auto"/>
                <w:w w:val="86"/>
              </w:rPr>
              <w:t>$ 6,264,511,403</w:t>
            </w:r>
          </w:p>
        </w:tc>
      </w:tr>
      <w:tr>
        <w:trPr>
          <w:trHeight w:val="216"/>
        </w:trPr>
        <w:tc>
          <w:tcPr>
            <w:tcW w:w="3240" w:type="dxa"/>
            <w:vAlign w:val="bottom"/>
          </w:tcPr>
          <w:p>
            <w:pPr>
              <w:ind w:left="440"/>
              <w:spacing w:after="0"/>
              <w:rPr>
                <w:sz w:val="20"/>
                <w:szCs w:val="20"/>
                <w:color w:val="auto"/>
              </w:rPr>
            </w:pPr>
            <w:r>
              <w:rPr>
                <w:rFonts w:ascii="Arial" w:cs="Arial" w:eastAsia="Arial" w:hAnsi="Arial"/>
                <w:sz w:val="18"/>
                <w:szCs w:val="18"/>
                <w:color w:val="auto"/>
              </w:rPr>
              <w:t>Comcast Class A Special</w:t>
            </w:r>
          </w:p>
        </w:tc>
        <w:tc>
          <w:tcPr>
            <w:tcW w:w="2100" w:type="dxa"/>
            <w:vAlign w:val="bottom"/>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78"/>
              <w:spacing w:after="0"/>
              <w:rPr>
                <w:sz w:val="20"/>
                <w:szCs w:val="20"/>
                <w:color w:val="auto"/>
              </w:rPr>
            </w:pPr>
            <w:r>
              <w:rPr>
                <w:rFonts w:ascii="Arial" w:cs="Arial" w:eastAsia="Arial" w:hAnsi="Arial"/>
                <w:sz w:val="18"/>
                <w:szCs w:val="18"/>
                <w:color w:val="auto"/>
              </w:rPr>
              <w:t>—</w:t>
            </w:r>
          </w:p>
        </w:tc>
        <w:tc>
          <w:tcPr>
            <w:tcW w:w="1940" w:type="dxa"/>
            <w:vAlign w:val="bottom"/>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81"/>
              <w:spacing w:after="0"/>
              <w:rPr>
                <w:sz w:val="20"/>
                <w:szCs w:val="20"/>
                <w:color w:val="auto"/>
              </w:rPr>
            </w:pPr>
            <w:r>
              <w:rPr>
                <w:rFonts w:ascii="Arial" w:cs="Arial" w:eastAsia="Arial" w:hAnsi="Arial"/>
                <w:sz w:val="18"/>
                <w:szCs w:val="18"/>
                <w:color w:val="auto"/>
              </w:rPr>
              <w:t>—</w:t>
            </w:r>
          </w:p>
        </w:tc>
        <w:tc>
          <w:tcPr>
            <w:tcW w:w="1500" w:type="dxa"/>
            <w:vAlign w:val="bottom"/>
          </w:tcPr>
          <w:p>
            <w:pPr>
              <w:jc w:val="center"/>
              <w:ind w:left="101"/>
              <w:spacing w:after="0"/>
              <w:rPr>
                <w:sz w:val="20"/>
                <w:szCs w:val="20"/>
                <w:color w:val="auto"/>
              </w:rPr>
            </w:pPr>
            <w:r>
              <w:rPr>
                <w:rFonts w:ascii="Arial" w:cs="Arial" w:eastAsia="Arial" w:hAnsi="Arial"/>
                <w:sz w:val="18"/>
                <w:szCs w:val="18"/>
                <w:color w:val="auto"/>
                <w:w w:val="86"/>
              </w:rPr>
              <w:t>$ 6,264,511,403</w:t>
            </w:r>
          </w:p>
        </w:tc>
      </w:tr>
      <w:tr>
        <w:trPr>
          <w:trHeight w:val="216"/>
        </w:trPr>
        <w:tc>
          <w:tcPr>
            <w:tcW w:w="3240" w:type="dxa"/>
            <w:vAlign w:val="bottom"/>
            <w:shd w:val="clear" w:color="auto" w:fill="E5E5E5"/>
          </w:tcPr>
          <w:p>
            <w:pPr>
              <w:spacing w:after="0"/>
              <w:rPr>
                <w:sz w:val="20"/>
                <w:szCs w:val="20"/>
                <w:color w:val="auto"/>
              </w:rPr>
            </w:pPr>
            <w:r>
              <w:rPr>
                <w:rFonts w:ascii="Arial" w:cs="Arial" w:eastAsia="Arial" w:hAnsi="Arial"/>
                <w:sz w:val="18"/>
                <w:szCs w:val="18"/>
                <w:color w:val="auto"/>
              </w:rPr>
              <w:t>September 1-30, 2015</w:t>
            </w:r>
          </w:p>
        </w:tc>
        <w:tc>
          <w:tcPr>
            <w:tcW w:w="210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194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1280" w:type="dxa"/>
            <w:vAlign w:val="bottom"/>
            <w:shd w:val="clear" w:color="auto" w:fill="E5E5E5"/>
          </w:tcPr>
          <w:p>
            <w:pPr>
              <w:spacing w:after="0"/>
              <w:rPr>
                <w:sz w:val="18"/>
                <w:szCs w:val="18"/>
                <w:color w:val="auto"/>
              </w:rPr>
            </w:pPr>
          </w:p>
        </w:tc>
        <w:tc>
          <w:tcPr>
            <w:tcW w:w="1500" w:type="dxa"/>
            <w:vAlign w:val="bottom"/>
            <w:shd w:val="clear" w:color="auto" w:fill="E5E5E5"/>
          </w:tcPr>
          <w:p>
            <w:pPr>
              <w:spacing w:after="0"/>
              <w:rPr>
                <w:sz w:val="18"/>
                <w:szCs w:val="18"/>
                <w:color w:val="auto"/>
              </w:rPr>
            </w:pPr>
          </w:p>
        </w:tc>
      </w:tr>
      <w:tr>
        <w:trPr>
          <w:trHeight w:val="216"/>
        </w:trPr>
        <w:tc>
          <w:tcPr>
            <w:tcW w:w="3240" w:type="dxa"/>
            <w:vAlign w:val="bottom"/>
          </w:tcPr>
          <w:p>
            <w:pPr>
              <w:ind w:left="440"/>
              <w:spacing w:after="0"/>
              <w:rPr>
                <w:sz w:val="20"/>
                <w:szCs w:val="20"/>
                <w:color w:val="auto"/>
              </w:rPr>
            </w:pPr>
            <w:r>
              <w:rPr>
                <w:rFonts w:ascii="Arial" w:cs="Arial" w:eastAsia="Arial" w:hAnsi="Arial"/>
                <w:sz w:val="18"/>
                <w:szCs w:val="18"/>
                <w:color w:val="auto"/>
              </w:rPr>
              <w:t>Comcast Class A</w:t>
            </w:r>
          </w:p>
        </w:tc>
        <w:tc>
          <w:tcPr>
            <w:tcW w:w="2100" w:type="dxa"/>
            <w:vAlign w:val="bottom"/>
          </w:tcPr>
          <w:p>
            <w:pPr>
              <w:jc w:val="right"/>
              <w:ind w:right="180"/>
              <w:spacing w:after="0"/>
              <w:rPr>
                <w:sz w:val="20"/>
                <w:szCs w:val="20"/>
                <w:color w:val="auto"/>
              </w:rPr>
            </w:pPr>
            <w:r>
              <w:rPr>
                <w:rFonts w:ascii="Arial" w:cs="Arial" w:eastAsia="Arial" w:hAnsi="Arial"/>
                <w:sz w:val="18"/>
                <w:szCs w:val="18"/>
                <w:color w:val="auto"/>
              </w:rPr>
              <w:t>13,513,932</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78"/>
              <w:spacing w:after="0"/>
              <w:rPr>
                <w:sz w:val="20"/>
                <w:szCs w:val="20"/>
                <w:color w:val="auto"/>
              </w:rPr>
            </w:pPr>
            <w:r>
              <w:rPr>
                <w:rFonts w:ascii="Arial" w:cs="Arial" w:eastAsia="Arial" w:hAnsi="Arial"/>
                <w:sz w:val="18"/>
                <w:szCs w:val="18"/>
                <w:color w:val="auto"/>
                <w:w w:val="84"/>
              </w:rPr>
              <w:t>57.99</w:t>
            </w:r>
          </w:p>
        </w:tc>
        <w:tc>
          <w:tcPr>
            <w:tcW w:w="1940" w:type="dxa"/>
            <w:vAlign w:val="bottom"/>
          </w:tcPr>
          <w:p>
            <w:pPr>
              <w:jc w:val="right"/>
              <w:ind w:right="180"/>
              <w:spacing w:after="0"/>
              <w:rPr>
                <w:sz w:val="20"/>
                <w:szCs w:val="20"/>
                <w:color w:val="auto"/>
              </w:rPr>
            </w:pPr>
            <w:r>
              <w:rPr>
                <w:rFonts w:ascii="Arial" w:cs="Arial" w:eastAsia="Arial" w:hAnsi="Arial"/>
                <w:sz w:val="18"/>
                <w:szCs w:val="18"/>
                <w:color w:val="auto"/>
              </w:rPr>
              <w:t>13,513,932</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81"/>
              <w:spacing w:after="0"/>
              <w:rPr>
                <w:sz w:val="20"/>
                <w:szCs w:val="20"/>
                <w:color w:val="auto"/>
              </w:rPr>
            </w:pPr>
            <w:r>
              <w:rPr>
                <w:rFonts w:ascii="Arial" w:cs="Arial" w:eastAsia="Arial" w:hAnsi="Arial"/>
                <w:sz w:val="18"/>
                <w:szCs w:val="18"/>
                <w:color w:val="auto"/>
                <w:w w:val="99"/>
              </w:rPr>
              <w:t>783,723,554</w:t>
            </w:r>
          </w:p>
        </w:tc>
        <w:tc>
          <w:tcPr>
            <w:tcW w:w="1500" w:type="dxa"/>
            <w:vAlign w:val="bottom"/>
          </w:tcPr>
          <w:p>
            <w:pPr>
              <w:jc w:val="center"/>
              <w:ind w:left="101"/>
              <w:spacing w:after="0"/>
              <w:rPr>
                <w:sz w:val="20"/>
                <w:szCs w:val="20"/>
                <w:color w:val="auto"/>
              </w:rPr>
            </w:pPr>
            <w:r>
              <w:rPr>
                <w:rFonts w:ascii="Arial" w:cs="Arial" w:eastAsia="Arial" w:hAnsi="Arial"/>
                <w:sz w:val="18"/>
                <w:szCs w:val="18"/>
                <w:color w:val="auto"/>
                <w:w w:val="86"/>
              </w:rPr>
              <w:t>$ 5,480,787,849</w:t>
            </w:r>
          </w:p>
        </w:tc>
      </w:tr>
      <w:tr>
        <w:trPr>
          <w:trHeight w:val="216"/>
        </w:trPr>
        <w:tc>
          <w:tcPr>
            <w:tcW w:w="3240" w:type="dxa"/>
            <w:vAlign w:val="bottom"/>
            <w:tcBorders>
              <w:bottom w:val="single" w:sz="8" w:color="auto"/>
            </w:tcBorders>
            <w:shd w:val="clear" w:color="auto" w:fill="E5E5E5"/>
          </w:tcPr>
          <w:p>
            <w:pPr>
              <w:ind w:left="440"/>
              <w:spacing w:after="0"/>
              <w:rPr>
                <w:sz w:val="20"/>
                <w:szCs w:val="20"/>
                <w:color w:val="auto"/>
              </w:rPr>
            </w:pPr>
            <w:r>
              <w:rPr>
                <w:rFonts w:ascii="Arial" w:cs="Arial" w:eastAsia="Arial" w:hAnsi="Arial"/>
                <w:sz w:val="18"/>
                <w:szCs w:val="18"/>
                <w:color w:val="auto"/>
              </w:rPr>
              <w:t>Comcast Class A Special</w:t>
            </w:r>
          </w:p>
        </w:tc>
        <w:tc>
          <w:tcPr>
            <w:tcW w:w="2100" w:type="dxa"/>
            <w:vAlign w:val="bottom"/>
            <w:tcBorders>
              <w:bottom w:val="single" w:sz="8" w:color="auto"/>
            </w:tcBorders>
            <w:shd w:val="clear" w:color="auto" w:fill="E5E5E5"/>
          </w:tcPr>
          <w:p>
            <w:pPr>
              <w:jc w:val="right"/>
              <w:ind w:right="180"/>
              <w:spacing w:after="0"/>
              <w:rPr>
                <w:sz w:val="20"/>
                <w:szCs w:val="20"/>
                <w:color w:val="auto"/>
              </w:rPr>
            </w:pPr>
            <w:r>
              <w:rPr>
                <w:rFonts w:ascii="Arial" w:cs="Arial" w:eastAsia="Arial" w:hAnsi="Arial"/>
                <w:sz w:val="18"/>
                <w:szCs w:val="18"/>
                <w:color w:val="auto"/>
              </w:rPr>
              <w:t>20,871,773</w:t>
            </w:r>
          </w:p>
        </w:tc>
        <w:tc>
          <w:tcPr>
            <w:tcW w:w="3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E5E5E5"/>
          </w:tcPr>
          <w:p>
            <w:pPr>
              <w:jc w:val="right"/>
              <w:ind w:right="178"/>
              <w:spacing w:after="0"/>
              <w:rPr>
                <w:sz w:val="20"/>
                <w:szCs w:val="20"/>
                <w:color w:val="auto"/>
              </w:rPr>
            </w:pPr>
            <w:r>
              <w:rPr>
                <w:rFonts w:ascii="Arial" w:cs="Arial" w:eastAsia="Arial" w:hAnsi="Arial"/>
                <w:sz w:val="18"/>
                <w:szCs w:val="18"/>
                <w:color w:val="auto"/>
                <w:w w:val="84"/>
              </w:rPr>
              <w:t>59.93</w:t>
            </w:r>
          </w:p>
        </w:tc>
        <w:tc>
          <w:tcPr>
            <w:tcW w:w="1940" w:type="dxa"/>
            <w:vAlign w:val="bottom"/>
            <w:tcBorders>
              <w:bottom w:val="single" w:sz="8" w:color="auto"/>
            </w:tcBorders>
            <w:shd w:val="clear" w:color="auto" w:fill="E5E5E5"/>
          </w:tcPr>
          <w:p>
            <w:pPr>
              <w:jc w:val="right"/>
              <w:ind w:right="180"/>
              <w:spacing w:after="0"/>
              <w:rPr>
                <w:sz w:val="20"/>
                <w:szCs w:val="20"/>
                <w:color w:val="auto"/>
              </w:rPr>
            </w:pPr>
            <w:r>
              <w:rPr>
                <w:rFonts w:ascii="Arial" w:cs="Arial" w:eastAsia="Arial" w:hAnsi="Arial"/>
                <w:sz w:val="18"/>
                <w:szCs w:val="18"/>
                <w:color w:val="auto"/>
              </w:rPr>
              <w:t>20,871,773</w:t>
            </w:r>
          </w:p>
        </w:tc>
        <w:tc>
          <w:tcPr>
            <w:tcW w:w="3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E5E5E5"/>
          </w:tcPr>
          <w:p>
            <w:pPr>
              <w:jc w:val="right"/>
              <w:ind w:right="181"/>
              <w:spacing w:after="0"/>
              <w:rPr>
                <w:sz w:val="20"/>
                <w:szCs w:val="20"/>
                <w:color w:val="auto"/>
              </w:rPr>
            </w:pPr>
            <w:r>
              <w:rPr>
                <w:rFonts w:ascii="Arial" w:cs="Arial" w:eastAsia="Arial" w:hAnsi="Arial"/>
                <w:sz w:val="18"/>
                <w:szCs w:val="18"/>
                <w:color w:val="auto"/>
                <w:w w:val="86"/>
              </w:rPr>
              <w:t>1,250,787,795</w:t>
            </w:r>
          </w:p>
        </w:tc>
        <w:tc>
          <w:tcPr>
            <w:tcW w:w="1500" w:type="dxa"/>
            <w:vAlign w:val="bottom"/>
            <w:tcBorders>
              <w:bottom w:val="single" w:sz="8" w:color="auto"/>
            </w:tcBorders>
            <w:shd w:val="clear" w:color="auto" w:fill="E5E5E5"/>
          </w:tcPr>
          <w:p>
            <w:pPr>
              <w:jc w:val="center"/>
              <w:ind w:left="101"/>
              <w:spacing w:after="0"/>
              <w:rPr>
                <w:sz w:val="20"/>
                <w:szCs w:val="20"/>
                <w:color w:val="auto"/>
              </w:rPr>
            </w:pPr>
            <w:r>
              <w:rPr>
                <w:rFonts w:ascii="Arial" w:cs="Arial" w:eastAsia="Arial" w:hAnsi="Arial"/>
                <w:sz w:val="18"/>
                <w:szCs w:val="18"/>
                <w:color w:val="auto"/>
                <w:w w:val="86"/>
              </w:rPr>
              <w:t>$ 4,230,000,054</w:t>
            </w:r>
          </w:p>
        </w:tc>
      </w:tr>
      <w:tr>
        <w:trPr>
          <w:trHeight w:val="217"/>
        </w:trPr>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w:t>
            </w:r>
          </w:p>
        </w:tc>
        <w:tc>
          <w:tcPr>
            <w:tcW w:w="2100" w:type="dxa"/>
            <w:vAlign w:val="bottom"/>
            <w:tcBorders>
              <w:bottom w:val="single" w:sz="8" w:color="auto"/>
            </w:tcBorders>
          </w:tcPr>
          <w:p>
            <w:pPr>
              <w:jc w:val="right"/>
              <w:ind w:right="180"/>
              <w:spacing w:after="0"/>
              <w:rPr>
                <w:sz w:val="20"/>
                <w:szCs w:val="20"/>
                <w:color w:val="auto"/>
              </w:rPr>
            </w:pPr>
            <w:r>
              <w:rPr>
                <w:rFonts w:ascii="Arial" w:cs="Arial" w:eastAsia="Arial" w:hAnsi="Arial"/>
                <w:sz w:val="18"/>
                <w:szCs w:val="18"/>
                <w:b w:val="1"/>
                <w:bCs w:val="1"/>
                <w:color w:val="auto"/>
              </w:rPr>
              <w:t>37,096,203</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ind w:right="178"/>
              <w:spacing w:after="0"/>
              <w:rPr>
                <w:sz w:val="20"/>
                <w:szCs w:val="20"/>
                <w:color w:val="auto"/>
              </w:rPr>
            </w:pPr>
            <w:r>
              <w:rPr>
                <w:rFonts w:ascii="Arial" w:cs="Arial" w:eastAsia="Arial" w:hAnsi="Arial"/>
                <w:sz w:val="18"/>
                <w:szCs w:val="18"/>
                <w:b w:val="1"/>
                <w:bCs w:val="1"/>
                <w:color w:val="auto"/>
                <w:w w:val="84"/>
              </w:rPr>
              <w:t>58.90</w:t>
            </w:r>
          </w:p>
        </w:tc>
        <w:tc>
          <w:tcPr>
            <w:tcW w:w="1940" w:type="dxa"/>
            <w:vAlign w:val="bottom"/>
            <w:tcBorders>
              <w:bottom w:val="single" w:sz="8" w:color="auto"/>
            </w:tcBorders>
          </w:tcPr>
          <w:p>
            <w:pPr>
              <w:jc w:val="right"/>
              <w:ind w:right="180"/>
              <w:spacing w:after="0"/>
              <w:rPr>
                <w:sz w:val="20"/>
                <w:szCs w:val="20"/>
                <w:color w:val="auto"/>
              </w:rPr>
            </w:pPr>
            <w:r>
              <w:rPr>
                <w:rFonts w:ascii="Arial" w:cs="Arial" w:eastAsia="Arial" w:hAnsi="Arial"/>
                <w:sz w:val="18"/>
                <w:szCs w:val="18"/>
                <w:b w:val="1"/>
                <w:bCs w:val="1"/>
                <w:color w:val="auto"/>
              </w:rPr>
              <w:t>37,096,203</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tcPr>
          <w:p>
            <w:pPr>
              <w:jc w:val="right"/>
              <w:ind w:right="181"/>
              <w:spacing w:after="0"/>
              <w:rPr>
                <w:sz w:val="20"/>
                <w:szCs w:val="20"/>
                <w:color w:val="auto"/>
              </w:rPr>
            </w:pPr>
            <w:r>
              <w:rPr>
                <w:rFonts w:ascii="Arial" w:cs="Arial" w:eastAsia="Arial" w:hAnsi="Arial"/>
                <w:sz w:val="18"/>
                <w:szCs w:val="18"/>
                <w:b w:val="1"/>
                <w:bCs w:val="1"/>
                <w:color w:val="auto"/>
                <w:w w:val="86"/>
              </w:rPr>
              <w:t>2,184,999,946</w:t>
            </w:r>
          </w:p>
        </w:tc>
        <w:tc>
          <w:tcPr>
            <w:tcW w:w="1500" w:type="dxa"/>
            <w:vAlign w:val="bottom"/>
            <w:tcBorders>
              <w:bottom w:val="single" w:sz="8" w:color="auto"/>
            </w:tcBorders>
          </w:tcPr>
          <w:p>
            <w:pPr>
              <w:jc w:val="center"/>
              <w:ind w:left="101"/>
              <w:spacing w:after="0"/>
              <w:rPr>
                <w:sz w:val="20"/>
                <w:szCs w:val="20"/>
                <w:color w:val="auto"/>
              </w:rPr>
            </w:pPr>
            <w:r>
              <w:rPr>
                <w:rFonts w:ascii="Arial" w:cs="Arial" w:eastAsia="Arial" w:hAnsi="Arial"/>
                <w:sz w:val="18"/>
                <w:szCs w:val="18"/>
                <w:b w:val="1"/>
                <w:bCs w:val="1"/>
                <w:color w:val="auto"/>
                <w:w w:val="86"/>
              </w:rPr>
              <w:t>$ 4,230,000,054</w:t>
            </w:r>
          </w:p>
        </w:tc>
      </w:tr>
    </w:tbl>
    <w:p>
      <w:pPr>
        <w:spacing w:after="0" w:line="57" w:lineRule="exact"/>
        <w:rPr>
          <w:sz w:val="20"/>
          <w:szCs w:val="20"/>
          <w:color w:val="auto"/>
        </w:rPr>
      </w:pPr>
    </w:p>
    <w:p>
      <w:pPr>
        <w:ind w:left="340" w:hanging="332"/>
        <w:spacing w:after="0" w:line="239" w:lineRule="auto"/>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 February 2015, our Board of Directors increased our share repurchase authorization to $10 billion, which does not have an expiration date. Under this authorization, we may repurchase shares in the open market or in private transactions. We continue to plan to repurchase $6.75 billion during 2015, subject to market conditions.</w:t>
      </w:r>
    </w:p>
    <w:p>
      <w:pPr>
        <w:spacing w:after="0" w:line="4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total number of shares purchased during the three months ended September 30, 2015 does not include any shares received in the administration of employee share-based compensation plans.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5: OTHER INFORMATION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w:t>
      </w:r>
    </w:p>
    <w:p>
      <w:pPr>
        <w:spacing w:after="0" w:line="7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October 23, 2015, the Company entered into a new employment agreement with Mr. David L. Cohen, Senior Executive Vice President, which secures his employment through December 31, 2020. The agreement follows the standard form of employment agreement used by the Company for its named executive officers and includes an obligation to work full-time for the Company, as well as non-solicitation, non-competition and confidentiality obligations. The agreement does not provide for any increase in base salary, but his annual cash bonus opportunity will increase to 250% of base salary for 2016 (based on the achievement of performance goals). The agreement continues the structure of Mr. Cohen’s prior employment agreement of crediting a specified contribution amount to the Company’s deferred compensation plan each year during the term of the agreement, beginning in 2016 in the amount of $1,276,281, with annual contributions increasing by 5% each year during the term of the agreement thereafter. Also under the agreement, Mr. Cohen will be granted a restricted stock unit award having a value of $3 million that will vest over a five year period (with 15% vesting thirteen months following the date of grant and on each of the second through fourth anniversaries of the date of grant and 40% vesting on the fifth anniversary), subject to continued employment through the relevant vesting date and the performance condition that the Company’s operating cash flow for the twelve-month period ending September 30, 2016 equals at least 101% of the operating cash flow for the prior twelve-month period (or that the operating cash flow for any subsequent twelve month period ended September 30th during the vesting period equals at least 101% of that of the prior twelve month period).</w:t>
      </w:r>
    </w:p>
    <w:p>
      <w:pPr>
        <w:spacing w:after="0" w:line="3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above summary is qualified in its entirety by the terms and conditions set forth in the agreement and the form of restricted stock unit award, copies of which are attached hereto as Exhibit 10.1 and 10.2, respectively.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By-Laws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Effective October 23, 2015, the Company’s Board of Directors amended the Company’s Amended and Restated By-Laws as follows:</w:t>
      </w:r>
    </w:p>
    <w:p>
      <w:pPr>
        <w:spacing w:after="0" w:line="77" w:lineRule="exact"/>
        <w:rPr>
          <w:sz w:val="20"/>
          <w:szCs w:val="20"/>
          <w:color w:val="auto"/>
        </w:rPr>
      </w:pPr>
    </w:p>
    <w:p>
      <w:pPr>
        <w:jc w:val="both"/>
        <w:ind w:left="900" w:hanging="446"/>
        <w:spacing w:after="0" w:line="289"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Section 2.09(iii) was added in its entirety, which provides that, effective after the Company’s 2016 annual meeting of shareholders, notice of any shareholder proposals (other than those seeking to nominate directors) that are intended to be presented at an annual meeting but will not be included in the Company’s proxy statement must be received by the Company not less than 90 days nor more than 120 days prior to the anniversary date of the prior year’s annual meeting (unless the applicable annual meeting is not within 30 days before or after the anniversary date of the prior year’s annual meeting). Currently (and until such time as Section 2.09(iii) becomes effective), such notice must be received not less than 60 days nor more than 90 days prior to such anniversary date. Following the effectiveness of Section 2.09(iii), the timeframes for notices of such shareholder proposals will be conformed to the timeframes currently applicable for notices of shareholder nominations for the election of directors that are set forth in Section 3.10.</w:t>
      </w:r>
    </w:p>
    <w:p>
      <w:pPr>
        <w:spacing w:after="0" w:line="23" w:lineRule="exact"/>
        <w:rPr>
          <w:rFonts w:ascii="Arial" w:cs="Arial" w:eastAsia="Arial" w:hAnsi="Arial"/>
          <w:sz w:val="16"/>
          <w:szCs w:val="16"/>
          <w:color w:val="auto"/>
        </w:rPr>
      </w:pPr>
    </w:p>
    <w:p>
      <w:pPr>
        <w:jc w:val="both"/>
        <w:ind w:left="900" w:hanging="446"/>
        <w:spacing w:after="0" w:line="259"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second sentence of Section 2.07(a) was amended to provide that the Company may, in lieu of making a list of shareholders entitled to vote at a meeting of shareholders available for inspection at such meeting, provide such shareholder list to a judge of election if one is so appointed for the meeting.</w:t>
      </w:r>
    </w:p>
    <w:p>
      <w:pPr>
        <w:spacing w:after="0" w:line="45"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Section 3.05 was amended to conform language about participation in meetings of the Board of Directors by electronic means to the language contained in the first sentence of Section 2.08 about participation in meetings of shareholders by electronic means.</w:t>
      </w:r>
    </w:p>
    <w:p>
      <w:pPr>
        <w:spacing w:after="0" w:line="3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above summary is qualified in its entirety by reference to the full text of the Amended and Restated By-Laws, a copy of which is attached hereto as Exhibit 3.1.</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EXHIBITS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4"/>
          <w:szCs w:val="14"/>
          <w:color w:val="auto"/>
        </w:rPr>
        <w:t>Exhibit</w:t>
      </w:r>
    </w:p>
    <w:p>
      <w:pPr>
        <w:ind w:left="200"/>
        <w:spacing w:after="0"/>
        <w:tabs>
          <w:tab w:leader="none" w:pos="800" w:val="left"/>
        </w:tabs>
        <w:rPr>
          <w:sz w:val="20"/>
          <w:szCs w:val="20"/>
          <w:color w:val="auto"/>
        </w:rPr>
      </w:pPr>
      <w:r>
        <w:rPr>
          <w:rFonts w:ascii="Arial" w:cs="Arial" w:eastAsia="Arial" w:hAnsi="Arial"/>
          <w:sz w:val="14"/>
          <w:szCs w:val="14"/>
          <w:color w:val="auto"/>
        </w:rPr>
        <w:t>No.</w:t>
      </w:r>
      <w:r>
        <w:rPr>
          <w:sz w:val="20"/>
          <w:szCs w:val="20"/>
          <w:color w:val="auto"/>
        </w:rPr>
        <w:tab/>
      </w:r>
      <w:r>
        <w:rPr>
          <w:rFonts w:ascii="Arial" w:cs="Arial" w:eastAsia="Arial" w:hAnsi="Arial"/>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180"/>
        <w:spacing w:after="0"/>
        <w:tabs>
          <w:tab w:leader="none" w:pos="8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5"/>
          <w:szCs w:val="15"/>
          <w:color w:val="auto"/>
        </w:rPr>
        <w:t>Amended and Restated By-Laws of Comcast Corporation.</w:t>
      </w:r>
    </w:p>
    <w:p>
      <w:pPr>
        <w:spacing w:after="0" w:line="8" w:lineRule="exact"/>
        <w:rPr>
          <w:sz w:val="20"/>
          <w:szCs w:val="20"/>
          <w:color w:val="auto"/>
        </w:rPr>
      </w:pPr>
    </w:p>
    <w:p>
      <w:pPr>
        <w:jc w:val="both"/>
        <w:ind w:left="820" w:hanging="634"/>
        <w:spacing w:after="0" w:line="300" w:lineRule="auto"/>
        <w:tabs>
          <w:tab w:leader="none" w:pos="80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5"/>
          <w:szCs w:val="15"/>
          <w:color w:val="auto"/>
        </w:rPr>
        <w:t>Fourth Supplemental Indenture, dated October 1, 2015, to the Indenture dated January 7, 2003 between Comcast Corporation, the subsidiary guarantors party thereto, and The Bank of New York Mellon (f/k/a The Bank of New York), as trustee, as supplemented by a First Supplemental Indenture dated March 25, 2003, a second Supplemental Indenture dated August 31, 2009 and a third Supplemental Indenture dated March 27, 2013.</w:t>
      </w:r>
    </w:p>
    <w:p>
      <w:pPr>
        <w:spacing w:after="0" w:line="1" w:lineRule="exact"/>
        <w:rPr>
          <w:sz w:val="20"/>
          <w:szCs w:val="20"/>
          <w:color w:val="auto"/>
        </w:rPr>
      </w:pPr>
    </w:p>
    <w:p>
      <w:pPr>
        <w:jc w:val="both"/>
        <w:ind w:left="820" w:hanging="634"/>
        <w:spacing w:after="0" w:line="281" w:lineRule="auto"/>
        <w:tabs>
          <w:tab w:leader="none" w:pos="80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Second Supplemental Indenture, dated October 1, 2015, to the Indenture dated April 30, 2010 between NBC Universal, Inc. (n/k/a NBCUniversal Media, LLC) and The Bank of New York Mellon, as trustee, as supplemented by a First Supplemental Indenture dated March 27, 2013.</w:t>
      </w:r>
    </w:p>
    <w:p>
      <w:pPr>
        <w:spacing w:after="0" w:line="1" w:lineRule="exact"/>
        <w:rPr>
          <w:sz w:val="20"/>
          <w:szCs w:val="20"/>
          <w:color w:val="auto"/>
        </w:rPr>
      </w:pPr>
    </w:p>
    <w:p>
      <w:pPr>
        <w:ind w:left="100"/>
        <w:spacing w:after="0"/>
        <w:tabs>
          <w:tab w:leader="none" w:pos="8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5"/>
          <w:szCs w:val="15"/>
          <w:color w:val="auto"/>
        </w:rPr>
        <w:t>Employment Agreement between Comcast Corporation and David L. Cohen, dated as of October 23, 2015.</w:t>
      </w:r>
    </w:p>
    <w:p>
      <w:pPr>
        <w:spacing w:after="0" w:line="9" w:lineRule="exact"/>
        <w:rPr>
          <w:sz w:val="20"/>
          <w:szCs w:val="20"/>
          <w:color w:val="auto"/>
        </w:rPr>
      </w:pPr>
    </w:p>
    <w:p>
      <w:pPr>
        <w:ind w:left="820" w:hanging="722"/>
        <w:spacing w:after="0" w:line="250" w:lineRule="auto"/>
        <w:tabs>
          <w:tab w:leader="none" w:pos="80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Form of Restricted Stock Unit Award and Long-Term Incentive Awards Summary Schedule under the Comcast Corporation 2002 Restricted Stock Plan.</w:t>
      </w:r>
    </w:p>
    <w:p>
      <w:pPr>
        <w:spacing w:after="0" w:line="1" w:lineRule="exact"/>
        <w:rPr>
          <w:sz w:val="20"/>
          <w:szCs w:val="20"/>
          <w:color w:val="auto"/>
        </w:rPr>
      </w:pPr>
    </w:p>
    <w:p>
      <w:pPr>
        <w:ind w:left="100"/>
        <w:spacing w:after="0"/>
        <w:tabs>
          <w:tab w:leader="none" w:pos="8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Chief Executive Officer and Chief Financial Officer pursuant to Section 302 of the Sarbanes-Oxley Act of 2002.</w:t>
      </w:r>
    </w:p>
    <w:p>
      <w:pPr>
        <w:spacing w:after="0" w:line="9" w:lineRule="exact"/>
        <w:rPr>
          <w:sz w:val="20"/>
          <w:szCs w:val="20"/>
          <w:color w:val="auto"/>
        </w:rPr>
      </w:pPr>
    </w:p>
    <w:p>
      <w:pPr>
        <w:ind w:left="100"/>
        <w:spacing w:after="0"/>
        <w:tabs>
          <w:tab w:leader="none" w:pos="8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Chief Executive Officer and Chief Financial Officer pursuant to Section 906 of the Sarbanes-Oxley Act of 2002.</w:t>
      </w:r>
    </w:p>
    <w:p>
      <w:pPr>
        <w:spacing w:after="0" w:line="9" w:lineRule="exact"/>
        <w:rPr>
          <w:sz w:val="20"/>
          <w:szCs w:val="20"/>
          <w:color w:val="auto"/>
        </w:rPr>
      </w:pPr>
    </w:p>
    <w:p>
      <w:pPr>
        <w:jc w:val="both"/>
        <w:ind w:left="820" w:hanging="724"/>
        <w:spacing w:after="0" w:line="292" w:lineRule="auto"/>
        <w:tabs>
          <w:tab w:leader="none" w:pos="820" w:val="left"/>
        </w:tabs>
        <w:numPr>
          <w:ilvl w:val="1"/>
          <w:numId w:val="11"/>
        </w:numPr>
        <w:rPr>
          <w:rFonts w:ascii="Arial" w:cs="Arial" w:eastAsia="Arial" w:hAnsi="Arial"/>
          <w:sz w:val="16"/>
          <w:szCs w:val="16"/>
          <w:color w:val="auto"/>
        </w:rPr>
      </w:pPr>
      <w:r>
        <w:rPr>
          <w:rFonts w:ascii="Arial" w:cs="Arial" w:eastAsia="Arial" w:hAnsi="Arial"/>
          <w:sz w:val="16"/>
          <w:szCs w:val="16"/>
          <w:color w:val="auto"/>
        </w:rPr>
        <w:t>The following financial statements from Comcast Corporation’s Quarterly Report on Form 10-Q for the three and nine months ended September 30, 2015, filed with the Securities and Exchange Commission on October 27, 2015, formatted in XBRL (eXtensible Business Reporting Language): (i) the Condensed Consolidated Balance Sheet; (ii) the Condensed Consolidated Statement of Income; (iii) the Condensed Consolidated Statement of Comprehensive Income; (iv) the Condensed Consolidated Statement of Cash Flows; (v) the Condensed Consolidated Statement of Changes in Equity; and (vi) the Notes to Condensed Consolidated Financial Statements.</w:t>
      </w:r>
    </w:p>
    <w:p>
      <w:pPr>
        <w:spacing w:after="0" w:line="33"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4"/>
          <w:szCs w:val="14"/>
          <w:color w:val="auto"/>
        </w:rPr>
        <w:t>*</w:t>
      </w:r>
      <w:r>
        <w:rPr>
          <w:rFonts w:ascii="Arial" w:cs="Arial" w:eastAsia="Arial" w:hAnsi="Arial"/>
          <w:sz w:val="12"/>
          <w:szCs w:val="12"/>
          <w:color w:val="auto"/>
        </w:rPr>
        <w:t>Constitutes a 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w:t>
      </w:r>
    </w:p>
    <w:p>
      <w:pPr>
        <w:spacing w:after="0" w:line="71" w:lineRule="exact"/>
        <w:rPr>
          <w:sz w:val="20"/>
          <w:szCs w:val="20"/>
          <w:color w:val="auto"/>
        </w:rPr>
      </w:pPr>
    </w:p>
    <w:p>
      <w:pPr>
        <w:ind w:left="40"/>
        <w:spacing w:after="0"/>
        <w:rPr>
          <w:sz w:val="20"/>
          <w:szCs w:val="20"/>
          <w:color w:val="auto"/>
        </w:rPr>
      </w:pPr>
      <w:r>
        <w:rPr>
          <w:rFonts w:ascii="Arial" w:cs="Arial" w:eastAsia="Arial" w:hAnsi="Arial"/>
          <w:sz w:val="14"/>
          <w:szCs w:val="14"/>
          <w:color w:val="auto"/>
        </w:rPr>
        <w:t>Exhibit</w:t>
      </w:r>
    </w:p>
    <w:p>
      <w:pPr>
        <w:ind w:left="140"/>
        <w:spacing w:after="0"/>
        <w:tabs>
          <w:tab w:leader="none" w:pos="800" w:val="left"/>
        </w:tabs>
        <w:rPr>
          <w:sz w:val="20"/>
          <w:szCs w:val="20"/>
          <w:color w:val="auto"/>
        </w:rPr>
      </w:pPr>
      <w:r>
        <w:rPr>
          <w:rFonts w:ascii="Arial" w:cs="Arial" w:eastAsia="Arial" w:hAnsi="Arial"/>
          <w:sz w:val="14"/>
          <w:szCs w:val="14"/>
          <w:color w:val="auto"/>
        </w:rPr>
        <w:t>No.</w:t>
      </w:r>
      <w:r>
        <w:rPr>
          <w:sz w:val="20"/>
          <w:szCs w:val="20"/>
          <w:color w:val="auto"/>
        </w:rPr>
        <w:tab/>
      </w:r>
      <w:r>
        <w:rPr>
          <w:rFonts w:ascii="Arial" w:cs="Arial" w:eastAsia="Arial" w:hAnsi="Arial"/>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both"/>
        <w:ind w:left="820" w:hanging="634"/>
        <w:spacing w:after="0" w:line="299" w:lineRule="auto"/>
        <w:tabs>
          <w:tab w:leader="none" w:pos="80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5"/>
          <w:szCs w:val="15"/>
          <w:color w:val="auto"/>
        </w:rPr>
        <w:t>Fourth Supplemental Indenture, dated October 1, 2015, to the Indenture dated January 7, 2003 between Comcast Corporation, the subsidiary guarantors party thereto, and The Bank of New York Mellon (f/k/a The Bank of New York), as trustee, as supplemented by a First Supplemental Indenture dated March 25, 2003, a second Supplemental Indenture dated August 31, 2009 and a third Supplemental Indenture dated March 27, 2013.</w:t>
      </w:r>
    </w:p>
    <w:p>
      <w:pPr>
        <w:spacing w:after="0" w:line="2" w:lineRule="exact"/>
        <w:rPr>
          <w:sz w:val="20"/>
          <w:szCs w:val="20"/>
          <w:color w:val="auto"/>
        </w:rPr>
      </w:pPr>
    </w:p>
    <w:p>
      <w:pPr>
        <w:jc w:val="both"/>
        <w:ind w:left="820" w:hanging="634"/>
        <w:spacing w:after="0" w:line="281" w:lineRule="auto"/>
        <w:tabs>
          <w:tab w:leader="none" w:pos="80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Second Supplemental Indenture, dated October 1, 2015, to the Indenture dated April 30, 2010 between NBC Universal, Inc. (n/k/a NBCUniversal Media, LLC) and The Bank of New York Mellon, as trustee, as supplemented by a First Supplemental Indenture dated March 27, 2013.</w:t>
      </w:r>
    </w:p>
    <w:p>
      <w:pPr>
        <w:spacing w:after="0" w:line="1" w:lineRule="exact"/>
        <w:rPr>
          <w:sz w:val="20"/>
          <w:szCs w:val="20"/>
          <w:color w:val="auto"/>
        </w:rPr>
      </w:pPr>
    </w:p>
    <w:p>
      <w:pPr>
        <w:ind w:left="100"/>
        <w:spacing w:after="0"/>
        <w:tabs>
          <w:tab w:leader="none" w:pos="8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Principal Executive Officer and Principal Financial Officer pursuant to Section 302 of the Sarbanes-Oxley Act of 2002.</w:t>
      </w:r>
    </w:p>
    <w:p>
      <w:pPr>
        <w:spacing w:after="0" w:line="9" w:lineRule="exact"/>
        <w:rPr>
          <w:sz w:val="20"/>
          <w:szCs w:val="20"/>
          <w:color w:val="auto"/>
        </w:rPr>
      </w:pPr>
    </w:p>
    <w:p>
      <w:pPr>
        <w:ind w:left="100"/>
        <w:spacing w:after="0"/>
        <w:tabs>
          <w:tab w:leader="none" w:pos="80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Principal Executive Officer and Principal Financial Officer pursuant to Section 906 of the Sarbanes-Oxley Act of 2002.</w:t>
      </w:r>
    </w:p>
    <w:p>
      <w:pPr>
        <w:spacing w:after="0" w:line="9" w:lineRule="exact"/>
        <w:rPr>
          <w:sz w:val="20"/>
          <w:szCs w:val="20"/>
          <w:color w:val="auto"/>
        </w:rPr>
      </w:pPr>
    </w:p>
    <w:p>
      <w:pPr>
        <w:jc w:val="both"/>
        <w:ind w:left="820" w:hanging="724"/>
        <w:spacing w:after="0" w:line="281" w:lineRule="auto"/>
        <w:tabs>
          <w:tab w:leader="none" w:pos="8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following financial statements from NBCUniversal Media, LLC’s Quarterly Report on Form 10-Q for the three and nine months ended September 30, 2015, filed with the Securities and Exchange Commission on October 27, 2015, formatted in XBRL (eXtensible Business Reporting Language):</w:t>
      </w:r>
    </w:p>
    <w:p>
      <w:pPr>
        <w:spacing w:after="0" w:line="1" w:lineRule="exact"/>
        <w:rPr>
          <w:rFonts w:ascii="Arial" w:cs="Arial" w:eastAsia="Arial" w:hAnsi="Arial"/>
          <w:sz w:val="16"/>
          <w:szCs w:val="16"/>
          <w:color w:val="auto"/>
        </w:rPr>
      </w:pPr>
    </w:p>
    <w:p>
      <w:pPr>
        <w:jc w:val="both"/>
        <w:ind w:left="820"/>
        <w:spacing w:after="0" w:line="255" w:lineRule="auto"/>
        <w:rPr>
          <w:rFonts w:ascii="Arial" w:cs="Arial" w:eastAsia="Arial" w:hAnsi="Arial"/>
          <w:sz w:val="16"/>
          <w:szCs w:val="16"/>
          <w:color w:val="auto"/>
        </w:rPr>
      </w:pPr>
      <w:r>
        <w:rPr>
          <w:rFonts w:ascii="Arial" w:cs="Arial" w:eastAsia="Arial" w:hAnsi="Arial"/>
          <w:sz w:val="18"/>
          <w:szCs w:val="18"/>
          <w:color w:val="auto"/>
        </w:rPr>
        <w:t>(i) the Condensed Consolidated Balance Sheet; (ii) the Condensed Consolidated Statement of Income; (iii) the Condensed Consolidated Statement of Comprehensive Income; (iv) the Condensed Consolidated Statement of Cash Flows; (v) the Condensed Consolidated Statement of Changes in Equity; and (vi) the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Comcast</w:t>
      </w:r>
    </w:p>
    <w:p>
      <w:pPr>
        <w:spacing w:after="0" w:line="8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7"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ind w:left="6860"/>
        <w:spacing w:after="0"/>
        <w:tabs>
          <w:tab w:leader="none" w:pos="7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LAWRENCE J. SALVA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10795</wp:posOffset>
            </wp:positionV>
            <wp:extent cx="267589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Lawrence J. Salva</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Accounting Officer</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(Principal Accounting Officer)</w:t>
      </w:r>
    </w:p>
    <w:p>
      <w:pPr>
        <w:spacing w:after="0" w:line="1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October 27, 2015</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NBCUniversal</w:t>
      </w:r>
    </w:p>
    <w:p>
      <w:pPr>
        <w:spacing w:after="0" w:line="8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7"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NBCUNIVERSAL MEDIA, LLC</w:t>
      </w:r>
    </w:p>
    <w:p>
      <w:pPr>
        <w:spacing w:after="0" w:line="225" w:lineRule="exact"/>
        <w:rPr>
          <w:sz w:val="20"/>
          <w:szCs w:val="20"/>
          <w:color w:val="auto"/>
        </w:rPr>
      </w:pPr>
    </w:p>
    <w:p>
      <w:pPr>
        <w:ind w:left="6860"/>
        <w:spacing w:after="0"/>
        <w:tabs>
          <w:tab w:leader="none" w:pos="7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LAWRENCE J. SALVA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10795</wp:posOffset>
            </wp:positionV>
            <wp:extent cx="267589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Lawrence J. Salva</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(Principal Accounting Officer)</w:t>
      </w:r>
    </w:p>
    <w:p>
      <w:pPr>
        <w:spacing w:after="0" w:line="1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October 27, 2015</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NBCUniversal Media, LLC Financial Statements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Borders>
              <w:bottom w:val="single" w:sz="8" w:color="auto"/>
            </w:tcBorders>
            <w:gridSpan w:val="7"/>
          </w:tcPr>
          <w:p>
            <w:pPr>
              <w:spacing w:after="0"/>
              <w:rPr>
                <w:sz w:val="20"/>
                <w:szCs w:val="20"/>
                <w:color w:val="auto"/>
              </w:rPr>
            </w:pPr>
            <w:r>
              <w:rPr>
                <w:rFonts w:ascii="Arial" w:cs="Arial" w:eastAsia="Arial" w:hAnsi="Arial"/>
                <w:sz w:val="14"/>
                <w:szCs w:val="14"/>
                <w:color w:val="auto"/>
              </w:rPr>
              <w:t>Index</w:t>
            </w:r>
          </w:p>
        </w:tc>
        <w:tc>
          <w:tcPr>
            <w:tcW w:w="640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Page</w:t>
            </w:r>
          </w:p>
        </w:tc>
      </w:tr>
      <w:tr>
        <w:trPr>
          <w:trHeight w:val="169"/>
        </w:trPr>
        <w:tc>
          <w:tcPr>
            <w:tcW w:w="5020" w:type="dxa"/>
            <w:vAlign w:val="bottom"/>
            <w:gridSpan w:val="7"/>
          </w:tcPr>
          <w:p>
            <w:pPr>
              <w:spacing w:after="0" w:line="170" w:lineRule="exact"/>
              <w:rPr>
                <w:rFonts w:ascii="Arial" w:cs="Arial" w:eastAsia="Arial" w:hAnsi="Arial"/>
                <w:sz w:val="18"/>
                <w:szCs w:val="18"/>
                <w:color w:val="0000EE"/>
              </w:rPr>
            </w:pPr>
            <w:hyperlink w:anchor="page51">
              <w:r>
                <w:rPr>
                  <w:rFonts w:ascii="Arial" w:cs="Arial" w:eastAsia="Arial" w:hAnsi="Arial"/>
                  <w:sz w:val="18"/>
                  <w:szCs w:val="18"/>
                  <w:color w:val="0000EE"/>
                </w:rPr>
                <w:t>Condensed Consolidated Balance Sheet</w:t>
              </w:r>
            </w:hyperlink>
          </w:p>
        </w:tc>
        <w:tc>
          <w:tcPr>
            <w:tcW w:w="6400" w:type="dxa"/>
            <w:vAlign w:val="bottom"/>
          </w:tcPr>
          <w:p>
            <w:pPr>
              <w:jc w:val="right"/>
              <w:ind w:right="15"/>
              <w:spacing w:after="0" w:line="170" w:lineRule="exact"/>
              <w:rPr>
                <w:sz w:val="20"/>
                <w:szCs w:val="20"/>
                <w:color w:val="auto"/>
              </w:rPr>
            </w:pPr>
            <w:r>
              <w:rPr>
                <w:rFonts w:ascii="Arial" w:cs="Arial" w:eastAsia="Arial" w:hAnsi="Arial"/>
                <w:sz w:val="18"/>
                <w:szCs w:val="18"/>
                <w:color w:val="auto"/>
              </w:rPr>
              <w:t>49</w:t>
            </w:r>
          </w:p>
        </w:tc>
      </w:tr>
      <w:tr>
        <w:trPr>
          <w:trHeight w:val="20"/>
        </w:trPr>
        <w:tc>
          <w:tcPr>
            <w:tcW w:w="28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r>
      <w:tr>
        <w:trPr>
          <w:trHeight w:val="196"/>
        </w:trPr>
        <w:tc>
          <w:tcPr>
            <w:tcW w:w="5020" w:type="dxa"/>
            <w:vAlign w:val="bottom"/>
            <w:gridSpan w:val="7"/>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Condensed Consolidated Statement of Income</w:t>
              </w:r>
            </w:hyperlink>
          </w:p>
        </w:tc>
        <w:tc>
          <w:tcPr>
            <w:tcW w:w="6400" w:type="dxa"/>
            <w:vAlign w:val="bottom"/>
          </w:tcPr>
          <w:p>
            <w:pPr>
              <w:jc w:val="right"/>
              <w:ind w:right="15"/>
              <w:spacing w:after="0" w:line="196" w:lineRule="exact"/>
              <w:rPr>
                <w:sz w:val="20"/>
                <w:szCs w:val="20"/>
                <w:color w:val="auto"/>
              </w:rPr>
            </w:pPr>
            <w:r>
              <w:rPr>
                <w:rFonts w:ascii="Arial" w:cs="Arial" w:eastAsia="Arial" w:hAnsi="Arial"/>
                <w:sz w:val="18"/>
                <w:szCs w:val="18"/>
                <w:color w:val="auto"/>
              </w:rPr>
              <w:t>50</w:t>
            </w:r>
          </w:p>
        </w:tc>
      </w:tr>
      <w:tr>
        <w:trPr>
          <w:trHeight w:val="20"/>
        </w:trPr>
        <w:tc>
          <w:tcPr>
            <w:tcW w:w="326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r>
      <w:tr>
        <w:trPr>
          <w:trHeight w:val="196"/>
        </w:trPr>
        <w:tc>
          <w:tcPr>
            <w:tcW w:w="442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53">
              <w:r>
                <w:rPr>
                  <w:rFonts w:ascii="Arial" w:cs="Arial" w:eastAsia="Arial" w:hAnsi="Arial"/>
                  <w:sz w:val="18"/>
                  <w:szCs w:val="18"/>
                  <w:color w:val="0000EE"/>
                  <w:w w:val="87"/>
                </w:rPr>
                <w:t>Condensed Consolidated Statement of Comprehensive Income</w:t>
              </w:r>
            </w:hyperlink>
          </w:p>
        </w:tc>
        <w:tc>
          <w:tcPr>
            <w:tcW w:w="600" w:type="dxa"/>
            <w:vAlign w:val="bottom"/>
          </w:tcPr>
          <w:p>
            <w:pPr>
              <w:spacing w:after="0"/>
              <w:rPr>
                <w:sz w:val="17"/>
                <w:szCs w:val="17"/>
                <w:color w:val="auto"/>
              </w:rPr>
            </w:pPr>
          </w:p>
        </w:tc>
        <w:tc>
          <w:tcPr>
            <w:tcW w:w="6400" w:type="dxa"/>
            <w:vAlign w:val="bottom"/>
          </w:tcPr>
          <w:p>
            <w:pPr>
              <w:jc w:val="right"/>
              <w:ind w:right="15"/>
              <w:spacing w:after="0" w:line="196" w:lineRule="exact"/>
              <w:rPr>
                <w:sz w:val="20"/>
                <w:szCs w:val="20"/>
                <w:color w:val="auto"/>
              </w:rPr>
            </w:pPr>
            <w:r>
              <w:rPr>
                <w:rFonts w:ascii="Arial" w:cs="Arial" w:eastAsia="Arial" w:hAnsi="Arial"/>
                <w:sz w:val="18"/>
                <w:szCs w:val="18"/>
                <w:color w:val="auto"/>
              </w:rPr>
              <w:t>51</w:t>
            </w:r>
          </w:p>
        </w:tc>
      </w:tr>
      <w:tr>
        <w:trPr>
          <w:trHeight w:val="196"/>
        </w:trPr>
        <w:tc>
          <w:tcPr>
            <w:tcW w:w="5020" w:type="dxa"/>
            <w:vAlign w:val="bottom"/>
            <w:gridSpan w:val="7"/>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Condensed Consolidated Statement of Cash Flows</w:t>
              </w:r>
            </w:hyperlink>
          </w:p>
        </w:tc>
        <w:tc>
          <w:tcPr>
            <w:tcW w:w="6400" w:type="dxa"/>
            <w:vAlign w:val="bottom"/>
          </w:tcPr>
          <w:p>
            <w:pPr>
              <w:jc w:val="right"/>
              <w:ind w:right="15"/>
              <w:spacing w:after="0" w:line="196" w:lineRule="exact"/>
              <w:rPr>
                <w:sz w:val="20"/>
                <w:szCs w:val="20"/>
                <w:color w:val="auto"/>
              </w:rPr>
            </w:pPr>
            <w:r>
              <w:rPr>
                <w:rFonts w:ascii="Arial" w:cs="Arial" w:eastAsia="Arial" w:hAnsi="Arial"/>
                <w:sz w:val="18"/>
                <w:szCs w:val="18"/>
                <w:color w:val="auto"/>
              </w:rPr>
              <w:t>52</w:t>
            </w:r>
          </w:p>
        </w:tc>
      </w:tr>
      <w:tr>
        <w:trPr>
          <w:trHeight w:val="20"/>
        </w:trPr>
        <w:tc>
          <w:tcPr>
            <w:tcW w:w="3560" w:type="dxa"/>
            <w:vAlign w:val="bottom"/>
            <w:gridSpan w:val="3"/>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r>
      <w:tr>
        <w:trPr>
          <w:trHeight w:val="196"/>
        </w:trPr>
        <w:tc>
          <w:tcPr>
            <w:tcW w:w="404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w:anchor="page55">
              <w:r>
                <w:rPr>
                  <w:rFonts w:ascii="Arial" w:cs="Arial" w:eastAsia="Arial" w:hAnsi="Arial"/>
                  <w:sz w:val="18"/>
                  <w:szCs w:val="18"/>
                  <w:color w:val="0000EE"/>
                  <w:w w:val="87"/>
                </w:rPr>
                <w:t>Condensed Consolidated Statement of Changes in Equity</w:t>
              </w:r>
            </w:hyperlink>
          </w:p>
        </w:tc>
        <w:tc>
          <w:tcPr>
            <w:tcW w:w="980" w:type="dxa"/>
            <w:vAlign w:val="bottom"/>
            <w:gridSpan w:val="2"/>
          </w:tcPr>
          <w:p>
            <w:pPr>
              <w:spacing w:after="0"/>
              <w:rPr>
                <w:sz w:val="17"/>
                <w:szCs w:val="17"/>
                <w:color w:val="auto"/>
              </w:rPr>
            </w:pPr>
          </w:p>
        </w:tc>
        <w:tc>
          <w:tcPr>
            <w:tcW w:w="6400" w:type="dxa"/>
            <w:vAlign w:val="bottom"/>
          </w:tcPr>
          <w:p>
            <w:pPr>
              <w:jc w:val="right"/>
              <w:ind w:right="15"/>
              <w:spacing w:after="0" w:line="196" w:lineRule="exact"/>
              <w:rPr>
                <w:sz w:val="20"/>
                <w:szCs w:val="20"/>
                <w:color w:val="auto"/>
              </w:rPr>
            </w:pPr>
            <w:r>
              <w:rPr>
                <w:rFonts w:ascii="Arial" w:cs="Arial" w:eastAsia="Arial" w:hAnsi="Arial"/>
                <w:sz w:val="18"/>
                <w:szCs w:val="18"/>
                <w:color w:val="auto"/>
              </w:rPr>
              <w:t>53</w:t>
            </w:r>
          </w:p>
        </w:tc>
      </w:tr>
      <w:tr>
        <w:trPr>
          <w:trHeight w:val="196"/>
        </w:trPr>
        <w:tc>
          <w:tcPr>
            <w:tcW w:w="5020" w:type="dxa"/>
            <w:vAlign w:val="bottom"/>
            <w:gridSpan w:val="7"/>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Notes to Condensed Consolidated Financial Statements</w:t>
              </w:r>
            </w:hyperlink>
          </w:p>
        </w:tc>
        <w:tc>
          <w:tcPr>
            <w:tcW w:w="6400" w:type="dxa"/>
            <w:vAlign w:val="bottom"/>
          </w:tcPr>
          <w:p>
            <w:pPr>
              <w:jc w:val="right"/>
              <w:ind w:right="15"/>
              <w:spacing w:after="0" w:line="196" w:lineRule="exact"/>
              <w:rPr>
                <w:sz w:val="20"/>
                <w:szCs w:val="20"/>
                <w:color w:val="auto"/>
              </w:rPr>
            </w:pPr>
            <w:r>
              <w:rPr>
                <w:rFonts w:ascii="Arial" w:cs="Arial" w:eastAsia="Arial" w:hAnsi="Arial"/>
                <w:sz w:val="18"/>
                <w:szCs w:val="18"/>
                <w:color w:val="auto"/>
              </w:rPr>
              <w:t>54</w:t>
            </w:r>
          </w:p>
        </w:tc>
      </w:tr>
      <w:tr>
        <w:trPr>
          <w:trHeight w:val="61"/>
        </w:trPr>
        <w:tc>
          <w:tcPr>
            <w:tcW w:w="2800" w:type="dxa"/>
            <w:vAlign w:val="bottom"/>
            <w:tcBorders>
              <w:top w:val="single" w:sz="8" w:color="0000EE"/>
              <w:bottom w:val="single" w:sz="8" w:color="auto"/>
            </w:tcBorders>
          </w:tcPr>
          <w:p>
            <w:pPr>
              <w:spacing w:after="0"/>
              <w:rPr>
                <w:sz w:val="5"/>
                <w:szCs w:val="5"/>
                <w:color w:val="auto"/>
              </w:rPr>
            </w:pPr>
          </w:p>
        </w:tc>
        <w:tc>
          <w:tcPr>
            <w:tcW w:w="460" w:type="dxa"/>
            <w:vAlign w:val="bottom"/>
            <w:tcBorders>
              <w:top w:val="single" w:sz="8" w:color="0000EE"/>
              <w:bottom w:val="single" w:sz="8" w:color="auto"/>
            </w:tcBorders>
          </w:tcPr>
          <w:p>
            <w:pPr>
              <w:spacing w:after="0"/>
              <w:rPr>
                <w:sz w:val="5"/>
                <w:szCs w:val="5"/>
                <w:color w:val="auto"/>
              </w:rPr>
            </w:pPr>
          </w:p>
        </w:tc>
        <w:tc>
          <w:tcPr>
            <w:tcW w:w="300" w:type="dxa"/>
            <w:vAlign w:val="bottom"/>
            <w:tcBorders>
              <w:top w:val="single" w:sz="8" w:color="0000EE"/>
              <w:bottom w:val="single" w:sz="8" w:color="auto"/>
            </w:tcBorders>
          </w:tcPr>
          <w:p>
            <w:pPr>
              <w:spacing w:after="0"/>
              <w:rPr>
                <w:sz w:val="5"/>
                <w:szCs w:val="5"/>
                <w:color w:val="auto"/>
              </w:rPr>
            </w:pPr>
          </w:p>
        </w:tc>
        <w:tc>
          <w:tcPr>
            <w:tcW w:w="340" w:type="dxa"/>
            <w:vAlign w:val="bottom"/>
            <w:tcBorders>
              <w:top w:val="single" w:sz="8" w:color="0000EE"/>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6400" w:type="dxa"/>
            <w:vAlign w:val="bottom"/>
            <w:tcBorders>
              <w:bottom w:val="single" w:sz="8" w:color="auto"/>
            </w:tcBorders>
          </w:tcPr>
          <w:p>
            <w:pPr>
              <w:spacing w:after="0"/>
              <w:rPr>
                <w:sz w:val="5"/>
                <w:szCs w:val="5"/>
                <w:color w:val="auto"/>
              </w:rPr>
            </w:pPr>
          </w:p>
        </w:tc>
      </w:tr>
      <w:tr>
        <w:trPr>
          <w:trHeight w:val="383"/>
        </w:trPr>
        <w:tc>
          <w:tcPr>
            <w:tcW w:w="2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0" w:type="dxa"/>
            <w:vAlign w:val="bottom"/>
          </w:tcPr>
          <w:p>
            <w:pPr>
              <w:jc w:val="right"/>
              <w:ind w:right="5515"/>
              <w:spacing w:after="0"/>
              <w:rPr>
                <w:sz w:val="20"/>
                <w:szCs w:val="20"/>
                <w:color w:val="auto"/>
              </w:rPr>
            </w:pPr>
            <w:r>
              <w:rPr>
                <w:rFonts w:ascii="Arial" w:cs="Arial" w:eastAsia="Arial" w:hAnsi="Arial"/>
                <w:sz w:val="18"/>
                <w:szCs w:val="18"/>
                <w:color w:val="auto"/>
              </w:rPr>
              <w:t>48</w:t>
            </w:r>
          </w:p>
        </w:tc>
      </w:tr>
    </w:tbl>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2900" w:type="dxa"/>
            <w:vAlign w:val="bottom"/>
            <w:gridSpan w:val="2"/>
          </w:tcPr>
          <w:p>
            <w:pPr>
              <w:ind w:left="1760"/>
              <w:spacing w:after="0"/>
              <w:rPr>
                <w:sz w:val="20"/>
                <w:szCs w:val="20"/>
                <w:color w:val="auto"/>
              </w:rPr>
            </w:pPr>
            <w:r>
              <w:rPr>
                <w:rFonts w:ascii="Arial" w:cs="Arial" w:eastAsia="Arial" w:hAnsi="Arial"/>
                <w:sz w:val="14"/>
                <w:szCs w:val="14"/>
                <w:color w:val="auto"/>
              </w:rPr>
              <w:t>September 30,</w:t>
            </w:r>
          </w:p>
        </w:tc>
        <w:tc>
          <w:tcPr>
            <w:tcW w:w="1180" w:type="dxa"/>
            <w:vAlign w:val="bottom"/>
            <w:gridSpan w:val="2"/>
          </w:tcPr>
          <w:p>
            <w:pPr>
              <w:ind w:left="300"/>
              <w:spacing w:after="0"/>
              <w:rPr>
                <w:sz w:val="20"/>
                <w:szCs w:val="20"/>
                <w:color w:val="auto"/>
              </w:rPr>
            </w:pPr>
            <w:r>
              <w:rPr>
                <w:rFonts w:ascii="Arial" w:cs="Arial" w:eastAsia="Arial" w:hAnsi="Arial"/>
                <w:sz w:val="14"/>
                <w:szCs w:val="14"/>
                <w:color w:val="auto"/>
                <w:w w:val="97"/>
              </w:rPr>
              <w:t>December 31,</w:t>
            </w:r>
          </w:p>
        </w:tc>
      </w:tr>
      <w:tr>
        <w:trPr>
          <w:trHeight w:val="159"/>
        </w:trPr>
        <w:tc>
          <w:tcPr>
            <w:tcW w:w="7340" w:type="dxa"/>
            <w:vAlign w:val="bottom"/>
            <w:gridSpan w:val="2"/>
          </w:tcPr>
          <w:p>
            <w:pPr>
              <w:spacing w:after="0" w:line="159" w:lineRule="exact"/>
              <w:rPr>
                <w:sz w:val="20"/>
                <w:szCs w:val="20"/>
                <w:color w:val="auto"/>
              </w:rPr>
            </w:pPr>
            <w:r>
              <w:rPr>
                <w:rFonts w:ascii="Arial" w:cs="Arial" w:eastAsia="Arial" w:hAnsi="Arial"/>
                <w:sz w:val="14"/>
                <w:szCs w:val="14"/>
                <w:color w:val="auto"/>
              </w:rPr>
              <w:t>(in millions)</w:t>
            </w:r>
          </w:p>
        </w:tc>
        <w:tc>
          <w:tcPr>
            <w:tcW w:w="1920" w:type="dxa"/>
            <w:vAlign w:val="bottom"/>
          </w:tcPr>
          <w:p>
            <w:pPr>
              <w:spacing w:after="0"/>
              <w:rPr>
                <w:sz w:val="13"/>
                <w:szCs w:val="13"/>
                <w:color w:val="auto"/>
              </w:rPr>
            </w:pPr>
          </w:p>
        </w:tc>
        <w:tc>
          <w:tcPr>
            <w:tcW w:w="980" w:type="dxa"/>
            <w:vAlign w:val="bottom"/>
          </w:tcPr>
          <w:p>
            <w:pPr>
              <w:jc w:val="right"/>
              <w:ind w:right="533"/>
              <w:spacing w:after="0" w:line="159" w:lineRule="exact"/>
              <w:rPr>
                <w:sz w:val="20"/>
                <w:szCs w:val="20"/>
                <w:color w:val="auto"/>
              </w:rPr>
            </w:pPr>
            <w:r>
              <w:rPr>
                <w:rFonts w:ascii="Arial" w:cs="Arial" w:eastAsia="Arial" w:hAnsi="Arial"/>
                <w:sz w:val="14"/>
                <w:szCs w:val="14"/>
                <w:color w:val="auto"/>
              </w:rPr>
              <w:t>2015</w:t>
            </w:r>
          </w:p>
        </w:tc>
        <w:tc>
          <w:tcPr>
            <w:tcW w:w="480" w:type="dxa"/>
            <w:vAlign w:val="bottom"/>
          </w:tcPr>
          <w:p>
            <w:pPr>
              <w:spacing w:after="0"/>
              <w:rPr>
                <w:sz w:val="13"/>
                <w:szCs w:val="13"/>
                <w:color w:val="auto"/>
              </w:rPr>
            </w:pPr>
          </w:p>
        </w:tc>
        <w:tc>
          <w:tcPr>
            <w:tcW w:w="700" w:type="dxa"/>
            <w:vAlign w:val="bottom"/>
          </w:tcPr>
          <w:p>
            <w:pPr>
              <w:jc w:val="right"/>
              <w:ind w:right="273"/>
              <w:spacing w:after="0" w:line="159" w:lineRule="exact"/>
              <w:rPr>
                <w:sz w:val="20"/>
                <w:szCs w:val="20"/>
                <w:color w:val="auto"/>
              </w:rPr>
            </w:pPr>
            <w:r>
              <w:rPr>
                <w:rFonts w:ascii="Arial" w:cs="Arial" w:eastAsia="Arial" w:hAnsi="Arial"/>
                <w:sz w:val="14"/>
                <w:szCs w:val="14"/>
                <w:color w:val="auto"/>
              </w:rPr>
              <w:t>2014</w:t>
            </w:r>
          </w:p>
        </w:tc>
      </w:tr>
      <w:tr>
        <w:trPr>
          <w:trHeight w:val="210"/>
        </w:trPr>
        <w:tc>
          <w:tcPr>
            <w:tcW w:w="20" w:type="dxa"/>
            <w:vAlign w:val="bottom"/>
          </w:tcPr>
          <w:p>
            <w:pPr>
              <w:spacing w:after="0"/>
              <w:rPr>
                <w:sz w:val="18"/>
                <w:szCs w:val="18"/>
                <w:color w:val="auto"/>
              </w:rPr>
            </w:pPr>
          </w:p>
        </w:tc>
        <w:tc>
          <w:tcPr>
            <w:tcW w:w="732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Assets</w:t>
            </w:r>
          </w:p>
        </w:tc>
        <w:tc>
          <w:tcPr>
            <w:tcW w:w="1920" w:type="dxa"/>
            <w:vAlign w:val="bottom"/>
            <w:tcBorders>
              <w:top w:val="single" w:sz="8" w:color="auto"/>
            </w:tcBorders>
            <w:shd w:val="clear" w:color="auto" w:fill="E5E5E5"/>
          </w:tcPr>
          <w:p>
            <w:pPr>
              <w:spacing w:after="0"/>
              <w:rPr>
                <w:sz w:val="18"/>
                <w:szCs w:val="18"/>
                <w:color w:val="auto"/>
              </w:rPr>
            </w:pPr>
          </w:p>
        </w:tc>
        <w:tc>
          <w:tcPr>
            <w:tcW w:w="980" w:type="dxa"/>
            <w:vAlign w:val="bottom"/>
            <w:tcBorders>
              <w:top w:val="single" w:sz="8" w:color="auto"/>
            </w:tcBorders>
            <w:shd w:val="clear" w:color="auto" w:fill="E5E5E5"/>
          </w:tcPr>
          <w:p>
            <w:pPr>
              <w:spacing w:after="0"/>
              <w:rPr>
                <w:sz w:val="18"/>
                <w:szCs w:val="18"/>
                <w:color w:val="auto"/>
              </w:rPr>
            </w:pPr>
          </w:p>
        </w:tc>
        <w:tc>
          <w:tcPr>
            <w:tcW w:w="480" w:type="dxa"/>
            <w:vAlign w:val="bottom"/>
            <w:tcBorders>
              <w:top w:val="single" w:sz="8" w:color="auto"/>
            </w:tcBorders>
            <w:shd w:val="clear" w:color="auto" w:fill="E5E5E5"/>
          </w:tcPr>
          <w:p>
            <w:pPr>
              <w:spacing w:after="0"/>
              <w:rPr>
                <w:sz w:val="18"/>
                <w:szCs w:val="18"/>
                <w:color w:val="auto"/>
              </w:rPr>
            </w:pPr>
          </w:p>
        </w:tc>
        <w:tc>
          <w:tcPr>
            <w:tcW w:w="700" w:type="dxa"/>
            <w:vAlign w:val="bottom"/>
            <w:tcBorders>
              <w:top w:val="single" w:sz="8" w:color="auto"/>
            </w:tcBorders>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Current Assets:</w:t>
            </w:r>
          </w:p>
        </w:tc>
        <w:tc>
          <w:tcPr>
            <w:tcW w:w="1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Cash and cash equivalents</w:t>
            </w:r>
          </w:p>
        </w:tc>
        <w:tc>
          <w:tcPr>
            <w:tcW w:w="1920" w:type="dxa"/>
            <w:vAlign w:val="bottom"/>
            <w:shd w:val="clear" w:color="auto" w:fill="E5E5E5"/>
          </w:tcPr>
          <w:p>
            <w:pPr>
              <w:ind w:left="1760"/>
              <w:spacing w:after="0"/>
              <w:rPr>
                <w:sz w:val="20"/>
                <w:szCs w:val="20"/>
                <w:color w:val="auto"/>
              </w:rPr>
            </w:pPr>
            <w:r>
              <w:rPr>
                <w:rFonts w:ascii="Arial" w:cs="Arial" w:eastAsia="Arial" w:hAnsi="Arial"/>
                <w:sz w:val="18"/>
                <w:szCs w:val="18"/>
                <w:color w:val="auto"/>
              </w:rPr>
              <w:t>$</w:t>
            </w:r>
          </w:p>
        </w:tc>
        <w:tc>
          <w:tcPr>
            <w:tcW w:w="98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rPr>
              <w:t>1,069</w:t>
            </w:r>
          </w:p>
        </w:tc>
        <w:tc>
          <w:tcPr>
            <w:tcW w:w="480" w:type="dxa"/>
            <w:vAlign w:val="bottom"/>
            <w:shd w:val="clear" w:color="auto" w:fill="E5E5E5"/>
          </w:tcPr>
          <w:p>
            <w:pPr>
              <w:ind w:left="300"/>
              <w:spacing w:after="0"/>
              <w:rPr>
                <w:sz w:val="20"/>
                <w:szCs w:val="20"/>
                <w:color w:val="auto"/>
              </w:rPr>
            </w:pPr>
            <w:r>
              <w:rPr>
                <w:rFonts w:ascii="Arial" w:cs="Arial" w:eastAsia="Arial" w:hAnsi="Arial"/>
                <w:sz w:val="18"/>
                <w:szCs w:val="18"/>
                <w:color w:val="auto"/>
              </w:rPr>
              <w:t>$</w:t>
            </w: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1,248</w:t>
            </w:r>
          </w:p>
        </w:tc>
      </w:tr>
      <w:tr>
        <w:trPr>
          <w:trHeight w:val="216"/>
        </w:trPr>
        <w:tc>
          <w:tcPr>
            <w:tcW w:w="20" w:type="dxa"/>
            <w:vAlign w:val="bottom"/>
          </w:tcPr>
          <w:p>
            <w:pPr>
              <w:spacing w:after="0"/>
              <w:rPr>
                <w:sz w:val="18"/>
                <w:szCs w:val="18"/>
                <w:color w:val="auto"/>
              </w:rPr>
            </w:pPr>
          </w:p>
        </w:tc>
        <w:tc>
          <w:tcPr>
            <w:tcW w:w="7320" w:type="dxa"/>
            <w:vAlign w:val="bottom"/>
          </w:tcPr>
          <w:p>
            <w:pPr>
              <w:ind w:left="420"/>
              <w:spacing w:after="0"/>
              <w:rPr>
                <w:sz w:val="20"/>
                <w:szCs w:val="20"/>
                <w:color w:val="auto"/>
              </w:rPr>
            </w:pPr>
            <w:r>
              <w:rPr>
                <w:rFonts w:ascii="Arial" w:cs="Arial" w:eastAsia="Arial" w:hAnsi="Arial"/>
                <w:sz w:val="18"/>
                <w:szCs w:val="18"/>
                <w:color w:val="auto"/>
              </w:rPr>
              <w:t>Receivables, net</w:t>
            </w:r>
          </w:p>
        </w:tc>
        <w:tc>
          <w:tcPr>
            <w:tcW w:w="1920" w:type="dxa"/>
            <w:vAlign w:val="bottom"/>
          </w:tcPr>
          <w:p>
            <w:pPr>
              <w:spacing w:after="0"/>
              <w:rPr>
                <w:sz w:val="18"/>
                <w:szCs w:val="18"/>
                <w:color w:val="auto"/>
              </w:rPr>
            </w:pPr>
          </w:p>
        </w:tc>
        <w:tc>
          <w:tcPr>
            <w:tcW w:w="980" w:type="dxa"/>
            <w:vAlign w:val="bottom"/>
          </w:tcPr>
          <w:p>
            <w:pPr>
              <w:jc w:val="right"/>
              <w:ind w:right="273"/>
              <w:spacing w:after="0"/>
              <w:rPr>
                <w:sz w:val="20"/>
                <w:szCs w:val="20"/>
                <w:color w:val="auto"/>
              </w:rPr>
            </w:pPr>
            <w:r>
              <w:rPr>
                <w:rFonts w:ascii="Arial" w:cs="Arial" w:eastAsia="Arial" w:hAnsi="Arial"/>
                <w:sz w:val="18"/>
                <w:szCs w:val="18"/>
                <w:color w:val="auto"/>
              </w:rPr>
              <w:t>5,056</w:t>
            </w:r>
          </w:p>
        </w:tc>
        <w:tc>
          <w:tcPr>
            <w:tcW w:w="48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4,842</w:t>
            </w:r>
          </w:p>
        </w:tc>
      </w:tr>
      <w:tr>
        <w:trPr>
          <w:trHeight w:val="216"/>
        </w:trPr>
        <w:tc>
          <w:tcPr>
            <w:tcW w:w="20" w:type="dxa"/>
            <w:vAlign w:val="bottom"/>
          </w:tcPr>
          <w:p>
            <w:pPr>
              <w:spacing w:after="0"/>
              <w:rPr>
                <w:sz w:val="18"/>
                <w:szCs w:val="18"/>
                <w:color w:val="auto"/>
              </w:rPr>
            </w:pPr>
          </w:p>
        </w:tc>
        <w:tc>
          <w:tcPr>
            <w:tcW w:w="73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Note receivable from Comcast</w:t>
            </w:r>
          </w:p>
        </w:tc>
        <w:tc>
          <w:tcPr>
            <w:tcW w:w="1920" w:type="dxa"/>
            <w:vAlign w:val="bottom"/>
            <w:shd w:val="clear" w:color="auto" w:fill="E5E5E5"/>
          </w:tcPr>
          <w:p>
            <w:pPr>
              <w:spacing w:after="0"/>
              <w:rPr>
                <w:sz w:val="18"/>
                <w:szCs w:val="18"/>
                <w:color w:val="auto"/>
              </w:rPr>
            </w:pPr>
          </w:p>
        </w:tc>
        <w:tc>
          <w:tcPr>
            <w:tcW w:w="98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rPr>
              <w:t>77</w:t>
            </w:r>
          </w:p>
        </w:tc>
        <w:tc>
          <w:tcPr>
            <w:tcW w:w="4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320" w:type="dxa"/>
            <w:vAlign w:val="bottom"/>
          </w:tcPr>
          <w:p>
            <w:pPr>
              <w:ind w:left="420"/>
              <w:spacing w:after="0"/>
              <w:rPr>
                <w:sz w:val="20"/>
                <w:szCs w:val="20"/>
                <w:color w:val="auto"/>
              </w:rPr>
            </w:pPr>
            <w:r>
              <w:rPr>
                <w:rFonts w:ascii="Arial" w:cs="Arial" w:eastAsia="Arial" w:hAnsi="Arial"/>
                <w:sz w:val="18"/>
                <w:szCs w:val="18"/>
                <w:color w:val="auto"/>
              </w:rPr>
              <w:t>Programming rights</w:t>
            </w:r>
          </w:p>
        </w:tc>
        <w:tc>
          <w:tcPr>
            <w:tcW w:w="1920" w:type="dxa"/>
            <w:vAlign w:val="bottom"/>
          </w:tcPr>
          <w:p>
            <w:pPr>
              <w:spacing w:after="0"/>
              <w:rPr>
                <w:sz w:val="18"/>
                <w:szCs w:val="18"/>
                <w:color w:val="auto"/>
              </w:rPr>
            </w:pPr>
          </w:p>
        </w:tc>
        <w:tc>
          <w:tcPr>
            <w:tcW w:w="980" w:type="dxa"/>
            <w:vAlign w:val="bottom"/>
          </w:tcPr>
          <w:p>
            <w:pPr>
              <w:jc w:val="right"/>
              <w:ind w:right="273"/>
              <w:spacing w:after="0"/>
              <w:rPr>
                <w:sz w:val="20"/>
                <w:szCs w:val="20"/>
                <w:color w:val="auto"/>
              </w:rPr>
            </w:pPr>
            <w:r>
              <w:rPr>
                <w:rFonts w:ascii="Arial" w:cs="Arial" w:eastAsia="Arial" w:hAnsi="Arial"/>
                <w:sz w:val="18"/>
                <w:szCs w:val="18"/>
                <w:color w:val="auto"/>
              </w:rPr>
              <w:t>1,116</w:t>
            </w:r>
          </w:p>
        </w:tc>
        <w:tc>
          <w:tcPr>
            <w:tcW w:w="48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825</w:t>
            </w:r>
          </w:p>
        </w:tc>
      </w:tr>
      <w:tr>
        <w:trPr>
          <w:trHeight w:val="216"/>
        </w:trPr>
        <w:tc>
          <w:tcPr>
            <w:tcW w:w="20" w:type="dxa"/>
            <w:vAlign w:val="bottom"/>
          </w:tcPr>
          <w:p>
            <w:pPr>
              <w:spacing w:after="0"/>
              <w:rPr>
                <w:sz w:val="18"/>
                <w:szCs w:val="18"/>
                <w:color w:val="auto"/>
              </w:rPr>
            </w:pPr>
          </w:p>
        </w:tc>
        <w:tc>
          <w:tcPr>
            <w:tcW w:w="732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Other current assets</w:t>
            </w:r>
          </w:p>
        </w:tc>
        <w:tc>
          <w:tcPr>
            <w:tcW w:w="1920" w:type="dxa"/>
            <w:vAlign w:val="bottom"/>
            <w:tcBorders>
              <w:bottom w:val="single" w:sz="8" w:color="auto"/>
            </w:tcBorders>
            <w:shd w:val="clear" w:color="auto" w:fill="E5E5E5"/>
          </w:tcPr>
          <w:p>
            <w:pPr>
              <w:spacing w:after="0"/>
              <w:rPr>
                <w:sz w:val="18"/>
                <w:szCs w:val="18"/>
                <w:color w:val="auto"/>
              </w:rPr>
            </w:pPr>
          </w:p>
        </w:tc>
        <w:tc>
          <w:tcPr>
            <w:tcW w:w="980" w:type="dxa"/>
            <w:vAlign w:val="bottom"/>
            <w:tcBorders>
              <w:bottom w:val="single" w:sz="8" w:color="auto"/>
            </w:tcBorders>
            <w:shd w:val="clear" w:color="auto" w:fill="E5E5E5"/>
          </w:tcPr>
          <w:p>
            <w:pPr>
              <w:jc w:val="right"/>
              <w:ind w:right="273"/>
              <w:spacing w:after="0"/>
              <w:rPr>
                <w:sz w:val="20"/>
                <w:szCs w:val="20"/>
                <w:color w:val="auto"/>
              </w:rPr>
            </w:pPr>
            <w:r>
              <w:rPr>
                <w:rFonts w:ascii="Arial" w:cs="Arial" w:eastAsia="Arial" w:hAnsi="Arial"/>
                <w:sz w:val="18"/>
                <w:szCs w:val="18"/>
                <w:color w:val="auto"/>
              </w:rPr>
              <w:t>750</w:t>
            </w:r>
          </w:p>
        </w:tc>
        <w:tc>
          <w:tcPr>
            <w:tcW w:w="48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823</w:t>
            </w:r>
          </w:p>
        </w:tc>
      </w:tr>
      <w:tr>
        <w:trPr>
          <w:trHeight w:val="210"/>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Total current assets</w:t>
            </w:r>
          </w:p>
        </w:tc>
        <w:tc>
          <w:tcPr>
            <w:tcW w:w="1920" w:type="dxa"/>
            <w:vAlign w:val="bottom"/>
          </w:tcPr>
          <w:p>
            <w:pPr>
              <w:spacing w:after="0"/>
              <w:rPr>
                <w:sz w:val="18"/>
                <w:szCs w:val="18"/>
                <w:color w:val="auto"/>
              </w:rPr>
            </w:pPr>
          </w:p>
        </w:tc>
        <w:tc>
          <w:tcPr>
            <w:tcW w:w="980" w:type="dxa"/>
            <w:vAlign w:val="bottom"/>
          </w:tcPr>
          <w:p>
            <w:pPr>
              <w:jc w:val="right"/>
              <w:ind w:right="273"/>
              <w:spacing w:after="0"/>
              <w:rPr>
                <w:sz w:val="20"/>
                <w:szCs w:val="20"/>
                <w:color w:val="auto"/>
              </w:rPr>
            </w:pPr>
            <w:r>
              <w:rPr>
                <w:rFonts w:ascii="Arial" w:cs="Arial" w:eastAsia="Arial" w:hAnsi="Arial"/>
                <w:sz w:val="18"/>
                <w:szCs w:val="18"/>
                <w:color w:val="auto"/>
              </w:rPr>
              <w:t>8,068</w:t>
            </w:r>
          </w:p>
        </w:tc>
        <w:tc>
          <w:tcPr>
            <w:tcW w:w="48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7,738</w:t>
            </w:r>
          </w:p>
        </w:tc>
      </w:tr>
      <w:tr>
        <w:trPr>
          <w:trHeight w:val="216"/>
        </w:trPr>
        <w:tc>
          <w:tcPr>
            <w:tcW w:w="20" w:type="dxa"/>
            <w:vAlign w:val="bottom"/>
          </w:tcPr>
          <w:p>
            <w:pPr>
              <w:spacing w:after="0"/>
              <w:rPr>
                <w:sz w:val="18"/>
                <w:szCs w:val="18"/>
                <w:color w:val="auto"/>
              </w:rPr>
            </w:pPr>
          </w:p>
        </w:tc>
        <w:tc>
          <w:tcPr>
            <w:tcW w:w="7320" w:type="dxa"/>
            <w:vAlign w:val="bottom"/>
            <w:shd w:val="clear" w:color="auto" w:fill="E5E5E5"/>
          </w:tcPr>
          <w:p>
            <w:pPr>
              <w:spacing w:after="0"/>
              <w:rPr>
                <w:sz w:val="20"/>
                <w:szCs w:val="20"/>
                <w:color w:val="auto"/>
              </w:rPr>
            </w:pPr>
            <w:r>
              <w:rPr>
                <w:rFonts w:ascii="Arial" w:cs="Arial" w:eastAsia="Arial" w:hAnsi="Arial"/>
                <w:sz w:val="18"/>
                <w:szCs w:val="18"/>
                <w:color w:val="auto"/>
              </w:rPr>
              <w:t>Film and television costs</w:t>
            </w:r>
          </w:p>
        </w:tc>
        <w:tc>
          <w:tcPr>
            <w:tcW w:w="1920" w:type="dxa"/>
            <w:vAlign w:val="bottom"/>
            <w:shd w:val="clear" w:color="auto" w:fill="E5E5E5"/>
          </w:tcPr>
          <w:p>
            <w:pPr>
              <w:spacing w:after="0"/>
              <w:rPr>
                <w:sz w:val="18"/>
                <w:szCs w:val="18"/>
                <w:color w:val="auto"/>
              </w:rPr>
            </w:pPr>
          </w:p>
        </w:tc>
        <w:tc>
          <w:tcPr>
            <w:tcW w:w="98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rPr>
              <w:t>5,708</w:t>
            </w:r>
          </w:p>
        </w:tc>
        <w:tc>
          <w:tcPr>
            <w:tcW w:w="4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5,714</w:t>
            </w: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Investments</w:t>
            </w:r>
          </w:p>
        </w:tc>
        <w:tc>
          <w:tcPr>
            <w:tcW w:w="1920" w:type="dxa"/>
            <w:vAlign w:val="bottom"/>
          </w:tcPr>
          <w:p>
            <w:pPr>
              <w:spacing w:after="0"/>
              <w:rPr>
                <w:sz w:val="18"/>
                <w:szCs w:val="18"/>
                <w:color w:val="auto"/>
              </w:rPr>
            </w:pPr>
          </w:p>
        </w:tc>
        <w:tc>
          <w:tcPr>
            <w:tcW w:w="980" w:type="dxa"/>
            <w:vAlign w:val="bottom"/>
          </w:tcPr>
          <w:p>
            <w:pPr>
              <w:jc w:val="right"/>
              <w:ind w:right="273"/>
              <w:spacing w:after="0"/>
              <w:rPr>
                <w:sz w:val="20"/>
                <w:szCs w:val="20"/>
                <w:color w:val="auto"/>
              </w:rPr>
            </w:pPr>
            <w:r>
              <w:rPr>
                <w:rFonts w:ascii="Arial" w:cs="Arial" w:eastAsia="Arial" w:hAnsi="Arial"/>
                <w:sz w:val="18"/>
                <w:szCs w:val="18"/>
                <w:color w:val="auto"/>
              </w:rPr>
              <w:t>1,092</w:t>
            </w:r>
          </w:p>
        </w:tc>
        <w:tc>
          <w:tcPr>
            <w:tcW w:w="48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882</w:t>
            </w:r>
          </w:p>
        </w:tc>
      </w:tr>
      <w:tr>
        <w:trPr>
          <w:trHeight w:val="216"/>
        </w:trPr>
        <w:tc>
          <w:tcPr>
            <w:tcW w:w="20" w:type="dxa"/>
            <w:vAlign w:val="bottom"/>
          </w:tcPr>
          <w:p>
            <w:pPr>
              <w:spacing w:after="0"/>
              <w:rPr>
                <w:sz w:val="18"/>
                <w:szCs w:val="18"/>
                <w:color w:val="auto"/>
              </w:rPr>
            </w:pPr>
          </w:p>
        </w:tc>
        <w:tc>
          <w:tcPr>
            <w:tcW w:w="7320" w:type="dxa"/>
            <w:vAlign w:val="bottom"/>
            <w:shd w:val="clear" w:color="auto" w:fill="E5E5E5"/>
          </w:tcPr>
          <w:p>
            <w:pPr>
              <w:spacing w:after="0"/>
              <w:rPr>
                <w:sz w:val="20"/>
                <w:szCs w:val="20"/>
                <w:color w:val="auto"/>
              </w:rPr>
            </w:pPr>
            <w:r>
              <w:rPr>
                <w:rFonts w:ascii="Arial" w:cs="Arial" w:eastAsia="Arial" w:hAnsi="Arial"/>
                <w:sz w:val="18"/>
                <w:szCs w:val="18"/>
                <w:color w:val="auto"/>
              </w:rPr>
              <w:t>Property and equipment, net of accumulated depreciation of $2,618 and $2,167</w:t>
            </w:r>
          </w:p>
        </w:tc>
        <w:tc>
          <w:tcPr>
            <w:tcW w:w="1920" w:type="dxa"/>
            <w:vAlign w:val="bottom"/>
            <w:shd w:val="clear" w:color="auto" w:fill="E5E5E5"/>
          </w:tcPr>
          <w:p>
            <w:pPr>
              <w:spacing w:after="0"/>
              <w:rPr>
                <w:sz w:val="18"/>
                <w:szCs w:val="18"/>
                <w:color w:val="auto"/>
              </w:rPr>
            </w:pPr>
          </w:p>
        </w:tc>
        <w:tc>
          <w:tcPr>
            <w:tcW w:w="98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rPr>
              <w:t>8,455</w:t>
            </w:r>
          </w:p>
        </w:tc>
        <w:tc>
          <w:tcPr>
            <w:tcW w:w="4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8,138</w:t>
            </w: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Goodwill</w:t>
            </w:r>
          </w:p>
        </w:tc>
        <w:tc>
          <w:tcPr>
            <w:tcW w:w="1920" w:type="dxa"/>
            <w:vAlign w:val="bottom"/>
          </w:tcPr>
          <w:p>
            <w:pPr>
              <w:spacing w:after="0"/>
              <w:rPr>
                <w:sz w:val="18"/>
                <w:szCs w:val="18"/>
                <w:color w:val="auto"/>
              </w:rPr>
            </w:pPr>
          </w:p>
        </w:tc>
        <w:tc>
          <w:tcPr>
            <w:tcW w:w="980" w:type="dxa"/>
            <w:vAlign w:val="bottom"/>
          </w:tcPr>
          <w:p>
            <w:pPr>
              <w:jc w:val="right"/>
              <w:ind w:right="273"/>
              <w:spacing w:after="0"/>
              <w:rPr>
                <w:sz w:val="20"/>
                <w:szCs w:val="20"/>
                <w:color w:val="auto"/>
              </w:rPr>
            </w:pPr>
            <w:r>
              <w:rPr>
                <w:rFonts w:ascii="Arial" w:cs="Arial" w:eastAsia="Arial" w:hAnsi="Arial"/>
                <w:sz w:val="18"/>
                <w:szCs w:val="18"/>
                <w:color w:val="auto"/>
              </w:rPr>
              <w:t>14,946</w:t>
            </w:r>
          </w:p>
        </w:tc>
        <w:tc>
          <w:tcPr>
            <w:tcW w:w="48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14,908</w:t>
            </w:r>
          </w:p>
        </w:tc>
      </w:tr>
      <w:tr>
        <w:trPr>
          <w:trHeight w:val="216"/>
        </w:trPr>
        <w:tc>
          <w:tcPr>
            <w:tcW w:w="20" w:type="dxa"/>
            <w:vAlign w:val="bottom"/>
          </w:tcPr>
          <w:p>
            <w:pPr>
              <w:spacing w:after="0"/>
              <w:rPr>
                <w:sz w:val="18"/>
                <w:szCs w:val="18"/>
                <w:color w:val="auto"/>
              </w:rPr>
            </w:pPr>
          </w:p>
        </w:tc>
        <w:tc>
          <w:tcPr>
            <w:tcW w:w="7320" w:type="dxa"/>
            <w:vAlign w:val="bottom"/>
            <w:shd w:val="clear" w:color="auto" w:fill="E5E5E5"/>
          </w:tcPr>
          <w:p>
            <w:pPr>
              <w:spacing w:after="0"/>
              <w:rPr>
                <w:sz w:val="20"/>
                <w:szCs w:val="20"/>
                <w:color w:val="auto"/>
              </w:rPr>
            </w:pPr>
            <w:r>
              <w:rPr>
                <w:rFonts w:ascii="Arial" w:cs="Arial" w:eastAsia="Arial" w:hAnsi="Arial"/>
                <w:sz w:val="18"/>
                <w:szCs w:val="18"/>
                <w:color w:val="auto"/>
              </w:rPr>
              <w:t>Intangible assets, net of accumulated amortization of $5,444 and $4,829</w:t>
            </w:r>
          </w:p>
        </w:tc>
        <w:tc>
          <w:tcPr>
            <w:tcW w:w="1920" w:type="dxa"/>
            <w:vAlign w:val="bottom"/>
            <w:shd w:val="clear" w:color="auto" w:fill="E5E5E5"/>
          </w:tcPr>
          <w:p>
            <w:pPr>
              <w:spacing w:after="0"/>
              <w:rPr>
                <w:sz w:val="18"/>
                <w:szCs w:val="18"/>
                <w:color w:val="auto"/>
              </w:rPr>
            </w:pPr>
          </w:p>
        </w:tc>
        <w:tc>
          <w:tcPr>
            <w:tcW w:w="98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rPr>
              <w:t>13,862</w:t>
            </w:r>
          </w:p>
        </w:tc>
        <w:tc>
          <w:tcPr>
            <w:tcW w:w="4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14,187</w:t>
            </w:r>
          </w:p>
        </w:tc>
      </w:tr>
      <w:tr>
        <w:trPr>
          <w:trHeight w:val="216"/>
        </w:trPr>
        <w:tc>
          <w:tcPr>
            <w:tcW w:w="20" w:type="dxa"/>
            <w:vAlign w:val="bottom"/>
          </w:tcPr>
          <w:p>
            <w:pPr>
              <w:spacing w:after="0"/>
              <w:rPr>
                <w:sz w:val="18"/>
                <w:szCs w:val="18"/>
                <w:color w:val="auto"/>
              </w:rPr>
            </w:pPr>
          </w:p>
        </w:tc>
        <w:tc>
          <w:tcPr>
            <w:tcW w:w="7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noncurrent assets, net</w:t>
            </w:r>
          </w:p>
        </w:tc>
        <w:tc>
          <w:tcPr>
            <w:tcW w:w="19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73"/>
              <w:spacing w:after="0"/>
              <w:rPr>
                <w:sz w:val="20"/>
                <w:szCs w:val="20"/>
                <w:color w:val="auto"/>
              </w:rPr>
            </w:pPr>
            <w:r>
              <w:rPr>
                <w:rFonts w:ascii="Arial" w:cs="Arial" w:eastAsia="Arial" w:hAnsi="Arial"/>
                <w:sz w:val="18"/>
                <w:szCs w:val="18"/>
                <w:color w:val="auto"/>
              </w:rPr>
              <w:t>1,201</w:t>
            </w:r>
          </w:p>
        </w:tc>
        <w:tc>
          <w:tcPr>
            <w:tcW w:w="4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1,050</w:t>
            </w:r>
          </w:p>
        </w:tc>
      </w:tr>
      <w:tr>
        <w:trPr>
          <w:trHeight w:val="217"/>
        </w:trPr>
        <w:tc>
          <w:tcPr>
            <w:tcW w:w="20" w:type="dxa"/>
            <w:vAlign w:val="bottom"/>
          </w:tcPr>
          <w:p>
            <w:pPr>
              <w:spacing w:after="0"/>
              <w:rPr>
                <w:sz w:val="18"/>
                <w:szCs w:val="18"/>
                <w:color w:val="auto"/>
              </w:rPr>
            </w:pPr>
          </w:p>
        </w:tc>
        <w:tc>
          <w:tcPr>
            <w:tcW w:w="73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 assets</w:t>
            </w:r>
          </w:p>
        </w:tc>
        <w:tc>
          <w:tcPr>
            <w:tcW w:w="1920" w:type="dxa"/>
            <w:vAlign w:val="bottom"/>
            <w:tcBorders>
              <w:bottom w:val="single" w:sz="8" w:color="auto"/>
            </w:tcBorders>
            <w:shd w:val="clear" w:color="auto" w:fill="E5E5E5"/>
          </w:tcPr>
          <w:p>
            <w:pPr>
              <w:ind w:left="176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shd w:val="clear" w:color="auto" w:fill="E5E5E5"/>
          </w:tcPr>
          <w:p>
            <w:pPr>
              <w:jc w:val="right"/>
              <w:ind w:right="273"/>
              <w:spacing w:after="0"/>
              <w:rPr>
                <w:sz w:val="20"/>
                <w:szCs w:val="20"/>
                <w:color w:val="auto"/>
              </w:rPr>
            </w:pPr>
            <w:r>
              <w:rPr>
                <w:rFonts w:ascii="Arial" w:cs="Arial" w:eastAsia="Arial" w:hAnsi="Arial"/>
                <w:sz w:val="18"/>
                <w:szCs w:val="18"/>
                <w:b w:val="1"/>
                <w:bCs w:val="1"/>
                <w:color w:val="auto"/>
              </w:rPr>
              <w:t>53,332</w:t>
            </w:r>
          </w:p>
        </w:tc>
        <w:tc>
          <w:tcPr>
            <w:tcW w:w="480" w:type="dxa"/>
            <w:vAlign w:val="bottom"/>
            <w:tcBorders>
              <w:bottom w:val="single" w:sz="8" w:color="auto"/>
            </w:tcBorders>
            <w:shd w:val="clear" w:color="auto" w:fill="E5E5E5"/>
          </w:tcPr>
          <w:p>
            <w:pPr>
              <w:ind w:left="30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rPr>
              <w:t>52,617</w:t>
            </w:r>
          </w:p>
        </w:tc>
      </w:tr>
      <w:tr>
        <w:trPr>
          <w:trHeight w:val="309"/>
        </w:trPr>
        <w:tc>
          <w:tcPr>
            <w:tcW w:w="7340" w:type="dxa"/>
            <w:vAlign w:val="bottom"/>
            <w:gridSpan w:val="2"/>
          </w:tcPr>
          <w:p>
            <w:pPr>
              <w:spacing w:after="0"/>
              <w:rPr>
                <w:sz w:val="20"/>
                <w:szCs w:val="20"/>
                <w:color w:val="auto"/>
              </w:rPr>
            </w:pPr>
            <w:r>
              <w:rPr>
                <w:rFonts w:ascii="Arial" w:cs="Arial" w:eastAsia="Arial" w:hAnsi="Arial"/>
                <w:sz w:val="18"/>
                <w:szCs w:val="18"/>
                <w:b w:val="1"/>
                <w:bCs w:val="1"/>
                <w:color w:val="auto"/>
              </w:rPr>
              <w:t>Liabilities and Equity</w:t>
            </w:r>
          </w:p>
        </w:tc>
        <w:tc>
          <w:tcPr>
            <w:tcW w:w="1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7320" w:type="dxa"/>
            <w:vAlign w:val="bottom"/>
            <w:shd w:val="clear" w:color="auto" w:fill="E5E5E5"/>
          </w:tcPr>
          <w:p>
            <w:pPr>
              <w:spacing w:after="0"/>
              <w:rPr>
                <w:sz w:val="20"/>
                <w:szCs w:val="20"/>
                <w:color w:val="auto"/>
              </w:rPr>
            </w:pPr>
            <w:r>
              <w:rPr>
                <w:rFonts w:ascii="Arial" w:cs="Arial" w:eastAsia="Arial" w:hAnsi="Arial"/>
                <w:sz w:val="18"/>
                <w:szCs w:val="18"/>
                <w:color w:val="auto"/>
              </w:rPr>
              <w:t>Current Liabilities:</w:t>
            </w:r>
          </w:p>
        </w:tc>
        <w:tc>
          <w:tcPr>
            <w:tcW w:w="1920" w:type="dxa"/>
            <w:vAlign w:val="bottom"/>
            <w:shd w:val="clear" w:color="auto" w:fill="E5E5E5"/>
          </w:tcPr>
          <w:p>
            <w:pPr>
              <w:spacing w:after="0"/>
              <w:rPr>
                <w:sz w:val="18"/>
                <w:szCs w:val="18"/>
                <w:color w:val="auto"/>
              </w:rPr>
            </w:pPr>
          </w:p>
        </w:tc>
        <w:tc>
          <w:tcPr>
            <w:tcW w:w="98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420"/>
              <w:spacing w:after="0"/>
              <w:rPr>
                <w:sz w:val="20"/>
                <w:szCs w:val="20"/>
                <w:color w:val="auto"/>
              </w:rPr>
            </w:pPr>
            <w:r>
              <w:rPr>
                <w:rFonts w:ascii="Arial" w:cs="Arial" w:eastAsia="Arial" w:hAnsi="Arial"/>
                <w:sz w:val="18"/>
                <w:szCs w:val="18"/>
                <w:color w:val="auto"/>
              </w:rPr>
              <w:t>Accounts payable and accrued expenses related to trade creditors</w:t>
            </w:r>
          </w:p>
        </w:tc>
        <w:tc>
          <w:tcPr>
            <w:tcW w:w="1920" w:type="dxa"/>
            <w:vAlign w:val="bottom"/>
          </w:tcPr>
          <w:p>
            <w:pPr>
              <w:ind w:left="17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73"/>
              <w:spacing w:after="0"/>
              <w:rPr>
                <w:sz w:val="20"/>
                <w:szCs w:val="20"/>
                <w:color w:val="auto"/>
              </w:rPr>
            </w:pPr>
            <w:r>
              <w:rPr>
                <w:rFonts w:ascii="Arial" w:cs="Arial" w:eastAsia="Arial" w:hAnsi="Arial"/>
                <w:sz w:val="18"/>
                <w:szCs w:val="18"/>
                <w:color w:val="auto"/>
              </w:rPr>
              <w:t>1,473</w:t>
            </w:r>
          </w:p>
        </w:tc>
        <w:tc>
          <w:tcPr>
            <w:tcW w:w="480" w:type="dxa"/>
            <w:vAlign w:val="bottom"/>
          </w:tcPr>
          <w:p>
            <w:pPr>
              <w:ind w:left="30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1,388</w:t>
            </w:r>
          </w:p>
        </w:tc>
      </w:tr>
      <w:tr>
        <w:trPr>
          <w:trHeight w:val="216"/>
        </w:trPr>
        <w:tc>
          <w:tcPr>
            <w:tcW w:w="20" w:type="dxa"/>
            <w:vAlign w:val="bottom"/>
          </w:tcPr>
          <w:p>
            <w:pPr>
              <w:spacing w:after="0"/>
              <w:rPr>
                <w:sz w:val="18"/>
                <w:szCs w:val="18"/>
                <w:color w:val="auto"/>
              </w:rPr>
            </w:pPr>
          </w:p>
        </w:tc>
        <w:tc>
          <w:tcPr>
            <w:tcW w:w="73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Accrued participations and residuals</w:t>
            </w:r>
          </w:p>
        </w:tc>
        <w:tc>
          <w:tcPr>
            <w:tcW w:w="1920" w:type="dxa"/>
            <w:vAlign w:val="bottom"/>
            <w:shd w:val="clear" w:color="auto" w:fill="E5E5E5"/>
          </w:tcPr>
          <w:p>
            <w:pPr>
              <w:spacing w:after="0"/>
              <w:rPr>
                <w:sz w:val="18"/>
                <w:szCs w:val="18"/>
                <w:color w:val="auto"/>
              </w:rPr>
            </w:pPr>
          </w:p>
        </w:tc>
        <w:tc>
          <w:tcPr>
            <w:tcW w:w="98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rPr>
              <w:t>1,491</w:t>
            </w:r>
          </w:p>
        </w:tc>
        <w:tc>
          <w:tcPr>
            <w:tcW w:w="4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1,347</w:t>
            </w:r>
          </w:p>
        </w:tc>
      </w:tr>
      <w:tr>
        <w:trPr>
          <w:trHeight w:val="216"/>
        </w:trPr>
        <w:tc>
          <w:tcPr>
            <w:tcW w:w="20" w:type="dxa"/>
            <w:vAlign w:val="bottom"/>
          </w:tcPr>
          <w:p>
            <w:pPr>
              <w:spacing w:after="0"/>
              <w:rPr>
                <w:sz w:val="18"/>
                <w:szCs w:val="18"/>
                <w:color w:val="auto"/>
              </w:rPr>
            </w:pPr>
          </w:p>
        </w:tc>
        <w:tc>
          <w:tcPr>
            <w:tcW w:w="7320" w:type="dxa"/>
            <w:vAlign w:val="bottom"/>
          </w:tcPr>
          <w:p>
            <w:pPr>
              <w:ind w:left="420"/>
              <w:spacing w:after="0"/>
              <w:rPr>
                <w:sz w:val="20"/>
                <w:szCs w:val="20"/>
                <w:color w:val="auto"/>
              </w:rPr>
            </w:pPr>
            <w:r>
              <w:rPr>
                <w:rFonts w:ascii="Arial" w:cs="Arial" w:eastAsia="Arial" w:hAnsi="Arial"/>
                <w:sz w:val="18"/>
                <w:szCs w:val="18"/>
                <w:color w:val="auto"/>
              </w:rPr>
              <w:t>Program obligations</w:t>
            </w:r>
          </w:p>
        </w:tc>
        <w:tc>
          <w:tcPr>
            <w:tcW w:w="1920" w:type="dxa"/>
            <w:vAlign w:val="bottom"/>
          </w:tcPr>
          <w:p>
            <w:pPr>
              <w:spacing w:after="0"/>
              <w:rPr>
                <w:sz w:val="18"/>
                <w:szCs w:val="18"/>
                <w:color w:val="auto"/>
              </w:rPr>
            </w:pPr>
          </w:p>
        </w:tc>
        <w:tc>
          <w:tcPr>
            <w:tcW w:w="980" w:type="dxa"/>
            <w:vAlign w:val="bottom"/>
          </w:tcPr>
          <w:p>
            <w:pPr>
              <w:jc w:val="right"/>
              <w:ind w:right="273"/>
              <w:spacing w:after="0"/>
              <w:rPr>
                <w:sz w:val="20"/>
                <w:szCs w:val="20"/>
                <w:color w:val="auto"/>
              </w:rPr>
            </w:pPr>
            <w:r>
              <w:rPr>
                <w:rFonts w:ascii="Arial" w:cs="Arial" w:eastAsia="Arial" w:hAnsi="Arial"/>
                <w:sz w:val="18"/>
                <w:szCs w:val="18"/>
                <w:color w:val="auto"/>
              </w:rPr>
              <w:t>553</w:t>
            </w:r>
          </w:p>
        </w:tc>
        <w:tc>
          <w:tcPr>
            <w:tcW w:w="48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687</w:t>
            </w:r>
          </w:p>
        </w:tc>
      </w:tr>
      <w:tr>
        <w:trPr>
          <w:trHeight w:val="216"/>
        </w:trPr>
        <w:tc>
          <w:tcPr>
            <w:tcW w:w="20" w:type="dxa"/>
            <w:vAlign w:val="bottom"/>
          </w:tcPr>
          <w:p>
            <w:pPr>
              <w:spacing w:after="0"/>
              <w:rPr>
                <w:sz w:val="18"/>
                <w:szCs w:val="18"/>
                <w:color w:val="auto"/>
              </w:rPr>
            </w:pPr>
          </w:p>
        </w:tc>
        <w:tc>
          <w:tcPr>
            <w:tcW w:w="73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Deferred revenue</w:t>
            </w:r>
          </w:p>
        </w:tc>
        <w:tc>
          <w:tcPr>
            <w:tcW w:w="1920" w:type="dxa"/>
            <w:vAlign w:val="bottom"/>
            <w:shd w:val="clear" w:color="auto" w:fill="E5E5E5"/>
          </w:tcPr>
          <w:p>
            <w:pPr>
              <w:spacing w:after="0"/>
              <w:rPr>
                <w:sz w:val="18"/>
                <w:szCs w:val="18"/>
                <w:color w:val="auto"/>
              </w:rPr>
            </w:pPr>
          </w:p>
        </w:tc>
        <w:tc>
          <w:tcPr>
            <w:tcW w:w="98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rPr>
              <w:t>1,185</w:t>
            </w:r>
          </w:p>
        </w:tc>
        <w:tc>
          <w:tcPr>
            <w:tcW w:w="4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821</w:t>
            </w:r>
          </w:p>
        </w:tc>
      </w:tr>
      <w:tr>
        <w:trPr>
          <w:trHeight w:val="216"/>
        </w:trPr>
        <w:tc>
          <w:tcPr>
            <w:tcW w:w="20" w:type="dxa"/>
            <w:vAlign w:val="bottom"/>
          </w:tcPr>
          <w:p>
            <w:pPr>
              <w:spacing w:after="0"/>
              <w:rPr>
                <w:sz w:val="18"/>
                <w:szCs w:val="18"/>
                <w:color w:val="auto"/>
              </w:rPr>
            </w:pPr>
          </w:p>
        </w:tc>
        <w:tc>
          <w:tcPr>
            <w:tcW w:w="7320" w:type="dxa"/>
            <w:vAlign w:val="bottom"/>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1920" w:type="dxa"/>
            <w:vAlign w:val="bottom"/>
          </w:tcPr>
          <w:p>
            <w:pPr>
              <w:spacing w:after="0"/>
              <w:rPr>
                <w:sz w:val="18"/>
                <w:szCs w:val="18"/>
                <w:color w:val="auto"/>
              </w:rPr>
            </w:pPr>
          </w:p>
        </w:tc>
        <w:tc>
          <w:tcPr>
            <w:tcW w:w="980" w:type="dxa"/>
            <w:vAlign w:val="bottom"/>
          </w:tcPr>
          <w:p>
            <w:pPr>
              <w:jc w:val="right"/>
              <w:ind w:right="273"/>
              <w:spacing w:after="0"/>
              <w:rPr>
                <w:sz w:val="20"/>
                <w:szCs w:val="20"/>
                <w:color w:val="auto"/>
              </w:rPr>
            </w:pPr>
            <w:r>
              <w:rPr>
                <w:rFonts w:ascii="Arial" w:cs="Arial" w:eastAsia="Arial" w:hAnsi="Arial"/>
                <w:sz w:val="18"/>
                <w:szCs w:val="18"/>
                <w:color w:val="auto"/>
              </w:rPr>
              <w:t>1,609</w:t>
            </w:r>
          </w:p>
        </w:tc>
        <w:tc>
          <w:tcPr>
            <w:tcW w:w="48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1,422</w:t>
            </w:r>
          </w:p>
        </w:tc>
      </w:tr>
      <w:tr>
        <w:trPr>
          <w:trHeight w:val="216"/>
        </w:trPr>
        <w:tc>
          <w:tcPr>
            <w:tcW w:w="20" w:type="dxa"/>
            <w:vAlign w:val="bottom"/>
          </w:tcPr>
          <w:p>
            <w:pPr>
              <w:spacing w:after="0"/>
              <w:rPr>
                <w:sz w:val="18"/>
                <w:szCs w:val="18"/>
                <w:color w:val="auto"/>
              </w:rPr>
            </w:pPr>
          </w:p>
        </w:tc>
        <w:tc>
          <w:tcPr>
            <w:tcW w:w="73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Note payable to Comcast</w:t>
            </w:r>
          </w:p>
        </w:tc>
        <w:tc>
          <w:tcPr>
            <w:tcW w:w="1920" w:type="dxa"/>
            <w:vAlign w:val="bottom"/>
            <w:shd w:val="clear" w:color="auto" w:fill="E5E5E5"/>
          </w:tcPr>
          <w:p>
            <w:pPr>
              <w:spacing w:after="0"/>
              <w:rPr>
                <w:sz w:val="18"/>
                <w:szCs w:val="18"/>
                <w:color w:val="auto"/>
              </w:rPr>
            </w:pPr>
          </w:p>
        </w:tc>
        <w:tc>
          <w:tcPr>
            <w:tcW w:w="98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rPr>
              <w:t>—</w:t>
            </w:r>
          </w:p>
        </w:tc>
        <w:tc>
          <w:tcPr>
            <w:tcW w:w="4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865</w:t>
            </w:r>
          </w:p>
        </w:tc>
      </w:tr>
      <w:tr>
        <w:trPr>
          <w:trHeight w:val="216"/>
        </w:trPr>
        <w:tc>
          <w:tcPr>
            <w:tcW w:w="20" w:type="dxa"/>
            <w:vAlign w:val="bottom"/>
          </w:tcPr>
          <w:p>
            <w:pPr>
              <w:spacing w:after="0"/>
              <w:rPr>
                <w:sz w:val="18"/>
                <w:szCs w:val="18"/>
                <w:color w:val="auto"/>
              </w:rPr>
            </w:pPr>
          </w:p>
        </w:tc>
        <w:tc>
          <w:tcPr>
            <w:tcW w:w="732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Current portion of long-term debt</w:t>
            </w:r>
          </w:p>
        </w:tc>
        <w:tc>
          <w:tcPr>
            <w:tcW w:w="19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73"/>
              <w:spacing w:after="0"/>
              <w:rPr>
                <w:sz w:val="20"/>
                <w:szCs w:val="20"/>
                <w:color w:val="auto"/>
              </w:rPr>
            </w:pPr>
            <w:r>
              <w:rPr>
                <w:rFonts w:ascii="Arial" w:cs="Arial" w:eastAsia="Arial" w:hAnsi="Arial"/>
                <w:sz w:val="18"/>
                <w:szCs w:val="18"/>
                <w:color w:val="auto"/>
              </w:rPr>
              <w:t>1,025</w:t>
            </w:r>
          </w:p>
        </w:tc>
        <w:tc>
          <w:tcPr>
            <w:tcW w:w="4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1,023</w:t>
            </w:r>
          </w:p>
        </w:tc>
      </w:tr>
      <w:tr>
        <w:trPr>
          <w:trHeight w:val="210"/>
        </w:trPr>
        <w:tc>
          <w:tcPr>
            <w:tcW w:w="20" w:type="dxa"/>
            <w:vAlign w:val="bottom"/>
          </w:tcPr>
          <w:p>
            <w:pPr>
              <w:spacing w:after="0"/>
              <w:rPr>
                <w:sz w:val="18"/>
                <w:szCs w:val="18"/>
                <w:color w:val="auto"/>
              </w:rPr>
            </w:pPr>
          </w:p>
        </w:tc>
        <w:tc>
          <w:tcPr>
            <w:tcW w:w="7320" w:type="dxa"/>
            <w:vAlign w:val="bottom"/>
            <w:shd w:val="clear" w:color="auto" w:fill="E5E5E5"/>
          </w:tcPr>
          <w:p>
            <w:pPr>
              <w:spacing w:after="0"/>
              <w:rPr>
                <w:sz w:val="20"/>
                <w:szCs w:val="20"/>
                <w:color w:val="auto"/>
              </w:rPr>
            </w:pPr>
            <w:r>
              <w:rPr>
                <w:rFonts w:ascii="Arial" w:cs="Arial" w:eastAsia="Arial" w:hAnsi="Arial"/>
                <w:sz w:val="18"/>
                <w:szCs w:val="18"/>
                <w:color w:val="auto"/>
              </w:rPr>
              <w:t>Total current liabilities</w:t>
            </w:r>
          </w:p>
        </w:tc>
        <w:tc>
          <w:tcPr>
            <w:tcW w:w="1920" w:type="dxa"/>
            <w:vAlign w:val="bottom"/>
            <w:shd w:val="clear" w:color="auto" w:fill="E5E5E5"/>
          </w:tcPr>
          <w:p>
            <w:pPr>
              <w:spacing w:after="0"/>
              <w:rPr>
                <w:sz w:val="18"/>
                <w:szCs w:val="18"/>
                <w:color w:val="auto"/>
              </w:rPr>
            </w:pPr>
          </w:p>
        </w:tc>
        <w:tc>
          <w:tcPr>
            <w:tcW w:w="98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rPr>
              <w:t>7,336</w:t>
            </w:r>
          </w:p>
        </w:tc>
        <w:tc>
          <w:tcPr>
            <w:tcW w:w="4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7,553</w:t>
            </w: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Long-term debt, less current portion</w:t>
            </w:r>
          </w:p>
        </w:tc>
        <w:tc>
          <w:tcPr>
            <w:tcW w:w="1920" w:type="dxa"/>
            <w:vAlign w:val="bottom"/>
          </w:tcPr>
          <w:p>
            <w:pPr>
              <w:spacing w:after="0"/>
              <w:rPr>
                <w:sz w:val="18"/>
                <w:szCs w:val="18"/>
                <w:color w:val="auto"/>
              </w:rPr>
            </w:pPr>
          </w:p>
        </w:tc>
        <w:tc>
          <w:tcPr>
            <w:tcW w:w="980" w:type="dxa"/>
            <w:vAlign w:val="bottom"/>
          </w:tcPr>
          <w:p>
            <w:pPr>
              <w:jc w:val="right"/>
              <w:ind w:right="273"/>
              <w:spacing w:after="0"/>
              <w:rPr>
                <w:sz w:val="20"/>
                <w:szCs w:val="20"/>
                <w:color w:val="auto"/>
              </w:rPr>
            </w:pPr>
            <w:r>
              <w:rPr>
                <w:rFonts w:ascii="Arial" w:cs="Arial" w:eastAsia="Arial" w:hAnsi="Arial"/>
                <w:sz w:val="18"/>
                <w:szCs w:val="18"/>
                <w:color w:val="auto"/>
              </w:rPr>
              <w:t>8,231</w:t>
            </w:r>
          </w:p>
        </w:tc>
        <w:tc>
          <w:tcPr>
            <w:tcW w:w="48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9,226</w:t>
            </w:r>
          </w:p>
        </w:tc>
      </w:tr>
      <w:tr>
        <w:trPr>
          <w:trHeight w:val="216"/>
        </w:trPr>
        <w:tc>
          <w:tcPr>
            <w:tcW w:w="20" w:type="dxa"/>
            <w:vAlign w:val="bottom"/>
          </w:tcPr>
          <w:p>
            <w:pPr>
              <w:spacing w:after="0"/>
              <w:rPr>
                <w:sz w:val="18"/>
                <w:szCs w:val="18"/>
                <w:color w:val="auto"/>
              </w:rPr>
            </w:pPr>
          </w:p>
        </w:tc>
        <w:tc>
          <w:tcPr>
            <w:tcW w:w="7320" w:type="dxa"/>
            <w:vAlign w:val="bottom"/>
            <w:shd w:val="clear" w:color="auto" w:fill="E5E5E5"/>
          </w:tcPr>
          <w:p>
            <w:pPr>
              <w:spacing w:after="0"/>
              <w:rPr>
                <w:sz w:val="20"/>
                <w:szCs w:val="20"/>
                <w:color w:val="auto"/>
              </w:rPr>
            </w:pPr>
            <w:r>
              <w:rPr>
                <w:rFonts w:ascii="Arial" w:cs="Arial" w:eastAsia="Arial" w:hAnsi="Arial"/>
                <w:sz w:val="18"/>
                <w:szCs w:val="18"/>
                <w:color w:val="auto"/>
              </w:rPr>
              <w:t>Accrued participations, residuals and program obligations</w:t>
            </w:r>
          </w:p>
        </w:tc>
        <w:tc>
          <w:tcPr>
            <w:tcW w:w="1920" w:type="dxa"/>
            <w:vAlign w:val="bottom"/>
            <w:shd w:val="clear" w:color="auto" w:fill="E5E5E5"/>
          </w:tcPr>
          <w:p>
            <w:pPr>
              <w:spacing w:after="0"/>
              <w:rPr>
                <w:sz w:val="18"/>
                <w:szCs w:val="18"/>
                <w:color w:val="auto"/>
              </w:rPr>
            </w:pPr>
          </w:p>
        </w:tc>
        <w:tc>
          <w:tcPr>
            <w:tcW w:w="98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rPr>
              <w:t>1,238</w:t>
            </w:r>
          </w:p>
        </w:tc>
        <w:tc>
          <w:tcPr>
            <w:tcW w:w="4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1,149</w:t>
            </w: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1920" w:type="dxa"/>
            <w:vAlign w:val="bottom"/>
          </w:tcPr>
          <w:p>
            <w:pPr>
              <w:spacing w:after="0"/>
              <w:rPr>
                <w:sz w:val="18"/>
                <w:szCs w:val="18"/>
                <w:color w:val="auto"/>
              </w:rPr>
            </w:pPr>
          </w:p>
        </w:tc>
        <w:tc>
          <w:tcPr>
            <w:tcW w:w="980" w:type="dxa"/>
            <w:vAlign w:val="bottom"/>
          </w:tcPr>
          <w:p>
            <w:pPr>
              <w:jc w:val="right"/>
              <w:ind w:right="273"/>
              <w:spacing w:after="0"/>
              <w:rPr>
                <w:sz w:val="20"/>
                <w:szCs w:val="20"/>
                <w:color w:val="auto"/>
              </w:rPr>
            </w:pPr>
            <w:r>
              <w:rPr>
                <w:rFonts w:ascii="Arial" w:cs="Arial" w:eastAsia="Arial" w:hAnsi="Arial"/>
                <w:sz w:val="18"/>
                <w:szCs w:val="18"/>
                <w:color w:val="auto"/>
              </w:rPr>
              <w:t>3,834</w:t>
            </w:r>
          </w:p>
        </w:tc>
        <w:tc>
          <w:tcPr>
            <w:tcW w:w="48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3,722</w:t>
            </w:r>
          </w:p>
        </w:tc>
      </w:tr>
      <w:tr>
        <w:trPr>
          <w:trHeight w:val="216"/>
        </w:trPr>
        <w:tc>
          <w:tcPr>
            <w:tcW w:w="20" w:type="dxa"/>
            <w:vAlign w:val="bottom"/>
          </w:tcPr>
          <w:p>
            <w:pPr>
              <w:spacing w:after="0"/>
              <w:rPr>
                <w:sz w:val="18"/>
                <w:szCs w:val="18"/>
                <w:color w:val="auto"/>
              </w:rPr>
            </w:pPr>
          </w:p>
        </w:tc>
        <w:tc>
          <w:tcPr>
            <w:tcW w:w="7320" w:type="dxa"/>
            <w:vAlign w:val="bottom"/>
            <w:shd w:val="clear" w:color="auto" w:fill="E5E5E5"/>
          </w:tcPr>
          <w:p>
            <w:pPr>
              <w:spacing w:after="0"/>
              <w:rPr>
                <w:sz w:val="20"/>
                <w:szCs w:val="20"/>
                <w:color w:val="auto"/>
              </w:rPr>
            </w:pPr>
            <w:r>
              <w:rPr>
                <w:rFonts w:ascii="Arial" w:cs="Arial" w:eastAsia="Arial" w:hAnsi="Arial"/>
                <w:sz w:val="18"/>
                <w:szCs w:val="18"/>
                <w:color w:val="auto"/>
              </w:rPr>
              <w:t>Commitments and contingencies</w:t>
            </w:r>
          </w:p>
        </w:tc>
        <w:tc>
          <w:tcPr>
            <w:tcW w:w="1920" w:type="dxa"/>
            <w:vAlign w:val="bottom"/>
            <w:shd w:val="clear" w:color="auto" w:fill="E5E5E5"/>
          </w:tcPr>
          <w:p>
            <w:pPr>
              <w:spacing w:after="0"/>
              <w:rPr>
                <w:sz w:val="18"/>
                <w:szCs w:val="18"/>
                <w:color w:val="auto"/>
              </w:rPr>
            </w:pPr>
          </w:p>
        </w:tc>
        <w:tc>
          <w:tcPr>
            <w:tcW w:w="98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Redeemable noncontrolling interests</w:t>
            </w:r>
          </w:p>
        </w:tc>
        <w:tc>
          <w:tcPr>
            <w:tcW w:w="1920" w:type="dxa"/>
            <w:vAlign w:val="bottom"/>
          </w:tcPr>
          <w:p>
            <w:pPr>
              <w:spacing w:after="0"/>
              <w:rPr>
                <w:sz w:val="18"/>
                <w:szCs w:val="18"/>
                <w:color w:val="auto"/>
              </w:rPr>
            </w:pPr>
          </w:p>
        </w:tc>
        <w:tc>
          <w:tcPr>
            <w:tcW w:w="980" w:type="dxa"/>
            <w:vAlign w:val="bottom"/>
          </w:tcPr>
          <w:p>
            <w:pPr>
              <w:jc w:val="right"/>
              <w:ind w:right="273"/>
              <w:spacing w:after="0"/>
              <w:rPr>
                <w:sz w:val="20"/>
                <w:szCs w:val="20"/>
                <w:color w:val="auto"/>
              </w:rPr>
            </w:pPr>
            <w:r>
              <w:rPr>
                <w:rFonts w:ascii="Arial" w:cs="Arial" w:eastAsia="Arial" w:hAnsi="Arial"/>
                <w:sz w:val="18"/>
                <w:szCs w:val="18"/>
                <w:color w:val="auto"/>
              </w:rPr>
              <w:t>367</w:t>
            </w:r>
          </w:p>
        </w:tc>
        <w:tc>
          <w:tcPr>
            <w:tcW w:w="48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330</w:t>
            </w:r>
          </w:p>
        </w:tc>
      </w:tr>
      <w:tr>
        <w:trPr>
          <w:trHeight w:val="216"/>
        </w:trPr>
        <w:tc>
          <w:tcPr>
            <w:tcW w:w="20" w:type="dxa"/>
            <w:vAlign w:val="bottom"/>
          </w:tcPr>
          <w:p>
            <w:pPr>
              <w:spacing w:after="0"/>
              <w:rPr>
                <w:sz w:val="18"/>
                <w:szCs w:val="18"/>
                <w:color w:val="auto"/>
              </w:rPr>
            </w:pPr>
          </w:p>
        </w:tc>
        <w:tc>
          <w:tcPr>
            <w:tcW w:w="7320" w:type="dxa"/>
            <w:vAlign w:val="bottom"/>
            <w:shd w:val="clear" w:color="auto" w:fill="E5E5E5"/>
          </w:tcPr>
          <w:p>
            <w:pPr>
              <w:spacing w:after="0"/>
              <w:rPr>
                <w:sz w:val="20"/>
                <w:szCs w:val="20"/>
                <w:color w:val="auto"/>
              </w:rPr>
            </w:pPr>
            <w:r>
              <w:rPr>
                <w:rFonts w:ascii="Arial" w:cs="Arial" w:eastAsia="Arial" w:hAnsi="Arial"/>
                <w:sz w:val="18"/>
                <w:szCs w:val="18"/>
                <w:color w:val="auto"/>
              </w:rPr>
              <w:t>Equity:</w:t>
            </w:r>
          </w:p>
        </w:tc>
        <w:tc>
          <w:tcPr>
            <w:tcW w:w="1920" w:type="dxa"/>
            <w:vAlign w:val="bottom"/>
            <w:shd w:val="clear" w:color="auto" w:fill="E5E5E5"/>
          </w:tcPr>
          <w:p>
            <w:pPr>
              <w:spacing w:after="0"/>
              <w:rPr>
                <w:sz w:val="18"/>
                <w:szCs w:val="18"/>
                <w:color w:val="auto"/>
              </w:rPr>
            </w:pPr>
          </w:p>
        </w:tc>
        <w:tc>
          <w:tcPr>
            <w:tcW w:w="98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420"/>
              <w:spacing w:after="0"/>
              <w:rPr>
                <w:sz w:val="20"/>
                <w:szCs w:val="20"/>
                <w:color w:val="auto"/>
              </w:rPr>
            </w:pPr>
            <w:r>
              <w:rPr>
                <w:rFonts w:ascii="Arial" w:cs="Arial" w:eastAsia="Arial" w:hAnsi="Arial"/>
                <w:sz w:val="18"/>
                <w:szCs w:val="18"/>
                <w:color w:val="auto"/>
              </w:rPr>
              <w:t>Member’s capital</w:t>
            </w:r>
          </w:p>
        </w:tc>
        <w:tc>
          <w:tcPr>
            <w:tcW w:w="1920" w:type="dxa"/>
            <w:vAlign w:val="bottom"/>
          </w:tcPr>
          <w:p>
            <w:pPr>
              <w:spacing w:after="0"/>
              <w:rPr>
                <w:sz w:val="18"/>
                <w:szCs w:val="18"/>
                <w:color w:val="auto"/>
              </w:rPr>
            </w:pPr>
          </w:p>
        </w:tc>
        <w:tc>
          <w:tcPr>
            <w:tcW w:w="980" w:type="dxa"/>
            <w:vAlign w:val="bottom"/>
          </w:tcPr>
          <w:p>
            <w:pPr>
              <w:jc w:val="right"/>
              <w:ind w:right="273"/>
              <w:spacing w:after="0"/>
              <w:rPr>
                <w:sz w:val="20"/>
                <w:szCs w:val="20"/>
                <w:color w:val="auto"/>
              </w:rPr>
            </w:pPr>
            <w:r>
              <w:rPr>
                <w:rFonts w:ascii="Arial" w:cs="Arial" w:eastAsia="Arial" w:hAnsi="Arial"/>
                <w:sz w:val="18"/>
                <w:szCs w:val="18"/>
                <w:color w:val="auto"/>
              </w:rPr>
              <w:t>32,316</w:t>
            </w:r>
          </w:p>
        </w:tc>
        <w:tc>
          <w:tcPr>
            <w:tcW w:w="48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30,529</w:t>
            </w:r>
          </w:p>
        </w:tc>
      </w:tr>
      <w:tr>
        <w:trPr>
          <w:trHeight w:val="216"/>
        </w:trPr>
        <w:tc>
          <w:tcPr>
            <w:tcW w:w="20" w:type="dxa"/>
            <w:vAlign w:val="bottom"/>
          </w:tcPr>
          <w:p>
            <w:pPr>
              <w:spacing w:after="0"/>
              <w:rPr>
                <w:sz w:val="18"/>
                <w:szCs w:val="18"/>
                <w:color w:val="auto"/>
              </w:rPr>
            </w:pPr>
          </w:p>
        </w:tc>
        <w:tc>
          <w:tcPr>
            <w:tcW w:w="732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Accumulated other comprehensive income (loss)</w:t>
            </w:r>
          </w:p>
        </w:tc>
        <w:tc>
          <w:tcPr>
            <w:tcW w:w="1920" w:type="dxa"/>
            <w:vAlign w:val="bottom"/>
            <w:tcBorders>
              <w:bottom w:val="single" w:sz="8" w:color="auto"/>
            </w:tcBorders>
            <w:shd w:val="clear" w:color="auto" w:fill="E5E5E5"/>
          </w:tcPr>
          <w:p>
            <w:pPr>
              <w:spacing w:after="0"/>
              <w:rPr>
                <w:sz w:val="18"/>
                <w:szCs w:val="18"/>
                <w:color w:val="auto"/>
              </w:rPr>
            </w:pPr>
          </w:p>
        </w:tc>
        <w:tc>
          <w:tcPr>
            <w:tcW w:w="980" w:type="dxa"/>
            <w:vAlign w:val="bottom"/>
            <w:tcBorders>
              <w:bottom w:val="single" w:sz="8" w:color="auto"/>
            </w:tcBorders>
            <w:shd w:val="clear" w:color="auto" w:fill="E5E5E5"/>
          </w:tcPr>
          <w:p>
            <w:pPr>
              <w:jc w:val="right"/>
              <w:ind w:right="213"/>
              <w:spacing w:after="0"/>
              <w:rPr>
                <w:sz w:val="20"/>
                <w:szCs w:val="20"/>
                <w:color w:val="auto"/>
              </w:rPr>
            </w:pPr>
            <w:r>
              <w:rPr>
                <w:rFonts w:ascii="Arial" w:cs="Arial" w:eastAsia="Arial" w:hAnsi="Arial"/>
                <w:sz w:val="18"/>
                <w:szCs w:val="18"/>
                <w:color w:val="auto"/>
              </w:rPr>
              <w:t>(211)</w:t>
            </w:r>
          </w:p>
        </w:tc>
        <w:tc>
          <w:tcPr>
            <w:tcW w:w="48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(159)</w:t>
            </w:r>
          </w:p>
        </w:tc>
      </w:tr>
      <w:tr>
        <w:trPr>
          <w:trHeight w:val="210"/>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Total NBCUniversal member’s equity</w:t>
            </w:r>
          </w:p>
        </w:tc>
        <w:tc>
          <w:tcPr>
            <w:tcW w:w="1920" w:type="dxa"/>
            <w:vAlign w:val="bottom"/>
          </w:tcPr>
          <w:p>
            <w:pPr>
              <w:spacing w:after="0"/>
              <w:rPr>
                <w:sz w:val="18"/>
                <w:szCs w:val="18"/>
                <w:color w:val="auto"/>
              </w:rPr>
            </w:pPr>
          </w:p>
        </w:tc>
        <w:tc>
          <w:tcPr>
            <w:tcW w:w="980" w:type="dxa"/>
            <w:vAlign w:val="bottom"/>
          </w:tcPr>
          <w:p>
            <w:pPr>
              <w:jc w:val="right"/>
              <w:ind w:right="273"/>
              <w:spacing w:after="0"/>
              <w:rPr>
                <w:sz w:val="20"/>
                <w:szCs w:val="20"/>
                <w:color w:val="auto"/>
              </w:rPr>
            </w:pPr>
            <w:r>
              <w:rPr>
                <w:rFonts w:ascii="Arial" w:cs="Arial" w:eastAsia="Arial" w:hAnsi="Arial"/>
                <w:sz w:val="18"/>
                <w:szCs w:val="18"/>
                <w:color w:val="auto"/>
              </w:rPr>
              <w:t>32,105</w:t>
            </w:r>
          </w:p>
        </w:tc>
        <w:tc>
          <w:tcPr>
            <w:tcW w:w="48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30,370</w:t>
            </w:r>
          </w:p>
        </w:tc>
      </w:tr>
      <w:tr>
        <w:trPr>
          <w:trHeight w:val="216"/>
        </w:trPr>
        <w:tc>
          <w:tcPr>
            <w:tcW w:w="20" w:type="dxa"/>
            <w:vAlign w:val="bottom"/>
          </w:tcPr>
          <w:p>
            <w:pPr>
              <w:spacing w:after="0"/>
              <w:rPr>
                <w:sz w:val="18"/>
                <w:szCs w:val="18"/>
                <w:color w:val="auto"/>
              </w:rPr>
            </w:pPr>
          </w:p>
        </w:tc>
        <w:tc>
          <w:tcPr>
            <w:tcW w:w="73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Noncontrolling interests</w:t>
            </w:r>
          </w:p>
        </w:tc>
        <w:tc>
          <w:tcPr>
            <w:tcW w:w="1920" w:type="dxa"/>
            <w:vAlign w:val="bottom"/>
            <w:tcBorders>
              <w:bottom w:val="single" w:sz="8" w:color="auto"/>
            </w:tcBorders>
            <w:shd w:val="clear" w:color="auto" w:fill="E5E5E5"/>
          </w:tcPr>
          <w:p>
            <w:pPr>
              <w:spacing w:after="0"/>
              <w:rPr>
                <w:sz w:val="18"/>
                <w:szCs w:val="18"/>
                <w:color w:val="auto"/>
              </w:rPr>
            </w:pPr>
          </w:p>
        </w:tc>
        <w:tc>
          <w:tcPr>
            <w:tcW w:w="980" w:type="dxa"/>
            <w:vAlign w:val="bottom"/>
            <w:tcBorders>
              <w:bottom w:val="single" w:sz="8" w:color="auto"/>
            </w:tcBorders>
            <w:shd w:val="clear" w:color="auto" w:fill="E5E5E5"/>
          </w:tcPr>
          <w:p>
            <w:pPr>
              <w:jc w:val="right"/>
              <w:ind w:right="273"/>
              <w:spacing w:after="0"/>
              <w:rPr>
                <w:sz w:val="20"/>
                <w:szCs w:val="20"/>
                <w:color w:val="auto"/>
              </w:rPr>
            </w:pPr>
            <w:r>
              <w:rPr>
                <w:rFonts w:ascii="Arial" w:cs="Arial" w:eastAsia="Arial" w:hAnsi="Arial"/>
                <w:sz w:val="18"/>
                <w:szCs w:val="18"/>
                <w:color w:val="auto"/>
              </w:rPr>
              <w:t>221</w:t>
            </w:r>
          </w:p>
        </w:tc>
        <w:tc>
          <w:tcPr>
            <w:tcW w:w="48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267</w:t>
            </w:r>
          </w:p>
        </w:tc>
      </w:tr>
      <w:tr>
        <w:trPr>
          <w:trHeight w:val="210"/>
        </w:trPr>
        <w:tc>
          <w:tcPr>
            <w:tcW w:w="20" w:type="dxa"/>
            <w:vAlign w:val="bottom"/>
          </w:tcPr>
          <w:p>
            <w:pPr>
              <w:spacing w:after="0"/>
              <w:rPr>
                <w:sz w:val="18"/>
                <w:szCs w:val="18"/>
                <w:color w:val="auto"/>
              </w:rPr>
            </w:pPr>
          </w:p>
        </w:tc>
        <w:tc>
          <w:tcPr>
            <w:tcW w:w="7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equity</w:t>
            </w:r>
          </w:p>
        </w:tc>
        <w:tc>
          <w:tcPr>
            <w:tcW w:w="19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73"/>
              <w:spacing w:after="0"/>
              <w:rPr>
                <w:sz w:val="20"/>
                <w:szCs w:val="20"/>
                <w:color w:val="auto"/>
              </w:rPr>
            </w:pPr>
            <w:r>
              <w:rPr>
                <w:rFonts w:ascii="Arial" w:cs="Arial" w:eastAsia="Arial" w:hAnsi="Arial"/>
                <w:sz w:val="18"/>
                <w:szCs w:val="18"/>
                <w:color w:val="auto"/>
              </w:rPr>
              <w:t>32,326</w:t>
            </w:r>
          </w:p>
        </w:tc>
        <w:tc>
          <w:tcPr>
            <w:tcW w:w="4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30,637</w:t>
            </w:r>
          </w:p>
        </w:tc>
      </w:tr>
      <w:tr>
        <w:trPr>
          <w:trHeight w:val="217"/>
        </w:trPr>
        <w:tc>
          <w:tcPr>
            <w:tcW w:w="20" w:type="dxa"/>
            <w:vAlign w:val="bottom"/>
          </w:tcPr>
          <w:p>
            <w:pPr>
              <w:spacing w:after="0"/>
              <w:rPr>
                <w:sz w:val="18"/>
                <w:szCs w:val="18"/>
                <w:color w:val="auto"/>
              </w:rPr>
            </w:pPr>
          </w:p>
        </w:tc>
        <w:tc>
          <w:tcPr>
            <w:tcW w:w="73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 liabilities and equity</w:t>
            </w:r>
          </w:p>
        </w:tc>
        <w:tc>
          <w:tcPr>
            <w:tcW w:w="1920" w:type="dxa"/>
            <w:vAlign w:val="bottom"/>
            <w:tcBorders>
              <w:bottom w:val="single" w:sz="8" w:color="auto"/>
            </w:tcBorders>
            <w:shd w:val="clear" w:color="auto" w:fill="E5E5E5"/>
          </w:tcPr>
          <w:p>
            <w:pPr>
              <w:ind w:left="176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shd w:val="clear" w:color="auto" w:fill="E5E5E5"/>
          </w:tcPr>
          <w:p>
            <w:pPr>
              <w:jc w:val="right"/>
              <w:ind w:right="273"/>
              <w:spacing w:after="0"/>
              <w:rPr>
                <w:sz w:val="20"/>
                <w:szCs w:val="20"/>
                <w:color w:val="auto"/>
              </w:rPr>
            </w:pPr>
            <w:r>
              <w:rPr>
                <w:rFonts w:ascii="Arial" w:cs="Arial" w:eastAsia="Arial" w:hAnsi="Arial"/>
                <w:sz w:val="18"/>
                <w:szCs w:val="18"/>
                <w:b w:val="1"/>
                <w:bCs w:val="1"/>
                <w:color w:val="auto"/>
              </w:rPr>
              <w:t>53,332</w:t>
            </w:r>
          </w:p>
        </w:tc>
        <w:tc>
          <w:tcPr>
            <w:tcW w:w="480" w:type="dxa"/>
            <w:vAlign w:val="bottom"/>
            <w:tcBorders>
              <w:bottom w:val="single" w:sz="8" w:color="auto"/>
            </w:tcBorders>
            <w:shd w:val="clear" w:color="auto" w:fill="E5E5E5"/>
          </w:tcPr>
          <w:p>
            <w:pPr>
              <w:ind w:left="30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rPr>
              <w:t>52,617</w:t>
            </w: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Income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gridSpan w:val="3"/>
          </w:tcPr>
          <w:p>
            <w:pPr>
              <w:jc w:val="right"/>
              <w:ind w:right="453"/>
              <w:spacing w:after="0"/>
              <w:rPr>
                <w:sz w:val="20"/>
                <w:szCs w:val="20"/>
                <w:color w:val="auto"/>
              </w:rPr>
            </w:pPr>
            <w:r>
              <w:rPr>
                <w:rFonts w:ascii="Arial" w:cs="Arial" w:eastAsia="Arial" w:hAnsi="Arial"/>
                <w:sz w:val="14"/>
                <w:szCs w:val="14"/>
                <w:color w:val="auto"/>
              </w:rPr>
              <w:t>Three Months Ended</w:t>
            </w:r>
          </w:p>
        </w:tc>
        <w:tc>
          <w:tcPr>
            <w:tcW w:w="280" w:type="dxa"/>
            <w:vAlign w:val="bottom"/>
          </w:tcPr>
          <w:p>
            <w:pPr>
              <w:spacing w:after="0"/>
              <w:rPr>
                <w:sz w:val="14"/>
                <w:szCs w:val="14"/>
                <w:color w:val="auto"/>
              </w:rPr>
            </w:pPr>
          </w:p>
        </w:tc>
        <w:tc>
          <w:tcPr>
            <w:tcW w:w="1720" w:type="dxa"/>
            <w:vAlign w:val="bottom"/>
            <w:gridSpan w:val="3"/>
          </w:tcPr>
          <w:p>
            <w:pPr>
              <w:jc w:val="right"/>
              <w:ind w:right="373"/>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59"/>
        </w:trPr>
        <w:tc>
          <w:tcPr>
            <w:tcW w:w="740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1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September 30</w:t>
            </w:r>
          </w:p>
        </w:tc>
        <w:tc>
          <w:tcPr>
            <w:tcW w:w="6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3"/>
          </w:tcPr>
          <w:p>
            <w:pPr>
              <w:jc w:val="right"/>
              <w:ind w:right="553"/>
              <w:spacing w:after="0" w:line="159" w:lineRule="exact"/>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42"/>
        </w:trPr>
        <w:tc>
          <w:tcPr>
            <w:tcW w:w="74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ind w:right="415"/>
              <w:spacing w:after="0" w:line="142" w:lineRule="exact"/>
              <w:rPr>
                <w:sz w:val="20"/>
                <w:szCs w:val="20"/>
                <w:color w:val="auto"/>
              </w:rPr>
            </w:pPr>
            <w:r>
              <w:rPr>
                <w:rFonts w:ascii="Arial" w:cs="Arial" w:eastAsia="Arial" w:hAnsi="Arial"/>
                <w:sz w:val="14"/>
                <w:szCs w:val="14"/>
                <w:color w:val="auto"/>
                <w:w w:val="89"/>
              </w:rPr>
              <w:t>2015</w:t>
            </w:r>
          </w:p>
        </w:tc>
        <w:tc>
          <w:tcPr>
            <w:tcW w:w="400" w:type="dxa"/>
            <w:vAlign w:val="bottom"/>
          </w:tcPr>
          <w:p>
            <w:pPr>
              <w:spacing w:after="0"/>
              <w:rPr>
                <w:sz w:val="12"/>
                <w:szCs w:val="12"/>
                <w:color w:val="auto"/>
              </w:rPr>
            </w:pPr>
          </w:p>
        </w:tc>
        <w:tc>
          <w:tcPr>
            <w:tcW w:w="680" w:type="dxa"/>
            <w:vAlign w:val="bottom"/>
          </w:tcPr>
          <w:p>
            <w:pPr>
              <w:jc w:val="right"/>
              <w:ind w:right="293"/>
              <w:spacing w:after="0" w:line="142" w:lineRule="exact"/>
              <w:rPr>
                <w:sz w:val="20"/>
                <w:szCs w:val="20"/>
                <w:color w:val="auto"/>
              </w:rPr>
            </w:pPr>
            <w:r>
              <w:rPr>
                <w:rFonts w:ascii="Arial" w:cs="Arial" w:eastAsia="Arial" w:hAnsi="Arial"/>
                <w:sz w:val="14"/>
                <w:szCs w:val="14"/>
                <w:color w:val="auto"/>
                <w:w w:val="89"/>
              </w:rPr>
              <w:t>2014</w:t>
            </w:r>
          </w:p>
        </w:tc>
        <w:tc>
          <w:tcPr>
            <w:tcW w:w="280" w:type="dxa"/>
            <w:vAlign w:val="bottom"/>
          </w:tcPr>
          <w:p>
            <w:pPr>
              <w:spacing w:after="0"/>
              <w:rPr>
                <w:sz w:val="12"/>
                <w:szCs w:val="12"/>
                <w:color w:val="auto"/>
              </w:rPr>
            </w:pPr>
          </w:p>
        </w:tc>
        <w:tc>
          <w:tcPr>
            <w:tcW w:w="740" w:type="dxa"/>
            <w:vAlign w:val="bottom"/>
          </w:tcPr>
          <w:p>
            <w:pPr>
              <w:jc w:val="right"/>
              <w:ind w:right="315"/>
              <w:spacing w:after="0" w:line="142" w:lineRule="exact"/>
              <w:rPr>
                <w:sz w:val="20"/>
                <w:szCs w:val="20"/>
                <w:color w:val="auto"/>
              </w:rPr>
            </w:pPr>
            <w:r>
              <w:rPr>
                <w:rFonts w:ascii="Arial" w:cs="Arial" w:eastAsia="Arial" w:hAnsi="Arial"/>
                <w:sz w:val="14"/>
                <w:szCs w:val="14"/>
                <w:color w:val="auto"/>
              </w:rPr>
              <w:t>2015</w:t>
            </w:r>
          </w:p>
        </w:tc>
        <w:tc>
          <w:tcPr>
            <w:tcW w:w="280" w:type="dxa"/>
            <w:vAlign w:val="bottom"/>
          </w:tcPr>
          <w:p>
            <w:pPr>
              <w:spacing w:after="0"/>
              <w:rPr>
                <w:sz w:val="12"/>
                <w:szCs w:val="12"/>
                <w:color w:val="auto"/>
              </w:rPr>
            </w:pPr>
          </w:p>
        </w:tc>
        <w:tc>
          <w:tcPr>
            <w:tcW w:w="700" w:type="dxa"/>
            <w:vAlign w:val="bottom"/>
          </w:tcPr>
          <w:p>
            <w:pPr>
              <w:jc w:val="right"/>
              <w:ind w:right="293"/>
              <w:spacing w:after="0" w:line="142" w:lineRule="exact"/>
              <w:rPr>
                <w:sz w:val="20"/>
                <w:szCs w:val="20"/>
                <w:color w:val="auto"/>
              </w:rPr>
            </w:pPr>
            <w:r>
              <w:rPr>
                <w:rFonts w:ascii="Arial" w:cs="Arial" w:eastAsia="Arial" w:hAnsi="Arial"/>
                <w:sz w:val="14"/>
                <w:szCs w:val="14"/>
                <w:color w:val="auto"/>
                <w:w w:val="96"/>
              </w:rPr>
              <w:t>2014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1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E5E5E5"/>
          </w:tcPr>
          <w:p>
            <w:pPr>
              <w:jc w:val="right"/>
              <w:ind w:right="275"/>
              <w:spacing w:after="0"/>
              <w:rPr>
                <w:sz w:val="20"/>
                <w:szCs w:val="20"/>
                <w:color w:val="auto"/>
              </w:rPr>
            </w:pPr>
            <w:r>
              <w:rPr>
                <w:rFonts w:ascii="Arial" w:cs="Arial" w:eastAsia="Arial" w:hAnsi="Arial"/>
                <w:sz w:val="18"/>
                <w:szCs w:val="18"/>
                <w:color w:val="auto"/>
                <w:w w:val="93"/>
              </w:rPr>
              <w:t>7,151</w:t>
            </w:r>
          </w:p>
        </w:tc>
        <w:tc>
          <w:tcPr>
            <w:tcW w:w="4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color w:val="auto"/>
                <w:w w:val="93"/>
              </w:rPr>
              <w:t>5,921</w:t>
            </w:r>
          </w:p>
        </w:tc>
        <w:tc>
          <w:tcPr>
            <w:tcW w:w="2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E5E5E5"/>
          </w:tcPr>
          <w:p>
            <w:pPr>
              <w:jc w:val="right"/>
              <w:ind w:right="155"/>
              <w:spacing w:after="0"/>
              <w:rPr>
                <w:sz w:val="20"/>
                <w:szCs w:val="20"/>
                <w:color w:val="auto"/>
              </w:rPr>
            </w:pPr>
            <w:r>
              <w:rPr>
                <w:rFonts w:ascii="Arial" w:cs="Arial" w:eastAsia="Arial" w:hAnsi="Arial"/>
                <w:sz w:val="18"/>
                <w:szCs w:val="18"/>
                <w:color w:val="auto"/>
                <w:w w:val="87"/>
              </w:rPr>
              <w:t>20,985</w:t>
            </w:r>
          </w:p>
        </w:tc>
        <w:tc>
          <w:tcPr>
            <w:tcW w:w="2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color w:val="auto"/>
                <w:w w:val="83"/>
              </w:rPr>
              <w:t>18,813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Costs and Expenses:</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Programming and production</w:t>
            </w:r>
          </w:p>
        </w:tc>
        <w:tc>
          <w:tcPr>
            <w:tcW w:w="14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275"/>
              <w:spacing w:after="0"/>
              <w:rPr>
                <w:sz w:val="20"/>
                <w:szCs w:val="20"/>
                <w:color w:val="auto"/>
              </w:rPr>
            </w:pPr>
            <w:r>
              <w:rPr>
                <w:rFonts w:ascii="Arial" w:cs="Arial" w:eastAsia="Arial" w:hAnsi="Arial"/>
                <w:sz w:val="18"/>
                <w:szCs w:val="18"/>
                <w:color w:val="auto"/>
                <w:w w:val="93"/>
              </w:rPr>
              <w:t>3,312</w:t>
            </w:r>
          </w:p>
        </w:tc>
        <w:tc>
          <w:tcPr>
            <w:tcW w:w="4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w w:val="93"/>
              </w:rPr>
              <w:t>2,633</w:t>
            </w:r>
          </w:p>
        </w:tc>
        <w:tc>
          <w:tcPr>
            <w:tcW w:w="2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55"/>
              <w:spacing w:after="0"/>
              <w:rPr>
                <w:sz w:val="20"/>
                <w:szCs w:val="20"/>
                <w:color w:val="auto"/>
              </w:rPr>
            </w:pPr>
            <w:r>
              <w:rPr>
                <w:rFonts w:ascii="Arial" w:cs="Arial" w:eastAsia="Arial" w:hAnsi="Arial"/>
                <w:sz w:val="18"/>
                <w:szCs w:val="18"/>
                <w:color w:val="auto"/>
              </w:rPr>
              <w:t>9,822</w:t>
            </w:r>
          </w:p>
        </w:tc>
        <w:tc>
          <w:tcPr>
            <w:tcW w:w="2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9,117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Other operating and administrative</w:t>
            </w:r>
          </w:p>
        </w:tc>
        <w:tc>
          <w:tcPr>
            <w:tcW w:w="140" w:type="dxa"/>
            <w:vAlign w:val="bottom"/>
          </w:tcPr>
          <w:p>
            <w:pPr>
              <w:spacing w:after="0"/>
              <w:rPr>
                <w:sz w:val="18"/>
                <w:szCs w:val="18"/>
                <w:color w:val="auto"/>
              </w:rPr>
            </w:pPr>
          </w:p>
        </w:tc>
        <w:tc>
          <w:tcPr>
            <w:tcW w:w="800" w:type="dxa"/>
            <w:vAlign w:val="bottom"/>
          </w:tcPr>
          <w:p>
            <w:pPr>
              <w:jc w:val="right"/>
              <w:ind w:right="275"/>
              <w:spacing w:after="0"/>
              <w:rPr>
                <w:sz w:val="20"/>
                <w:szCs w:val="20"/>
                <w:color w:val="auto"/>
              </w:rPr>
            </w:pPr>
            <w:r>
              <w:rPr>
                <w:rFonts w:ascii="Arial" w:cs="Arial" w:eastAsia="Arial" w:hAnsi="Arial"/>
                <w:sz w:val="18"/>
                <w:szCs w:val="18"/>
                <w:color w:val="auto"/>
                <w:w w:val="93"/>
              </w:rPr>
              <w:t>1,534</w:t>
            </w:r>
          </w:p>
        </w:tc>
        <w:tc>
          <w:tcPr>
            <w:tcW w:w="400" w:type="dxa"/>
            <w:vAlign w:val="bottom"/>
          </w:tcPr>
          <w:p>
            <w:pPr>
              <w:spacing w:after="0"/>
              <w:rPr>
                <w:sz w:val="18"/>
                <w:szCs w:val="18"/>
                <w:color w:val="auto"/>
              </w:rPr>
            </w:pPr>
          </w:p>
        </w:tc>
        <w:tc>
          <w:tcPr>
            <w:tcW w:w="680" w:type="dxa"/>
            <w:vAlign w:val="bottom"/>
          </w:tcPr>
          <w:p>
            <w:pPr>
              <w:jc w:val="right"/>
              <w:ind w:right="153"/>
              <w:spacing w:after="0"/>
              <w:rPr>
                <w:sz w:val="20"/>
                <w:szCs w:val="20"/>
                <w:color w:val="auto"/>
              </w:rPr>
            </w:pPr>
            <w:r>
              <w:rPr>
                <w:rFonts w:ascii="Arial" w:cs="Arial" w:eastAsia="Arial" w:hAnsi="Arial"/>
                <w:sz w:val="18"/>
                <w:szCs w:val="18"/>
                <w:color w:val="auto"/>
                <w:w w:val="93"/>
              </w:rPr>
              <w:t>1,363</w:t>
            </w:r>
          </w:p>
        </w:tc>
        <w:tc>
          <w:tcPr>
            <w:tcW w:w="280" w:type="dxa"/>
            <w:vAlign w:val="bottom"/>
          </w:tcPr>
          <w:p>
            <w:pPr>
              <w:spacing w:after="0"/>
              <w:rPr>
                <w:sz w:val="18"/>
                <w:szCs w:val="18"/>
                <w:color w:val="auto"/>
              </w:rPr>
            </w:pPr>
          </w:p>
        </w:tc>
        <w:tc>
          <w:tcPr>
            <w:tcW w:w="740" w:type="dxa"/>
            <w:vAlign w:val="bottom"/>
          </w:tcPr>
          <w:p>
            <w:pPr>
              <w:jc w:val="right"/>
              <w:ind w:right="155"/>
              <w:spacing w:after="0"/>
              <w:rPr>
                <w:sz w:val="20"/>
                <w:szCs w:val="20"/>
                <w:color w:val="auto"/>
              </w:rPr>
            </w:pPr>
            <w:r>
              <w:rPr>
                <w:rFonts w:ascii="Arial" w:cs="Arial" w:eastAsia="Arial" w:hAnsi="Arial"/>
                <w:sz w:val="18"/>
                <w:szCs w:val="18"/>
                <w:color w:val="auto"/>
              </w:rPr>
              <w:t>4,306</w:t>
            </w:r>
          </w:p>
        </w:tc>
        <w:tc>
          <w:tcPr>
            <w:tcW w:w="280" w:type="dxa"/>
            <w:vAlign w:val="bottom"/>
          </w:tcPr>
          <w:p>
            <w:pPr>
              <w:spacing w:after="0"/>
              <w:rPr>
                <w:sz w:val="18"/>
                <w:szCs w:val="18"/>
                <w:color w:val="auto"/>
              </w:rPr>
            </w:pPr>
          </w:p>
        </w:tc>
        <w:tc>
          <w:tcPr>
            <w:tcW w:w="700" w:type="dxa"/>
            <w:vAlign w:val="bottom"/>
          </w:tcPr>
          <w:p>
            <w:pPr>
              <w:jc w:val="right"/>
              <w:ind w:right="133"/>
              <w:spacing w:after="0"/>
              <w:rPr>
                <w:sz w:val="20"/>
                <w:szCs w:val="20"/>
                <w:color w:val="auto"/>
              </w:rPr>
            </w:pPr>
            <w:r>
              <w:rPr>
                <w:rFonts w:ascii="Arial" w:cs="Arial" w:eastAsia="Arial" w:hAnsi="Arial"/>
                <w:sz w:val="18"/>
                <w:szCs w:val="18"/>
                <w:color w:val="auto"/>
              </w:rPr>
              <w:t>3,977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Advertising, marketing and promotion</w:t>
            </w:r>
          </w:p>
        </w:tc>
        <w:tc>
          <w:tcPr>
            <w:tcW w:w="14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275"/>
              <w:spacing w:after="0"/>
              <w:rPr>
                <w:sz w:val="20"/>
                <w:szCs w:val="20"/>
                <w:color w:val="auto"/>
              </w:rPr>
            </w:pPr>
            <w:r>
              <w:rPr>
                <w:rFonts w:ascii="Arial" w:cs="Arial" w:eastAsia="Arial" w:hAnsi="Arial"/>
                <w:sz w:val="18"/>
                <w:szCs w:val="18"/>
                <w:color w:val="auto"/>
              </w:rPr>
              <w:t>704</w:t>
            </w:r>
          </w:p>
        </w:tc>
        <w:tc>
          <w:tcPr>
            <w:tcW w:w="4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509</w:t>
            </w:r>
          </w:p>
        </w:tc>
        <w:tc>
          <w:tcPr>
            <w:tcW w:w="2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55"/>
              <w:spacing w:after="0"/>
              <w:rPr>
                <w:sz w:val="20"/>
                <w:szCs w:val="20"/>
                <w:color w:val="auto"/>
              </w:rPr>
            </w:pPr>
            <w:r>
              <w:rPr>
                <w:rFonts w:ascii="Arial" w:cs="Arial" w:eastAsia="Arial" w:hAnsi="Arial"/>
                <w:sz w:val="18"/>
                <w:szCs w:val="18"/>
                <w:color w:val="auto"/>
              </w:rPr>
              <w:t>2,050</w:t>
            </w:r>
          </w:p>
        </w:tc>
        <w:tc>
          <w:tcPr>
            <w:tcW w:w="2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1,558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Depreciation</w:t>
            </w:r>
          </w:p>
        </w:tc>
        <w:tc>
          <w:tcPr>
            <w:tcW w:w="140" w:type="dxa"/>
            <w:vAlign w:val="bottom"/>
          </w:tcPr>
          <w:p>
            <w:pPr>
              <w:spacing w:after="0"/>
              <w:rPr>
                <w:sz w:val="18"/>
                <w:szCs w:val="18"/>
                <w:color w:val="auto"/>
              </w:rPr>
            </w:pPr>
          </w:p>
        </w:tc>
        <w:tc>
          <w:tcPr>
            <w:tcW w:w="800" w:type="dxa"/>
            <w:vAlign w:val="bottom"/>
          </w:tcPr>
          <w:p>
            <w:pPr>
              <w:jc w:val="right"/>
              <w:ind w:right="275"/>
              <w:spacing w:after="0"/>
              <w:rPr>
                <w:sz w:val="20"/>
                <w:szCs w:val="20"/>
                <w:color w:val="auto"/>
              </w:rPr>
            </w:pPr>
            <w:r>
              <w:rPr>
                <w:rFonts w:ascii="Arial" w:cs="Arial" w:eastAsia="Arial" w:hAnsi="Arial"/>
                <w:sz w:val="18"/>
                <w:szCs w:val="18"/>
                <w:color w:val="auto"/>
              </w:rPr>
              <w:t>163</w:t>
            </w:r>
          </w:p>
        </w:tc>
        <w:tc>
          <w:tcPr>
            <w:tcW w:w="400" w:type="dxa"/>
            <w:vAlign w:val="bottom"/>
          </w:tcPr>
          <w:p>
            <w:pPr>
              <w:spacing w:after="0"/>
              <w:rPr>
                <w:sz w:val="18"/>
                <w:szCs w:val="18"/>
                <w:color w:val="auto"/>
              </w:rPr>
            </w:pPr>
          </w:p>
        </w:tc>
        <w:tc>
          <w:tcPr>
            <w:tcW w:w="680" w:type="dxa"/>
            <w:vAlign w:val="bottom"/>
          </w:tcPr>
          <w:p>
            <w:pPr>
              <w:jc w:val="right"/>
              <w:ind w:right="153"/>
              <w:spacing w:after="0"/>
              <w:rPr>
                <w:sz w:val="20"/>
                <w:szCs w:val="20"/>
                <w:color w:val="auto"/>
              </w:rPr>
            </w:pPr>
            <w:r>
              <w:rPr>
                <w:rFonts w:ascii="Arial" w:cs="Arial" w:eastAsia="Arial" w:hAnsi="Arial"/>
                <w:sz w:val="18"/>
                <w:szCs w:val="18"/>
                <w:color w:val="auto"/>
              </w:rPr>
              <w:t>160</w:t>
            </w:r>
          </w:p>
        </w:tc>
        <w:tc>
          <w:tcPr>
            <w:tcW w:w="280" w:type="dxa"/>
            <w:vAlign w:val="bottom"/>
          </w:tcPr>
          <w:p>
            <w:pPr>
              <w:spacing w:after="0"/>
              <w:rPr>
                <w:sz w:val="18"/>
                <w:szCs w:val="18"/>
                <w:color w:val="auto"/>
              </w:rPr>
            </w:pPr>
          </w:p>
        </w:tc>
        <w:tc>
          <w:tcPr>
            <w:tcW w:w="740" w:type="dxa"/>
            <w:vAlign w:val="bottom"/>
          </w:tcPr>
          <w:p>
            <w:pPr>
              <w:jc w:val="right"/>
              <w:ind w:right="155"/>
              <w:spacing w:after="0"/>
              <w:rPr>
                <w:sz w:val="20"/>
                <w:szCs w:val="20"/>
                <w:color w:val="auto"/>
              </w:rPr>
            </w:pPr>
            <w:r>
              <w:rPr>
                <w:rFonts w:ascii="Arial" w:cs="Arial" w:eastAsia="Arial" w:hAnsi="Arial"/>
                <w:sz w:val="18"/>
                <w:szCs w:val="18"/>
                <w:color w:val="auto"/>
              </w:rPr>
              <w:t>493</w:t>
            </w:r>
          </w:p>
        </w:tc>
        <w:tc>
          <w:tcPr>
            <w:tcW w:w="280" w:type="dxa"/>
            <w:vAlign w:val="bottom"/>
          </w:tcPr>
          <w:p>
            <w:pPr>
              <w:spacing w:after="0"/>
              <w:rPr>
                <w:sz w:val="18"/>
                <w:szCs w:val="18"/>
                <w:color w:val="auto"/>
              </w:rPr>
            </w:pPr>
          </w:p>
        </w:tc>
        <w:tc>
          <w:tcPr>
            <w:tcW w:w="700" w:type="dxa"/>
            <w:vAlign w:val="bottom"/>
          </w:tcPr>
          <w:p>
            <w:pPr>
              <w:jc w:val="right"/>
              <w:ind w:right="133"/>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Amortization</w:t>
            </w:r>
          </w:p>
        </w:tc>
        <w:tc>
          <w:tcPr>
            <w:tcW w:w="14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275"/>
              <w:spacing w:after="0"/>
              <w:rPr>
                <w:sz w:val="20"/>
                <w:szCs w:val="20"/>
                <w:color w:val="auto"/>
              </w:rPr>
            </w:pPr>
            <w:r>
              <w:rPr>
                <w:rFonts w:ascii="Arial" w:cs="Arial" w:eastAsia="Arial" w:hAnsi="Arial"/>
                <w:sz w:val="18"/>
                <w:szCs w:val="18"/>
                <w:color w:val="auto"/>
              </w:rPr>
              <w:t>217</w:t>
            </w:r>
          </w:p>
        </w:tc>
        <w:tc>
          <w:tcPr>
            <w:tcW w:w="40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color w:val="auto"/>
              </w:rPr>
              <w:t>211</w:t>
            </w:r>
          </w:p>
        </w:tc>
        <w:tc>
          <w:tcPr>
            <w:tcW w:w="28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55"/>
              <w:spacing w:after="0"/>
              <w:rPr>
                <w:sz w:val="20"/>
                <w:szCs w:val="20"/>
                <w:color w:val="auto"/>
              </w:rPr>
            </w:pPr>
            <w:r>
              <w:rPr>
                <w:rFonts w:ascii="Arial" w:cs="Arial" w:eastAsia="Arial" w:hAnsi="Arial"/>
                <w:sz w:val="18"/>
                <w:szCs w:val="18"/>
                <w:color w:val="auto"/>
              </w:rPr>
              <w:t>656</w:t>
            </w:r>
          </w:p>
        </w:tc>
        <w:tc>
          <w:tcPr>
            <w:tcW w:w="28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75"/>
              <w:spacing w:after="0"/>
              <w:rPr>
                <w:sz w:val="20"/>
                <w:szCs w:val="20"/>
                <w:color w:val="auto"/>
              </w:rPr>
            </w:pPr>
            <w:r>
              <w:rPr>
                <w:rFonts w:ascii="Arial" w:cs="Arial" w:eastAsia="Arial" w:hAnsi="Arial"/>
                <w:sz w:val="18"/>
                <w:szCs w:val="18"/>
                <w:color w:val="auto"/>
                <w:w w:val="93"/>
              </w:rPr>
              <w:t>5,930</w:t>
            </w:r>
          </w:p>
        </w:tc>
        <w:tc>
          <w:tcPr>
            <w:tcW w:w="4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w w:val="93"/>
              </w:rPr>
              <w:t>4,876</w:t>
            </w: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w w:val="87"/>
              </w:rPr>
              <w:t>17,327</w:t>
            </w: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w w:val="83"/>
              </w:rPr>
              <w:t>15,758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Operating income</w:t>
            </w:r>
          </w:p>
        </w:tc>
        <w:tc>
          <w:tcPr>
            <w:tcW w:w="14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275"/>
              <w:spacing w:after="0"/>
              <w:rPr>
                <w:sz w:val="20"/>
                <w:szCs w:val="20"/>
                <w:color w:val="auto"/>
              </w:rPr>
            </w:pPr>
            <w:r>
              <w:rPr>
                <w:rFonts w:ascii="Arial" w:cs="Arial" w:eastAsia="Arial" w:hAnsi="Arial"/>
                <w:sz w:val="18"/>
                <w:szCs w:val="18"/>
                <w:color w:val="auto"/>
                <w:w w:val="93"/>
              </w:rPr>
              <w:t>1,221</w:t>
            </w:r>
          </w:p>
        </w:tc>
        <w:tc>
          <w:tcPr>
            <w:tcW w:w="4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w w:val="93"/>
              </w:rPr>
              <w:t>1,045</w:t>
            </w:r>
          </w:p>
        </w:tc>
        <w:tc>
          <w:tcPr>
            <w:tcW w:w="2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55"/>
              <w:spacing w:after="0"/>
              <w:rPr>
                <w:sz w:val="20"/>
                <w:szCs w:val="20"/>
                <w:color w:val="auto"/>
              </w:rPr>
            </w:pPr>
            <w:r>
              <w:rPr>
                <w:rFonts w:ascii="Arial" w:cs="Arial" w:eastAsia="Arial" w:hAnsi="Arial"/>
                <w:sz w:val="18"/>
                <w:szCs w:val="18"/>
                <w:color w:val="auto"/>
              </w:rPr>
              <w:t>3,658</w:t>
            </w:r>
          </w:p>
        </w:tc>
        <w:tc>
          <w:tcPr>
            <w:tcW w:w="2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3,055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Other Income (Expense):</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215"/>
              <w:spacing w:after="0"/>
              <w:rPr>
                <w:sz w:val="20"/>
                <w:szCs w:val="20"/>
                <w:color w:val="auto"/>
              </w:rPr>
            </w:pPr>
            <w:r>
              <w:rPr>
                <w:rFonts w:ascii="Arial" w:cs="Arial" w:eastAsia="Arial" w:hAnsi="Arial"/>
                <w:sz w:val="18"/>
                <w:szCs w:val="18"/>
                <w:color w:val="auto"/>
              </w:rPr>
              <w:t>(116)</w:t>
            </w:r>
          </w:p>
        </w:tc>
        <w:tc>
          <w:tcPr>
            <w:tcW w:w="4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(125)</w:t>
            </w:r>
          </w:p>
        </w:tc>
        <w:tc>
          <w:tcPr>
            <w:tcW w:w="2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15"/>
              <w:spacing w:after="0"/>
              <w:rPr>
                <w:sz w:val="20"/>
                <w:szCs w:val="20"/>
                <w:color w:val="auto"/>
              </w:rPr>
            </w:pPr>
            <w:r>
              <w:rPr>
                <w:rFonts w:ascii="Arial" w:cs="Arial" w:eastAsia="Arial" w:hAnsi="Arial"/>
                <w:sz w:val="18"/>
                <w:szCs w:val="18"/>
                <w:color w:val="auto"/>
              </w:rPr>
              <w:t>(361)</w:t>
            </w:r>
          </w:p>
        </w:tc>
        <w:tc>
          <w:tcPr>
            <w:tcW w:w="2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Investment income (loss), net</w:t>
            </w:r>
          </w:p>
        </w:tc>
        <w:tc>
          <w:tcPr>
            <w:tcW w:w="140" w:type="dxa"/>
            <w:vAlign w:val="bottom"/>
          </w:tcPr>
          <w:p>
            <w:pPr>
              <w:spacing w:after="0"/>
              <w:rPr>
                <w:sz w:val="18"/>
                <w:szCs w:val="18"/>
                <w:color w:val="auto"/>
              </w:rPr>
            </w:pPr>
          </w:p>
        </w:tc>
        <w:tc>
          <w:tcPr>
            <w:tcW w:w="800" w:type="dxa"/>
            <w:vAlign w:val="bottom"/>
          </w:tcPr>
          <w:p>
            <w:pPr>
              <w:jc w:val="right"/>
              <w:ind w:right="275"/>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680" w:type="dxa"/>
            <w:vAlign w:val="bottom"/>
          </w:tcPr>
          <w:p>
            <w:pPr>
              <w:jc w:val="right"/>
              <w:ind w:right="153"/>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8"/>
                <w:szCs w:val="18"/>
                <w:color w:val="auto"/>
              </w:rPr>
            </w:pPr>
          </w:p>
        </w:tc>
        <w:tc>
          <w:tcPr>
            <w:tcW w:w="740" w:type="dxa"/>
            <w:vAlign w:val="bottom"/>
          </w:tcPr>
          <w:p>
            <w:pPr>
              <w:jc w:val="right"/>
              <w:ind w:right="115"/>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8"/>
                <w:szCs w:val="18"/>
                <w:color w:val="auto"/>
              </w:rPr>
            </w:pPr>
          </w:p>
        </w:tc>
        <w:tc>
          <w:tcPr>
            <w:tcW w:w="700" w:type="dxa"/>
            <w:vAlign w:val="bottom"/>
          </w:tcPr>
          <w:p>
            <w:pPr>
              <w:jc w:val="right"/>
              <w:ind w:right="133"/>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Equity in net income (losses) of investees, net</w:t>
            </w:r>
          </w:p>
        </w:tc>
        <w:tc>
          <w:tcPr>
            <w:tcW w:w="14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215"/>
              <w:spacing w:after="0"/>
              <w:rPr>
                <w:sz w:val="20"/>
                <w:szCs w:val="20"/>
                <w:color w:val="auto"/>
              </w:rPr>
            </w:pPr>
            <w:r>
              <w:rPr>
                <w:rFonts w:ascii="Arial" w:cs="Arial" w:eastAsia="Arial" w:hAnsi="Arial"/>
                <w:sz w:val="18"/>
                <w:szCs w:val="18"/>
                <w:color w:val="auto"/>
              </w:rPr>
              <w:t>(14)</w:t>
            </w:r>
          </w:p>
        </w:tc>
        <w:tc>
          <w:tcPr>
            <w:tcW w:w="4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20</w:t>
            </w:r>
          </w:p>
        </w:tc>
        <w:tc>
          <w:tcPr>
            <w:tcW w:w="2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15"/>
              <w:spacing w:after="0"/>
              <w:rPr>
                <w:sz w:val="20"/>
                <w:szCs w:val="20"/>
                <w:color w:val="auto"/>
              </w:rPr>
            </w:pPr>
            <w:r>
              <w:rPr>
                <w:rFonts w:ascii="Arial" w:cs="Arial" w:eastAsia="Arial" w:hAnsi="Arial"/>
                <w:sz w:val="18"/>
                <w:szCs w:val="18"/>
                <w:color w:val="auto"/>
              </w:rPr>
              <w:t>(241)</w:t>
            </w:r>
          </w:p>
        </w:tc>
        <w:tc>
          <w:tcPr>
            <w:tcW w:w="2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Other income (expense), net</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15"/>
              <w:spacing w:after="0"/>
              <w:rPr>
                <w:sz w:val="20"/>
                <w:szCs w:val="20"/>
                <w:color w:val="auto"/>
              </w:rPr>
            </w:pPr>
            <w:r>
              <w:rPr>
                <w:rFonts w:ascii="Arial" w:cs="Arial" w:eastAsia="Arial" w:hAnsi="Arial"/>
                <w:sz w:val="18"/>
                <w:szCs w:val="18"/>
                <w:color w:val="auto"/>
              </w:rPr>
              <w:t>(69)</w:t>
            </w:r>
          </w:p>
        </w:tc>
        <w:tc>
          <w:tcPr>
            <w:tcW w:w="4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(59)</w:t>
            </w: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color w:val="auto"/>
              </w:rPr>
              <w:t>(57)</w:t>
            </w: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tcBorders>
              <w:bottom w:val="single" w:sz="8" w:color="auto"/>
            </w:tcBorders>
            <w:shd w:val="clear" w:color="auto" w:fill="E5E5E5"/>
          </w:tcPr>
          <w:p>
            <w:pPr>
              <w:spacing w:after="0"/>
              <w:rPr>
                <w:sz w:val="18"/>
                <w:szCs w:val="18"/>
                <w:color w:val="auto"/>
              </w:rPr>
            </w:pPr>
          </w:p>
        </w:tc>
        <w:tc>
          <w:tcPr>
            <w:tcW w:w="14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215"/>
              <w:spacing w:after="0"/>
              <w:rPr>
                <w:sz w:val="20"/>
                <w:szCs w:val="20"/>
                <w:color w:val="auto"/>
              </w:rPr>
            </w:pPr>
            <w:r>
              <w:rPr>
                <w:rFonts w:ascii="Arial" w:cs="Arial" w:eastAsia="Arial" w:hAnsi="Arial"/>
                <w:sz w:val="18"/>
                <w:szCs w:val="18"/>
                <w:color w:val="auto"/>
              </w:rPr>
              <w:t>(199)</w:t>
            </w:r>
          </w:p>
        </w:tc>
        <w:tc>
          <w:tcPr>
            <w:tcW w:w="40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(161)</w:t>
            </w:r>
          </w:p>
        </w:tc>
        <w:tc>
          <w:tcPr>
            <w:tcW w:w="28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15"/>
              <w:spacing w:after="0"/>
              <w:rPr>
                <w:sz w:val="20"/>
                <w:szCs w:val="20"/>
                <w:color w:val="auto"/>
              </w:rPr>
            </w:pPr>
            <w:r>
              <w:rPr>
                <w:rFonts w:ascii="Arial" w:cs="Arial" w:eastAsia="Arial" w:hAnsi="Arial"/>
                <w:sz w:val="18"/>
                <w:szCs w:val="18"/>
                <w:color w:val="auto"/>
              </w:rPr>
              <w:t>(663)</w:t>
            </w:r>
          </w:p>
        </w:tc>
        <w:tc>
          <w:tcPr>
            <w:tcW w:w="28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40" w:type="dxa"/>
            <w:vAlign w:val="bottom"/>
          </w:tcPr>
          <w:p>
            <w:pPr>
              <w:spacing w:after="0"/>
              <w:rPr>
                <w:sz w:val="18"/>
                <w:szCs w:val="18"/>
                <w:color w:val="auto"/>
              </w:rPr>
            </w:pPr>
          </w:p>
        </w:tc>
        <w:tc>
          <w:tcPr>
            <w:tcW w:w="800" w:type="dxa"/>
            <w:vAlign w:val="bottom"/>
          </w:tcPr>
          <w:p>
            <w:pPr>
              <w:jc w:val="right"/>
              <w:ind w:right="275"/>
              <w:spacing w:after="0"/>
              <w:rPr>
                <w:sz w:val="20"/>
                <w:szCs w:val="20"/>
                <w:color w:val="auto"/>
              </w:rPr>
            </w:pPr>
            <w:r>
              <w:rPr>
                <w:rFonts w:ascii="Arial" w:cs="Arial" w:eastAsia="Arial" w:hAnsi="Arial"/>
                <w:sz w:val="18"/>
                <w:szCs w:val="18"/>
                <w:color w:val="auto"/>
                <w:w w:val="93"/>
              </w:rPr>
              <w:t>1,022</w:t>
            </w:r>
          </w:p>
        </w:tc>
        <w:tc>
          <w:tcPr>
            <w:tcW w:w="400" w:type="dxa"/>
            <w:vAlign w:val="bottom"/>
          </w:tcPr>
          <w:p>
            <w:pPr>
              <w:spacing w:after="0"/>
              <w:rPr>
                <w:sz w:val="18"/>
                <w:szCs w:val="18"/>
                <w:color w:val="auto"/>
              </w:rPr>
            </w:pPr>
          </w:p>
        </w:tc>
        <w:tc>
          <w:tcPr>
            <w:tcW w:w="680" w:type="dxa"/>
            <w:vAlign w:val="bottom"/>
          </w:tcPr>
          <w:p>
            <w:pPr>
              <w:jc w:val="right"/>
              <w:ind w:right="153"/>
              <w:spacing w:after="0"/>
              <w:rPr>
                <w:sz w:val="20"/>
                <w:szCs w:val="20"/>
                <w:color w:val="auto"/>
              </w:rPr>
            </w:pPr>
            <w:r>
              <w:rPr>
                <w:rFonts w:ascii="Arial" w:cs="Arial" w:eastAsia="Arial" w:hAnsi="Arial"/>
                <w:sz w:val="18"/>
                <w:szCs w:val="18"/>
                <w:color w:val="auto"/>
              </w:rPr>
              <w:t>884</w:t>
            </w:r>
          </w:p>
        </w:tc>
        <w:tc>
          <w:tcPr>
            <w:tcW w:w="280" w:type="dxa"/>
            <w:vAlign w:val="bottom"/>
          </w:tcPr>
          <w:p>
            <w:pPr>
              <w:spacing w:after="0"/>
              <w:rPr>
                <w:sz w:val="18"/>
                <w:szCs w:val="18"/>
                <w:color w:val="auto"/>
              </w:rPr>
            </w:pPr>
          </w:p>
        </w:tc>
        <w:tc>
          <w:tcPr>
            <w:tcW w:w="740" w:type="dxa"/>
            <w:vAlign w:val="bottom"/>
          </w:tcPr>
          <w:p>
            <w:pPr>
              <w:jc w:val="right"/>
              <w:ind w:right="155"/>
              <w:spacing w:after="0"/>
              <w:rPr>
                <w:sz w:val="20"/>
                <w:szCs w:val="20"/>
                <w:color w:val="auto"/>
              </w:rPr>
            </w:pPr>
            <w:r>
              <w:rPr>
                <w:rFonts w:ascii="Arial" w:cs="Arial" w:eastAsia="Arial" w:hAnsi="Arial"/>
                <w:sz w:val="18"/>
                <w:szCs w:val="18"/>
                <w:color w:val="auto"/>
              </w:rPr>
              <w:t>2,995</w:t>
            </w:r>
          </w:p>
        </w:tc>
        <w:tc>
          <w:tcPr>
            <w:tcW w:w="280" w:type="dxa"/>
            <w:vAlign w:val="bottom"/>
          </w:tcPr>
          <w:p>
            <w:pPr>
              <w:spacing w:after="0"/>
              <w:rPr>
                <w:sz w:val="18"/>
                <w:szCs w:val="18"/>
                <w:color w:val="auto"/>
              </w:rPr>
            </w:pPr>
          </w:p>
        </w:tc>
        <w:tc>
          <w:tcPr>
            <w:tcW w:w="700" w:type="dxa"/>
            <w:vAlign w:val="bottom"/>
          </w:tcPr>
          <w:p>
            <w:pPr>
              <w:jc w:val="right"/>
              <w:ind w:right="133"/>
              <w:spacing w:after="0"/>
              <w:rPr>
                <w:sz w:val="20"/>
                <w:szCs w:val="20"/>
                <w:color w:val="auto"/>
              </w:rPr>
            </w:pPr>
            <w:r>
              <w:rPr>
                <w:rFonts w:ascii="Arial" w:cs="Arial" w:eastAsia="Arial" w:hAnsi="Arial"/>
                <w:sz w:val="18"/>
                <w:szCs w:val="18"/>
                <w:color w:val="auto"/>
              </w:rPr>
              <w:t>2,605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Income tax expense</w:t>
            </w:r>
          </w:p>
        </w:tc>
        <w:tc>
          <w:tcPr>
            <w:tcW w:w="14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215"/>
              <w:spacing w:after="0"/>
              <w:rPr>
                <w:sz w:val="20"/>
                <w:szCs w:val="20"/>
                <w:color w:val="auto"/>
              </w:rPr>
            </w:pPr>
            <w:r>
              <w:rPr>
                <w:rFonts w:ascii="Arial" w:cs="Arial" w:eastAsia="Arial" w:hAnsi="Arial"/>
                <w:sz w:val="18"/>
                <w:szCs w:val="18"/>
                <w:color w:val="auto"/>
              </w:rPr>
              <w:t>(60)</w:t>
            </w:r>
          </w:p>
        </w:tc>
        <w:tc>
          <w:tcPr>
            <w:tcW w:w="40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(51)</w:t>
            </w:r>
          </w:p>
        </w:tc>
        <w:tc>
          <w:tcPr>
            <w:tcW w:w="28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15"/>
              <w:spacing w:after="0"/>
              <w:rPr>
                <w:sz w:val="20"/>
                <w:szCs w:val="20"/>
                <w:color w:val="auto"/>
              </w:rPr>
            </w:pPr>
            <w:r>
              <w:rPr>
                <w:rFonts w:ascii="Arial" w:cs="Arial" w:eastAsia="Arial" w:hAnsi="Arial"/>
                <w:sz w:val="18"/>
                <w:szCs w:val="18"/>
                <w:color w:val="auto"/>
              </w:rPr>
              <w:t>(171)</w:t>
            </w:r>
          </w:p>
        </w:tc>
        <w:tc>
          <w:tcPr>
            <w:tcW w:w="28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18"/>
                <w:szCs w:val="18"/>
                <w:color w:val="auto"/>
              </w:rPr>
            </w:pPr>
          </w:p>
        </w:tc>
        <w:tc>
          <w:tcPr>
            <w:tcW w:w="800" w:type="dxa"/>
            <w:vAlign w:val="bottom"/>
          </w:tcPr>
          <w:p>
            <w:pPr>
              <w:jc w:val="right"/>
              <w:ind w:right="275"/>
              <w:spacing w:after="0"/>
              <w:rPr>
                <w:sz w:val="20"/>
                <w:szCs w:val="20"/>
                <w:color w:val="auto"/>
              </w:rPr>
            </w:pPr>
            <w:r>
              <w:rPr>
                <w:rFonts w:ascii="Arial" w:cs="Arial" w:eastAsia="Arial" w:hAnsi="Arial"/>
                <w:sz w:val="18"/>
                <w:szCs w:val="18"/>
                <w:color w:val="auto"/>
              </w:rPr>
              <w:t>962</w:t>
            </w:r>
          </w:p>
        </w:tc>
        <w:tc>
          <w:tcPr>
            <w:tcW w:w="400" w:type="dxa"/>
            <w:vAlign w:val="bottom"/>
          </w:tcPr>
          <w:p>
            <w:pPr>
              <w:spacing w:after="0"/>
              <w:rPr>
                <w:sz w:val="18"/>
                <w:szCs w:val="18"/>
                <w:color w:val="auto"/>
              </w:rPr>
            </w:pPr>
          </w:p>
        </w:tc>
        <w:tc>
          <w:tcPr>
            <w:tcW w:w="680" w:type="dxa"/>
            <w:vAlign w:val="bottom"/>
          </w:tcPr>
          <w:p>
            <w:pPr>
              <w:jc w:val="right"/>
              <w:ind w:right="153"/>
              <w:spacing w:after="0"/>
              <w:rPr>
                <w:sz w:val="20"/>
                <w:szCs w:val="20"/>
                <w:color w:val="auto"/>
              </w:rPr>
            </w:pPr>
            <w:r>
              <w:rPr>
                <w:rFonts w:ascii="Arial" w:cs="Arial" w:eastAsia="Arial" w:hAnsi="Arial"/>
                <w:sz w:val="18"/>
                <w:szCs w:val="18"/>
                <w:color w:val="auto"/>
              </w:rPr>
              <w:t>833</w:t>
            </w:r>
          </w:p>
        </w:tc>
        <w:tc>
          <w:tcPr>
            <w:tcW w:w="280" w:type="dxa"/>
            <w:vAlign w:val="bottom"/>
          </w:tcPr>
          <w:p>
            <w:pPr>
              <w:spacing w:after="0"/>
              <w:rPr>
                <w:sz w:val="18"/>
                <w:szCs w:val="18"/>
                <w:color w:val="auto"/>
              </w:rPr>
            </w:pPr>
          </w:p>
        </w:tc>
        <w:tc>
          <w:tcPr>
            <w:tcW w:w="740" w:type="dxa"/>
            <w:vAlign w:val="bottom"/>
          </w:tcPr>
          <w:p>
            <w:pPr>
              <w:jc w:val="right"/>
              <w:ind w:right="155"/>
              <w:spacing w:after="0"/>
              <w:rPr>
                <w:sz w:val="20"/>
                <w:szCs w:val="20"/>
                <w:color w:val="auto"/>
              </w:rPr>
            </w:pPr>
            <w:r>
              <w:rPr>
                <w:rFonts w:ascii="Arial" w:cs="Arial" w:eastAsia="Arial" w:hAnsi="Arial"/>
                <w:sz w:val="18"/>
                <w:szCs w:val="18"/>
                <w:color w:val="auto"/>
              </w:rPr>
              <w:t>2,824</w:t>
            </w:r>
          </w:p>
        </w:tc>
        <w:tc>
          <w:tcPr>
            <w:tcW w:w="280" w:type="dxa"/>
            <w:vAlign w:val="bottom"/>
          </w:tcPr>
          <w:p>
            <w:pPr>
              <w:spacing w:after="0"/>
              <w:rPr>
                <w:sz w:val="18"/>
                <w:szCs w:val="18"/>
                <w:color w:val="auto"/>
              </w:rPr>
            </w:pPr>
          </w:p>
        </w:tc>
        <w:tc>
          <w:tcPr>
            <w:tcW w:w="700" w:type="dxa"/>
            <w:vAlign w:val="bottom"/>
          </w:tcPr>
          <w:p>
            <w:pPr>
              <w:jc w:val="right"/>
              <w:ind w:right="133"/>
              <w:spacing w:after="0"/>
              <w:rPr>
                <w:sz w:val="20"/>
                <w:szCs w:val="20"/>
                <w:color w:val="auto"/>
              </w:rPr>
            </w:pPr>
            <w:r>
              <w:rPr>
                <w:rFonts w:ascii="Arial" w:cs="Arial" w:eastAsia="Arial" w:hAnsi="Arial"/>
                <w:sz w:val="18"/>
                <w:szCs w:val="18"/>
                <w:color w:val="auto"/>
              </w:rPr>
              <w:t>2,416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14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215"/>
              <w:spacing w:after="0"/>
              <w:rPr>
                <w:sz w:val="20"/>
                <w:szCs w:val="20"/>
                <w:color w:val="auto"/>
              </w:rPr>
            </w:pPr>
            <w:r>
              <w:rPr>
                <w:rFonts w:ascii="Arial" w:cs="Arial" w:eastAsia="Arial" w:hAnsi="Arial"/>
                <w:sz w:val="18"/>
                <w:szCs w:val="18"/>
                <w:color w:val="auto"/>
              </w:rPr>
              <w:t>(35)</w:t>
            </w:r>
          </w:p>
        </w:tc>
        <w:tc>
          <w:tcPr>
            <w:tcW w:w="40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(31)</w:t>
            </w:r>
          </w:p>
        </w:tc>
        <w:tc>
          <w:tcPr>
            <w:tcW w:w="28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15"/>
              <w:spacing w:after="0"/>
              <w:rPr>
                <w:sz w:val="20"/>
                <w:szCs w:val="20"/>
                <w:color w:val="auto"/>
              </w:rPr>
            </w:pPr>
            <w:r>
              <w:rPr>
                <w:rFonts w:ascii="Arial" w:cs="Arial" w:eastAsia="Arial" w:hAnsi="Arial"/>
                <w:sz w:val="18"/>
                <w:szCs w:val="18"/>
                <w:color w:val="auto"/>
              </w:rPr>
              <w:t>(133)</w:t>
            </w:r>
          </w:p>
        </w:tc>
        <w:tc>
          <w:tcPr>
            <w:tcW w:w="28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7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income attributable to NBCUniversal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auto"/>
            </w:tcBorders>
          </w:tcPr>
          <w:p>
            <w:pPr>
              <w:jc w:val="right"/>
              <w:ind w:right="275"/>
              <w:spacing w:after="0"/>
              <w:rPr>
                <w:sz w:val="20"/>
                <w:szCs w:val="20"/>
                <w:color w:val="auto"/>
              </w:rPr>
            </w:pPr>
            <w:r>
              <w:rPr>
                <w:rFonts w:ascii="Arial" w:cs="Arial" w:eastAsia="Arial" w:hAnsi="Arial"/>
                <w:sz w:val="18"/>
                <w:szCs w:val="18"/>
                <w:b w:val="1"/>
                <w:bCs w:val="1"/>
                <w:color w:val="auto"/>
              </w:rPr>
              <w:t>927</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b w:val="1"/>
                <w:bCs w:val="1"/>
                <w:color w:val="auto"/>
              </w:rPr>
              <w:t>802</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b w:val="1"/>
                <w:bCs w:val="1"/>
                <w:color w:val="auto"/>
              </w:rPr>
              <w:t>2,691</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b w:val="1"/>
                <w:bCs w:val="1"/>
                <w:color w:val="auto"/>
              </w:rPr>
              <w:t>2,298</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Comprehensive Income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80" w:type="dxa"/>
            <w:vAlign w:val="bottom"/>
            <w:gridSpan w:val="3"/>
          </w:tcPr>
          <w:p>
            <w:pPr>
              <w:jc w:val="right"/>
              <w:ind w:right="334"/>
              <w:spacing w:after="0"/>
              <w:rPr>
                <w:sz w:val="20"/>
                <w:szCs w:val="20"/>
                <w:color w:val="auto"/>
              </w:rPr>
            </w:pPr>
            <w:r>
              <w:rPr>
                <w:rFonts w:ascii="Arial" w:cs="Arial" w:eastAsia="Arial" w:hAnsi="Arial"/>
                <w:sz w:val="14"/>
                <w:szCs w:val="14"/>
                <w:color w:val="auto"/>
                <w:w w:val="94"/>
              </w:rPr>
              <w:t>Three Months Ended</w:t>
            </w:r>
          </w:p>
        </w:tc>
        <w:tc>
          <w:tcPr>
            <w:tcW w:w="1860" w:type="dxa"/>
            <w:vAlign w:val="bottom"/>
            <w:gridSpan w:val="2"/>
          </w:tcPr>
          <w:p>
            <w:pPr>
              <w:jc w:val="right"/>
              <w:ind w:right="334"/>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59"/>
        </w:trPr>
        <w:tc>
          <w:tcPr>
            <w:tcW w:w="736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5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September 30</w:t>
            </w:r>
          </w:p>
        </w:tc>
        <w:tc>
          <w:tcPr>
            <w:tcW w:w="60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2"/>
          </w:tcPr>
          <w:p>
            <w:pPr>
              <w:jc w:val="right"/>
              <w:ind w:right="514"/>
              <w:spacing w:after="0" w:line="159" w:lineRule="exact"/>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42"/>
        </w:trPr>
        <w:tc>
          <w:tcPr>
            <w:tcW w:w="736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720" w:type="dxa"/>
            <w:vAlign w:val="bottom"/>
          </w:tcPr>
          <w:p>
            <w:pPr>
              <w:jc w:val="right"/>
              <w:ind w:right="338"/>
              <w:spacing w:after="0" w:line="142" w:lineRule="exact"/>
              <w:rPr>
                <w:sz w:val="20"/>
                <w:szCs w:val="20"/>
                <w:color w:val="auto"/>
              </w:rPr>
            </w:pPr>
            <w:r>
              <w:rPr>
                <w:rFonts w:ascii="Arial" w:cs="Arial" w:eastAsia="Arial" w:hAnsi="Arial"/>
                <w:sz w:val="14"/>
                <w:szCs w:val="14"/>
                <w:color w:val="auto"/>
                <w:w w:val="89"/>
              </w:rPr>
              <w:t>2015</w:t>
            </w:r>
          </w:p>
        </w:tc>
        <w:tc>
          <w:tcPr>
            <w:tcW w:w="360" w:type="dxa"/>
            <w:vAlign w:val="bottom"/>
          </w:tcPr>
          <w:p>
            <w:pPr>
              <w:spacing w:after="0"/>
              <w:rPr>
                <w:sz w:val="12"/>
                <w:szCs w:val="12"/>
                <w:color w:val="auto"/>
              </w:rPr>
            </w:pPr>
          </w:p>
        </w:tc>
        <w:tc>
          <w:tcPr>
            <w:tcW w:w="600" w:type="dxa"/>
            <w:vAlign w:val="bottom"/>
          </w:tcPr>
          <w:p>
            <w:pPr>
              <w:jc w:val="right"/>
              <w:ind w:right="234"/>
              <w:spacing w:after="0" w:line="142" w:lineRule="exact"/>
              <w:rPr>
                <w:sz w:val="20"/>
                <w:szCs w:val="20"/>
                <w:color w:val="auto"/>
              </w:rPr>
            </w:pPr>
            <w:r>
              <w:rPr>
                <w:rFonts w:ascii="Arial" w:cs="Arial" w:eastAsia="Arial" w:hAnsi="Arial"/>
                <w:sz w:val="14"/>
                <w:szCs w:val="14"/>
                <w:color w:val="auto"/>
                <w:w w:val="83"/>
              </w:rPr>
              <w:t>2014</w:t>
            </w:r>
          </w:p>
        </w:tc>
        <w:tc>
          <w:tcPr>
            <w:tcW w:w="920" w:type="dxa"/>
            <w:vAlign w:val="bottom"/>
          </w:tcPr>
          <w:p>
            <w:pPr>
              <w:jc w:val="right"/>
              <w:ind w:right="298"/>
              <w:spacing w:after="0" w:line="142" w:lineRule="exact"/>
              <w:rPr>
                <w:sz w:val="20"/>
                <w:szCs w:val="20"/>
                <w:color w:val="auto"/>
              </w:rPr>
            </w:pPr>
            <w:r>
              <w:rPr>
                <w:rFonts w:ascii="Arial" w:cs="Arial" w:eastAsia="Arial" w:hAnsi="Arial"/>
                <w:sz w:val="14"/>
                <w:szCs w:val="14"/>
                <w:color w:val="auto"/>
              </w:rPr>
              <w:t>2015</w:t>
            </w:r>
          </w:p>
        </w:tc>
        <w:tc>
          <w:tcPr>
            <w:tcW w:w="940" w:type="dxa"/>
            <w:vAlign w:val="bottom"/>
          </w:tcPr>
          <w:p>
            <w:pPr>
              <w:jc w:val="right"/>
              <w:ind w:right="274"/>
              <w:spacing w:after="0" w:line="142" w:lineRule="exact"/>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Net income</w:t>
            </w:r>
          </w:p>
        </w:tc>
        <w:tc>
          <w:tcPr>
            <w:tcW w:w="5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E5E5E5"/>
          </w:tcPr>
          <w:p>
            <w:pPr>
              <w:jc w:val="right"/>
              <w:ind w:right="198"/>
              <w:spacing w:after="0"/>
              <w:rPr>
                <w:sz w:val="20"/>
                <w:szCs w:val="20"/>
                <w:color w:val="auto"/>
              </w:rPr>
            </w:pPr>
            <w:r>
              <w:rPr>
                <w:rFonts w:ascii="Arial" w:cs="Arial" w:eastAsia="Arial" w:hAnsi="Arial"/>
                <w:sz w:val="18"/>
                <w:szCs w:val="18"/>
                <w:color w:val="auto"/>
              </w:rPr>
              <w:t>962</w:t>
            </w:r>
          </w:p>
        </w:tc>
        <w:tc>
          <w:tcPr>
            <w:tcW w:w="3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E5E5E5"/>
          </w:tcPr>
          <w:p>
            <w:pPr>
              <w:jc w:val="right"/>
              <w:ind w:right="94"/>
              <w:spacing w:after="0"/>
              <w:rPr>
                <w:sz w:val="20"/>
                <w:szCs w:val="20"/>
                <w:color w:val="auto"/>
              </w:rPr>
            </w:pPr>
            <w:r>
              <w:rPr>
                <w:rFonts w:ascii="Arial" w:cs="Arial" w:eastAsia="Arial" w:hAnsi="Arial"/>
                <w:sz w:val="18"/>
                <w:szCs w:val="18"/>
                <w:color w:val="auto"/>
              </w:rPr>
              <w:t>833</w:t>
            </w:r>
          </w:p>
        </w:tc>
        <w:tc>
          <w:tcPr>
            <w:tcW w:w="920" w:type="dxa"/>
            <w:vAlign w:val="bottom"/>
            <w:tcBorders>
              <w:top w:val="single" w:sz="8" w:color="auto"/>
            </w:tcBorders>
            <w:shd w:val="clear" w:color="auto" w:fill="E5E5E5"/>
          </w:tcPr>
          <w:p>
            <w:pPr>
              <w:jc w:val="right"/>
              <w:ind w:right="158"/>
              <w:spacing w:after="0"/>
              <w:rPr>
                <w:sz w:val="20"/>
                <w:szCs w:val="20"/>
                <w:color w:val="auto"/>
              </w:rPr>
            </w:pPr>
            <w:r>
              <w:rPr>
                <w:rFonts w:ascii="Arial" w:cs="Arial" w:eastAsia="Arial" w:hAnsi="Arial"/>
                <w:sz w:val="18"/>
                <w:szCs w:val="18"/>
                <w:color w:val="auto"/>
              </w:rPr>
              <w:t>$ 2,824</w:t>
            </w:r>
          </w:p>
        </w:tc>
        <w:tc>
          <w:tcPr>
            <w:tcW w:w="940" w:type="dxa"/>
            <w:vAlign w:val="bottom"/>
            <w:tcBorders>
              <w:top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color w:val="auto"/>
              </w:rPr>
              <w:t>$ 2,416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Unrealized gains (losses) on marketable securities, net</w:t>
            </w:r>
          </w:p>
        </w:tc>
        <w:tc>
          <w:tcPr>
            <w:tcW w:w="520" w:type="dxa"/>
            <w:vAlign w:val="bottom"/>
          </w:tcPr>
          <w:p>
            <w:pPr>
              <w:spacing w:after="0"/>
              <w:rPr>
                <w:sz w:val="18"/>
                <w:szCs w:val="18"/>
                <w:color w:val="auto"/>
              </w:rPr>
            </w:pPr>
          </w:p>
        </w:tc>
        <w:tc>
          <w:tcPr>
            <w:tcW w:w="720" w:type="dxa"/>
            <w:vAlign w:val="bottom"/>
          </w:tcPr>
          <w:p>
            <w:pPr>
              <w:jc w:val="right"/>
              <w:ind w:right="198"/>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(2)</w:t>
            </w:r>
          </w:p>
        </w:tc>
        <w:tc>
          <w:tcPr>
            <w:tcW w:w="920" w:type="dxa"/>
            <w:vAlign w:val="bottom"/>
          </w:tcPr>
          <w:p>
            <w:pPr>
              <w:jc w:val="right"/>
              <w:ind w:right="158"/>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4"/>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E5E5E5"/>
          </w:tcPr>
          <w:p>
            <w:pPr>
              <w:spacing w:after="0"/>
              <w:rPr>
                <w:sz w:val="20"/>
                <w:szCs w:val="20"/>
                <w:color w:val="auto"/>
              </w:rPr>
            </w:pPr>
            <w:r>
              <w:rPr>
                <w:rFonts w:ascii="Arial" w:cs="Arial" w:eastAsia="Arial" w:hAnsi="Arial"/>
                <w:sz w:val="18"/>
                <w:szCs w:val="18"/>
                <w:color w:val="auto"/>
              </w:rPr>
              <w:t>Deferred gains (losses) on cash flow hedges, net</w:t>
            </w:r>
          </w:p>
        </w:tc>
        <w:tc>
          <w:tcPr>
            <w:tcW w:w="5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8"/>
              <w:spacing w:after="0"/>
              <w:rPr>
                <w:sz w:val="20"/>
                <w:szCs w:val="20"/>
                <w:color w:val="auto"/>
              </w:rPr>
            </w:pPr>
            <w:r>
              <w:rPr>
                <w:rFonts w:ascii="Arial" w:cs="Arial" w:eastAsia="Arial" w:hAnsi="Arial"/>
                <w:sz w:val="18"/>
                <w:szCs w:val="18"/>
                <w:color w:val="auto"/>
              </w:rPr>
              <w:t>(6)</w:t>
            </w:r>
          </w:p>
        </w:tc>
        <w:tc>
          <w:tcPr>
            <w:tcW w:w="36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94"/>
              <w:spacing w:after="0"/>
              <w:rPr>
                <w:sz w:val="20"/>
                <w:szCs w:val="20"/>
                <w:color w:val="auto"/>
              </w:rPr>
            </w:pPr>
            <w:r>
              <w:rPr>
                <w:rFonts w:ascii="Arial" w:cs="Arial" w:eastAsia="Arial" w:hAnsi="Arial"/>
                <w:sz w:val="18"/>
                <w:szCs w:val="18"/>
                <w:color w:val="auto"/>
              </w:rPr>
              <w:t>11</w:t>
            </w:r>
          </w:p>
        </w:tc>
        <w:tc>
          <w:tcPr>
            <w:tcW w:w="920" w:type="dxa"/>
            <w:vAlign w:val="bottom"/>
            <w:shd w:val="clear" w:color="auto" w:fill="E5E5E5"/>
          </w:tcPr>
          <w:p>
            <w:pPr>
              <w:jc w:val="right"/>
              <w:ind w:right="98"/>
              <w:spacing w:after="0"/>
              <w:rPr>
                <w:sz w:val="20"/>
                <w:szCs w:val="20"/>
                <w:color w:val="auto"/>
              </w:rPr>
            </w:pPr>
            <w:r>
              <w:rPr>
                <w:rFonts w:ascii="Arial" w:cs="Arial" w:eastAsia="Arial" w:hAnsi="Arial"/>
                <w:sz w:val="18"/>
                <w:szCs w:val="18"/>
                <w:color w:val="auto"/>
              </w:rPr>
              <w:t>(12)</w:t>
            </w:r>
          </w:p>
        </w:tc>
        <w:tc>
          <w:tcPr>
            <w:tcW w:w="94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Employee benefit obligations, net</w:t>
            </w:r>
          </w:p>
        </w:tc>
        <w:tc>
          <w:tcPr>
            <w:tcW w:w="520" w:type="dxa"/>
            <w:vAlign w:val="bottom"/>
          </w:tcPr>
          <w:p>
            <w:pPr>
              <w:spacing w:after="0"/>
              <w:rPr>
                <w:sz w:val="18"/>
                <w:szCs w:val="18"/>
                <w:color w:val="auto"/>
              </w:rPr>
            </w:pPr>
          </w:p>
        </w:tc>
        <w:tc>
          <w:tcPr>
            <w:tcW w:w="720" w:type="dxa"/>
            <w:vAlign w:val="bottom"/>
          </w:tcPr>
          <w:p>
            <w:pPr>
              <w:jc w:val="right"/>
              <w:ind w:right="198"/>
              <w:spacing w:after="0"/>
              <w:rPr>
                <w:sz w:val="20"/>
                <w:szCs w:val="20"/>
                <w:color w:val="auto"/>
              </w:rPr>
            </w:pPr>
            <w:r>
              <w:rPr>
                <w:rFonts w:ascii="Arial" w:cs="Arial" w:eastAsia="Arial" w:hAnsi="Arial"/>
                <w:sz w:val="18"/>
                <w:szCs w:val="18"/>
                <w:color w:val="auto"/>
              </w:rPr>
              <w:t>22</w:t>
            </w:r>
          </w:p>
        </w:tc>
        <w:tc>
          <w:tcPr>
            <w:tcW w:w="360" w:type="dxa"/>
            <w:vAlign w:val="bottom"/>
          </w:tcPr>
          <w:p>
            <w:pPr>
              <w:spacing w:after="0"/>
              <w:rPr>
                <w:sz w:val="18"/>
                <w:szCs w:val="18"/>
                <w:color w:val="auto"/>
              </w:rPr>
            </w:pPr>
          </w:p>
        </w:tc>
        <w:tc>
          <w:tcPr>
            <w:tcW w:w="60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58"/>
              <w:spacing w:after="0"/>
              <w:rPr>
                <w:sz w:val="20"/>
                <w:szCs w:val="20"/>
                <w:color w:val="auto"/>
              </w:rPr>
            </w:pPr>
            <w:r>
              <w:rPr>
                <w:rFonts w:ascii="Arial" w:cs="Arial" w:eastAsia="Arial" w:hAnsi="Arial"/>
                <w:sz w:val="18"/>
                <w:szCs w:val="18"/>
                <w:color w:val="auto"/>
              </w:rPr>
              <w:t>22</w:t>
            </w:r>
          </w:p>
        </w:tc>
        <w:tc>
          <w:tcPr>
            <w:tcW w:w="94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Currency translation adjustments, net</w:t>
            </w:r>
          </w:p>
        </w:tc>
        <w:tc>
          <w:tcPr>
            <w:tcW w:w="5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8"/>
              <w:spacing w:after="0"/>
              <w:rPr>
                <w:sz w:val="20"/>
                <w:szCs w:val="20"/>
                <w:color w:val="auto"/>
              </w:rPr>
            </w:pPr>
            <w:r>
              <w:rPr>
                <w:rFonts w:ascii="Arial" w:cs="Arial" w:eastAsia="Arial" w:hAnsi="Arial"/>
                <w:sz w:val="18"/>
                <w:szCs w:val="18"/>
                <w:color w:val="auto"/>
              </w:rPr>
              <w:t>(41)</w:t>
            </w:r>
          </w:p>
        </w:tc>
        <w:tc>
          <w:tcPr>
            <w:tcW w:w="36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34"/>
              <w:spacing w:after="0"/>
              <w:rPr>
                <w:sz w:val="20"/>
                <w:szCs w:val="20"/>
                <w:color w:val="auto"/>
              </w:rPr>
            </w:pPr>
            <w:r>
              <w:rPr>
                <w:rFonts w:ascii="Arial" w:cs="Arial" w:eastAsia="Arial" w:hAnsi="Arial"/>
                <w:sz w:val="18"/>
                <w:szCs w:val="18"/>
                <w:color w:val="auto"/>
              </w:rPr>
              <w:t>(26)</w:t>
            </w:r>
          </w:p>
        </w:tc>
        <w:tc>
          <w:tcPr>
            <w:tcW w:w="920" w:type="dxa"/>
            <w:vAlign w:val="bottom"/>
            <w:tcBorders>
              <w:bottom w:val="single" w:sz="8" w:color="auto"/>
            </w:tcBorders>
            <w:shd w:val="clear" w:color="auto" w:fill="E5E5E5"/>
          </w:tcPr>
          <w:p>
            <w:pPr>
              <w:jc w:val="right"/>
              <w:ind w:right="98"/>
              <w:spacing w:after="0"/>
              <w:rPr>
                <w:sz w:val="20"/>
                <w:szCs w:val="20"/>
                <w:color w:val="auto"/>
              </w:rPr>
            </w:pPr>
            <w:r>
              <w:rPr>
                <w:rFonts w:ascii="Arial" w:cs="Arial" w:eastAsia="Arial" w:hAnsi="Arial"/>
                <w:sz w:val="18"/>
                <w:szCs w:val="18"/>
                <w:color w:val="auto"/>
              </w:rPr>
              <w:t>(62)</w:t>
            </w:r>
          </w:p>
        </w:tc>
        <w:tc>
          <w:tcPr>
            <w:tcW w:w="940" w:type="dxa"/>
            <w:vAlign w:val="bottom"/>
            <w:tcBorders>
              <w:bottom w:val="single" w:sz="8" w:color="auto"/>
            </w:tcBorders>
            <w:shd w:val="clear" w:color="auto" w:fill="E5E5E5"/>
          </w:tcPr>
          <w:p>
            <w:pPr>
              <w:jc w:val="right"/>
              <w:ind w:right="74"/>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Comprehensive income</w:t>
            </w:r>
          </w:p>
        </w:tc>
        <w:tc>
          <w:tcPr>
            <w:tcW w:w="520" w:type="dxa"/>
            <w:vAlign w:val="bottom"/>
          </w:tcPr>
          <w:p>
            <w:pPr>
              <w:spacing w:after="0"/>
              <w:rPr>
                <w:sz w:val="18"/>
                <w:szCs w:val="18"/>
                <w:color w:val="auto"/>
              </w:rPr>
            </w:pPr>
          </w:p>
        </w:tc>
        <w:tc>
          <w:tcPr>
            <w:tcW w:w="720" w:type="dxa"/>
            <w:vAlign w:val="bottom"/>
          </w:tcPr>
          <w:p>
            <w:pPr>
              <w:jc w:val="right"/>
              <w:ind w:right="198"/>
              <w:spacing w:after="0"/>
              <w:rPr>
                <w:sz w:val="20"/>
                <w:szCs w:val="20"/>
                <w:color w:val="auto"/>
              </w:rPr>
            </w:pPr>
            <w:r>
              <w:rPr>
                <w:rFonts w:ascii="Arial" w:cs="Arial" w:eastAsia="Arial" w:hAnsi="Arial"/>
                <w:sz w:val="18"/>
                <w:szCs w:val="18"/>
                <w:color w:val="auto"/>
              </w:rPr>
              <w:t>937</w:t>
            </w:r>
          </w:p>
        </w:tc>
        <w:tc>
          <w:tcPr>
            <w:tcW w:w="360" w:type="dxa"/>
            <w:vAlign w:val="bottom"/>
          </w:tcPr>
          <w:p>
            <w:pPr>
              <w:spacing w:after="0"/>
              <w:rPr>
                <w:sz w:val="18"/>
                <w:szCs w:val="18"/>
                <w:color w:val="auto"/>
              </w:rPr>
            </w:pPr>
          </w:p>
        </w:tc>
        <w:tc>
          <w:tcPr>
            <w:tcW w:w="600" w:type="dxa"/>
            <w:vAlign w:val="bottom"/>
          </w:tcPr>
          <w:p>
            <w:pPr>
              <w:jc w:val="right"/>
              <w:ind w:right="94"/>
              <w:spacing w:after="0"/>
              <w:rPr>
                <w:sz w:val="20"/>
                <w:szCs w:val="20"/>
                <w:color w:val="auto"/>
              </w:rPr>
            </w:pPr>
            <w:r>
              <w:rPr>
                <w:rFonts w:ascii="Arial" w:cs="Arial" w:eastAsia="Arial" w:hAnsi="Arial"/>
                <w:sz w:val="18"/>
                <w:szCs w:val="18"/>
                <w:color w:val="auto"/>
              </w:rPr>
              <w:t>816</w:t>
            </w:r>
          </w:p>
        </w:tc>
        <w:tc>
          <w:tcPr>
            <w:tcW w:w="920" w:type="dxa"/>
            <w:vAlign w:val="bottom"/>
          </w:tcPr>
          <w:p>
            <w:pPr>
              <w:jc w:val="right"/>
              <w:ind w:right="158"/>
              <w:spacing w:after="0"/>
              <w:rPr>
                <w:sz w:val="20"/>
                <w:szCs w:val="20"/>
                <w:color w:val="auto"/>
              </w:rPr>
            </w:pPr>
            <w:r>
              <w:rPr>
                <w:rFonts w:ascii="Arial" w:cs="Arial" w:eastAsia="Arial" w:hAnsi="Arial"/>
                <w:sz w:val="18"/>
                <w:szCs w:val="18"/>
                <w:color w:val="auto"/>
              </w:rPr>
              <w:t>2,772</w:t>
            </w:r>
          </w:p>
        </w:tc>
        <w:tc>
          <w:tcPr>
            <w:tcW w:w="940" w:type="dxa"/>
            <w:vAlign w:val="bottom"/>
          </w:tcPr>
          <w:p>
            <w:pPr>
              <w:jc w:val="right"/>
              <w:ind w:right="134"/>
              <w:spacing w:after="0"/>
              <w:rPr>
                <w:sz w:val="20"/>
                <w:szCs w:val="20"/>
                <w:color w:val="auto"/>
              </w:rPr>
            </w:pPr>
            <w:r>
              <w:rPr>
                <w:rFonts w:ascii="Arial" w:cs="Arial" w:eastAsia="Arial" w:hAnsi="Arial"/>
                <w:sz w:val="18"/>
                <w:szCs w:val="18"/>
                <w:color w:val="auto"/>
              </w:rPr>
              <w:t>2,420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5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8"/>
              <w:spacing w:after="0"/>
              <w:rPr>
                <w:sz w:val="20"/>
                <w:szCs w:val="20"/>
                <w:color w:val="auto"/>
              </w:rPr>
            </w:pPr>
            <w:r>
              <w:rPr>
                <w:rFonts w:ascii="Arial" w:cs="Arial" w:eastAsia="Arial" w:hAnsi="Arial"/>
                <w:sz w:val="18"/>
                <w:szCs w:val="18"/>
                <w:color w:val="auto"/>
              </w:rPr>
              <w:t>(35)</w:t>
            </w:r>
          </w:p>
        </w:tc>
        <w:tc>
          <w:tcPr>
            <w:tcW w:w="36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34"/>
              <w:spacing w:after="0"/>
              <w:rPr>
                <w:sz w:val="20"/>
                <w:szCs w:val="20"/>
                <w:color w:val="auto"/>
              </w:rPr>
            </w:pPr>
            <w:r>
              <w:rPr>
                <w:rFonts w:ascii="Arial" w:cs="Arial" w:eastAsia="Arial" w:hAnsi="Arial"/>
                <w:sz w:val="18"/>
                <w:szCs w:val="18"/>
                <w:color w:val="auto"/>
              </w:rPr>
              <w:t>(31)</w:t>
            </w:r>
          </w:p>
        </w:tc>
        <w:tc>
          <w:tcPr>
            <w:tcW w:w="920" w:type="dxa"/>
            <w:vAlign w:val="bottom"/>
            <w:tcBorders>
              <w:bottom w:val="single" w:sz="8" w:color="auto"/>
            </w:tcBorders>
            <w:shd w:val="clear" w:color="auto" w:fill="E5E5E5"/>
          </w:tcPr>
          <w:p>
            <w:pPr>
              <w:jc w:val="right"/>
              <w:ind w:right="98"/>
              <w:spacing w:after="0"/>
              <w:rPr>
                <w:sz w:val="20"/>
                <w:szCs w:val="20"/>
                <w:color w:val="auto"/>
              </w:rPr>
            </w:pPr>
            <w:r>
              <w:rPr>
                <w:rFonts w:ascii="Arial" w:cs="Arial" w:eastAsia="Arial" w:hAnsi="Arial"/>
                <w:sz w:val="18"/>
                <w:szCs w:val="18"/>
                <w:color w:val="auto"/>
              </w:rPr>
              <w:t>(133)</w:t>
            </w:r>
          </w:p>
        </w:tc>
        <w:tc>
          <w:tcPr>
            <w:tcW w:w="940" w:type="dxa"/>
            <w:vAlign w:val="bottom"/>
            <w:tcBorders>
              <w:bottom w:val="single" w:sz="8" w:color="auto"/>
            </w:tcBorders>
            <w:shd w:val="clear" w:color="auto" w:fill="E5E5E5"/>
          </w:tcPr>
          <w:p>
            <w:pPr>
              <w:jc w:val="right"/>
              <w:ind w:right="74"/>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73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Comprehensive income attributable to NBCUniversal</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198"/>
              <w:spacing w:after="0"/>
              <w:rPr>
                <w:sz w:val="20"/>
                <w:szCs w:val="20"/>
                <w:color w:val="auto"/>
              </w:rPr>
            </w:pPr>
            <w:r>
              <w:rPr>
                <w:rFonts w:ascii="Arial" w:cs="Arial" w:eastAsia="Arial" w:hAnsi="Arial"/>
                <w:sz w:val="18"/>
                <w:szCs w:val="18"/>
                <w:b w:val="1"/>
                <w:bCs w:val="1"/>
                <w:color w:val="auto"/>
              </w:rPr>
              <w:t>902</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b w:val="1"/>
                <w:bCs w:val="1"/>
                <w:color w:val="auto"/>
              </w:rPr>
              <w:t>785</w:t>
            </w:r>
          </w:p>
        </w:tc>
        <w:tc>
          <w:tcPr>
            <w:tcW w:w="920" w:type="dxa"/>
            <w:vAlign w:val="bottom"/>
            <w:tcBorders>
              <w:bottom w:val="single" w:sz="8" w:color="auto"/>
            </w:tcBorders>
          </w:tcPr>
          <w:p>
            <w:pPr>
              <w:jc w:val="right"/>
              <w:ind w:right="158"/>
              <w:spacing w:after="0"/>
              <w:rPr>
                <w:sz w:val="20"/>
                <w:szCs w:val="20"/>
                <w:color w:val="auto"/>
              </w:rPr>
            </w:pPr>
            <w:r>
              <w:rPr>
                <w:rFonts w:ascii="Arial" w:cs="Arial" w:eastAsia="Arial" w:hAnsi="Arial"/>
                <w:sz w:val="18"/>
                <w:szCs w:val="18"/>
                <w:b w:val="1"/>
                <w:bCs w:val="1"/>
                <w:color w:val="auto"/>
              </w:rPr>
              <w:t>$ 2,639</w:t>
            </w:r>
          </w:p>
        </w:tc>
        <w:tc>
          <w:tcPr>
            <w:tcW w:w="94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b w:val="1"/>
                <w:bCs w:val="1"/>
                <w:color w:val="auto"/>
              </w:rPr>
              <w:t>$ 2,302</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Cash Flows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00" w:type="dxa"/>
            <w:vAlign w:val="bottom"/>
          </w:tcPr>
          <w:p>
            <w:pPr>
              <w:spacing w:after="0"/>
              <w:rPr>
                <w:sz w:val="14"/>
                <w:szCs w:val="14"/>
                <w:color w:val="auto"/>
              </w:rPr>
            </w:pPr>
          </w:p>
        </w:tc>
        <w:tc>
          <w:tcPr>
            <w:tcW w:w="2100" w:type="dxa"/>
            <w:vAlign w:val="bottom"/>
            <w:gridSpan w:val="3"/>
          </w:tcPr>
          <w:p>
            <w:pPr>
              <w:jc w:val="right"/>
              <w:ind w:right="293"/>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59"/>
        </w:trPr>
        <w:tc>
          <w:tcPr>
            <w:tcW w:w="932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2100" w:type="dxa"/>
            <w:vAlign w:val="bottom"/>
            <w:tcBorders>
              <w:bottom w:val="single" w:sz="8" w:color="auto"/>
            </w:tcBorders>
            <w:gridSpan w:val="3"/>
          </w:tcPr>
          <w:p>
            <w:pPr>
              <w:jc w:val="right"/>
              <w:ind w:right="473"/>
              <w:spacing w:after="0" w:line="159" w:lineRule="exact"/>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42"/>
        </w:trPr>
        <w:tc>
          <w:tcPr>
            <w:tcW w:w="9320" w:type="dxa"/>
            <w:vAlign w:val="bottom"/>
            <w:gridSpan w:val="2"/>
            <w:vMerge w:val="continue"/>
          </w:tcPr>
          <w:p>
            <w:pPr>
              <w:spacing w:after="0"/>
              <w:rPr>
                <w:sz w:val="12"/>
                <w:szCs w:val="12"/>
                <w:color w:val="auto"/>
              </w:rPr>
            </w:pPr>
          </w:p>
        </w:tc>
        <w:tc>
          <w:tcPr>
            <w:tcW w:w="1200" w:type="dxa"/>
            <w:vAlign w:val="bottom"/>
          </w:tcPr>
          <w:p>
            <w:pPr>
              <w:jc w:val="right"/>
              <w:ind w:right="255"/>
              <w:spacing w:after="0" w:line="142" w:lineRule="exact"/>
              <w:rPr>
                <w:sz w:val="20"/>
                <w:szCs w:val="20"/>
                <w:color w:val="auto"/>
              </w:rPr>
            </w:pPr>
            <w:r>
              <w:rPr>
                <w:rFonts w:ascii="Arial" w:cs="Arial" w:eastAsia="Arial" w:hAnsi="Arial"/>
                <w:sz w:val="14"/>
                <w:szCs w:val="14"/>
                <w:color w:val="auto"/>
              </w:rPr>
              <w:t>2015</w:t>
            </w:r>
          </w:p>
        </w:tc>
        <w:tc>
          <w:tcPr>
            <w:tcW w:w="220" w:type="dxa"/>
            <w:vAlign w:val="bottom"/>
          </w:tcPr>
          <w:p>
            <w:pPr>
              <w:spacing w:after="0"/>
              <w:rPr>
                <w:sz w:val="12"/>
                <w:szCs w:val="12"/>
                <w:color w:val="auto"/>
              </w:rPr>
            </w:pPr>
          </w:p>
        </w:tc>
        <w:tc>
          <w:tcPr>
            <w:tcW w:w="680" w:type="dxa"/>
            <w:vAlign w:val="bottom"/>
          </w:tcPr>
          <w:p>
            <w:pPr>
              <w:jc w:val="right"/>
              <w:ind w:right="273"/>
              <w:spacing w:after="0" w:line="142" w:lineRule="exact"/>
              <w:rPr>
                <w:sz w:val="20"/>
                <w:szCs w:val="20"/>
                <w:color w:val="auto"/>
              </w:rPr>
            </w:pPr>
            <w:r>
              <w:rPr>
                <w:rFonts w:ascii="Arial" w:cs="Arial" w:eastAsia="Arial" w:hAnsi="Arial"/>
                <w:sz w:val="14"/>
                <w:szCs w:val="14"/>
                <w:color w:val="auto"/>
                <w:w w:val="96"/>
              </w:rPr>
              <w:t>2014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00" w:type="dxa"/>
            <w:vAlign w:val="bottom"/>
            <w:tcBorders>
              <w:top w:val="single" w:sz="8" w:color="auto"/>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200" w:type="dxa"/>
            <w:vAlign w:val="bottom"/>
            <w:tcBorders>
              <w:top w:val="single" w:sz="8" w:color="auto"/>
              <w:bottom w:val="single" w:sz="8" w:color="auto"/>
            </w:tcBorders>
            <w:shd w:val="clear" w:color="auto" w:fill="E5E5E5"/>
          </w:tcPr>
          <w:p>
            <w:pPr>
              <w:jc w:val="right"/>
              <w:ind w:right="115"/>
              <w:spacing w:after="0"/>
              <w:rPr>
                <w:sz w:val="20"/>
                <w:szCs w:val="20"/>
                <w:color w:val="auto"/>
              </w:rPr>
            </w:pPr>
            <w:r>
              <w:rPr>
                <w:rFonts w:ascii="Arial" w:cs="Arial" w:eastAsia="Arial" w:hAnsi="Arial"/>
                <w:sz w:val="18"/>
                <w:szCs w:val="18"/>
                <w:b w:val="1"/>
                <w:bCs w:val="1"/>
                <w:color w:val="auto"/>
              </w:rPr>
              <w:t>$ 4,318</w:t>
            </w:r>
          </w:p>
        </w:tc>
        <w:tc>
          <w:tcPr>
            <w:tcW w:w="22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top w:val="single" w:sz="8" w:color="auto"/>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b w:val="1"/>
                <w:bCs w:val="1"/>
                <w:color w:val="auto"/>
                <w:w w:val="97"/>
              </w:rPr>
              <w:t>3,156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E5E5E5"/>
          </w:tcPr>
          <w:p>
            <w:pPr>
              <w:ind w:left="420"/>
              <w:spacing w:after="0"/>
              <w:rPr>
                <w:sz w:val="20"/>
                <w:szCs w:val="20"/>
                <w:color w:val="auto"/>
              </w:rPr>
            </w:pPr>
            <w:r>
              <w:rPr>
                <w:rFonts w:ascii="Arial" w:cs="Arial" w:eastAsia="Arial" w:hAnsi="Arial"/>
                <w:sz w:val="18"/>
                <w:szCs w:val="18"/>
                <w:color w:val="auto"/>
              </w:rPr>
              <w:t>Capital expenditures</w:t>
            </w:r>
          </w:p>
        </w:tc>
        <w:tc>
          <w:tcPr>
            <w:tcW w:w="1200" w:type="dxa"/>
            <w:vAlign w:val="bottom"/>
            <w:shd w:val="clear" w:color="auto" w:fill="E5E5E5"/>
          </w:tcPr>
          <w:p>
            <w:pPr>
              <w:jc w:val="right"/>
              <w:ind w:right="55"/>
              <w:spacing w:after="0"/>
              <w:rPr>
                <w:sz w:val="20"/>
                <w:szCs w:val="20"/>
                <w:color w:val="auto"/>
              </w:rPr>
            </w:pPr>
            <w:r>
              <w:rPr>
                <w:rFonts w:ascii="Arial" w:cs="Arial" w:eastAsia="Arial" w:hAnsi="Arial"/>
                <w:sz w:val="18"/>
                <w:szCs w:val="18"/>
                <w:color w:val="auto"/>
              </w:rPr>
              <w:t>(829)</w:t>
            </w:r>
          </w:p>
        </w:tc>
        <w:tc>
          <w:tcPr>
            <w:tcW w:w="22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Cash paid for intangible assets</w:t>
            </w:r>
          </w:p>
        </w:tc>
        <w:tc>
          <w:tcPr>
            <w:tcW w:w="1200" w:type="dxa"/>
            <w:vAlign w:val="bottom"/>
          </w:tcPr>
          <w:p>
            <w:pPr>
              <w:jc w:val="right"/>
              <w:ind w:right="55"/>
              <w:spacing w:after="0"/>
              <w:rPr>
                <w:sz w:val="20"/>
                <w:szCs w:val="20"/>
                <w:color w:val="auto"/>
              </w:rPr>
            </w:pPr>
            <w:r>
              <w:rPr>
                <w:rFonts w:ascii="Arial" w:cs="Arial" w:eastAsia="Arial" w:hAnsi="Arial"/>
                <w:sz w:val="18"/>
                <w:szCs w:val="18"/>
                <w:color w:val="auto"/>
              </w:rPr>
              <w:t>(99)</w:t>
            </w:r>
          </w:p>
        </w:tc>
        <w:tc>
          <w:tcPr>
            <w:tcW w:w="220" w:type="dxa"/>
            <w:vAlign w:val="bottom"/>
          </w:tcPr>
          <w:p>
            <w:pPr>
              <w:spacing w:after="0"/>
              <w:rPr>
                <w:sz w:val="18"/>
                <w:szCs w:val="18"/>
                <w:color w:val="auto"/>
              </w:rPr>
            </w:pPr>
          </w:p>
        </w:tc>
        <w:tc>
          <w:tcPr>
            <w:tcW w:w="680" w:type="dxa"/>
            <w:vAlign w:val="bottom"/>
          </w:tcPr>
          <w:p>
            <w:pPr>
              <w:jc w:val="right"/>
              <w:ind w:right="73"/>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Acquisitions, net of cash acquired</w:t>
            </w:r>
          </w:p>
        </w:tc>
        <w:tc>
          <w:tcPr>
            <w:tcW w:w="1200" w:type="dxa"/>
            <w:vAlign w:val="bottom"/>
            <w:shd w:val="clear" w:color="auto" w:fill="E5E5E5"/>
          </w:tcPr>
          <w:p>
            <w:pPr>
              <w:jc w:val="right"/>
              <w:ind w:right="55"/>
              <w:spacing w:after="0"/>
              <w:rPr>
                <w:sz w:val="20"/>
                <w:szCs w:val="20"/>
                <w:color w:val="auto"/>
              </w:rPr>
            </w:pPr>
            <w:r>
              <w:rPr>
                <w:rFonts w:ascii="Arial" w:cs="Arial" w:eastAsia="Arial" w:hAnsi="Arial"/>
                <w:sz w:val="18"/>
                <w:szCs w:val="18"/>
                <w:color w:val="auto"/>
              </w:rPr>
              <w:t>(38)</w:t>
            </w:r>
          </w:p>
        </w:tc>
        <w:tc>
          <w:tcPr>
            <w:tcW w:w="22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Note receivable from Comcast</w:t>
            </w:r>
          </w:p>
        </w:tc>
        <w:tc>
          <w:tcPr>
            <w:tcW w:w="1200" w:type="dxa"/>
            <w:vAlign w:val="bottom"/>
          </w:tcPr>
          <w:p>
            <w:pPr>
              <w:jc w:val="right"/>
              <w:ind w:right="55"/>
              <w:spacing w:after="0"/>
              <w:rPr>
                <w:sz w:val="20"/>
                <w:szCs w:val="20"/>
                <w:color w:val="auto"/>
              </w:rPr>
            </w:pPr>
            <w:r>
              <w:rPr>
                <w:rFonts w:ascii="Arial" w:cs="Arial" w:eastAsia="Arial" w:hAnsi="Arial"/>
                <w:sz w:val="18"/>
                <w:szCs w:val="18"/>
                <w:color w:val="auto"/>
              </w:rPr>
              <w:t>(77)</w:t>
            </w:r>
          </w:p>
        </w:tc>
        <w:tc>
          <w:tcPr>
            <w:tcW w:w="220" w:type="dxa"/>
            <w:vAlign w:val="bottom"/>
          </w:tcPr>
          <w:p>
            <w:pPr>
              <w:spacing w:after="0"/>
              <w:rPr>
                <w:sz w:val="18"/>
                <w:szCs w:val="18"/>
                <w:color w:val="auto"/>
              </w:rPr>
            </w:pPr>
          </w:p>
        </w:tc>
        <w:tc>
          <w:tcPr>
            <w:tcW w:w="68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Proceeds from sales of businesses and investments</w:t>
            </w:r>
          </w:p>
        </w:tc>
        <w:tc>
          <w:tcPr>
            <w:tcW w:w="1200" w:type="dxa"/>
            <w:vAlign w:val="bottom"/>
            <w:shd w:val="clear" w:color="auto" w:fill="E5E5E5"/>
          </w:tcPr>
          <w:p>
            <w:pPr>
              <w:jc w:val="right"/>
              <w:ind w:right="115"/>
              <w:spacing w:after="0"/>
              <w:rPr>
                <w:sz w:val="20"/>
                <w:szCs w:val="20"/>
                <w:color w:val="auto"/>
              </w:rPr>
            </w:pPr>
            <w:r>
              <w:rPr>
                <w:rFonts w:ascii="Arial" w:cs="Arial" w:eastAsia="Arial" w:hAnsi="Arial"/>
                <w:sz w:val="18"/>
                <w:szCs w:val="18"/>
                <w:color w:val="auto"/>
              </w:rPr>
              <w:t>218</w:t>
            </w:r>
          </w:p>
        </w:tc>
        <w:tc>
          <w:tcPr>
            <w:tcW w:w="22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Purchases of investments</w:t>
            </w:r>
          </w:p>
        </w:tc>
        <w:tc>
          <w:tcPr>
            <w:tcW w:w="1200" w:type="dxa"/>
            <w:vAlign w:val="bottom"/>
          </w:tcPr>
          <w:p>
            <w:pPr>
              <w:jc w:val="right"/>
              <w:ind w:right="55"/>
              <w:spacing w:after="0"/>
              <w:rPr>
                <w:sz w:val="20"/>
                <w:szCs w:val="20"/>
                <w:color w:val="auto"/>
              </w:rPr>
            </w:pPr>
            <w:r>
              <w:rPr>
                <w:rFonts w:ascii="Arial" w:cs="Arial" w:eastAsia="Arial" w:hAnsi="Arial"/>
                <w:sz w:val="18"/>
                <w:szCs w:val="18"/>
                <w:color w:val="auto"/>
              </w:rPr>
              <w:t>(626)</w:t>
            </w:r>
          </w:p>
        </w:tc>
        <w:tc>
          <w:tcPr>
            <w:tcW w:w="220" w:type="dxa"/>
            <w:vAlign w:val="bottom"/>
          </w:tcPr>
          <w:p>
            <w:pPr>
              <w:spacing w:after="0"/>
              <w:rPr>
                <w:sz w:val="18"/>
                <w:szCs w:val="18"/>
                <w:color w:val="auto"/>
              </w:rPr>
            </w:pPr>
          </w:p>
        </w:tc>
        <w:tc>
          <w:tcPr>
            <w:tcW w:w="680" w:type="dxa"/>
            <w:vAlign w:val="bottom"/>
          </w:tcPr>
          <w:p>
            <w:pPr>
              <w:jc w:val="right"/>
              <w:ind w:right="73"/>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Other</w:t>
            </w:r>
          </w:p>
        </w:tc>
        <w:tc>
          <w:tcPr>
            <w:tcW w:w="1200" w:type="dxa"/>
            <w:vAlign w:val="bottom"/>
            <w:tcBorders>
              <w:bottom w:val="single" w:sz="8" w:color="auto"/>
            </w:tcBorders>
            <w:shd w:val="clear" w:color="auto" w:fill="E5E5E5"/>
          </w:tcPr>
          <w:p>
            <w:pPr>
              <w:jc w:val="right"/>
              <w:ind w:right="115"/>
              <w:spacing w:after="0"/>
              <w:rPr>
                <w:sz w:val="20"/>
                <w:szCs w:val="20"/>
                <w:color w:val="auto"/>
              </w:rPr>
            </w:pPr>
            <w:r>
              <w:rPr>
                <w:rFonts w:ascii="Arial" w:cs="Arial" w:eastAsia="Arial" w:hAnsi="Arial"/>
                <w:sz w:val="18"/>
                <w:szCs w:val="18"/>
                <w:color w:val="auto"/>
              </w:rPr>
              <w:t>186</w:t>
            </w:r>
          </w:p>
        </w:tc>
        <w:tc>
          <w:tcPr>
            <w:tcW w:w="22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120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b w:val="1"/>
                <w:bCs w:val="1"/>
                <w:color w:val="auto"/>
              </w:rPr>
              <w:t>(1,265)</w:t>
            </w: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w w:val="87"/>
              </w:rPr>
              <w:t>(1,257)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0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Financing Activities</w:t>
            </w:r>
          </w:p>
        </w:tc>
        <w:tc>
          <w:tcPr>
            <w:tcW w:w="120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Proceeds from (repayments of) borrowings from Comcast, net</w:t>
            </w:r>
          </w:p>
        </w:tc>
        <w:tc>
          <w:tcPr>
            <w:tcW w:w="1200" w:type="dxa"/>
            <w:vAlign w:val="bottom"/>
          </w:tcPr>
          <w:p>
            <w:pPr>
              <w:jc w:val="right"/>
              <w:ind w:right="55"/>
              <w:spacing w:after="0"/>
              <w:rPr>
                <w:sz w:val="20"/>
                <w:szCs w:val="20"/>
                <w:color w:val="auto"/>
              </w:rPr>
            </w:pPr>
            <w:r>
              <w:rPr>
                <w:rFonts w:ascii="Arial" w:cs="Arial" w:eastAsia="Arial" w:hAnsi="Arial"/>
                <w:sz w:val="18"/>
                <w:szCs w:val="18"/>
                <w:color w:val="auto"/>
              </w:rPr>
              <w:t>(896)</w:t>
            </w:r>
          </w:p>
        </w:tc>
        <w:tc>
          <w:tcPr>
            <w:tcW w:w="220" w:type="dxa"/>
            <w:vAlign w:val="bottom"/>
          </w:tcPr>
          <w:p>
            <w:pPr>
              <w:spacing w:after="0"/>
              <w:rPr>
                <w:sz w:val="18"/>
                <w:szCs w:val="18"/>
                <w:color w:val="auto"/>
              </w:rPr>
            </w:pPr>
          </w:p>
        </w:tc>
        <w:tc>
          <w:tcPr>
            <w:tcW w:w="680" w:type="dxa"/>
            <w:vAlign w:val="bottom"/>
          </w:tcPr>
          <w:p>
            <w:pPr>
              <w:jc w:val="right"/>
              <w:ind w:right="133"/>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E5E5E5"/>
          </w:tcPr>
          <w:p>
            <w:pPr>
              <w:ind w:left="420"/>
              <w:spacing w:after="0"/>
              <w:rPr>
                <w:sz w:val="20"/>
                <w:szCs w:val="20"/>
                <w:color w:val="auto"/>
              </w:rPr>
            </w:pPr>
            <w:r>
              <w:rPr>
                <w:rFonts w:ascii="Arial" w:cs="Arial" w:eastAsia="Arial" w:hAnsi="Arial"/>
                <w:sz w:val="18"/>
                <w:szCs w:val="18"/>
                <w:color w:val="auto"/>
              </w:rPr>
              <w:t>Repurchases and repayments of debt</w:t>
            </w:r>
          </w:p>
        </w:tc>
        <w:tc>
          <w:tcPr>
            <w:tcW w:w="1200" w:type="dxa"/>
            <w:vAlign w:val="bottom"/>
            <w:shd w:val="clear" w:color="auto" w:fill="E5E5E5"/>
          </w:tcPr>
          <w:p>
            <w:pPr>
              <w:jc w:val="right"/>
              <w:ind w:right="55"/>
              <w:spacing w:after="0"/>
              <w:rPr>
                <w:sz w:val="20"/>
                <w:szCs w:val="20"/>
                <w:color w:val="auto"/>
              </w:rPr>
            </w:pPr>
            <w:r>
              <w:rPr>
                <w:rFonts w:ascii="Arial" w:cs="Arial" w:eastAsia="Arial" w:hAnsi="Arial"/>
                <w:sz w:val="18"/>
                <w:szCs w:val="18"/>
                <w:color w:val="auto"/>
              </w:rPr>
              <w:t>(1,004)</w:t>
            </w:r>
          </w:p>
        </w:tc>
        <w:tc>
          <w:tcPr>
            <w:tcW w:w="22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Distributions to noncontrolling interests</w:t>
            </w:r>
          </w:p>
        </w:tc>
        <w:tc>
          <w:tcPr>
            <w:tcW w:w="1200" w:type="dxa"/>
            <w:vAlign w:val="bottom"/>
          </w:tcPr>
          <w:p>
            <w:pPr>
              <w:jc w:val="right"/>
              <w:ind w:right="55"/>
              <w:spacing w:after="0"/>
              <w:rPr>
                <w:sz w:val="20"/>
                <w:szCs w:val="20"/>
                <w:color w:val="auto"/>
              </w:rPr>
            </w:pPr>
            <w:r>
              <w:rPr>
                <w:rFonts w:ascii="Arial" w:cs="Arial" w:eastAsia="Arial" w:hAnsi="Arial"/>
                <w:sz w:val="18"/>
                <w:szCs w:val="18"/>
                <w:color w:val="auto"/>
              </w:rPr>
              <w:t>(146)</w:t>
            </w:r>
          </w:p>
        </w:tc>
        <w:tc>
          <w:tcPr>
            <w:tcW w:w="220" w:type="dxa"/>
            <w:vAlign w:val="bottom"/>
          </w:tcPr>
          <w:p>
            <w:pPr>
              <w:spacing w:after="0"/>
              <w:rPr>
                <w:sz w:val="18"/>
                <w:szCs w:val="18"/>
                <w:color w:val="auto"/>
              </w:rPr>
            </w:pPr>
          </w:p>
        </w:tc>
        <w:tc>
          <w:tcPr>
            <w:tcW w:w="680" w:type="dxa"/>
            <w:vAlign w:val="bottom"/>
          </w:tcPr>
          <w:p>
            <w:pPr>
              <w:jc w:val="right"/>
              <w:ind w:right="73"/>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E5E5E5"/>
          </w:tcPr>
          <w:p>
            <w:pPr>
              <w:ind w:left="420"/>
              <w:spacing w:after="0"/>
              <w:rPr>
                <w:sz w:val="20"/>
                <w:szCs w:val="20"/>
                <w:color w:val="auto"/>
              </w:rPr>
            </w:pPr>
            <w:r>
              <w:rPr>
                <w:rFonts w:ascii="Arial" w:cs="Arial" w:eastAsia="Arial" w:hAnsi="Arial"/>
                <w:sz w:val="18"/>
                <w:szCs w:val="18"/>
                <w:color w:val="auto"/>
              </w:rPr>
              <w:t>Distributions to member</w:t>
            </w:r>
          </w:p>
        </w:tc>
        <w:tc>
          <w:tcPr>
            <w:tcW w:w="1200" w:type="dxa"/>
            <w:vAlign w:val="bottom"/>
            <w:shd w:val="clear" w:color="auto" w:fill="E5E5E5"/>
          </w:tcPr>
          <w:p>
            <w:pPr>
              <w:jc w:val="right"/>
              <w:ind w:right="55"/>
              <w:spacing w:after="0"/>
              <w:rPr>
                <w:sz w:val="20"/>
                <w:szCs w:val="20"/>
                <w:color w:val="auto"/>
              </w:rPr>
            </w:pPr>
            <w:r>
              <w:rPr>
                <w:rFonts w:ascii="Arial" w:cs="Arial" w:eastAsia="Arial" w:hAnsi="Arial"/>
                <w:sz w:val="18"/>
                <w:szCs w:val="18"/>
                <w:color w:val="auto"/>
              </w:rPr>
              <w:t>(1,186)</w:t>
            </w:r>
          </w:p>
        </w:tc>
        <w:tc>
          <w:tcPr>
            <w:tcW w:w="22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w w:val="87"/>
              </w:rPr>
              <w:t>(1,237)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Other</w:t>
            </w:r>
          </w:p>
        </w:tc>
        <w:tc>
          <w:tcPr>
            <w:tcW w:w="120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1200" w:type="dxa"/>
            <w:vAlign w:val="bottom"/>
            <w:tcBorders>
              <w:bottom w:val="single" w:sz="8" w:color="auto"/>
            </w:tcBorders>
            <w:shd w:val="clear" w:color="auto" w:fill="E5E5E5"/>
          </w:tcPr>
          <w:p>
            <w:pPr>
              <w:jc w:val="right"/>
              <w:ind w:right="55"/>
              <w:spacing w:after="0"/>
              <w:rPr>
                <w:sz w:val="20"/>
                <w:szCs w:val="20"/>
                <w:color w:val="auto"/>
              </w:rPr>
            </w:pPr>
            <w:r>
              <w:rPr>
                <w:rFonts w:ascii="Arial" w:cs="Arial" w:eastAsia="Arial" w:hAnsi="Arial"/>
                <w:sz w:val="18"/>
                <w:szCs w:val="18"/>
                <w:b w:val="1"/>
                <w:bCs w:val="1"/>
                <w:color w:val="auto"/>
              </w:rPr>
              <w:t>(3,232)</w:t>
            </w:r>
          </w:p>
        </w:tc>
        <w:tc>
          <w:tcPr>
            <w:tcW w:w="22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b w:val="1"/>
                <w:bCs w:val="1"/>
                <w:color w:val="auto"/>
                <w:w w:val="87"/>
              </w:rPr>
              <w:t>(2,001)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Increase (decrease) in cash and cash equivalents</w:t>
            </w:r>
          </w:p>
        </w:tc>
        <w:tc>
          <w:tcPr>
            <w:tcW w:w="1200" w:type="dxa"/>
            <w:vAlign w:val="bottom"/>
          </w:tcPr>
          <w:p>
            <w:pPr>
              <w:jc w:val="right"/>
              <w:ind w:right="55"/>
              <w:spacing w:after="0"/>
              <w:rPr>
                <w:sz w:val="20"/>
                <w:szCs w:val="20"/>
                <w:color w:val="auto"/>
              </w:rPr>
            </w:pPr>
            <w:r>
              <w:rPr>
                <w:rFonts w:ascii="Arial" w:cs="Arial" w:eastAsia="Arial" w:hAnsi="Arial"/>
                <w:sz w:val="18"/>
                <w:szCs w:val="18"/>
                <w:color w:val="auto"/>
              </w:rPr>
              <w:t>(179)</w:t>
            </w:r>
          </w:p>
        </w:tc>
        <w:tc>
          <w:tcPr>
            <w:tcW w:w="220" w:type="dxa"/>
            <w:vAlign w:val="bottom"/>
          </w:tcPr>
          <w:p>
            <w:pPr>
              <w:spacing w:after="0"/>
              <w:rPr>
                <w:sz w:val="18"/>
                <w:szCs w:val="18"/>
                <w:color w:val="auto"/>
              </w:rPr>
            </w:pPr>
          </w:p>
        </w:tc>
        <w:tc>
          <w:tcPr>
            <w:tcW w:w="680" w:type="dxa"/>
            <w:vAlign w:val="bottom"/>
          </w:tcPr>
          <w:p>
            <w:pPr>
              <w:jc w:val="right"/>
              <w:ind w:right="73"/>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Cash and cash equivalents, beginning of period</w:t>
            </w:r>
          </w:p>
        </w:tc>
        <w:tc>
          <w:tcPr>
            <w:tcW w:w="1200" w:type="dxa"/>
            <w:vAlign w:val="bottom"/>
            <w:tcBorders>
              <w:bottom w:val="single" w:sz="8" w:color="auto"/>
            </w:tcBorders>
            <w:shd w:val="clear" w:color="auto" w:fill="E5E5E5"/>
          </w:tcPr>
          <w:p>
            <w:pPr>
              <w:jc w:val="right"/>
              <w:ind w:right="115"/>
              <w:spacing w:after="0"/>
              <w:rPr>
                <w:sz w:val="20"/>
                <w:szCs w:val="20"/>
                <w:color w:val="auto"/>
              </w:rPr>
            </w:pPr>
            <w:r>
              <w:rPr>
                <w:rFonts w:ascii="Arial" w:cs="Arial" w:eastAsia="Arial" w:hAnsi="Arial"/>
                <w:sz w:val="18"/>
                <w:szCs w:val="18"/>
                <w:color w:val="auto"/>
              </w:rPr>
              <w:t>1,248</w:t>
            </w:r>
          </w:p>
        </w:tc>
        <w:tc>
          <w:tcPr>
            <w:tcW w:w="22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color w:val="auto"/>
              </w:rPr>
              <w:t>967</w:t>
            </w: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93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120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b w:val="1"/>
                <w:bCs w:val="1"/>
                <w:color w:val="auto"/>
              </w:rPr>
              <w:t>$ 1,069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b w:val="1"/>
                <w:bCs w:val="1"/>
                <w:color w:val="auto"/>
              </w:rPr>
              <w:t>865</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Changes in Equity</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Borders>
              <w:right w:val="single" w:sz="8" w:color="auto"/>
            </w:tcBorders>
          </w:tcPr>
          <w:p>
            <w:pPr>
              <w:spacing w:after="0"/>
              <w:rPr>
                <w:sz w:val="14"/>
                <w:szCs w:val="14"/>
                <w:color w:val="auto"/>
              </w:rPr>
            </w:pPr>
          </w:p>
        </w:tc>
        <w:tc>
          <w:tcPr>
            <w:tcW w:w="1220" w:type="dxa"/>
            <w:vAlign w:val="bottom"/>
          </w:tcPr>
          <w:p>
            <w:pPr>
              <w:spacing w:after="0"/>
              <w:rPr>
                <w:sz w:val="14"/>
                <w:szCs w:val="14"/>
                <w:color w:val="auto"/>
              </w:rPr>
            </w:pPr>
          </w:p>
        </w:tc>
        <w:tc>
          <w:tcPr>
            <w:tcW w:w="1340" w:type="dxa"/>
            <w:vAlign w:val="bottom"/>
            <w:gridSpan w:val="2"/>
          </w:tcPr>
          <w:p>
            <w:pPr>
              <w:jc w:val="center"/>
              <w:spacing w:after="0"/>
              <w:rPr>
                <w:sz w:val="20"/>
                <w:szCs w:val="20"/>
                <w:color w:val="auto"/>
              </w:rPr>
            </w:pPr>
            <w:r>
              <w:rPr>
                <w:rFonts w:ascii="Arial" w:cs="Arial" w:eastAsia="Arial" w:hAnsi="Arial"/>
                <w:sz w:val="14"/>
                <w:szCs w:val="14"/>
                <w:color w:val="auto"/>
                <w:w w:val="88"/>
              </w:rPr>
              <w:t>Accumulated</w:t>
            </w: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49"/>
        </w:trPr>
        <w:tc>
          <w:tcPr>
            <w:tcW w:w="4840" w:type="dxa"/>
            <w:vAlign w:val="bottom"/>
          </w:tcPr>
          <w:p>
            <w:pPr>
              <w:spacing w:after="0"/>
              <w:rPr>
                <w:sz w:val="12"/>
                <w:szCs w:val="12"/>
                <w:color w:val="auto"/>
              </w:rPr>
            </w:pPr>
          </w:p>
        </w:tc>
        <w:tc>
          <w:tcPr>
            <w:tcW w:w="1700" w:type="dxa"/>
            <w:vAlign w:val="bottom"/>
            <w:tcBorders>
              <w:right w:val="single" w:sz="8" w:color="auto"/>
            </w:tcBorders>
            <w:gridSpan w:val="2"/>
          </w:tcPr>
          <w:p>
            <w:pPr>
              <w:jc w:val="right"/>
              <w:ind w:right="594"/>
              <w:spacing w:after="0" w:line="149" w:lineRule="exact"/>
              <w:rPr>
                <w:sz w:val="20"/>
                <w:szCs w:val="20"/>
                <w:color w:val="auto"/>
              </w:rPr>
            </w:pPr>
            <w:r>
              <w:rPr>
                <w:rFonts w:ascii="Arial" w:cs="Arial" w:eastAsia="Arial" w:hAnsi="Arial"/>
                <w:sz w:val="14"/>
                <w:szCs w:val="14"/>
                <w:color w:val="auto"/>
              </w:rPr>
              <w:t>Redeemable</w:t>
            </w:r>
          </w:p>
        </w:tc>
        <w:tc>
          <w:tcPr>
            <w:tcW w:w="1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tcPr>
          <w:p>
            <w:pPr>
              <w:jc w:val="center"/>
              <w:ind w:right="375"/>
              <w:spacing w:after="0" w:line="149" w:lineRule="exact"/>
              <w:rPr>
                <w:sz w:val="20"/>
                <w:szCs w:val="20"/>
                <w:color w:val="auto"/>
              </w:rPr>
            </w:pPr>
            <w:r>
              <w:rPr>
                <w:rFonts w:ascii="Arial" w:cs="Arial" w:eastAsia="Arial" w:hAnsi="Arial"/>
                <w:sz w:val="14"/>
                <w:szCs w:val="14"/>
                <w:color w:val="auto"/>
                <w:w w:val="91"/>
              </w:rPr>
              <w:t>Other</w:t>
            </w:r>
          </w:p>
        </w:tc>
        <w:tc>
          <w:tcPr>
            <w:tcW w:w="3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49"/>
        </w:trPr>
        <w:tc>
          <w:tcPr>
            <w:tcW w:w="4840" w:type="dxa"/>
            <w:vAlign w:val="bottom"/>
          </w:tcPr>
          <w:p>
            <w:pPr>
              <w:spacing w:after="0"/>
              <w:rPr>
                <w:sz w:val="12"/>
                <w:szCs w:val="12"/>
                <w:color w:val="auto"/>
              </w:rPr>
            </w:pPr>
          </w:p>
        </w:tc>
        <w:tc>
          <w:tcPr>
            <w:tcW w:w="1700" w:type="dxa"/>
            <w:vAlign w:val="bottom"/>
            <w:tcBorders>
              <w:right w:val="single" w:sz="8" w:color="auto"/>
            </w:tcBorders>
            <w:gridSpan w:val="2"/>
          </w:tcPr>
          <w:p>
            <w:pPr>
              <w:ind w:left="260"/>
              <w:spacing w:after="0" w:line="149" w:lineRule="exact"/>
              <w:rPr>
                <w:sz w:val="20"/>
                <w:szCs w:val="20"/>
                <w:color w:val="auto"/>
              </w:rPr>
            </w:pPr>
            <w:r>
              <w:rPr>
                <w:rFonts w:ascii="Arial" w:cs="Arial" w:eastAsia="Arial" w:hAnsi="Arial"/>
                <w:sz w:val="14"/>
                <w:szCs w:val="14"/>
                <w:color w:val="auto"/>
              </w:rPr>
              <w:t>Noncontrolling</w:t>
            </w:r>
          </w:p>
        </w:tc>
        <w:tc>
          <w:tcPr>
            <w:tcW w:w="1220" w:type="dxa"/>
            <w:vAlign w:val="bottom"/>
          </w:tcPr>
          <w:p>
            <w:pPr>
              <w:jc w:val="right"/>
              <w:ind w:right="195"/>
              <w:spacing w:after="0" w:line="149" w:lineRule="exact"/>
              <w:rPr>
                <w:sz w:val="20"/>
                <w:szCs w:val="20"/>
                <w:color w:val="auto"/>
              </w:rPr>
            </w:pPr>
            <w:r>
              <w:rPr>
                <w:rFonts w:ascii="Arial" w:cs="Arial" w:eastAsia="Arial" w:hAnsi="Arial"/>
                <w:sz w:val="14"/>
                <w:szCs w:val="14"/>
                <w:color w:val="auto"/>
              </w:rPr>
              <w:t>Member’s</w:t>
            </w:r>
          </w:p>
        </w:tc>
        <w:tc>
          <w:tcPr>
            <w:tcW w:w="13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Comprehensive</w:t>
            </w:r>
          </w:p>
        </w:tc>
        <w:tc>
          <w:tcPr>
            <w:tcW w:w="13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Noncontrolling</w:t>
            </w: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59"/>
        </w:trPr>
        <w:tc>
          <w:tcPr>
            <w:tcW w:w="484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400" w:type="dxa"/>
            <w:vAlign w:val="bottom"/>
            <w:tcBorders>
              <w:bottom w:val="single" w:sz="8" w:color="auto"/>
            </w:tcBorders>
          </w:tcPr>
          <w:p>
            <w:pPr>
              <w:spacing w:after="0"/>
              <w:rPr>
                <w:sz w:val="13"/>
                <w:szCs w:val="13"/>
                <w:color w:val="auto"/>
              </w:rPr>
            </w:pPr>
          </w:p>
        </w:tc>
        <w:tc>
          <w:tcPr>
            <w:tcW w:w="1300" w:type="dxa"/>
            <w:vAlign w:val="bottom"/>
            <w:tcBorders>
              <w:bottom w:val="single" w:sz="8" w:color="auto"/>
              <w:right w:val="single" w:sz="8" w:color="auto"/>
            </w:tcBorders>
          </w:tcPr>
          <w:p>
            <w:pPr>
              <w:jc w:val="right"/>
              <w:ind w:right="714"/>
              <w:spacing w:after="0" w:line="159" w:lineRule="exact"/>
              <w:rPr>
                <w:sz w:val="20"/>
                <w:szCs w:val="20"/>
                <w:color w:val="auto"/>
              </w:rPr>
            </w:pPr>
            <w:r>
              <w:rPr>
                <w:rFonts w:ascii="Arial" w:cs="Arial" w:eastAsia="Arial" w:hAnsi="Arial"/>
                <w:sz w:val="14"/>
                <w:szCs w:val="14"/>
                <w:color w:val="auto"/>
                <w:w w:val="89"/>
              </w:rPr>
              <w:t>Interests</w:t>
            </w:r>
          </w:p>
        </w:tc>
        <w:tc>
          <w:tcPr>
            <w:tcW w:w="1220" w:type="dxa"/>
            <w:vAlign w:val="bottom"/>
            <w:tcBorders>
              <w:bottom w:val="single" w:sz="8" w:color="auto"/>
            </w:tcBorders>
          </w:tcPr>
          <w:p>
            <w:pPr>
              <w:jc w:val="right"/>
              <w:ind w:right="275"/>
              <w:spacing w:after="0" w:line="159" w:lineRule="exact"/>
              <w:rPr>
                <w:sz w:val="20"/>
                <w:szCs w:val="20"/>
                <w:color w:val="auto"/>
              </w:rPr>
            </w:pPr>
            <w:r>
              <w:rPr>
                <w:rFonts w:ascii="Arial" w:cs="Arial" w:eastAsia="Arial" w:hAnsi="Arial"/>
                <w:sz w:val="14"/>
                <w:szCs w:val="14"/>
                <w:color w:val="auto"/>
              </w:rPr>
              <w:t>Capital</w:t>
            </w:r>
          </w:p>
        </w:tc>
        <w:tc>
          <w:tcPr>
            <w:tcW w:w="1340" w:type="dxa"/>
            <w:vAlign w:val="bottom"/>
            <w:tcBorders>
              <w:bottom w:val="single" w:sz="8" w:color="auto"/>
            </w:tcBorders>
            <w:gridSpan w:val="2"/>
          </w:tcPr>
          <w:p>
            <w:pPr>
              <w:jc w:val="center"/>
              <w:spacing w:after="0" w:line="159" w:lineRule="exact"/>
              <w:rPr>
                <w:sz w:val="20"/>
                <w:szCs w:val="20"/>
                <w:color w:val="auto"/>
              </w:rPr>
            </w:pPr>
            <w:r>
              <w:rPr>
                <w:rFonts w:ascii="Arial" w:cs="Arial" w:eastAsia="Arial" w:hAnsi="Arial"/>
                <w:sz w:val="14"/>
                <w:szCs w:val="14"/>
                <w:color w:val="auto"/>
                <w:w w:val="90"/>
              </w:rPr>
              <w:t>Income (Loss)</w:t>
            </w:r>
          </w:p>
        </w:tc>
        <w:tc>
          <w:tcPr>
            <w:tcW w:w="3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74"/>
              <w:spacing w:after="0" w:line="159" w:lineRule="exact"/>
              <w:rPr>
                <w:sz w:val="20"/>
                <w:szCs w:val="20"/>
                <w:color w:val="auto"/>
              </w:rPr>
            </w:pPr>
            <w:r>
              <w:rPr>
                <w:rFonts w:ascii="Arial" w:cs="Arial" w:eastAsia="Arial" w:hAnsi="Arial"/>
                <w:sz w:val="14"/>
                <w:szCs w:val="14"/>
                <w:color w:val="auto"/>
                <w:w w:val="89"/>
              </w:rPr>
              <w:t>Interests</w:t>
            </w:r>
          </w:p>
        </w:tc>
        <w:tc>
          <w:tcPr>
            <w:tcW w:w="1000" w:type="dxa"/>
            <w:vAlign w:val="bottom"/>
            <w:tcBorders>
              <w:bottom w:val="single" w:sz="8" w:color="auto"/>
            </w:tcBorders>
            <w:gridSpan w:val="2"/>
          </w:tcPr>
          <w:p>
            <w:pPr>
              <w:ind w:left="220"/>
              <w:spacing w:after="0" w:line="159" w:lineRule="exact"/>
              <w:rPr>
                <w:sz w:val="20"/>
                <w:szCs w:val="20"/>
                <w:color w:val="auto"/>
              </w:rPr>
            </w:pPr>
            <w:r>
              <w:rPr>
                <w:rFonts w:ascii="Arial" w:cs="Arial" w:eastAsia="Arial" w:hAnsi="Arial"/>
                <w:sz w:val="14"/>
                <w:szCs w:val="14"/>
                <w:color w:val="auto"/>
              </w:rPr>
              <w:t>Total Equity</w:t>
            </w:r>
          </w:p>
        </w:tc>
      </w:tr>
      <w:tr>
        <w:trPr>
          <w:trHeight w:val="210"/>
        </w:trPr>
        <w:tc>
          <w:tcPr>
            <w:tcW w:w="4840" w:type="dxa"/>
            <w:vAlign w:val="bottom"/>
            <w:shd w:val="clear" w:color="auto" w:fill="E5E5E5"/>
          </w:tcPr>
          <w:p>
            <w:pPr>
              <w:spacing w:after="0"/>
              <w:rPr>
                <w:sz w:val="20"/>
                <w:szCs w:val="20"/>
                <w:color w:val="auto"/>
              </w:rPr>
            </w:pPr>
            <w:r>
              <w:rPr>
                <w:rFonts w:ascii="Arial" w:cs="Arial" w:eastAsia="Arial" w:hAnsi="Arial"/>
                <w:sz w:val="18"/>
                <w:szCs w:val="18"/>
                <w:color w:val="auto"/>
              </w:rPr>
              <w:t>Balance, December 31, 2013</w:t>
            </w:r>
          </w:p>
        </w:tc>
        <w:tc>
          <w:tcPr>
            <w:tcW w:w="400" w:type="dxa"/>
            <w:vAlign w:val="bottom"/>
            <w:shd w:val="clear" w:color="auto" w:fill="E5E5E5"/>
          </w:tcPr>
          <w:p>
            <w:pPr>
              <w:ind w:left="260"/>
              <w:spacing w:after="0"/>
              <w:rPr>
                <w:sz w:val="20"/>
                <w:szCs w:val="20"/>
                <w:color w:val="auto"/>
              </w:rPr>
            </w:pPr>
            <w:r>
              <w:rPr>
                <w:rFonts w:ascii="Arial" w:cs="Arial" w:eastAsia="Arial" w:hAnsi="Arial"/>
                <w:sz w:val="18"/>
                <w:szCs w:val="18"/>
                <w:color w:val="auto"/>
              </w:rPr>
              <w:t>$</w:t>
            </w:r>
          </w:p>
        </w:tc>
        <w:tc>
          <w:tcPr>
            <w:tcW w:w="1300" w:type="dxa"/>
            <w:vAlign w:val="bottom"/>
            <w:tcBorders>
              <w:right w:val="single" w:sz="8" w:color="auto"/>
            </w:tcBorders>
            <w:shd w:val="clear" w:color="auto" w:fill="E5E5E5"/>
          </w:tcPr>
          <w:p>
            <w:pPr>
              <w:jc w:val="right"/>
              <w:ind w:right="514"/>
              <w:spacing w:after="0"/>
              <w:rPr>
                <w:sz w:val="20"/>
                <w:szCs w:val="20"/>
                <w:color w:val="auto"/>
              </w:rPr>
            </w:pPr>
            <w:r>
              <w:rPr>
                <w:rFonts w:ascii="Arial" w:cs="Arial" w:eastAsia="Arial" w:hAnsi="Arial"/>
                <w:sz w:val="18"/>
                <w:szCs w:val="18"/>
                <w:color w:val="auto"/>
              </w:rPr>
              <w:t>231</w:t>
            </w:r>
          </w:p>
        </w:tc>
        <w:tc>
          <w:tcPr>
            <w:tcW w:w="1220" w:type="dxa"/>
            <w:vAlign w:val="bottom"/>
            <w:shd w:val="clear" w:color="auto" w:fill="E5E5E5"/>
          </w:tcPr>
          <w:p>
            <w:pPr>
              <w:jc w:val="right"/>
              <w:ind w:right="175"/>
              <w:spacing w:after="0"/>
              <w:rPr>
                <w:sz w:val="20"/>
                <w:szCs w:val="20"/>
                <w:color w:val="auto"/>
              </w:rPr>
            </w:pPr>
            <w:r>
              <w:rPr>
                <w:rFonts w:ascii="Arial" w:cs="Arial" w:eastAsia="Arial" w:hAnsi="Arial"/>
                <w:sz w:val="18"/>
                <w:szCs w:val="18"/>
                <w:color w:val="auto"/>
              </w:rPr>
              <w:t>$29,056</w:t>
            </w:r>
          </w:p>
        </w:tc>
        <w:tc>
          <w:tcPr>
            <w:tcW w:w="400" w:type="dxa"/>
            <w:vAlign w:val="bottom"/>
            <w:shd w:val="clear" w:color="auto" w:fill="E5E5E5"/>
          </w:tcPr>
          <w:p>
            <w:pPr>
              <w:ind w:left="220"/>
              <w:spacing w:after="0"/>
              <w:rPr>
                <w:sz w:val="20"/>
                <w:szCs w:val="20"/>
                <w:color w:val="auto"/>
              </w:rPr>
            </w:pPr>
            <w:r>
              <w:rPr>
                <w:rFonts w:ascii="Arial" w:cs="Arial" w:eastAsia="Arial" w:hAnsi="Arial"/>
                <w:sz w:val="18"/>
                <w:szCs w:val="18"/>
                <w:color w:val="auto"/>
              </w:rPr>
              <w:t>$</w:t>
            </w:r>
          </w:p>
        </w:tc>
        <w:tc>
          <w:tcPr>
            <w:tcW w:w="940" w:type="dxa"/>
            <w:vAlign w:val="bottom"/>
            <w:shd w:val="clear" w:color="auto" w:fill="E5E5E5"/>
          </w:tcPr>
          <w:p>
            <w:pPr>
              <w:jc w:val="right"/>
              <w:ind w:right="135"/>
              <w:spacing w:after="0"/>
              <w:rPr>
                <w:sz w:val="20"/>
                <w:szCs w:val="20"/>
                <w:color w:val="auto"/>
              </w:rPr>
            </w:pPr>
            <w:r>
              <w:rPr>
                <w:rFonts w:ascii="Arial" w:cs="Arial" w:eastAsia="Arial" w:hAnsi="Arial"/>
                <w:sz w:val="18"/>
                <w:szCs w:val="18"/>
                <w:color w:val="auto"/>
              </w:rPr>
              <w:t>(16)</w:t>
            </w:r>
          </w:p>
        </w:tc>
        <w:tc>
          <w:tcPr>
            <w:tcW w:w="360" w:type="dxa"/>
            <w:vAlign w:val="bottom"/>
            <w:shd w:val="clear" w:color="auto" w:fill="E5E5E5"/>
          </w:tcPr>
          <w:p>
            <w:pPr>
              <w:ind w:left="220"/>
              <w:spacing w:after="0"/>
              <w:rPr>
                <w:sz w:val="20"/>
                <w:szCs w:val="20"/>
                <w:color w:val="auto"/>
              </w:rPr>
            </w:pPr>
            <w:r>
              <w:rPr>
                <w:rFonts w:ascii="Arial" w:cs="Arial" w:eastAsia="Arial" w:hAnsi="Arial"/>
                <w:sz w:val="18"/>
                <w:szCs w:val="18"/>
                <w:color w:val="auto"/>
              </w:rPr>
              <w:t>$</w:t>
            </w:r>
          </w:p>
        </w:tc>
        <w:tc>
          <w:tcPr>
            <w:tcW w:w="960" w:type="dxa"/>
            <w:vAlign w:val="bottom"/>
            <w:shd w:val="clear" w:color="auto" w:fill="E5E5E5"/>
          </w:tcPr>
          <w:p>
            <w:pPr>
              <w:jc w:val="right"/>
              <w:ind w:right="174"/>
              <w:spacing w:after="0"/>
              <w:rPr>
                <w:sz w:val="20"/>
                <w:szCs w:val="20"/>
                <w:color w:val="auto"/>
              </w:rPr>
            </w:pPr>
            <w:r>
              <w:rPr>
                <w:rFonts w:ascii="Arial" w:cs="Arial" w:eastAsia="Arial" w:hAnsi="Arial"/>
                <w:sz w:val="18"/>
                <w:szCs w:val="18"/>
                <w:color w:val="auto"/>
              </w:rPr>
              <w:t>287</w:t>
            </w:r>
          </w:p>
        </w:tc>
        <w:tc>
          <w:tcPr>
            <w:tcW w:w="360" w:type="dxa"/>
            <w:vAlign w:val="bottom"/>
            <w:shd w:val="clear" w:color="auto" w:fill="E5E5E5"/>
          </w:tcPr>
          <w:p>
            <w:pPr>
              <w:ind w:left="220"/>
              <w:spacing w:after="0"/>
              <w:rPr>
                <w:sz w:val="20"/>
                <w:szCs w:val="20"/>
                <w:color w:val="auto"/>
              </w:rPr>
            </w:pPr>
            <w:r>
              <w:rPr>
                <w:rFonts w:ascii="Arial" w:cs="Arial" w:eastAsia="Arial" w:hAnsi="Arial"/>
                <w:sz w:val="18"/>
                <w:szCs w:val="18"/>
                <w:color w:val="auto"/>
              </w:rPr>
              <w:t>$</w:t>
            </w:r>
          </w:p>
        </w:tc>
        <w:tc>
          <w:tcPr>
            <w:tcW w:w="64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w w:val="94"/>
              </w:rPr>
              <w:t>29,327</w:t>
            </w: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Issuance of subsidiary shares to noncontrolling interests</w:t>
            </w:r>
          </w:p>
        </w:tc>
        <w:tc>
          <w:tcPr>
            <w:tcW w:w="400" w:type="dxa"/>
            <w:vAlign w:val="bottom"/>
          </w:tcPr>
          <w:p>
            <w:pPr>
              <w:spacing w:after="0"/>
              <w:rPr>
                <w:sz w:val="18"/>
                <w:szCs w:val="18"/>
                <w:color w:val="auto"/>
              </w:rPr>
            </w:pPr>
          </w:p>
        </w:tc>
        <w:tc>
          <w:tcPr>
            <w:tcW w:w="1300" w:type="dxa"/>
            <w:vAlign w:val="bottom"/>
            <w:tcBorders>
              <w:right w:val="single" w:sz="8" w:color="auto"/>
            </w:tcBorders>
          </w:tcPr>
          <w:p>
            <w:pPr>
              <w:jc w:val="right"/>
              <w:ind w:right="514"/>
              <w:spacing w:after="0"/>
              <w:rPr>
                <w:sz w:val="20"/>
                <w:szCs w:val="20"/>
                <w:color w:val="auto"/>
              </w:rPr>
            </w:pPr>
            <w:r>
              <w:rPr>
                <w:rFonts w:ascii="Arial" w:cs="Arial" w:eastAsia="Arial" w:hAnsi="Arial"/>
                <w:sz w:val="18"/>
                <w:szCs w:val="18"/>
                <w:color w:val="auto"/>
              </w:rPr>
              <w:t>85</w:t>
            </w:r>
          </w:p>
        </w:tc>
        <w:tc>
          <w:tcPr>
            <w:tcW w:w="1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4840" w:type="dxa"/>
            <w:vAlign w:val="bottom"/>
            <w:shd w:val="clear" w:color="auto" w:fill="E5E5E5"/>
          </w:tcPr>
          <w:p>
            <w:pPr>
              <w:spacing w:after="0"/>
              <w:rPr>
                <w:sz w:val="20"/>
                <w:szCs w:val="20"/>
                <w:color w:val="auto"/>
              </w:rPr>
            </w:pPr>
            <w:r>
              <w:rPr>
                <w:rFonts w:ascii="Arial" w:cs="Arial" w:eastAsia="Arial" w:hAnsi="Arial"/>
                <w:sz w:val="18"/>
                <w:szCs w:val="18"/>
                <w:color w:val="auto"/>
              </w:rPr>
              <w:t>Dividends declared</w:t>
            </w:r>
          </w:p>
        </w:tc>
        <w:tc>
          <w:tcPr>
            <w:tcW w:w="400" w:type="dxa"/>
            <w:vAlign w:val="bottom"/>
            <w:shd w:val="clear" w:color="auto" w:fill="E5E5E5"/>
          </w:tcPr>
          <w:p>
            <w:pPr>
              <w:spacing w:after="0"/>
              <w:rPr>
                <w:sz w:val="18"/>
                <w:szCs w:val="18"/>
                <w:color w:val="auto"/>
              </w:rPr>
            </w:pPr>
          </w:p>
        </w:tc>
        <w:tc>
          <w:tcPr>
            <w:tcW w:w="1300" w:type="dxa"/>
            <w:vAlign w:val="bottom"/>
            <w:tcBorders>
              <w:right w:val="single" w:sz="8" w:color="auto"/>
            </w:tcBorders>
            <w:shd w:val="clear" w:color="auto" w:fill="E5E5E5"/>
          </w:tcPr>
          <w:p>
            <w:pPr>
              <w:spacing w:after="0"/>
              <w:rPr>
                <w:sz w:val="18"/>
                <w:szCs w:val="18"/>
                <w:color w:val="auto"/>
              </w:rPr>
            </w:pPr>
          </w:p>
        </w:tc>
        <w:tc>
          <w:tcPr>
            <w:tcW w:w="1220" w:type="dxa"/>
            <w:vAlign w:val="bottom"/>
            <w:shd w:val="clear" w:color="auto" w:fill="E5E5E5"/>
          </w:tcPr>
          <w:p>
            <w:pPr>
              <w:jc w:val="right"/>
              <w:ind w:right="135"/>
              <w:spacing w:after="0"/>
              <w:rPr>
                <w:sz w:val="20"/>
                <w:szCs w:val="20"/>
                <w:color w:val="auto"/>
              </w:rPr>
            </w:pPr>
            <w:r>
              <w:rPr>
                <w:rFonts w:ascii="Arial" w:cs="Arial" w:eastAsia="Arial" w:hAnsi="Arial"/>
                <w:sz w:val="18"/>
                <w:szCs w:val="18"/>
                <w:color w:val="auto"/>
              </w:rPr>
              <w:t>(1,237)</w:t>
            </w:r>
          </w:p>
        </w:tc>
        <w:tc>
          <w:tcPr>
            <w:tcW w:w="400" w:type="dxa"/>
            <w:vAlign w:val="bottom"/>
            <w:shd w:val="clear" w:color="auto" w:fill="E5E5E5"/>
          </w:tcPr>
          <w:p>
            <w:pPr>
              <w:spacing w:after="0"/>
              <w:rPr>
                <w:sz w:val="18"/>
                <w:szCs w:val="18"/>
                <w:color w:val="auto"/>
              </w:rPr>
            </w:pPr>
          </w:p>
        </w:tc>
        <w:tc>
          <w:tcPr>
            <w:tcW w:w="94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96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(1,237)</w:t>
            </w: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w w:val="95"/>
              </w:rPr>
              <w:t>Contributions from (distributions to) noncontrolling interests, net</w:t>
            </w:r>
          </w:p>
        </w:tc>
        <w:tc>
          <w:tcPr>
            <w:tcW w:w="400" w:type="dxa"/>
            <w:vAlign w:val="bottom"/>
          </w:tcPr>
          <w:p>
            <w:pPr>
              <w:spacing w:after="0"/>
              <w:rPr>
                <w:sz w:val="18"/>
                <w:szCs w:val="18"/>
                <w:color w:val="auto"/>
              </w:rPr>
            </w:pPr>
          </w:p>
        </w:tc>
        <w:tc>
          <w:tcPr>
            <w:tcW w:w="1300" w:type="dxa"/>
            <w:vAlign w:val="bottom"/>
            <w:tcBorders>
              <w:right w:val="single" w:sz="8" w:color="auto"/>
            </w:tcBorders>
          </w:tcPr>
          <w:p>
            <w:pPr>
              <w:jc w:val="right"/>
              <w:ind w:right="454"/>
              <w:spacing w:after="0"/>
              <w:rPr>
                <w:sz w:val="20"/>
                <w:szCs w:val="20"/>
                <w:color w:val="auto"/>
              </w:rPr>
            </w:pPr>
            <w:r>
              <w:rPr>
                <w:rFonts w:ascii="Arial" w:cs="Arial" w:eastAsia="Arial" w:hAnsi="Arial"/>
                <w:sz w:val="18"/>
                <w:szCs w:val="18"/>
                <w:color w:val="auto"/>
              </w:rPr>
              <w:t>(15)</w:t>
            </w:r>
          </w:p>
        </w:tc>
        <w:tc>
          <w:tcPr>
            <w:tcW w:w="1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ind w:right="134"/>
              <w:spacing w:after="0"/>
              <w:rPr>
                <w:sz w:val="20"/>
                <w:szCs w:val="20"/>
                <w:color w:val="auto"/>
              </w:rPr>
            </w:pPr>
            <w:r>
              <w:rPr>
                <w:rFonts w:ascii="Arial" w:cs="Arial" w:eastAsia="Arial" w:hAnsi="Arial"/>
                <w:sz w:val="18"/>
                <w:szCs w:val="18"/>
                <w:color w:val="auto"/>
              </w:rPr>
              <w:t>(120)</w:t>
            </w:r>
          </w:p>
        </w:tc>
        <w:tc>
          <w:tcPr>
            <w:tcW w:w="3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16"/>
        </w:trPr>
        <w:tc>
          <w:tcPr>
            <w:tcW w:w="4840" w:type="dxa"/>
            <w:vAlign w:val="bottom"/>
            <w:shd w:val="clear" w:color="auto" w:fill="E5E5E5"/>
          </w:tcPr>
          <w:p>
            <w:pPr>
              <w:spacing w:after="0"/>
              <w:rPr>
                <w:sz w:val="20"/>
                <w:szCs w:val="20"/>
                <w:color w:val="auto"/>
              </w:rPr>
            </w:pPr>
            <w:r>
              <w:rPr>
                <w:rFonts w:ascii="Arial" w:cs="Arial" w:eastAsia="Arial" w:hAnsi="Arial"/>
                <w:sz w:val="18"/>
                <w:szCs w:val="18"/>
                <w:color w:val="auto"/>
              </w:rPr>
              <w:t>Other comprehensive income (loss)</w:t>
            </w:r>
          </w:p>
        </w:tc>
        <w:tc>
          <w:tcPr>
            <w:tcW w:w="400" w:type="dxa"/>
            <w:vAlign w:val="bottom"/>
            <w:shd w:val="clear" w:color="auto" w:fill="E5E5E5"/>
          </w:tcPr>
          <w:p>
            <w:pPr>
              <w:spacing w:after="0"/>
              <w:rPr>
                <w:sz w:val="18"/>
                <w:szCs w:val="18"/>
                <w:color w:val="auto"/>
              </w:rPr>
            </w:pPr>
          </w:p>
        </w:tc>
        <w:tc>
          <w:tcPr>
            <w:tcW w:w="1300" w:type="dxa"/>
            <w:vAlign w:val="bottom"/>
            <w:tcBorders>
              <w:right w:val="single" w:sz="8" w:color="auto"/>
            </w:tcBorders>
            <w:shd w:val="clear" w:color="auto" w:fill="E5E5E5"/>
          </w:tcPr>
          <w:p>
            <w:pPr>
              <w:spacing w:after="0"/>
              <w:rPr>
                <w:sz w:val="18"/>
                <w:szCs w:val="18"/>
                <w:color w:val="auto"/>
              </w:rPr>
            </w:pPr>
          </w:p>
        </w:tc>
        <w:tc>
          <w:tcPr>
            <w:tcW w:w="122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940" w:type="dxa"/>
            <w:vAlign w:val="bottom"/>
            <w:shd w:val="clear" w:color="auto" w:fill="E5E5E5"/>
          </w:tcPr>
          <w:p>
            <w:pPr>
              <w:jc w:val="right"/>
              <w:ind w:right="195"/>
              <w:spacing w:after="0"/>
              <w:rPr>
                <w:sz w:val="20"/>
                <w:szCs w:val="20"/>
                <w:color w:val="auto"/>
              </w:rPr>
            </w:pPr>
            <w:r>
              <w:rPr>
                <w:rFonts w:ascii="Arial" w:cs="Arial" w:eastAsia="Arial" w:hAnsi="Arial"/>
                <w:sz w:val="18"/>
                <w:szCs w:val="18"/>
                <w:color w:val="auto"/>
              </w:rPr>
              <w:t>4</w:t>
            </w:r>
          </w:p>
        </w:tc>
        <w:tc>
          <w:tcPr>
            <w:tcW w:w="360" w:type="dxa"/>
            <w:vAlign w:val="bottom"/>
            <w:shd w:val="clear" w:color="auto" w:fill="E5E5E5"/>
          </w:tcPr>
          <w:p>
            <w:pPr>
              <w:spacing w:after="0"/>
              <w:rPr>
                <w:sz w:val="18"/>
                <w:szCs w:val="18"/>
                <w:color w:val="auto"/>
              </w:rPr>
            </w:pPr>
          </w:p>
        </w:tc>
        <w:tc>
          <w:tcPr>
            <w:tcW w:w="96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4</w:t>
            </w: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Other</w:t>
            </w:r>
          </w:p>
        </w:tc>
        <w:tc>
          <w:tcPr>
            <w:tcW w:w="400" w:type="dxa"/>
            <w:vAlign w:val="bottom"/>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220" w:type="dxa"/>
            <w:vAlign w:val="bottom"/>
          </w:tcPr>
          <w:p>
            <w:pPr>
              <w:jc w:val="right"/>
              <w:ind w:right="135"/>
              <w:spacing w:after="0"/>
              <w:rPr>
                <w:sz w:val="20"/>
                <w:szCs w:val="20"/>
                <w:color w:val="auto"/>
              </w:rPr>
            </w:pPr>
            <w:r>
              <w:rPr>
                <w:rFonts w:ascii="Arial" w:cs="Arial" w:eastAsia="Arial" w:hAnsi="Arial"/>
                <w:sz w:val="18"/>
                <w:szCs w:val="18"/>
                <w:color w:val="auto"/>
              </w:rPr>
              <w:t>(2)</w:t>
            </w: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ind w:right="134"/>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48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Net income (loss)</w:t>
            </w:r>
          </w:p>
        </w:tc>
        <w:tc>
          <w:tcPr>
            <w:tcW w:w="400" w:type="dxa"/>
            <w:vAlign w:val="bottom"/>
            <w:tcBorders>
              <w:bottom w:val="single" w:sz="8" w:color="auto"/>
            </w:tcBorders>
            <w:shd w:val="clear" w:color="auto" w:fill="E5E5E5"/>
          </w:tcPr>
          <w:p>
            <w:pPr>
              <w:spacing w:after="0"/>
              <w:rPr>
                <w:sz w:val="18"/>
                <w:szCs w:val="18"/>
                <w:color w:val="auto"/>
              </w:rPr>
            </w:pPr>
          </w:p>
        </w:tc>
        <w:tc>
          <w:tcPr>
            <w:tcW w:w="1300" w:type="dxa"/>
            <w:vAlign w:val="bottom"/>
            <w:tcBorders>
              <w:bottom w:val="single" w:sz="8" w:color="auto"/>
              <w:right w:val="single" w:sz="8" w:color="auto"/>
            </w:tcBorders>
            <w:shd w:val="clear" w:color="auto" w:fill="E5E5E5"/>
          </w:tcPr>
          <w:p>
            <w:pPr>
              <w:jc w:val="right"/>
              <w:ind w:right="514"/>
              <w:spacing w:after="0"/>
              <w:rPr>
                <w:sz w:val="20"/>
                <w:szCs w:val="20"/>
                <w:color w:val="auto"/>
              </w:rPr>
            </w:pPr>
            <w:r>
              <w:rPr>
                <w:rFonts w:ascii="Arial" w:cs="Arial" w:eastAsia="Arial" w:hAnsi="Arial"/>
                <w:sz w:val="18"/>
                <w:szCs w:val="18"/>
                <w:color w:val="auto"/>
              </w:rPr>
              <w:t>21</w:t>
            </w:r>
          </w:p>
        </w:tc>
        <w:tc>
          <w:tcPr>
            <w:tcW w:w="1220" w:type="dxa"/>
            <w:vAlign w:val="bottom"/>
            <w:tcBorders>
              <w:bottom w:val="single" w:sz="8" w:color="auto"/>
            </w:tcBorders>
            <w:shd w:val="clear" w:color="auto" w:fill="E5E5E5"/>
          </w:tcPr>
          <w:p>
            <w:pPr>
              <w:jc w:val="right"/>
              <w:ind w:right="175"/>
              <w:spacing w:after="0"/>
              <w:rPr>
                <w:sz w:val="20"/>
                <w:szCs w:val="20"/>
                <w:color w:val="auto"/>
              </w:rPr>
            </w:pPr>
            <w:r>
              <w:rPr>
                <w:rFonts w:ascii="Arial" w:cs="Arial" w:eastAsia="Arial" w:hAnsi="Arial"/>
                <w:sz w:val="18"/>
                <w:szCs w:val="18"/>
                <w:color w:val="auto"/>
              </w:rPr>
              <w:t>2,298</w:t>
            </w:r>
          </w:p>
        </w:tc>
        <w:tc>
          <w:tcPr>
            <w:tcW w:w="400" w:type="dxa"/>
            <w:vAlign w:val="bottom"/>
            <w:tcBorders>
              <w:bottom w:val="single" w:sz="8" w:color="auto"/>
            </w:tcBorders>
            <w:shd w:val="clear" w:color="auto" w:fill="E5E5E5"/>
          </w:tcPr>
          <w:p>
            <w:pPr>
              <w:spacing w:after="0"/>
              <w:rPr>
                <w:sz w:val="18"/>
                <w:szCs w:val="18"/>
                <w:color w:val="auto"/>
              </w:rPr>
            </w:pPr>
          </w:p>
        </w:tc>
        <w:tc>
          <w:tcPr>
            <w:tcW w:w="940" w:type="dxa"/>
            <w:vAlign w:val="bottom"/>
            <w:tcBorders>
              <w:bottom w:val="single" w:sz="8" w:color="auto"/>
            </w:tcBorders>
            <w:shd w:val="clear" w:color="auto" w:fill="E5E5E5"/>
          </w:tcPr>
          <w:p>
            <w:pPr>
              <w:spacing w:after="0"/>
              <w:rPr>
                <w:sz w:val="18"/>
                <w:szCs w:val="18"/>
                <w:color w:val="auto"/>
              </w:rPr>
            </w:pPr>
          </w:p>
        </w:tc>
        <w:tc>
          <w:tcPr>
            <w:tcW w:w="360" w:type="dxa"/>
            <w:vAlign w:val="bottom"/>
            <w:tcBorders>
              <w:bottom w:val="single" w:sz="8" w:color="auto"/>
            </w:tcBorders>
            <w:shd w:val="clear" w:color="auto" w:fill="E5E5E5"/>
          </w:tcPr>
          <w:p>
            <w:pPr>
              <w:spacing w:after="0"/>
              <w:rPr>
                <w:sz w:val="18"/>
                <w:szCs w:val="18"/>
                <w:color w:val="auto"/>
              </w:rPr>
            </w:pPr>
          </w:p>
        </w:tc>
        <w:tc>
          <w:tcPr>
            <w:tcW w:w="960" w:type="dxa"/>
            <w:vAlign w:val="bottom"/>
            <w:tcBorders>
              <w:bottom w:val="single" w:sz="8" w:color="auto"/>
            </w:tcBorders>
            <w:shd w:val="clear" w:color="auto" w:fill="E5E5E5"/>
          </w:tcPr>
          <w:p>
            <w:pPr>
              <w:jc w:val="right"/>
              <w:ind w:right="174"/>
              <w:spacing w:after="0"/>
              <w:rPr>
                <w:sz w:val="20"/>
                <w:szCs w:val="20"/>
                <w:color w:val="auto"/>
              </w:rPr>
            </w:pPr>
            <w:r>
              <w:rPr>
                <w:rFonts w:ascii="Arial" w:cs="Arial" w:eastAsia="Arial" w:hAnsi="Arial"/>
                <w:sz w:val="18"/>
                <w:szCs w:val="18"/>
                <w:color w:val="auto"/>
              </w:rPr>
              <w:t>97</w:t>
            </w:r>
          </w:p>
        </w:tc>
        <w:tc>
          <w:tcPr>
            <w:tcW w:w="36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2,395</w:t>
            </w:r>
          </w:p>
        </w:tc>
      </w:tr>
      <w:tr>
        <w:trPr>
          <w:trHeight w:val="217"/>
        </w:trPr>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Balance, September 30, 2014</w:t>
            </w:r>
          </w:p>
        </w:tc>
        <w:tc>
          <w:tcPr>
            <w:tcW w:w="40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auto"/>
              <w:right w:val="single" w:sz="8" w:color="auto"/>
            </w:tcBorders>
          </w:tcPr>
          <w:p>
            <w:pPr>
              <w:jc w:val="right"/>
              <w:ind w:right="514"/>
              <w:spacing w:after="0"/>
              <w:rPr>
                <w:sz w:val="20"/>
                <w:szCs w:val="20"/>
                <w:color w:val="auto"/>
              </w:rPr>
            </w:pPr>
            <w:r>
              <w:rPr>
                <w:rFonts w:ascii="Arial" w:cs="Arial" w:eastAsia="Arial" w:hAnsi="Arial"/>
                <w:sz w:val="18"/>
                <w:szCs w:val="18"/>
                <w:b w:val="1"/>
                <w:bCs w:val="1"/>
                <w:color w:val="auto"/>
              </w:rPr>
              <w:t>322</w:t>
            </w:r>
          </w:p>
        </w:tc>
        <w:tc>
          <w:tcPr>
            <w:tcW w:w="1220" w:type="dxa"/>
            <w:vAlign w:val="bottom"/>
            <w:tcBorders>
              <w:bottom w:val="single" w:sz="8" w:color="auto"/>
            </w:tcBorders>
          </w:tcPr>
          <w:p>
            <w:pPr>
              <w:jc w:val="right"/>
              <w:ind w:right="175"/>
              <w:spacing w:after="0"/>
              <w:rPr>
                <w:sz w:val="20"/>
                <w:szCs w:val="20"/>
                <w:color w:val="auto"/>
              </w:rPr>
            </w:pPr>
            <w:r>
              <w:rPr>
                <w:rFonts w:ascii="Arial" w:cs="Arial" w:eastAsia="Arial" w:hAnsi="Arial"/>
                <w:sz w:val="18"/>
                <w:szCs w:val="18"/>
                <w:b w:val="1"/>
                <w:bCs w:val="1"/>
                <w:color w:val="auto"/>
              </w:rPr>
              <w:t>$ 30,115</w:t>
            </w:r>
          </w:p>
        </w:tc>
        <w:tc>
          <w:tcPr>
            <w:tcW w:w="40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b w:val="1"/>
                <w:bCs w:val="1"/>
                <w:color w:val="auto"/>
              </w:rPr>
              <w:t>(12)</w:t>
            </w:r>
          </w:p>
        </w:tc>
        <w:tc>
          <w:tcPr>
            <w:tcW w:w="36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b w:val="1"/>
                <w:bCs w:val="1"/>
                <w:color w:val="auto"/>
              </w:rPr>
              <w:t>263</w:t>
            </w:r>
          </w:p>
        </w:tc>
        <w:tc>
          <w:tcPr>
            <w:tcW w:w="36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94"/>
              </w:rPr>
              <w:t>30,366</w:t>
            </w:r>
          </w:p>
        </w:tc>
      </w:tr>
      <w:tr>
        <w:trPr>
          <w:trHeight w:val="216"/>
        </w:trPr>
        <w:tc>
          <w:tcPr>
            <w:tcW w:w="4840" w:type="dxa"/>
            <w:vAlign w:val="bottom"/>
            <w:shd w:val="clear" w:color="auto" w:fill="E5E5E5"/>
          </w:tcPr>
          <w:p>
            <w:pPr>
              <w:spacing w:after="0"/>
              <w:rPr>
                <w:sz w:val="20"/>
                <w:szCs w:val="20"/>
                <w:color w:val="auto"/>
              </w:rPr>
            </w:pPr>
            <w:r>
              <w:rPr>
                <w:rFonts w:ascii="Arial" w:cs="Arial" w:eastAsia="Arial" w:hAnsi="Arial"/>
                <w:sz w:val="18"/>
                <w:szCs w:val="18"/>
                <w:color w:val="auto"/>
              </w:rPr>
              <w:t>Balance, December 31, 2014</w:t>
            </w:r>
          </w:p>
        </w:tc>
        <w:tc>
          <w:tcPr>
            <w:tcW w:w="400" w:type="dxa"/>
            <w:vAlign w:val="bottom"/>
            <w:shd w:val="clear" w:color="auto" w:fill="E5E5E5"/>
          </w:tcPr>
          <w:p>
            <w:pPr>
              <w:ind w:left="260"/>
              <w:spacing w:after="0"/>
              <w:rPr>
                <w:sz w:val="20"/>
                <w:szCs w:val="20"/>
                <w:color w:val="auto"/>
              </w:rPr>
            </w:pPr>
            <w:r>
              <w:rPr>
                <w:rFonts w:ascii="Arial" w:cs="Arial" w:eastAsia="Arial" w:hAnsi="Arial"/>
                <w:sz w:val="18"/>
                <w:szCs w:val="18"/>
                <w:color w:val="auto"/>
              </w:rPr>
              <w:t>$</w:t>
            </w:r>
          </w:p>
        </w:tc>
        <w:tc>
          <w:tcPr>
            <w:tcW w:w="1300" w:type="dxa"/>
            <w:vAlign w:val="bottom"/>
            <w:tcBorders>
              <w:right w:val="single" w:sz="8" w:color="auto"/>
            </w:tcBorders>
            <w:shd w:val="clear" w:color="auto" w:fill="E5E5E5"/>
          </w:tcPr>
          <w:p>
            <w:pPr>
              <w:jc w:val="right"/>
              <w:ind w:right="514"/>
              <w:spacing w:after="0"/>
              <w:rPr>
                <w:sz w:val="20"/>
                <w:szCs w:val="20"/>
                <w:color w:val="auto"/>
              </w:rPr>
            </w:pPr>
            <w:r>
              <w:rPr>
                <w:rFonts w:ascii="Arial" w:cs="Arial" w:eastAsia="Arial" w:hAnsi="Arial"/>
                <w:sz w:val="18"/>
                <w:szCs w:val="18"/>
                <w:color w:val="auto"/>
              </w:rPr>
              <w:t>330</w:t>
            </w:r>
          </w:p>
        </w:tc>
        <w:tc>
          <w:tcPr>
            <w:tcW w:w="1220" w:type="dxa"/>
            <w:vAlign w:val="bottom"/>
            <w:shd w:val="clear" w:color="auto" w:fill="E5E5E5"/>
          </w:tcPr>
          <w:p>
            <w:pPr>
              <w:jc w:val="right"/>
              <w:ind w:right="175"/>
              <w:spacing w:after="0"/>
              <w:rPr>
                <w:sz w:val="20"/>
                <w:szCs w:val="20"/>
                <w:color w:val="auto"/>
              </w:rPr>
            </w:pPr>
            <w:r>
              <w:rPr>
                <w:rFonts w:ascii="Arial" w:cs="Arial" w:eastAsia="Arial" w:hAnsi="Arial"/>
                <w:sz w:val="18"/>
                <w:szCs w:val="18"/>
                <w:color w:val="auto"/>
              </w:rPr>
              <w:t>$30,529</w:t>
            </w:r>
          </w:p>
        </w:tc>
        <w:tc>
          <w:tcPr>
            <w:tcW w:w="400" w:type="dxa"/>
            <w:vAlign w:val="bottom"/>
            <w:shd w:val="clear" w:color="auto" w:fill="E5E5E5"/>
          </w:tcPr>
          <w:p>
            <w:pPr>
              <w:ind w:left="220"/>
              <w:spacing w:after="0"/>
              <w:rPr>
                <w:sz w:val="20"/>
                <w:szCs w:val="20"/>
                <w:color w:val="auto"/>
              </w:rPr>
            </w:pPr>
            <w:r>
              <w:rPr>
                <w:rFonts w:ascii="Arial" w:cs="Arial" w:eastAsia="Arial" w:hAnsi="Arial"/>
                <w:sz w:val="18"/>
                <w:szCs w:val="18"/>
                <w:color w:val="auto"/>
              </w:rPr>
              <w:t>$</w:t>
            </w:r>
          </w:p>
        </w:tc>
        <w:tc>
          <w:tcPr>
            <w:tcW w:w="940" w:type="dxa"/>
            <w:vAlign w:val="bottom"/>
            <w:shd w:val="clear" w:color="auto" w:fill="E5E5E5"/>
          </w:tcPr>
          <w:p>
            <w:pPr>
              <w:jc w:val="right"/>
              <w:ind w:right="135"/>
              <w:spacing w:after="0"/>
              <w:rPr>
                <w:sz w:val="20"/>
                <w:szCs w:val="20"/>
                <w:color w:val="auto"/>
              </w:rPr>
            </w:pPr>
            <w:r>
              <w:rPr>
                <w:rFonts w:ascii="Arial" w:cs="Arial" w:eastAsia="Arial" w:hAnsi="Arial"/>
                <w:sz w:val="18"/>
                <w:szCs w:val="18"/>
                <w:color w:val="auto"/>
              </w:rPr>
              <w:t>(159)</w:t>
            </w:r>
          </w:p>
        </w:tc>
        <w:tc>
          <w:tcPr>
            <w:tcW w:w="360" w:type="dxa"/>
            <w:vAlign w:val="bottom"/>
            <w:shd w:val="clear" w:color="auto" w:fill="E5E5E5"/>
          </w:tcPr>
          <w:p>
            <w:pPr>
              <w:ind w:left="220"/>
              <w:spacing w:after="0"/>
              <w:rPr>
                <w:sz w:val="20"/>
                <w:szCs w:val="20"/>
                <w:color w:val="auto"/>
              </w:rPr>
            </w:pPr>
            <w:r>
              <w:rPr>
                <w:rFonts w:ascii="Arial" w:cs="Arial" w:eastAsia="Arial" w:hAnsi="Arial"/>
                <w:sz w:val="18"/>
                <w:szCs w:val="18"/>
                <w:color w:val="auto"/>
              </w:rPr>
              <w:t>$</w:t>
            </w:r>
          </w:p>
        </w:tc>
        <w:tc>
          <w:tcPr>
            <w:tcW w:w="960" w:type="dxa"/>
            <w:vAlign w:val="bottom"/>
            <w:shd w:val="clear" w:color="auto" w:fill="E5E5E5"/>
          </w:tcPr>
          <w:p>
            <w:pPr>
              <w:jc w:val="right"/>
              <w:ind w:right="174"/>
              <w:spacing w:after="0"/>
              <w:rPr>
                <w:sz w:val="20"/>
                <w:szCs w:val="20"/>
                <w:color w:val="auto"/>
              </w:rPr>
            </w:pPr>
            <w:r>
              <w:rPr>
                <w:rFonts w:ascii="Arial" w:cs="Arial" w:eastAsia="Arial" w:hAnsi="Arial"/>
                <w:sz w:val="18"/>
                <w:szCs w:val="18"/>
                <w:color w:val="auto"/>
              </w:rPr>
              <w:t>267</w:t>
            </w:r>
          </w:p>
        </w:tc>
        <w:tc>
          <w:tcPr>
            <w:tcW w:w="360" w:type="dxa"/>
            <w:vAlign w:val="bottom"/>
            <w:shd w:val="clear" w:color="auto" w:fill="E5E5E5"/>
          </w:tcPr>
          <w:p>
            <w:pPr>
              <w:ind w:left="220"/>
              <w:spacing w:after="0"/>
              <w:rPr>
                <w:sz w:val="20"/>
                <w:szCs w:val="20"/>
                <w:color w:val="auto"/>
              </w:rPr>
            </w:pPr>
            <w:r>
              <w:rPr>
                <w:rFonts w:ascii="Arial" w:cs="Arial" w:eastAsia="Arial" w:hAnsi="Arial"/>
                <w:sz w:val="18"/>
                <w:szCs w:val="18"/>
                <w:color w:val="auto"/>
              </w:rPr>
              <w:t>$</w:t>
            </w:r>
          </w:p>
        </w:tc>
        <w:tc>
          <w:tcPr>
            <w:tcW w:w="64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w w:val="94"/>
              </w:rPr>
              <w:t>30,637</w:t>
            </w: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Dividends declared</w:t>
            </w:r>
          </w:p>
        </w:tc>
        <w:tc>
          <w:tcPr>
            <w:tcW w:w="400" w:type="dxa"/>
            <w:vAlign w:val="bottom"/>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220" w:type="dxa"/>
            <w:vAlign w:val="bottom"/>
          </w:tcPr>
          <w:p>
            <w:pPr>
              <w:jc w:val="right"/>
              <w:ind w:right="135"/>
              <w:spacing w:after="0"/>
              <w:rPr>
                <w:sz w:val="20"/>
                <w:szCs w:val="20"/>
                <w:color w:val="auto"/>
              </w:rPr>
            </w:pPr>
            <w:r>
              <w:rPr>
                <w:rFonts w:ascii="Arial" w:cs="Arial" w:eastAsia="Arial" w:hAnsi="Arial"/>
                <w:sz w:val="18"/>
                <w:szCs w:val="18"/>
                <w:color w:val="auto"/>
              </w:rPr>
              <w:t>(1,186)</w:t>
            </w: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(1,186)</w:t>
            </w:r>
          </w:p>
        </w:tc>
      </w:tr>
      <w:tr>
        <w:trPr>
          <w:trHeight w:val="216"/>
        </w:trPr>
        <w:tc>
          <w:tcPr>
            <w:tcW w:w="4840" w:type="dxa"/>
            <w:vAlign w:val="bottom"/>
            <w:shd w:val="clear" w:color="auto" w:fill="E5E5E5"/>
          </w:tcPr>
          <w:p>
            <w:pPr>
              <w:spacing w:after="0"/>
              <w:rPr>
                <w:sz w:val="20"/>
                <w:szCs w:val="20"/>
                <w:color w:val="auto"/>
              </w:rPr>
            </w:pPr>
            <w:r>
              <w:rPr>
                <w:rFonts w:ascii="Arial" w:cs="Arial" w:eastAsia="Arial" w:hAnsi="Arial"/>
                <w:sz w:val="18"/>
                <w:szCs w:val="18"/>
                <w:color w:val="auto"/>
                <w:w w:val="95"/>
              </w:rPr>
              <w:t>Contributions from (distributions to) noncontrolling interests, net</w:t>
            </w:r>
          </w:p>
        </w:tc>
        <w:tc>
          <w:tcPr>
            <w:tcW w:w="400" w:type="dxa"/>
            <w:vAlign w:val="bottom"/>
            <w:shd w:val="clear" w:color="auto" w:fill="E5E5E5"/>
          </w:tcPr>
          <w:p>
            <w:pPr>
              <w:spacing w:after="0"/>
              <w:rPr>
                <w:sz w:val="18"/>
                <w:szCs w:val="18"/>
                <w:color w:val="auto"/>
              </w:rPr>
            </w:pPr>
          </w:p>
        </w:tc>
        <w:tc>
          <w:tcPr>
            <w:tcW w:w="1300" w:type="dxa"/>
            <w:vAlign w:val="bottom"/>
            <w:tcBorders>
              <w:right w:val="single" w:sz="8" w:color="auto"/>
            </w:tcBorders>
            <w:shd w:val="clear" w:color="auto" w:fill="E5E5E5"/>
          </w:tcPr>
          <w:p>
            <w:pPr>
              <w:jc w:val="right"/>
              <w:ind w:right="454"/>
              <w:spacing w:after="0"/>
              <w:rPr>
                <w:sz w:val="20"/>
                <w:szCs w:val="20"/>
                <w:color w:val="auto"/>
              </w:rPr>
            </w:pPr>
            <w:r>
              <w:rPr>
                <w:rFonts w:ascii="Arial" w:cs="Arial" w:eastAsia="Arial" w:hAnsi="Arial"/>
                <w:sz w:val="18"/>
                <w:szCs w:val="18"/>
                <w:color w:val="auto"/>
              </w:rPr>
              <w:t>(19)</w:t>
            </w:r>
          </w:p>
        </w:tc>
        <w:tc>
          <w:tcPr>
            <w:tcW w:w="122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94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96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(127)</w:t>
            </w:r>
          </w:p>
        </w:tc>
        <w:tc>
          <w:tcPr>
            <w:tcW w:w="360" w:type="dxa"/>
            <w:vAlign w:val="bottom"/>
            <w:shd w:val="clear" w:color="auto" w:fill="E5E5E5"/>
          </w:tcPr>
          <w:p>
            <w:pPr>
              <w:spacing w:after="0"/>
              <w:rPr>
                <w:sz w:val="18"/>
                <w:szCs w:val="18"/>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(127)</w:t>
            </w: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Contribution from member</w:t>
            </w:r>
          </w:p>
        </w:tc>
        <w:tc>
          <w:tcPr>
            <w:tcW w:w="400" w:type="dxa"/>
            <w:vAlign w:val="bottom"/>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220" w:type="dxa"/>
            <w:vAlign w:val="bottom"/>
          </w:tcPr>
          <w:p>
            <w:pPr>
              <w:jc w:val="right"/>
              <w:ind w:right="175"/>
              <w:spacing w:after="0"/>
              <w:rPr>
                <w:sz w:val="20"/>
                <w:szCs w:val="20"/>
                <w:color w:val="auto"/>
              </w:rPr>
            </w:pPr>
            <w:r>
              <w:rPr>
                <w:rFonts w:ascii="Arial" w:cs="Arial" w:eastAsia="Arial" w:hAnsi="Arial"/>
                <w:sz w:val="18"/>
                <w:szCs w:val="18"/>
                <w:color w:val="auto"/>
              </w:rPr>
              <w:t>252</w:t>
            </w: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252</w:t>
            </w:r>
          </w:p>
        </w:tc>
      </w:tr>
      <w:tr>
        <w:trPr>
          <w:trHeight w:val="216"/>
        </w:trPr>
        <w:tc>
          <w:tcPr>
            <w:tcW w:w="4840" w:type="dxa"/>
            <w:vAlign w:val="bottom"/>
            <w:shd w:val="clear" w:color="auto" w:fill="E5E5E5"/>
          </w:tcPr>
          <w:p>
            <w:pPr>
              <w:spacing w:after="0"/>
              <w:rPr>
                <w:sz w:val="20"/>
                <w:szCs w:val="20"/>
                <w:color w:val="auto"/>
              </w:rPr>
            </w:pPr>
            <w:r>
              <w:rPr>
                <w:rFonts w:ascii="Arial" w:cs="Arial" w:eastAsia="Arial" w:hAnsi="Arial"/>
                <w:sz w:val="18"/>
                <w:szCs w:val="18"/>
                <w:color w:val="auto"/>
              </w:rPr>
              <w:t>Other comprehensive income (loss)</w:t>
            </w:r>
          </w:p>
        </w:tc>
        <w:tc>
          <w:tcPr>
            <w:tcW w:w="400" w:type="dxa"/>
            <w:vAlign w:val="bottom"/>
            <w:shd w:val="clear" w:color="auto" w:fill="E5E5E5"/>
          </w:tcPr>
          <w:p>
            <w:pPr>
              <w:spacing w:after="0"/>
              <w:rPr>
                <w:sz w:val="18"/>
                <w:szCs w:val="18"/>
                <w:color w:val="auto"/>
              </w:rPr>
            </w:pPr>
          </w:p>
        </w:tc>
        <w:tc>
          <w:tcPr>
            <w:tcW w:w="1300" w:type="dxa"/>
            <w:vAlign w:val="bottom"/>
            <w:tcBorders>
              <w:right w:val="single" w:sz="8" w:color="auto"/>
            </w:tcBorders>
            <w:shd w:val="clear" w:color="auto" w:fill="E5E5E5"/>
          </w:tcPr>
          <w:p>
            <w:pPr>
              <w:spacing w:after="0"/>
              <w:rPr>
                <w:sz w:val="18"/>
                <w:szCs w:val="18"/>
                <w:color w:val="auto"/>
              </w:rPr>
            </w:pPr>
          </w:p>
        </w:tc>
        <w:tc>
          <w:tcPr>
            <w:tcW w:w="122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940" w:type="dxa"/>
            <w:vAlign w:val="bottom"/>
            <w:shd w:val="clear" w:color="auto" w:fill="E5E5E5"/>
          </w:tcPr>
          <w:p>
            <w:pPr>
              <w:jc w:val="right"/>
              <w:ind w:right="135"/>
              <w:spacing w:after="0"/>
              <w:rPr>
                <w:sz w:val="20"/>
                <w:szCs w:val="20"/>
                <w:color w:val="auto"/>
              </w:rPr>
            </w:pPr>
            <w:r>
              <w:rPr>
                <w:rFonts w:ascii="Arial" w:cs="Arial" w:eastAsia="Arial" w:hAnsi="Arial"/>
                <w:sz w:val="18"/>
                <w:szCs w:val="18"/>
                <w:color w:val="auto"/>
              </w:rPr>
              <w:t>(52)</w:t>
            </w:r>
          </w:p>
        </w:tc>
        <w:tc>
          <w:tcPr>
            <w:tcW w:w="360" w:type="dxa"/>
            <w:vAlign w:val="bottom"/>
            <w:shd w:val="clear" w:color="auto" w:fill="E5E5E5"/>
          </w:tcPr>
          <w:p>
            <w:pPr>
              <w:spacing w:after="0"/>
              <w:rPr>
                <w:sz w:val="18"/>
                <w:szCs w:val="18"/>
                <w:color w:val="auto"/>
              </w:rPr>
            </w:pPr>
          </w:p>
        </w:tc>
        <w:tc>
          <w:tcPr>
            <w:tcW w:w="96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Other</w:t>
            </w:r>
          </w:p>
        </w:tc>
        <w:tc>
          <w:tcPr>
            <w:tcW w:w="400" w:type="dxa"/>
            <w:vAlign w:val="bottom"/>
          </w:tcPr>
          <w:p>
            <w:pPr>
              <w:spacing w:after="0"/>
              <w:rPr>
                <w:sz w:val="18"/>
                <w:szCs w:val="18"/>
                <w:color w:val="auto"/>
              </w:rPr>
            </w:pPr>
          </w:p>
        </w:tc>
        <w:tc>
          <w:tcPr>
            <w:tcW w:w="1300" w:type="dxa"/>
            <w:vAlign w:val="bottom"/>
            <w:tcBorders>
              <w:right w:val="single" w:sz="8" w:color="auto"/>
            </w:tcBorders>
          </w:tcPr>
          <w:p>
            <w:pPr>
              <w:jc w:val="right"/>
              <w:ind w:right="514"/>
              <w:spacing w:after="0"/>
              <w:rPr>
                <w:sz w:val="20"/>
                <w:szCs w:val="20"/>
                <w:color w:val="auto"/>
              </w:rPr>
            </w:pPr>
            <w:r>
              <w:rPr>
                <w:rFonts w:ascii="Arial" w:cs="Arial" w:eastAsia="Arial" w:hAnsi="Arial"/>
                <w:sz w:val="18"/>
                <w:szCs w:val="18"/>
                <w:color w:val="auto"/>
              </w:rPr>
              <w:t>28</w:t>
            </w:r>
          </w:p>
        </w:tc>
        <w:tc>
          <w:tcPr>
            <w:tcW w:w="1220" w:type="dxa"/>
            <w:vAlign w:val="bottom"/>
          </w:tcPr>
          <w:p>
            <w:pPr>
              <w:jc w:val="right"/>
              <w:ind w:right="175"/>
              <w:spacing w:after="0"/>
              <w:rPr>
                <w:sz w:val="20"/>
                <w:szCs w:val="20"/>
                <w:color w:val="auto"/>
              </w:rPr>
            </w:pPr>
            <w:r>
              <w:rPr>
                <w:rFonts w:ascii="Arial" w:cs="Arial" w:eastAsia="Arial" w:hAnsi="Arial"/>
                <w:sz w:val="18"/>
                <w:szCs w:val="18"/>
                <w:color w:val="auto"/>
              </w:rPr>
              <w:t>30</w:t>
            </w: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ind w:right="134"/>
              <w:spacing w:after="0"/>
              <w:rPr>
                <w:sz w:val="20"/>
                <w:szCs w:val="20"/>
                <w:color w:val="auto"/>
              </w:rPr>
            </w:pPr>
            <w:r>
              <w:rPr>
                <w:rFonts w:ascii="Arial" w:cs="Arial" w:eastAsia="Arial" w:hAnsi="Arial"/>
                <w:sz w:val="18"/>
                <w:szCs w:val="18"/>
                <w:color w:val="auto"/>
              </w:rPr>
              <w:t>(24)</w:t>
            </w:r>
          </w:p>
        </w:tc>
        <w:tc>
          <w:tcPr>
            <w:tcW w:w="360" w:type="dxa"/>
            <w:vAlign w:val="bottom"/>
          </w:tcPr>
          <w:p>
            <w:pPr>
              <w:spacing w:after="0"/>
              <w:rPr>
                <w:sz w:val="18"/>
                <w:szCs w:val="18"/>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6</w:t>
            </w:r>
          </w:p>
        </w:tc>
      </w:tr>
      <w:tr>
        <w:trPr>
          <w:trHeight w:val="216"/>
        </w:trPr>
        <w:tc>
          <w:tcPr>
            <w:tcW w:w="48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Net income (loss)</w:t>
            </w:r>
          </w:p>
        </w:tc>
        <w:tc>
          <w:tcPr>
            <w:tcW w:w="400" w:type="dxa"/>
            <w:vAlign w:val="bottom"/>
            <w:tcBorders>
              <w:bottom w:val="single" w:sz="8" w:color="auto"/>
            </w:tcBorders>
            <w:shd w:val="clear" w:color="auto" w:fill="E5E5E5"/>
          </w:tcPr>
          <w:p>
            <w:pPr>
              <w:spacing w:after="0"/>
              <w:rPr>
                <w:sz w:val="18"/>
                <w:szCs w:val="18"/>
                <w:color w:val="auto"/>
              </w:rPr>
            </w:pPr>
          </w:p>
        </w:tc>
        <w:tc>
          <w:tcPr>
            <w:tcW w:w="1300" w:type="dxa"/>
            <w:vAlign w:val="bottom"/>
            <w:tcBorders>
              <w:bottom w:val="single" w:sz="8" w:color="auto"/>
              <w:right w:val="single" w:sz="8" w:color="auto"/>
            </w:tcBorders>
            <w:shd w:val="clear" w:color="auto" w:fill="E5E5E5"/>
          </w:tcPr>
          <w:p>
            <w:pPr>
              <w:jc w:val="right"/>
              <w:ind w:right="514"/>
              <w:spacing w:after="0"/>
              <w:rPr>
                <w:sz w:val="20"/>
                <w:szCs w:val="20"/>
                <w:color w:val="auto"/>
              </w:rPr>
            </w:pPr>
            <w:r>
              <w:rPr>
                <w:rFonts w:ascii="Arial" w:cs="Arial" w:eastAsia="Arial" w:hAnsi="Arial"/>
                <w:sz w:val="18"/>
                <w:szCs w:val="18"/>
                <w:color w:val="auto"/>
              </w:rPr>
              <w:t>28</w:t>
            </w:r>
          </w:p>
        </w:tc>
        <w:tc>
          <w:tcPr>
            <w:tcW w:w="1220" w:type="dxa"/>
            <w:vAlign w:val="bottom"/>
            <w:tcBorders>
              <w:bottom w:val="single" w:sz="8" w:color="auto"/>
            </w:tcBorders>
            <w:shd w:val="clear" w:color="auto" w:fill="E5E5E5"/>
          </w:tcPr>
          <w:p>
            <w:pPr>
              <w:jc w:val="right"/>
              <w:ind w:right="175"/>
              <w:spacing w:after="0"/>
              <w:rPr>
                <w:sz w:val="20"/>
                <w:szCs w:val="20"/>
                <w:color w:val="auto"/>
              </w:rPr>
            </w:pPr>
            <w:r>
              <w:rPr>
                <w:rFonts w:ascii="Arial" w:cs="Arial" w:eastAsia="Arial" w:hAnsi="Arial"/>
                <w:sz w:val="18"/>
                <w:szCs w:val="18"/>
                <w:color w:val="auto"/>
              </w:rPr>
              <w:t>2,691</w:t>
            </w:r>
          </w:p>
        </w:tc>
        <w:tc>
          <w:tcPr>
            <w:tcW w:w="400" w:type="dxa"/>
            <w:vAlign w:val="bottom"/>
            <w:tcBorders>
              <w:bottom w:val="single" w:sz="8" w:color="auto"/>
            </w:tcBorders>
            <w:shd w:val="clear" w:color="auto" w:fill="E5E5E5"/>
          </w:tcPr>
          <w:p>
            <w:pPr>
              <w:spacing w:after="0"/>
              <w:rPr>
                <w:sz w:val="18"/>
                <w:szCs w:val="18"/>
                <w:color w:val="auto"/>
              </w:rPr>
            </w:pPr>
          </w:p>
        </w:tc>
        <w:tc>
          <w:tcPr>
            <w:tcW w:w="940" w:type="dxa"/>
            <w:vAlign w:val="bottom"/>
            <w:tcBorders>
              <w:bottom w:val="single" w:sz="8" w:color="auto"/>
            </w:tcBorders>
            <w:shd w:val="clear" w:color="auto" w:fill="E5E5E5"/>
          </w:tcPr>
          <w:p>
            <w:pPr>
              <w:spacing w:after="0"/>
              <w:rPr>
                <w:sz w:val="18"/>
                <w:szCs w:val="18"/>
                <w:color w:val="auto"/>
              </w:rPr>
            </w:pPr>
          </w:p>
        </w:tc>
        <w:tc>
          <w:tcPr>
            <w:tcW w:w="360" w:type="dxa"/>
            <w:vAlign w:val="bottom"/>
            <w:tcBorders>
              <w:bottom w:val="single" w:sz="8" w:color="auto"/>
            </w:tcBorders>
            <w:shd w:val="clear" w:color="auto" w:fill="E5E5E5"/>
          </w:tcPr>
          <w:p>
            <w:pPr>
              <w:spacing w:after="0"/>
              <w:rPr>
                <w:sz w:val="18"/>
                <w:szCs w:val="18"/>
                <w:color w:val="auto"/>
              </w:rPr>
            </w:pPr>
          </w:p>
        </w:tc>
        <w:tc>
          <w:tcPr>
            <w:tcW w:w="960" w:type="dxa"/>
            <w:vAlign w:val="bottom"/>
            <w:tcBorders>
              <w:bottom w:val="single" w:sz="8" w:color="auto"/>
            </w:tcBorders>
            <w:shd w:val="clear" w:color="auto" w:fill="E5E5E5"/>
          </w:tcPr>
          <w:p>
            <w:pPr>
              <w:jc w:val="right"/>
              <w:ind w:right="174"/>
              <w:spacing w:after="0"/>
              <w:rPr>
                <w:sz w:val="20"/>
                <w:szCs w:val="20"/>
                <w:color w:val="auto"/>
              </w:rPr>
            </w:pPr>
            <w:r>
              <w:rPr>
                <w:rFonts w:ascii="Arial" w:cs="Arial" w:eastAsia="Arial" w:hAnsi="Arial"/>
                <w:sz w:val="18"/>
                <w:szCs w:val="18"/>
                <w:color w:val="auto"/>
              </w:rPr>
              <w:t>105</w:t>
            </w:r>
          </w:p>
        </w:tc>
        <w:tc>
          <w:tcPr>
            <w:tcW w:w="36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2,796</w:t>
            </w:r>
          </w:p>
        </w:tc>
      </w:tr>
      <w:tr>
        <w:trPr>
          <w:trHeight w:val="217"/>
        </w:trPr>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Balance, September 30, 2015</w:t>
            </w:r>
          </w:p>
        </w:tc>
        <w:tc>
          <w:tcPr>
            <w:tcW w:w="40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auto"/>
              <w:right w:val="single" w:sz="8" w:color="auto"/>
            </w:tcBorders>
          </w:tcPr>
          <w:p>
            <w:pPr>
              <w:jc w:val="right"/>
              <w:ind w:right="514"/>
              <w:spacing w:after="0"/>
              <w:rPr>
                <w:sz w:val="20"/>
                <w:szCs w:val="20"/>
                <w:color w:val="auto"/>
              </w:rPr>
            </w:pPr>
            <w:r>
              <w:rPr>
                <w:rFonts w:ascii="Arial" w:cs="Arial" w:eastAsia="Arial" w:hAnsi="Arial"/>
                <w:sz w:val="18"/>
                <w:szCs w:val="18"/>
                <w:b w:val="1"/>
                <w:bCs w:val="1"/>
                <w:color w:val="auto"/>
              </w:rPr>
              <w:t>367</w:t>
            </w:r>
          </w:p>
        </w:tc>
        <w:tc>
          <w:tcPr>
            <w:tcW w:w="1220" w:type="dxa"/>
            <w:vAlign w:val="bottom"/>
            <w:tcBorders>
              <w:bottom w:val="single" w:sz="8" w:color="auto"/>
            </w:tcBorders>
          </w:tcPr>
          <w:p>
            <w:pPr>
              <w:jc w:val="right"/>
              <w:ind w:right="175"/>
              <w:spacing w:after="0"/>
              <w:rPr>
                <w:sz w:val="20"/>
                <w:szCs w:val="20"/>
                <w:color w:val="auto"/>
              </w:rPr>
            </w:pPr>
            <w:r>
              <w:rPr>
                <w:rFonts w:ascii="Arial" w:cs="Arial" w:eastAsia="Arial" w:hAnsi="Arial"/>
                <w:sz w:val="18"/>
                <w:szCs w:val="18"/>
                <w:b w:val="1"/>
                <w:bCs w:val="1"/>
                <w:color w:val="auto"/>
              </w:rPr>
              <w:t>$32,316</w:t>
            </w:r>
          </w:p>
        </w:tc>
        <w:tc>
          <w:tcPr>
            <w:tcW w:w="40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b w:val="1"/>
                <w:bCs w:val="1"/>
                <w:color w:val="auto"/>
              </w:rPr>
              <w:t>(211)</w:t>
            </w:r>
          </w:p>
        </w:tc>
        <w:tc>
          <w:tcPr>
            <w:tcW w:w="36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b w:val="1"/>
                <w:bCs w:val="1"/>
                <w:color w:val="auto"/>
              </w:rPr>
              <w:t>221</w:t>
            </w:r>
          </w:p>
        </w:tc>
        <w:tc>
          <w:tcPr>
            <w:tcW w:w="36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94"/>
              </w:rPr>
              <w:t>32,326</w:t>
            </w: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153" w:lineRule="exact"/>
        <w:rPr>
          <w:sz w:val="20"/>
          <w:szCs w:val="20"/>
          <w:color w:val="auto"/>
        </w:rPr>
      </w:pPr>
    </w:p>
    <w:p>
      <w:pPr>
        <w:ind w:right="4380"/>
        <w:spacing w:after="0" w:line="261" w:lineRule="auto"/>
        <w:rPr>
          <w:sz w:val="20"/>
          <w:szCs w:val="20"/>
          <w:color w:val="auto"/>
        </w:rPr>
      </w:pPr>
      <w:r>
        <w:rPr>
          <w:rFonts w:ascii="Arial" w:cs="Arial" w:eastAsia="Arial" w:hAnsi="Arial"/>
          <w:sz w:val="22"/>
          <w:szCs w:val="22"/>
          <w:b w:val="1"/>
          <w:bCs w:val="1"/>
          <w:color w:val="auto"/>
        </w:rPr>
        <w:t>NOTES TO CONDENSED CONSOLIDATED FINANCIAL STATEMENTS (Unaudited)</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 Condensed Consolidated Financial Statements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7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Unless indicated otherwise, throughout these notes to the condensed consolidated financial statements, we refer to NBCUniversal and its consolidated subsidiaries as “we,” “us” and “our.” We have prepared these unaudited condensed consolidated financial statements based on SEC rules that permit reduced disclosure for interim periods. These financial statements include all adjustments that are necessary for a fair presentation of our consolidated results of operations, financial condition and cash flows for the periods shown, including normal, recurring accruals and other items. The consolidated results of operations for the interim periods presented are not necessarily indicative of results for the full year.</w:t>
      </w:r>
    </w:p>
    <w:p>
      <w:pPr>
        <w:spacing w:after="0" w:line="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year-end condensed consolidated balance sheet was derived from audited financial statements but does not include all disclosures required by generally accepted accounting principles in the United States (“GAAP”). For a more complete discussion of our accounting policies and certain other information, refer to our consolidated financial statements included in our 2014 Annual Report on Form 10-K.</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 Recent Accounting Pronouncements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7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May 2014, the Financial Accounting Standards Board (“FASB”) and the International Accounting Standards Board updated the accounting guidance related to revenue recognition. The updated accounting guidance provides a single, contract-based revenue recognition model to help improve financial reporting by providing clearer guidance on when an entity should recognize revenue, and by reducing the number of standards to which an entity has to refer. In July 2015, FASB voted to defer the effective date by one year to December 15, 2017 for annual reporting periods beginning after that date. The updated accounting guidance provides companies with alternative methods of adoption. We are currently in the process of determining the impact that the updated accounting guidance will have on our consolidated financial statements and our method of adoption.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Consolidations</w:t>
      </w:r>
    </w:p>
    <w:p>
      <w:pPr>
        <w:spacing w:after="0" w:line="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February 2015, FASB updated the accounting guidance related to consolidation under the variable interest entity (“VIE”) and voting interest entity models. The updated accounting guidance modifies the consolidation guidance for VIEs, limited partnerships and similar legal entities. The updated accounting guidance will be effective for us on January 1, 2016, and early adoption is permitted. The updated accounting guidance provides companies with alternative methods of adoption. We are currently in the process of determining the impact that the updated accounting guidance will have on our consolidated financial statements and our method of adoption.</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Issuance Costs</w:t>
      </w:r>
    </w:p>
    <w:p>
      <w:pPr>
        <w:spacing w:after="0" w:line="7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In April 2015, FASB updated the accounting guidance related to the balance sheet presentation of debt issuance costs. The updated accounting guidance requires that debt issuance costs be presented as a direct deduction from the associated debt liability. The updated accounting guidance will be effective for us on January 1, 2016, and early adoption is permitted. The updated accounting guidance will be applied retrospectively to all prior periods presented. The updated accounting guidance will not have a material impact on our consolidated balance sheet.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3: Related Party Transactions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In the ordinary course of our business, we enter into transactions with Comcast.</w:t>
      </w:r>
    </w:p>
    <w:p>
      <w:pPr>
        <w:spacing w:after="0" w:line="77" w:lineRule="exact"/>
        <w:rPr>
          <w:sz w:val="20"/>
          <w:szCs w:val="20"/>
          <w:color w:val="auto"/>
        </w:rPr>
      </w:pPr>
    </w:p>
    <w:p>
      <w:pPr>
        <w:spacing w:after="0" w:line="325" w:lineRule="auto"/>
        <w:rPr>
          <w:sz w:val="20"/>
          <w:szCs w:val="20"/>
          <w:color w:val="auto"/>
        </w:rPr>
      </w:pPr>
      <w:r>
        <w:rPr>
          <w:rFonts w:ascii="Arial" w:cs="Arial" w:eastAsia="Arial" w:hAnsi="Arial"/>
          <w:sz w:val="16"/>
          <w:szCs w:val="16"/>
          <w:color w:val="auto"/>
        </w:rPr>
        <w:t>We generate revenue from Comcast primarily from the distribution of our cable network programming and, to a lesser extent, the sale of advertising and our owned programming, and we incur expenses primarily related to advertising and various support services provided by Comcast to us.</w:t>
      </w:r>
    </w:p>
    <w:p>
      <w:pPr>
        <w:spacing w:after="0" w:line="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Comcast is also the counterparty to one of our contractual obligations. As of September 30, 2015, the carrying value of the liability associated with this contractual obligation was $383 million.</w:t>
      </w:r>
    </w:p>
    <w:p>
      <w:pPr>
        <w:spacing w:after="0" w:line="37" w:lineRule="exact"/>
        <w:rPr>
          <w:sz w:val="20"/>
          <w:szCs w:val="20"/>
          <w:color w:val="auto"/>
        </w:rPr>
      </w:pPr>
    </w:p>
    <w:p>
      <w:pPr>
        <w:jc w:val="center"/>
        <w:ind w:right="320"/>
        <w:spacing w:after="0"/>
        <w:rPr>
          <w:sz w:val="20"/>
          <w:szCs w:val="20"/>
          <w:color w:val="auto"/>
        </w:rPr>
      </w:pPr>
      <w:r>
        <w:rPr>
          <w:rFonts w:ascii="Arial" w:cs="Arial" w:eastAsia="Arial" w:hAnsi="Arial"/>
          <w:sz w:val="15"/>
          <w:szCs w:val="15"/>
          <w:color w:val="auto"/>
        </w:rPr>
        <w:t>The following tables present transactions with Comcast and its consolidated subsidiaries that are included in our condensed consolidated financial statements.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gridSpan w:val="2"/>
          </w:tcPr>
          <w:p>
            <w:pPr>
              <w:ind w:left="60"/>
              <w:spacing w:after="0"/>
              <w:rPr>
                <w:sz w:val="20"/>
                <w:szCs w:val="20"/>
                <w:color w:val="auto"/>
              </w:rPr>
            </w:pPr>
            <w:r>
              <w:rPr>
                <w:rFonts w:ascii="Arial" w:cs="Arial" w:eastAsia="Arial" w:hAnsi="Arial"/>
                <w:sz w:val="14"/>
                <w:szCs w:val="14"/>
                <w:color w:val="auto"/>
              </w:rPr>
              <w:t>September 30,</w:t>
            </w:r>
          </w:p>
        </w:tc>
        <w:tc>
          <w:tcPr>
            <w:tcW w:w="1600" w:type="dxa"/>
            <w:vAlign w:val="bottom"/>
            <w:gridSpan w:val="3"/>
          </w:tcPr>
          <w:p>
            <w:pPr>
              <w:ind w:left="740"/>
              <w:spacing w:after="0"/>
              <w:rPr>
                <w:sz w:val="20"/>
                <w:szCs w:val="20"/>
                <w:color w:val="auto"/>
              </w:rPr>
            </w:pPr>
            <w:r>
              <w:rPr>
                <w:rFonts w:ascii="Arial" w:cs="Arial" w:eastAsia="Arial" w:hAnsi="Arial"/>
                <w:sz w:val="14"/>
                <w:szCs w:val="14"/>
                <w:color w:val="auto"/>
                <w:w w:val="95"/>
              </w:rPr>
              <w:t>December 31,</w:t>
            </w:r>
          </w:p>
        </w:tc>
        <w:tc>
          <w:tcPr>
            <w:tcW w:w="0" w:type="dxa"/>
            <w:vAlign w:val="bottom"/>
          </w:tcPr>
          <w:p>
            <w:pPr>
              <w:spacing w:after="0"/>
              <w:rPr>
                <w:sz w:val="1"/>
                <w:szCs w:val="1"/>
                <w:color w:val="auto"/>
              </w:rPr>
            </w:pPr>
          </w:p>
        </w:tc>
      </w:tr>
      <w:tr>
        <w:trPr>
          <w:trHeight w:val="159"/>
        </w:trPr>
        <w:tc>
          <w:tcPr>
            <w:tcW w:w="532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18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jc w:val="right"/>
              <w:ind w:right="332"/>
              <w:spacing w:after="0" w:line="159" w:lineRule="exact"/>
              <w:rPr>
                <w:sz w:val="20"/>
                <w:szCs w:val="20"/>
                <w:color w:val="auto"/>
              </w:rPr>
            </w:pPr>
            <w:r>
              <w:rPr>
                <w:rFonts w:ascii="Arial" w:cs="Arial" w:eastAsia="Arial" w:hAnsi="Arial"/>
                <w:sz w:val="14"/>
                <w:szCs w:val="14"/>
                <w:color w:val="auto"/>
              </w:rPr>
              <w:t>2015</w:t>
            </w:r>
          </w:p>
        </w:tc>
        <w:tc>
          <w:tcPr>
            <w:tcW w:w="8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2"/>
          </w:tcPr>
          <w:p>
            <w:pPr>
              <w:jc w:val="right"/>
              <w:ind w:right="253"/>
              <w:spacing w:after="0" w:line="159" w:lineRule="exact"/>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210"/>
        </w:trPr>
        <w:tc>
          <w:tcPr>
            <w:tcW w:w="532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Transactions with Comcast and Consolidated Subsidiaries</w:t>
            </w:r>
          </w:p>
        </w:tc>
        <w:tc>
          <w:tcPr>
            <w:tcW w:w="188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88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440"/>
              <w:spacing w:after="0"/>
              <w:rPr>
                <w:sz w:val="20"/>
                <w:szCs w:val="20"/>
                <w:color w:val="auto"/>
              </w:rPr>
            </w:pPr>
            <w:r>
              <w:rPr>
                <w:rFonts w:ascii="Arial" w:cs="Arial" w:eastAsia="Arial" w:hAnsi="Arial"/>
                <w:sz w:val="18"/>
                <w:szCs w:val="18"/>
                <w:color w:val="auto"/>
              </w:rPr>
              <w:t>Receivables, net</w:t>
            </w:r>
          </w:p>
        </w:tc>
        <w:tc>
          <w:tcPr>
            <w:tcW w:w="1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ind w:left="6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72"/>
              <w:spacing w:after="0"/>
              <w:rPr>
                <w:sz w:val="20"/>
                <w:szCs w:val="20"/>
                <w:color w:val="auto"/>
              </w:rPr>
            </w:pPr>
            <w:r>
              <w:rPr>
                <w:rFonts w:ascii="Arial" w:cs="Arial" w:eastAsia="Arial" w:hAnsi="Arial"/>
                <w:sz w:val="18"/>
                <w:szCs w:val="18"/>
                <w:color w:val="auto"/>
              </w:rPr>
              <w:t>236</w:t>
            </w:r>
          </w:p>
        </w:tc>
        <w:tc>
          <w:tcPr>
            <w:tcW w:w="880" w:type="dxa"/>
            <w:vAlign w:val="bottom"/>
          </w:tcPr>
          <w:p>
            <w:pPr>
              <w:ind w:left="7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20" w:type="dxa"/>
            <w:vAlign w:val="bottom"/>
          </w:tcPr>
          <w:p>
            <w:pPr>
              <w:jc w:val="right"/>
              <w:ind w:right="13"/>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6"/>
        </w:trPr>
        <w:tc>
          <w:tcPr>
            <w:tcW w:w="5320" w:type="dxa"/>
            <w:vAlign w:val="bottom"/>
            <w:shd w:val="clear" w:color="auto" w:fill="E5E5E5"/>
          </w:tcPr>
          <w:p>
            <w:pPr>
              <w:ind w:left="440"/>
              <w:spacing w:after="0"/>
              <w:rPr>
                <w:sz w:val="20"/>
                <w:szCs w:val="20"/>
                <w:color w:val="auto"/>
              </w:rPr>
            </w:pPr>
            <w:r>
              <w:rPr>
                <w:rFonts w:ascii="Arial" w:cs="Arial" w:eastAsia="Arial" w:hAnsi="Arial"/>
                <w:sz w:val="18"/>
                <w:szCs w:val="18"/>
                <w:color w:val="auto"/>
              </w:rPr>
              <w:t>Note receivable from Comcast</w:t>
            </w:r>
          </w:p>
        </w:tc>
        <w:tc>
          <w:tcPr>
            <w:tcW w:w="188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500" w:type="dxa"/>
            <w:vAlign w:val="bottom"/>
            <w:shd w:val="clear" w:color="auto" w:fill="E5E5E5"/>
          </w:tcPr>
          <w:p>
            <w:pPr>
              <w:ind w:left="60"/>
              <w:spacing w:after="0"/>
              <w:rPr>
                <w:sz w:val="20"/>
                <w:szCs w:val="20"/>
                <w:color w:val="auto"/>
              </w:rPr>
            </w:pPr>
            <w:r>
              <w:rPr>
                <w:rFonts w:ascii="Arial" w:cs="Arial" w:eastAsia="Arial" w:hAnsi="Arial"/>
                <w:sz w:val="18"/>
                <w:szCs w:val="18"/>
                <w:color w:val="auto"/>
              </w:rPr>
              <w:t>$</w:t>
            </w:r>
          </w:p>
        </w:tc>
        <w:tc>
          <w:tcPr>
            <w:tcW w:w="52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77</w:t>
            </w:r>
          </w:p>
        </w:tc>
        <w:tc>
          <w:tcPr>
            <w:tcW w:w="880" w:type="dxa"/>
            <w:vAlign w:val="bottom"/>
            <w:shd w:val="clear" w:color="auto" w:fill="E5E5E5"/>
          </w:tcPr>
          <w:p>
            <w:pPr>
              <w:ind w:left="740"/>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20" w:type="dxa"/>
            <w:vAlign w:val="bottom"/>
          </w:tcPr>
          <w:p>
            <w:pPr>
              <w:ind w:left="440"/>
              <w:spacing w:after="0"/>
              <w:rPr>
                <w:sz w:val="20"/>
                <w:szCs w:val="20"/>
                <w:color w:val="auto"/>
              </w:rPr>
            </w:pPr>
            <w:r>
              <w:rPr>
                <w:rFonts w:ascii="Arial" w:cs="Arial" w:eastAsia="Arial" w:hAnsi="Arial"/>
                <w:sz w:val="18"/>
                <w:szCs w:val="18"/>
                <w:color w:val="auto"/>
                <w:w w:val="91"/>
              </w:rPr>
              <w:t>Accounts payable and accrued expenses related to trade creditors</w:t>
            </w:r>
          </w:p>
        </w:tc>
        <w:tc>
          <w:tcPr>
            <w:tcW w:w="1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ind w:left="6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72"/>
              <w:spacing w:after="0"/>
              <w:rPr>
                <w:sz w:val="20"/>
                <w:szCs w:val="20"/>
                <w:color w:val="auto"/>
              </w:rPr>
            </w:pPr>
            <w:r>
              <w:rPr>
                <w:rFonts w:ascii="Arial" w:cs="Arial" w:eastAsia="Arial" w:hAnsi="Arial"/>
                <w:sz w:val="18"/>
                <w:szCs w:val="18"/>
                <w:color w:val="auto"/>
              </w:rPr>
              <w:t>58</w:t>
            </w:r>
          </w:p>
        </w:tc>
        <w:tc>
          <w:tcPr>
            <w:tcW w:w="880" w:type="dxa"/>
            <w:vAlign w:val="bottom"/>
          </w:tcPr>
          <w:p>
            <w:pPr>
              <w:ind w:left="7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20" w:type="dxa"/>
            <w:vAlign w:val="bottom"/>
          </w:tcPr>
          <w:p>
            <w:pPr>
              <w:jc w:val="right"/>
              <w:ind w:right="13"/>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5320" w:type="dxa"/>
            <w:vAlign w:val="bottom"/>
            <w:shd w:val="clear" w:color="auto" w:fill="E5E5E5"/>
          </w:tcPr>
          <w:p>
            <w:pPr>
              <w:ind w:left="440"/>
              <w:spacing w:after="0"/>
              <w:rPr>
                <w:sz w:val="20"/>
                <w:szCs w:val="20"/>
                <w:color w:val="auto"/>
              </w:rPr>
            </w:pPr>
            <w:r>
              <w:rPr>
                <w:rFonts w:ascii="Arial" w:cs="Arial" w:eastAsia="Arial" w:hAnsi="Arial"/>
                <w:sz w:val="18"/>
                <w:szCs w:val="18"/>
                <w:color w:val="auto"/>
              </w:rPr>
              <w:t>Accrued expenses and other current liabilities</w:t>
            </w:r>
          </w:p>
        </w:tc>
        <w:tc>
          <w:tcPr>
            <w:tcW w:w="188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500" w:type="dxa"/>
            <w:vAlign w:val="bottom"/>
            <w:shd w:val="clear" w:color="auto" w:fill="E5E5E5"/>
          </w:tcPr>
          <w:p>
            <w:pPr>
              <w:ind w:left="60"/>
              <w:spacing w:after="0"/>
              <w:rPr>
                <w:sz w:val="20"/>
                <w:szCs w:val="20"/>
                <w:color w:val="auto"/>
              </w:rPr>
            </w:pPr>
            <w:r>
              <w:rPr>
                <w:rFonts w:ascii="Arial" w:cs="Arial" w:eastAsia="Arial" w:hAnsi="Arial"/>
                <w:sz w:val="18"/>
                <w:szCs w:val="18"/>
                <w:color w:val="auto"/>
              </w:rPr>
              <w:t>$</w:t>
            </w:r>
          </w:p>
        </w:tc>
        <w:tc>
          <w:tcPr>
            <w:tcW w:w="52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43</w:t>
            </w:r>
          </w:p>
        </w:tc>
        <w:tc>
          <w:tcPr>
            <w:tcW w:w="880" w:type="dxa"/>
            <w:vAlign w:val="bottom"/>
            <w:shd w:val="clear" w:color="auto" w:fill="E5E5E5"/>
          </w:tcPr>
          <w:p>
            <w:pPr>
              <w:ind w:left="740"/>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5320" w:type="dxa"/>
            <w:vAlign w:val="bottom"/>
          </w:tcPr>
          <w:p>
            <w:pPr>
              <w:ind w:left="440"/>
              <w:spacing w:after="0"/>
              <w:rPr>
                <w:sz w:val="20"/>
                <w:szCs w:val="20"/>
                <w:color w:val="auto"/>
              </w:rPr>
            </w:pPr>
            <w:r>
              <w:rPr>
                <w:rFonts w:ascii="Arial" w:cs="Arial" w:eastAsia="Arial" w:hAnsi="Arial"/>
                <w:sz w:val="18"/>
                <w:szCs w:val="18"/>
                <w:color w:val="auto"/>
              </w:rPr>
              <w:t>Note payable to Comcast</w:t>
            </w:r>
          </w:p>
        </w:tc>
        <w:tc>
          <w:tcPr>
            <w:tcW w:w="1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ind w:left="6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880" w:type="dxa"/>
            <w:vAlign w:val="bottom"/>
          </w:tcPr>
          <w:p>
            <w:pPr>
              <w:ind w:left="7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20" w:type="dxa"/>
            <w:vAlign w:val="bottom"/>
          </w:tcPr>
          <w:p>
            <w:pPr>
              <w:jc w:val="right"/>
              <w:ind w:right="13"/>
              <w:spacing w:after="0"/>
              <w:rPr>
                <w:sz w:val="20"/>
                <w:szCs w:val="20"/>
                <w:color w:val="auto"/>
              </w:rPr>
            </w:pPr>
            <w:r>
              <w:rPr>
                <w:rFonts w:ascii="Arial" w:cs="Arial" w:eastAsia="Arial" w:hAnsi="Arial"/>
                <w:sz w:val="18"/>
                <w:szCs w:val="18"/>
                <w:color w:val="auto"/>
              </w:rPr>
              <w:t>865</w:t>
            </w:r>
          </w:p>
        </w:tc>
        <w:tc>
          <w:tcPr>
            <w:tcW w:w="0" w:type="dxa"/>
            <w:vAlign w:val="bottom"/>
          </w:tcPr>
          <w:p>
            <w:pPr>
              <w:spacing w:after="0"/>
              <w:rPr>
                <w:sz w:val="1"/>
                <w:szCs w:val="1"/>
                <w:color w:val="auto"/>
              </w:rPr>
            </w:pPr>
          </w:p>
        </w:tc>
      </w:tr>
      <w:tr>
        <w:trPr>
          <w:trHeight w:val="216"/>
        </w:trPr>
        <w:tc>
          <w:tcPr>
            <w:tcW w:w="5320" w:type="dxa"/>
            <w:vAlign w:val="bottom"/>
            <w:tcBorders>
              <w:bottom w:val="single" w:sz="8" w:color="auto"/>
            </w:tcBorders>
            <w:shd w:val="clear" w:color="auto" w:fill="E5E5E5"/>
          </w:tcPr>
          <w:p>
            <w:pPr>
              <w:ind w:left="440"/>
              <w:spacing w:after="0"/>
              <w:rPr>
                <w:sz w:val="20"/>
                <w:szCs w:val="20"/>
                <w:color w:val="auto"/>
              </w:rPr>
            </w:pPr>
            <w:r>
              <w:rPr>
                <w:rFonts w:ascii="Arial" w:cs="Arial" w:eastAsia="Arial" w:hAnsi="Arial"/>
                <w:sz w:val="18"/>
                <w:szCs w:val="18"/>
                <w:color w:val="auto"/>
              </w:rPr>
              <w:t>Other noncurrent liabilities</w:t>
            </w:r>
          </w:p>
        </w:tc>
        <w:tc>
          <w:tcPr>
            <w:tcW w:w="188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spacing w:after="0"/>
              <w:rPr>
                <w:sz w:val="18"/>
                <w:szCs w:val="18"/>
                <w:color w:val="auto"/>
              </w:rPr>
            </w:pPr>
          </w:p>
        </w:tc>
        <w:tc>
          <w:tcPr>
            <w:tcW w:w="36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color w:val="auto"/>
              </w:rPr>
              <w:t>383</w:t>
            </w:r>
          </w:p>
        </w:tc>
        <w:tc>
          <w:tcPr>
            <w:tcW w:w="880" w:type="dxa"/>
            <w:vAlign w:val="bottom"/>
            <w:tcBorders>
              <w:bottom w:val="single" w:sz="8" w:color="auto"/>
            </w:tcBorders>
            <w:shd w:val="clear" w:color="auto" w:fill="E5E5E5"/>
          </w:tcPr>
          <w:p>
            <w:pPr>
              <w:ind w:left="7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397"/>
        </w:trPr>
        <w:tc>
          <w:tcPr>
            <w:tcW w:w="7720" w:type="dxa"/>
            <w:vAlign w:val="bottom"/>
            <w:gridSpan w:val="3"/>
          </w:tcPr>
          <w:p>
            <w:pPr>
              <w:jc w:val="center"/>
              <w:ind w:left="3614"/>
              <w:spacing w:after="0"/>
              <w:rPr>
                <w:sz w:val="20"/>
                <w:szCs w:val="20"/>
                <w:color w:val="auto"/>
              </w:rPr>
            </w:pPr>
            <w:r>
              <w:rPr>
                <w:rFonts w:ascii="Arial" w:cs="Arial" w:eastAsia="Arial" w:hAnsi="Arial"/>
                <w:sz w:val="18"/>
                <w:szCs w:val="18"/>
                <w:b w:val="1"/>
                <w:bCs w:val="1"/>
                <w:color w:val="auto"/>
                <w:w w:val="97"/>
              </w:rPr>
              <w:t>Condensed Consolidated Statement of Income</w:t>
            </w: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53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580" w:type="dxa"/>
            <w:vAlign w:val="bottom"/>
            <w:gridSpan w:val="3"/>
          </w:tcPr>
          <w:p>
            <w:pPr>
              <w:jc w:val="right"/>
              <w:ind w:right="239"/>
              <w:spacing w:after="0"/>
              <w:rPr>
                <w:sz w:val="20"/>
                <w:szCs w:val="20"/>
                <w:color w:val="auto"/>
              </w:rPr>
            </w:pPr>
            <w:r>
              <w:rPr>
                <w:rFonts w:ascii="Arial" w:cs="Arial" w:eastAsia="Arial" w:hAnsi="Arial"/>
                <w:sz w:val="14"/>
                <w:szCs w:val="14"/>
                <w:color w:val="auto"/>
                <w:w w:val="94"/>
              </w:rPr>
              <w:t>Three Months Ended</w:t>
            </w:r>
          </w:p>
        </w:tc>
        <w:tc>
          <w:tcPr>
            <w:tcW w:w="520" w:type="dxa"/>
            <w:vAlign w:val="bottom"/>
          </w:tcPr>
          <w:p>
            <w:pPr>
              <w:spacing w:after="0"/>
              <w:rPr>
                <w:sz w:val="22"/>
                <w:szCs w:val="22"/>
                <w:color w:val="auto"/>
              </w:rPr>
            </w:pPr>
          </w:p>
        </w:tc>
        <w:tc>
          <w:tcPr>
            <w:tcW w:w="1600" w:type="dxa"/>
            <w:vAlign w:val="bottom"/>
            <w:gridSpan w:val="3"/>
          </w:tcPr>
          <w:p>
            <w:pPr>
              <w:jc w:val="right"/>
              <w:ind w:right="273"/>
              <w:spacing w:after="0"/>
              <w:rPr>
                <w:sz w:val="20"/>
                <w:szCs w:val="20"/>
                <w:color w:val="auto"/>
              </w:rPr>
            </w:pPr>
            <w:r>
              <w:rPr>
                <w:rFonts w:ascii="Arial" w:cs="Arial" w:eastAsia="Arial" w:hAnsi="Arial"/>
                <w:sz w:val="14"/>
                <w:szCs w:val="14"/>
                <w:color w:val="auto"/>
                <w:w w:val="99"/>
              </w:rPr>
              <w:t>Nine Months Ended</w:t>
            </w:r>
          </w:p>
        </w:tc>
        <w:tc>
          <w:tcPr>
            <w:tcW w:w="0" w:type="dxa"/>
            <w:vAlign w:val="bottom"/>
          </w:tcPr>
          <w:p>
            <w:pPr>
              <w:spacing w:after="0"/>
              <w:rPr>
                <w:sz w:val="1"/>
                <w:szCs w:val="1"/>
                <w:color w:val="auto"/>
              </w:rPr>
            </w:pPr>
          </w:p>
        </w:tc>
      </w:tr>
      <w:tr>
        <w:trPr>
          <w:trHeight w:val="159"/>
        </w:trPr>
        <w:tc>
          <w:tcPr>
            <w:tcW w:w="532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188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September 30</w:t>
            </w:r>
          </w:p>
        </w:tc>
        <w:tc>
          <w:tcPr>
            <w:tcW w:w="5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2"/>
          </w:tcPr>
          <w:p>
            <w:pPr>
              <w:ind w:left="320"/>
              <w:spacing w:after="0" w:line="159" w:lineRule="exact"/>
              <w:rPr>
                <w:sz w:val="20"/>
                <w:szCs w:val="20"/>
                <w:color w:val="auto"/>
              </w:rPr>
            </w:pPr>
            <w:r>
              <w:rPr>
                <w:rFonts w:ascii="Arial" w:cs="Arial" w:eastAsia="Arial" w:hAnsi="Arial"/>
                <w:sz w:val="14"/>
                <w:szCs w:val="14"/>
                <w:color w:val="auto"/>
                <w:w w:val="84"/>
              </w:rPr>
              <w:t>September 30</w:t>
            </w:r>
          </w:p>
        </w:tc>
        <w:tc>
          <w:tcPr>
            <w:tcW w:w="5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320" w:type="dxa"/>
            <w:vAlign w:val="bottom"/>
            <w:tcBorders>
              <w:bottom w:val="single" w:sz="8" w:color="auto"/>
            </w:tcBorders>
            <w:vMerge w:val="continue"/>
          </w:tcPr>
          <w:p>
            <w:pPr>
              <w:spacing w:after="0"/>
              <w:rPr>
                <w:sz w:val="12"/>
                <w:szCs w:val="12"/>
                <w:color w:val="auto"/>
              </w:rPr>
            </w:pPr>
          </w:p>
        </w:tc>
        <w:tc>
          <w:tcPr>
            <w:tcW w:w="18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42"/>
              <w:spacing w:after="0" w:line="142" w:lineRule="exact"/>
              <w:rPr>
                <w:sz w:val="20"/>
                <w:szCs w:val="20"/>
                <w:color w:val="auto"/>
              </w:rPr>
            </w:pPr>
            <w:r>
              <w:rPr>
                <w:rFonts w:ascii="Arial" w:cs="Arial" w:eastAsia="Arial" w:hAnsi="Arial"/>
                <w:sz w:val="14"/>
                <w:szCs w:val="14"/>
                <w:color w:val="auto"/>
                <w:w w:val="89"/>
              </w:rPr>
              <w:t>2015</w:t>
            </w:r>
          </w:p>
        </w:tc>
        <w:tc>
          <w:tcPr>
            <w:tcW w:w="3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2014</w:t>
            </w:r>
          </w:p>
        </w:tc>
        <w:tc>
          <w:tcPr>
            <w:tcW w:w="5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color w:val="auto"/>
              </w:rPr>
              <w:t>2015</w:t>
            </w:r>
          </w:p>
        </w:tc>
        <w:tc>
          <w:tcPr>
            <w:tcW w:w="2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color w:val="auto"/>
                <w:w w:val="83"/>
              </w:rPr>
              <w:t>2014</w:t>
            </w:r>
          </w:p>
        </w:tc>
        <w:tc>
          <w:tcPr>
            <w:tcW w:w="0" w:type="dxa"/>
            <w:vAlign w:val="bottom"/>
          </w:tcPr>
          <w:p>
            <w:pPr>
              <w:spacing w:after="0"/>
              <w:rPr>
                <w:sz w:val="1"/>
                <w:szCs w:val="1"/>
                <w:color w:val="auto"/>
              </w:rPr>
            </w:pPr>
          </w:p>
        </w:tc>
      </w:tr>
      <w:tr>
        <w:trPr>
          <w:trHeight w:val="210"/>
        </w:trPr>
        <w:tc>
          <w:tcPr>
            <w:tcW w:w="532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Transactions with Comcast and Consolidated Subsidiaries</w:t>
            </w:r>
          </w:p>
        </w:tc>
        <w:tc>
          <w:tcPr>
            <w:tcW w:w="188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88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440"/>
              <w:spacing w:after="0"/>
              <w:rPr>
                <w:sz w:val="20"/>
                <w:szCs w:val="20"/>
                <w:color w:val="auto"/>
              </w:rPr>
            </w:pPr>
            <w:r>
              <w:rPr>
                <w:rFonts w:ascii="Arial" w:cs="Arial" w:eastAsia="Arial" w:hAnsi="Arial"/>
                <w:sz w:val="18"/>
                <w:szCs w:val="18"/>
                <w:color w:val="auto"/>
              </w:rPr>
              <w:t>Revenue</w:t>
            </w:r>
          </w:p>
        </w:tc>
        <w:tc>
          <w:tcPr>
            <w:tcW w:w="2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02"/>
              <w:spacing w:after="0"/>
              <w:rPr>
                <w:sz w:val="20"/>
                <w:szCs w:val="20"/>
                <w:color w:val="auto"/>
              </w:rPr>
            </w:pPr>
            <w:r>
              <w:rPr>
                <w:rFonts w:ascii="Arial" w:cs="Arial" w:eastAsia="Arial" w:hAnsi="Arial"/>
                <w:sz w:val="18"/>
                <w:szCs w:val="18"/>
                <w:color w:val="auto"/>
              </w:rPr>
              <w:t>334</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19"/>
              <w:spacing w:after="0"/>
              <w:rPr>
                <w:sz w:val="20"/>
                <w:szCs w:val="20"/>
                <w:color w:val="auto"/>
              </w:rPr>
            </w:pPr>
            <w:r>
              <w:rPr>
                <w:rFonts w:ascii="Arial" w:cs="Arial" w:eastAsia="Arial" w:hAnsi="Arial"/>
                <w:sz w:val="18"/>
                <w:szCs w:val="18"/>
                <w:color w:val="auto"/>
              </w:rPr>
              <w:t>316</w:t>
            </w:r>
          </w:p>
        </w:tc>
        <w:tc>
          <w:tcPr>
            <w:tcW w:w="1400" w:type="dxa"/>
            <w:vAlign w:val="bottom"/>
            <w:gridSpan w:val="2"/>
          </w:tcPr>
          <w:p>
            <w:pPr>
              <w:jc w:val="right"/>
              <w:ind w:right="359"/>
              <w:spacing w:after="0"/>
              <w:rPr>
                <w:sz w:val="20"/>
                <w:szCs w:val="20"/>
                <w:color w:val="auto"/>
              </w:rPr>
            </w:pPr>
            <w:r>
              <w:rPr>
                <w:rFonts w:ascii="Arial" w:cs="Arial" w:eastAsia="Arial" w:hAnsi="Arial"/>
                <w:sz w:val="18"/>
                <w:szCs w:val="18"/>
                <w:color w:val="auto"/>
              </w:rPr>
              <w:t>$ 1,006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3"/>
              <w:spacing w:after="0"/>
              <w:rPr>
                <w:sz w:val="20"/>
                <w:szCs w:val="20"/>
                <w:color w:val="auto"/>
              </w:rPr>
            </w:pPr>
            <w:r>
              <w:rPr>
                <w:rFonts w:ascii="Arial" w:cs="Arial" w:eastAsia="Arial" w:hAnsi="Arial"/>
                <w:sz w:val="18"/>
                <w:szCs w:val="18"/>
                <w:color w:val="auto"/>
              </w:rPr>
              <w:t>989</w:t>
            </w:r>
          </w:p>
        </w:tc>
        <w:tc>
          <w:tcPr>
            <w:tcW w:w="0" w:type="dxa"/>
            <w:vAlign w:val="bottom"/>
          </w:tcPr>
          <w:p>
            <w:pPr>
              <w:spacing w:after="0"/>
              <w:rPr>
                <w:sz w:val="1"/>
                <w:szCs w:val="1"/>
                <w:color w:val="auto"/>
              </w:rPr>
            </w:pPr>
          </w:p>
        </w:tc>
      </w:tr>
      <w:tr>
        <w:trPr>
          <w:trHeight w:val="216"/>
        </w:trPr>
        <w:tc>
          <w:tcPr>
            <w:tcW w:w="5320" w:type="dxa"/>
            <w:vAlign w:val="bottom"/>
            <w:shd w:val="clear" w:color="auto" w:fill="E5E5E5"/>
          </w:tcPr>
          <w:p>
            <w:pPr>
              <w:ind w:left="440"/>
              <w:spacing w:after="0"/>
              <w:rPr>
                <w:sz w:val="20"/>
                <w:szCs w:val="20"/>
                <w:color w:val="auto"/>
              </w:rPr>
            </w:pPr>
            <w:r>
              <w:rPr>
                <w:rFonts w:ascii="Arial" w:cs="Arial" w:eastAsia="Arial" w:hAnsi="Arial"/>
                <w:sz w:val="18"/>
                <w:szCs w:val="18"/>
                <w:color w:val="auto"/>
              </w:rPr>
              <w:t>Operating costs and expenses</w:t>
            </w:r>
          </w:p>
        </w:tc>
        <w:tc>
          <w:tcPr>
            <w:tcW w:w="2400" w:type="dxa"/>
            <w:vAlign w:val="bottom"/>
            <w:gridSpan w:val="2"/>
            <w:shd w:val="clear" w:color="auto" w:fill="E5E5E5"/>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E5E5E5"/>
          </w:tcPr>
          <w:p>
            <w:pPr>
              <w:jc w:val="right"/>
              <w:ind w:right="142"/>
              <w:spacing w:after="0"/>
              <w:rPr>
                <w:sz w:val="20"/>
                <w:szCs w:val="20"/>
                <w:color w:val="auto"/>
              </w:rPr>
            </w:pPr>
            <w:r>
              <w:rPr>
                <w:rFonts w:ascii="Arial" w:cs="Arial" w:eastAsia="Arial" w:hAnsi="Arial"/>
                <w:sz w:val="18"/>
                <w:szCs w:val="18"/>
                <w:color w:val="auto"/>
              </w:rPr>
              <w:t>(71)</w:t>
            </w:r>
          </w:p>
        </w:tc>
        <w:tc>
          <w:tcPr>
            <w:tcW w:w="3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(32)</w:t>
            </w: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E5E5E5"/>
          </w:tcPr>
          <w:p>
            <w:pPr>
              <w:jc w:val="right"/>
              <w:ind w:right="299"/>
              <w:spacing w:after="0"/>
              <w:rPr>
                <w:sz w:val="20"/>
                <w:szCs w:val="20"/>
                <w:color w:val="auto"/>
              </w:rPr>
            </w:pPr>
            <w:r>
              <w:rPr>
                <w:rFonts w:ascii="Arial" w:cs="Arial" w:eastAsia="Arial" w:hAnsi="Arial"/>
                <w:sz w:val="18"/>
                <w:szCs w:val="18"/>
                <w:color w:val="auto"/>
              </w:rPr>
              <w:t>(164)</w:t>
            </w:r>
          </w:p>
        </w:tc>
        <w:tc>
          <w:tcPr>
            <w:tcW w:w="2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532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Other income (expense)</w:t>
            </w:r>
          </w:p>
        </w:tc>
        <w:tc>
          <w:tcPr>
            <w:tcW w:w="24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142"/>
              <w:spacing w:after="0"/>
              <w:rPr>
                <w:sz w:val="20"/>
                <w:szCs w:val="20"/>
                <w:color w:val="auto"/>
              </w:rPr>
            </w:pPr>
            <w:r>
              <w:rPr>
                <w:rFonts w:ascii="Arial" w:cs="Arial" w:eastAsia="Arial" w:hAnsi="Arial"/>
                <w:sz w:val="18"/>
                <w:szCs w:val="18"/>
                <w:color w:val="auto"/>
              </w:rPr>
              <w:t>(7)</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8"/>
                <w:szCs w:val="18"/>
                <w:color w:val="auto"/>
              </w:rPr>
              <w:t>(25)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436"/>
        </w:trPr>
        <w:tc>
          <w:tcPr>
            <w:tcW w:w="5320" w:type="dxa"/>
            <w:vAlign w:val="bottom"/>
          </w:tcPr>
          <w:p>
            <w:pPr>
              <w:spacing w:after="0"/>
              <w:rPr>
                <w:sz w:val="20"/>
                <w:szCs w:val="20"/>
                <w:color w:val="auto"/>
              </w:rPr>
            </w:pPr>
            <w:r>
              <w:rPr>
                <w:rFonts w:ascii="Arial" w:cs="Arial" w:eastAsia="Arial" w:hAnsi="Arial"/>
                <w:sz w:val="22"/>
                <w:szCs w:val="22"/>
                <w:b w:val="1"/>
                <w:bCs w:val="1"/>
                <w:color w:val="auto"/>
              </w:rPr>
              <w:t>Note 4: Film and Television Costs</w:t>
            </w:r>
          </w:p>
        </w:tc>
        <w:tc>
          <w:tcPr>
            <w:tcW w:w="1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3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20" w:type="dxa"/>
            <w:vAlign w:val="bottom"/>
            <w:gridSpan w:val="2"/>
          </w:tcPr>
          <w:p>
            <w:pPr>
              <w:ind w:left="160"/>
              <w:spacing w:after="0"/>
              <w:rPr>
                <w:sz w:val="20"/>
                <w:szCs w:val="20"/>
                <w:color w:val="auto"/>
              </w:rPr>
            </w:pPr>
            <w:r>
              <w:rPr>
                <w:rFonts w:ascii="Arial" w:cs="Arial" w:eastAsia="Arial" w:hAnsi="Arial"/>
                <w:sz w:val="14"/>
                <w:szCs w:val="14"/>
                <w:color w:val="auto"/>
                <w:w w:val="91"/>
              </w:rPr>
              <w:t>September 30,</w:t>
            </w:r>
          </w:p>
        </w:tc>
        <w:tc>
          <w:tcPr>
            <w:tcW w:w="1600" w:type="dxa"/>
            <w:vAlign w:val="bottom"/>
            <w:gridSpan w:val="3"/>
          </w:tcPr>
          <w:p>
            <w:pPr>
              <w:ind w:left="740"/>
              <w:spacing w:after="0"/>
              <w:rPr>
                <w:sz w:val="20"/>
                <w:szCs w:val="20"/>
                <w:color w:val="auto"/>
              </w:rPr>
            </w:pPr>
            <w:r>
              <w:rPr>
                <w:rFonts w:ascii="Arial" w:cs="Arial" w:eastAsia="Arial" w:hAnsi="Arial"/>
                <w:sz w:val="14"/>
                <w:szCs w:val="14"/>
                <w:color w:val="auto"/>
                <w:w w:val="95"/>
              </w:rPr>
              <w:t>December 31,</w:t>
            </w:r>
          </w:p>
        </w:tc>
        <w:tc>
          <w:tcPr>
            <w:tcW w:w="0" w:type="dxa"/>
            <w:vAlign w:val="bottom"/>
          </w:tcPr>
          <w:p>
            <w:pPr>
              <w:spacing w:after="0"/>
              <w:rPr>
                <w:sz w:val="1"/>
                <w:szCs w:val="1"/>
                <w:color w:val="auto"/>
              </w:rPr>
            </w:pPr>
          </w:p>
        </w:tc>
      </w:tr>
      <w:tr>
        <w:trPr>
          <w:trHeight w:val="159"/>
        </w:trPr>
        <w:tc>
          <w:tcPr>
            <w:tcW w:w="532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18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jc w:val="right"/>
              <w:ind w:right="252"/>
              <w:spacing w:after="0" w:line="159" w:lineRule="exact"/>
              <w:rPr>
                <w:sz w:val="20"/>
                <w:szCs w:val="20"/>
                <w:color w:val="auto"/>
              </w:rPr>
            </w:pPr>
            <w:r>
              <w:rPr>
                <w:rFonts w:ascii="Arial" w:cs="Arial" w:eastAsia="Arial" w:hAnsi="Arial"/>
                <w:sz w:val="14"/>
                <w:szCs w:val="14"/>
                <w:color w:val="auto"/>
              </w:rPr>
              <w:t>2015</w:t>
            </w:r>
          </w:p>
        </w:tc>
        <w:tc>
          <w:tcPr>
            <w:tcW w:w="8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2"/>
          </w:tcPr>
          <w:p>
            <w:pPr>
              <w:jc w:val="right"/>
              <w:ind w:right="253"/>
              <w:spacing w:after="0" w:line="159" w:lineRule="exact"/>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210"/>
        </w:trPr>
        <w:tc>
          <w:tcPr>
            <w:tcW w:w="5320" w:type="dxa"/>
            <w:vAlign w:val="bottom"/>
            <w:shd w:val="clear" w:color="auto" w:fill="E5E5E5"/>
          </w:tcPr>
          <w:p>
            <w:pPr>
              <w:spacing w:after="0"/>
              <w:rPr>
                <w:sz w:val="20"/>
                <w:szCs w:val="20"/>
                <w:color w:val="auto"/>
              </w:rPr>
            </w:pPr>
            <w:r>
              <w:rPr>
                <w:rFonts w:ascii="Arial" w:cs="Arial" w:eastAsia="Arial" w:hAnsi="Arial"/>
                <w:sz w:val="18"/>
                <w:szCs w:val="18"/>
                <w:color w:val="auto"/>
              </w:rPr>
              <w:t>Film Costs:</w:t>
            </w:r>
          </w:p>
        </w:tc>
        <w:tc>
          <w:tcPr>
            <w:tcW w:w="188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88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440"/>
              <w:spacing w:after="0"/>
              <w:rPr>
                <w:sz w:val="20"/>
                <w:szCs w:val="20"/>
                <w:color w:val="auto"/>
              </w:rPr>
            </w:pPr>
            <w:r>
              <w:rPr>
                <w:rFonts w:ascii="Arial" w:cs="Arial" w:eastAsia="Arial" w:hAnsi="Arial"/>
                <w:sz w:val="18"/>
                <w:szCs w:val="18"/>
                <w:color w:val="auto"/>
              </w:rPr>
              <w:t>Released, less amortization</w:t>
            </w:r>
          </w:p>
        </w:tc>
        <w:tc>
          <w:tcPr>
            <w:tcW w:w="1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ind w:left="1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3"/>
              </w:rPr>
              <w:t>1,365</w:t>
            </w:r>
          </w:p>
        </w:tc>
        <w:tc>
          <w:tcPr>
            <w:tcW w:w="880" w:type="dxa"/>
            <w:vAlign w:val="bottom"/>
          </w:tcPr>
          <w:p>
            <w:pPr>
              <w:ind w:left="7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20" w:type="dxa"/>
            <w:vAlign w:val="bottom"/>
          </w:tcPr>
          <w:p>
            <w:pPr>
              <w:jc w:val="right"/>
              <w:ind w:right="13"/>
              <w:spacing w:after="0"/>
              <w:rPr>
                <w:sz w:val="20"/>
                <w:szCs w:val="20"/>
                <w:color w:val="auto"/>
              </w:rPr>
            </w:pPr>
            <w:r>
              <w:rPr>
                <w:rFonts w:ascii="Arial" w:cs="Arial" w:eastAsia="Arial" w:hAnsi="Arial"/>
                <w:sz w:val="18"/>
                <w:szCs w:val="18"/>
                <w:color w:val="auto"/>
                <w:w w:val="88"/>
              </w:rPr>
              <w:t>1,371</w:t>
            </w:r>
          </w:p>
        </w:tc>
        <w:tc>
          <w:tcPr>
            <w:tcW w:w="0" w:type="dxa"/>
            <w:vAlign w:val="bottom"/>
          </w:tcPr>
          <w:p>
            <w:pPr>
              <w:spacing w:after="0"/>
              <w:rPr>
                <w:sz w:val="1"/>
                <w:szCs w:val="1"/>
                <w:color w:val="auto"/>
              </w:rPr>
            </w:pPr>
          </w:p>
        </w:tc>
      </w:tr>
      <w:tr>
        <w:trPr>
          <w:trHeight w:val="216"/>
        </w:trPr>
        <w:tc>
          <w:tcPr>
            <w:tcW w:w="532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Completed, not released</w:t>
            </w:r>
          </w:p>
        </w:tc>
        <w:tc>
          <w:tcPr>
            <w:tcW w:w="188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208</w:t>
            </w:r>
          </w:p>
        </w:tc>
        <w:tc>
          <w:tcPr>
            <w:tcW w:w="88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532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In production and in development</w:t>
            </w:r>
          </w:p>
        </w:tc>
        <w:tc>
          <w:tcPr>
            <w:tcW w:w="18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w:t>
            </w:r>
          </w:p>
        </w:tc>
        <w:tc>
          <w:tcPr>
            <w:tcW w:w="8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w w:val="88"/>
              </w:rPr>
              <w:t>1,189</w:t>
            </w:r>
          </w:p>
        </w:tc>
        <w:tc>
          <w:tcPr>
            <w:tcW w:w="0" w:type="dxa"/>
            <w:vAlign w:val="bottom"/>
          </w:tcPr>
          <w:p>
            <w:pPr>
              <w:spacing w:after="0"/>
              <w:rPr>
                <w:sz w:val="1"/>
                <w:szCs w:val="1"/>
                <w:color w:val="auto"/>
              </w:rPr>
            </w:pPr>
          </w:p>
        </w:tc>
      </w:tr>
      <w:tr>
        <w:trPr>
          <w:trHeight w:val="210"/>
        </w:trPr>
        <w:tc>
          <w:tcPr>
            <w:tcW w:w="5320" w:type="dxa"/>
            <w:vAlign w:val="bottom"/>
            <w:shd w:val="clear" w:color="auto" w:fill="E5E5E5"/>
          </w:tcPr>
          <w:p>
            <w:pPr>
              <w:spacing w:after="0"/>
              <w:rPr>
                <w:sz w:val="18"/>
                <w:szCs w:val="18"/>
                <w:color w:val="auto"/>
              </w:rPr>
            </w:pPr>
          </w:p>
        </w:tc>
        <w:tc>
          <w:tcPr>
            <w:tcW w:w="188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3"/>
              </w:rPr>
              <w:t>2,341</w:t>
            </w:r>
          </w:p>
        </w:tc>
        <w:tc>
          <w:tcPr>
            <w:tcW w:w="88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w w:val="88"/>
              </w:rPr>
              <w:t>2,631</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Television Costs:</w:t>
            </w:r>
          </w:p>
        </w:tc>
        <w:tc>
          <w:tcPr>
            <w:tcW w:w="1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E5E5E5"/>
          </w:tcPr>
          <w:p>
            <w:pPr>
              <w:ind w:left="440"/>
              <w:spacing w:after="0"/>
              <w:rPr>
                <w:sz w:val="20"/>
                <w:szCs w:val="20"/>
                <w:color w:val="auto"/>
              </w:rPr>
            </w:pPr>
            <w:r>
              <w:rPr>
                <w:rFonts w:ascii="Arial" w:cs="Arial" w:eastAsia="Arial" w:hAnsi="Arial"/>
                <w:sz w:val="18"/>
                <w:szCs w:val="18"/>
                <w:color w:val="auto"/>
              </w:rPr>
              <w:t>Released, less amortization</w:t>
            </w:r>
          </w:p>
        </w:tc>
        <w:tc>
          <w:tcPr>
            <w:tcW w:w="188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3"/>
              </w:rPr>
              <w:t>1,505</w:t>
            </w:r>
          </w:p>
        </w:tc>
        <w:tc>
          <w:tcPr>
            <w:tcW w:w="88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w w:val="88"/>
              </w:rPr>
              <w:t>1,273</w:t>
            </w:r>
          </w:p>
        </w:tc>
        <w:tc>
          <w:tcPr>
            <w:tcW w:w="0" w:type="dxa"/>
            <w:vAlign w:val="bottom"/>
          </w:tcPr>
          <w:p>
            <w:pPr>
              <w:spacing w:after="0"/>
              <w:rPr>
                <w:sz w:val="1"/>
                <w:szCs w:val="1"/>
                <w:color w:val="auto"/>
              </w:rPr>
            </w:pPr>
          </w:p>
        </w:tc>
      </w:tr>
      <w:tr>
        <w:trPr>
          <w:trHeight w:val="216"/>
        </w:trPr>
        <w:tc>
          <w:tcPr>
            <w:tcW w:w="532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In production and in development</w:t>
            </w:r>
          </w:p>
        </w:tc>
        <w:tc>
          <w:tcPr>
            <w:tcW w:w="18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w:t>
            </w:r>
          </w:p>
        </w:tc>
        <w:tc>
          <w:tcPr>
            <w:tcW w:w="8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10"/>
        </w:trPr>
        <w:tc>
          <w:tcPr>
            <w:tcW w:w="5320" w:type="dxa"/>
            <w:vAlign w:val="bottom"/>
            <w:shd w:val="clear" w:color="auto" w:fill="E5E5E5"/>
          </w:tcPr>
          <w:p>
            <w:pPr>
              <w:spacing w:after="0"/>
              <w:rPr>
                <w:sz w:val="18"/>
                <w:szCs w:val="18"/>
                <w:color w:val="auto"/>
              </w:rPr>
            </w:pPr>
          </w:p>
        </w:tc>
        <w:tc>
          <w:tcPr>
            <w:tcW w:w="188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3"/>
              </w:rPr>
              <w:t>2,204</w:t>
            </w:r>
          </w:p>
        </w:tc>
        <w:tc>
          <w:tcPr>
            <w:tcW w:w="88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w w:val="88"/>
              </w:rPr>
              <w:t>1,778</w:t>
            </w:r>
          </w:p>
        </w:tc>
        <w:tc>
          <w:tcPr>
            <w:tcW w:w="0" w:type="dxa"/>
            <w:vAlign w:val="bottom"/>
          </w:tcPr>
          <w:p>
            <w:pPr>
              <w:spacing w:after="0"/>
              <w:rPr>
                <w:sz w:val="1"/>
                <w:szCs w:val="1"/>
                <w:color w:val="auto"/>
              </w:rPr>
            </w:pPr>
          </w:p>
        </w:tc>
      </w:tr>
      <w:tr>
        <w:trPr>
          <w:trHeight w:val="216"/>
        </w:trPr>
        <w:tc>
          <w:tcPr>
            <w:tcW w:w="5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Programming rights, less amortization</w:t>
            </w:r>
          </w:p>
        </w:tc>
        <w:tc>
          <w:tcPr>
            <w:tcW w:w="18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2,279</w:t>
            </w:r>
          </w:p>
        </w:tc>
        <w:tc>
          <w:tcPr>
            <w:tcW w:w="8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w w:val="88"/>
              </w:rPr>
              <w:t>2,130</w:t>
            </w:r>
          </w:p>
        </w:tc>
        <w:tc>
          <w:tcPr>
            <w:tcW w:w="0" w:type="dxa"/>
            <w:vAlign w:val="bottom"/>
          </w:tcPr>
          <w:p>
            <w:pPr>
              <w:spacing w:after="0"/>
              <w:rPr>
                <w:sz w:val="1"/>
                <w:szCs w:val="1"/>
                <w:color w:val="auto"/>
              </w:rPr>
            </w:pPr>
          </w:p>
        </w:tc>
      </w:tr>
      <w:tr>
        <w:trPr>
          <w:trHeight w:val="210"/>
        </w:trPr>
        <w:tc>
          <w:tcPr>
            <w:tcW w:w="5320" w:type="dxa"/>
            <w:vAlign w:val="bottom"/>
            <w:shd w:val="clear" w:color="auto" w:fill="E5E5E5"/>
          </w:tcPr>
          <w:p>
            <w:pPr>
              <w:spacing w:after="0"/>
              <w:rPr>
                <w:sz w:val="18"/>
                <w:szCs w:val="18"/>
                <w:color w:val="auto"/>
              </w:rPr>
            </w:pPr>
          </w:p>
        </w:tc>
        <w:tc>
          <w:tcPr>
            <w:tcW w:w="188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3"/>
              </w:rPr>
              <w:t>6,824</w:t>
            </w:r>
          </w:p>
        </w:tc>
        <w:tc>
          <w:tcPr>
            <w:tcW w:w="88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w w:val="88"/>
              </w:rPr>
              <w:t>6,539</w:t>
            </w:r>
          </w:p>
        </w:tc>
        <w:tc>
          <w:tcPr>
            <w:tcW w:w="0" w:type="dxa"/>
            <w:vAlign w:val="bottom"/>
          </w:tcPr>
          <w:p>
            <w:pPr>
              <w:spacing w:after="0"/>
              <w:rPr>
                <w:sz w:val="1"/>
                <w:szCs w:val="1"/>
                <w:color w:val="auto"/>
              </w:rPr>
            </w:pPr>
          </w:p>
        </w:tc>
      </w:tr>
      <w:tr>
        <w:trPr>
          <w:trHeight w:val="216"/>
        </w:trPr>
        <w:tc>
          <w:tcPr>
            <w:tcW w:w="5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Current portion of programming rights</w:t>
            </w:r>
          </w:p>
        </w:tc>
        <w:tc>
          <w:tcPr>
            <w:tcW w:w="18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1,116</w:t>
            </w:r>
          </w:p>
        </w:tc>
        <w:tc>
          <w:tcPr>
            <w:tcW w:w="8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825</w:t>
            </w:r>
          </w:p>
        </w:tc>
        <w:tc>
          <w:tcPr>
            <w:tcW w:w="0" w:type="dxa"/>
            <w:vAlign w:val="bottom"/>
          </w:tcPr>
          <w:p>
            <w:pPr>
              <w:spacing w:after="0"/>
              <w:rPr>
                <w:sz w:val="1"/>
                <w:szCs w:val="1"/>
                <w:color w:val="auto"/>
              </w:rPr>
            </w:pPr>
          </w:p>
        </w:tc>
      </w:tr>
      <w:tr>
        <w:trPr>
          <w:trHeight w:val="217"/>
        </w:trPr>
        <w:tc>
          <w:tcPr>
            <w:tcW w:w="53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Film and television costs</w:t>
            </w:r>
          </w:p>
        </w:tc>
        <w:tc>
          <w:tcPr>
            <w:tcW w:w="188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spacing w:after="0"/>
              <w:rPr>
                <w:sz w:val="18"/>
                <w:szCs w:val="18"/>
                <w:color w:val="auto"/>
              </w:rPr>
            </w:pPr>
          </w:p>
        </w:tc>
        <w:tc>
          <w:tcPr>
            <w:tcW w:w="36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ind w:left="140"/>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w w:val="93"/>
              </w:rPr>
              <w:t>5,708</w:t>
            </w:r>
          </w:p>
        </w:tc>
        <w:tc>
          <w:tcPr>
            <w:tcW w:w="880" w:type="dxa"/>
            <w:vAlign w:val="bottom"/>
            <w:tcBorders>
              <w:bottom w:val="single" w:sz="8" w:color="auto"/>
            </w:tcBorders>
            <w:shd w:val="clear" w:color="auto" w:fill="E5E5E5"/>
          </w:tcPr>
          <w:p>
            <w:pPr>
              <w:ind w:left="74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w w:val="88"/>
              </w:rPr>
              <w:t>5,714</w:t>
            </w:r>
          </w:p>
        </w:tc>
        <w:tc>
          <w:tcPr>
            <w:tcW w:w="0" w:type="dxa"/>
            <w:vAlign w:val="bottom"/>
          </w:tcPr>
          <w:p>
            <w:pPr>
              <w:spacing w:after="0"/>
              <w:rPr>
                <w:sz w:val="1"/>
                <w:szCs w:val="1"/>
                <w:color w:val="auto"/>
              </w:rPr>
            </w:pPr>
          </w:p>
        </w:tc>
      </w:tr>
      <w:tr>
        <w:trPr>
          <w:trHeight w:val="363"/>
        </w:trPr>
        <w:tc>
          <w:tcPr>
            <w:tcW w:w="5320" w:type="dxa"/>
            <w:vAlign w:val="bottom"/>
          </w:tcPr>
          <w:p>
            <w:pPr>
              <w:spacing w:after="0"/>
              <w:rPr>
                <w:sz w:val="24"/>
                <w:szCs w:val="24"/>
                <w:color w:val="auto"/>
              </w:rPr>
            </w:pPr>
          </w:p>
        </w:tc>
        <w:tc>
          <w:tcPr>
            <w:tcW w:w="1880" w:type="dxa"/>
            <w:vAlign w:val="bottom"/>
          </w:tcPr>
          <w:p>
            <w:pPr>
              <w:jc w:val="right"/>
              <w:ind w:right="1292"/>
              <w:spacing w:after="0"/>
              <w:rPr>
                <w:sz w:val="20"/>
                <w:szCs w:val="20"/>
                <w:color w:val="auto"/>
              </w:rPr>
            </w:pPr>
            <w:r>
              <w:rPr>
                <w:rFonts w:ascii="Arial" w:cs="Arial" w:eastAsia="Arial" w:hAnsi="Arial"/>
                <w:sz w:val="18"/>
                <w:szCs w:val="18"/>
                <w:color w:val="auto"/>
              </w:rPr>
              <w:t>55</w:t>
            </w: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5: Investments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4680" w:type="dxa"/>
            <w:vAlign w:val="bottom"/>
            <w:gridSpan w:val="2"/>
          </w:tcPr>
          <w:p>
            <w:pPr>
              <w:ind w:left="3440"/>
              <w:spacing w:after="0"/>
              <w:rPr>
                <w:sz w:val="20"/>
                <w:szCs w:val="20"/>
                <w:color w:val="auto"/>
              </w:rPr>
            </w:pPr>
            <w:r>
              <w:rPr>
                <w:rFonts w:ascii="Arial" w:cs="Arial" w:eastAsia="Arial" w:hAnsi="Arial"/>
                <w:sz w:val="14"/>
                <w:szCs w:val="14"/>
                <w:color w:val="auto"/>
              </w:rPr>
              <w:t>September 30,</w:t>
            </w:r>
          </w:p>
        </w:tc>
        <w:tc>
          <w:tcPr>
            <w:tcW w:w="1320" w:type="dxa"/>
            <w:vAlign w:val="bottom"/>
            <w:gridSpan w:val="2"/>
          </w:tcPr>
          <w:p>
            <w:pPr>
              <w:ind w:left="460"/>
              <w:spacing w:after="0"/>
              <w:rPr>
                <w:sz w:val="20"/>
                <w:szCs w:val="20"/>
                <w:color w:val="auto"/>
              </w:rPr>
            </w:pPr>
            <w:r>
              <w:rPr>
                <w:rFonts w:ascii="Arial" w:cs="Arial" w:eastAsia="Arial" w:hAnsi="Arial"/>
                <w:sz w:val="14"/>
                <w:szCs w:val="14"/>
                <w:color w:val="auto"/>
                <w:w w:val="95"/>
              </w:rPr>
              <w:t>December 31,</w:t>
            </w:r>
          </w:p>
        </w:tc>
      </w:tr>
      <w:tr>
        <w:trPr>
          <w:trHeight w:val="159"/>
        </w:trPr>
        <w:tc>
          <w:tcPr>
            <w:tcW w:w="542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36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635"/>
              <w:spacing w:after="0" w:line="159" w:lineRule="exact"/>
              <w:rPr>
                <w:sz w:val="20"/>
                <w:szCs w:val="20"/>
                <w:color w:val="auto"/>
              </w:rPr>
            </w:pPr>
            <w:r>
              <w:rPr>
                <w:rFonts w:ascii="Arial" w:cs="Arial" w:eastAsia="Arial" w:hAnsi="Arial"/>
                <w:sz w:val="14"/>
                <w:szCs w:val="14"/>
                <w:color w:val="auto"/>
              </w:rPr>
              <w:t>2015</w:t>
            </w:r>
          </w:p>
        </w:tc>
        <w:tc>
          <w:tcPr>
            <w:tcW w:w="6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55"/>
              <w:spacing w:after="0" w:line="159" w:lineRule="exact"/>
              <w:rPr>
                <w:sz w:val="20"/>
                <w:szCs w:val="20"/>
                <w:color w:val="auto"/>
              </w:rPr>
            </w:pPr>
            <w:r>
              <w:rPr>
                <w:rFonts w:ascii="Arial" w:cs="Arial" w:eastAsia="Arial" w:hAnsi="Arial"/>
                <w:sz w:val="14"/>
                <w:szCs w:val="14"/>
                <w:color w:val="auto"/>
              </w:rPr>
              <w:t>2014</w:t>
            </w:r>
          </w:p>
        </w:tc>
      </w:tr>
      <w:tr>
        <w:trPr>
          <w:trHeight w:val="210"/>
        </w:trPr>
        <w:tc>
          <w:tcPr>
            <w:tcW w:w="5420" w:type="dxa"/>
            <w:vAlign w:val="bottom"/>
            <w:shd w:val="clear" w:color="auto" w:fill="E5E5E5"/>
          </w:tcPr>
          <w:p>
            <w:pPr>
              <w:spacing w:after="0"/>
              <w:rPr>
                <w:sz w:val="20"/>
                <w:szCs w:val="20"/>
                <w:color w:val="auto"/>
              </w:rPr>
            </w:pPr>
            <w:r>
              <w:rPr>
                <w:rFonts w:ascii="Arial" w:cs="Arial" w:eastAsia="Arial" w:hAnsi="Arial"/>
                <w:sz w:val="18"/>
                <w:szCs w:val="18"/>
                <w:color w:val="auto"/>
              </w:rPr>
              <w:t>Fair Value Method</w:t>
            </w:r>
          </w:p>
        </w:tc>
        <w:tc>
          <w:tcPr>
            <w:tcW w:w="3600" w:type="dxa"/>
            <w:vAlign w:val="bottom"/>
            <w:shd w:val="clear" w:color="auto" w:fill="E5E5E5"/>
          </w:tcPr>
          <w:p>
            <w:pPr>
              <w:ind w:left="34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E5E5E5"/>
          </w:tcPr>
          <w:p>
            <w:pPr>
              <w:jc w:val="right"/>
              <w:ind w:right="375"/>
              <w:spacing w:after="0"/>
              <w:rPr>
                <w:sz w:val="20"/>
                <w:szCs w:val="20"/>
                <w:color w:val="auto"/>
              </w:rPr>
            </w:pPr>
            <w:r>
              <w:rPr>
                <w:rFonts w:ascii="Arial" w:cs="Arial" w:eastAsia="Arial" w:hAnsi="Arial"/>
                <w:sz w:val="18"/>
                <w:szCs w:val="18"/>
                <w:color w:val="auto"/>
              </w:rPr>
              <w:t>10</w:t>
            </w:r>
          </w:p>
        </w:tc>
        <w:tc>
          <w:tcPr>
            <w:tcW w:w="620" w:type="dxa"/>
            <w:vAlign w:val="bottom"/>
            <w:shd w:val="clear" w:color="auto" w:fill="E5E5E5"/>
          </w:tcPr>
          <w:p>
            <w:pPr>
              <w:ind w:left="460"/>
              <w:spacing w:after="0"/>
              <w:rPr>
                <w:sz w:val="20"/>
                <w:szCs w:val="20"/>
                <w:color w:val="auto"/>
              </w:rPr>
            </w:pPr>
            <w:r>
              <w:rPr>
                <w:rFonts w:ascii="Arial" w:cs="Arial" w:eastAsia="Arial" w:hAnsi="Arial"/>
                <w:sz w:val="18"/>
                <w:szCs w:val="18"/>
                <w:color w:val="auto"/>
              </w:rPr>
              <w:t>$</w:t>
            </w:r>
          </w:p>
        </w:tc>
        <w:tc>
          <w:tcPr>
            <w:tcW w:w="70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10</w:t>
            </w: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Equity Method:</w:t>
            </w:r>
          </w:p>
        </w:tc>
        <w:tc>
          <w:tcPr>
            <w:tcW w:w="3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5420" w:type="dxa"/>
            <w:vAlign w:val="bottom"/>
            <w:shd w:val="clear" w:color="auto" w:fill="E5E5E5"/>
          </w:tcPr>
          <w:p>
            <w:pPr>
              <w:ind w:left="440"/>
              <w:spacing w:after="0"/>
              <w:rPr>
                <w:sz w:val="20"/>
                <w:szCs w:val="20"/>
                <w:color w:val="auto"/>
              </w:rPr>
            </w:pPr>
            <w:r>
              <w:rPr>
                <w:rFonts w:ascii="Arial" w:cs="Arial" w:eastAsia="Arial" w:hAnsi="Arial"/>
                <w:sz w:val="18"/>
                <w:szCs w:val="18"/>
                <w:color w:val="auto"/>
              </w:rPr>
              <w:t>The Weather Channel</w:t>
            </w:r>
          </w:p>
        </w:tc>
        <w:tc>
          <w:tcPr>
            <w:tcW w:w="3600" w:type="dxa"/>
            <w:vAlign w:val="bottom"/>
            <w:shd w:val="clear" w:color="auto" w:fill="E5E5E5"/>
          </w:tcPr>
          <w:p>
            <w:pPr>
              <w:spacing w:after="0"/>
              <w:rPr>
                <w:sz w:val="18"/>
                <w:szCs w:val="18"/>
                <w:color w:val="auto"/>
              </w:rPr>
            </w:pPr>
          </w:p>
        </w:tc>
        <w:tc>
          <w:tcPr>
            <w:tcW w:w="1080" w:type="dxa"/>
            <w:vAlign w:val="bottom"/>
            <w:shd w:val="clear" w:color="auto" w:fill="E5E5E5"/>
          </w:tcPr>
          <w:p>
            <w:pPr>
              <w:jc w:val="right"/>
              <w:ind w:right="375"/>
              <w:spacing w:after="0"/>
              <w:rPr>
                <w:sz w:val="20"/>
                <w:szCs w:val="20"/>
                <w:color w:val="auto"/>
              </w:rPr>
            </w:pPr>
            <w:r>
              <w:rPr>
                <w:rFonts w:ascii="Arial" w:cs="Arial" w:eastAsia="Arial" w:hAnsi="Arial"/>
                <w:sz w:val="18"/>
                <w:szCs w:val="18"/>
                <w:color w:val="auto"/>
              </w:rPr>
              <w:t>81</w:t>
            </w:r>
          </w:p>
        </w:tc>
        <w:tc>
          <w:tcPr>
            <w:tcW w:w="6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335</w:t>
            </w:r>
          </w:p>
        </w:tc>
      </w:tr>
      <w:tr>
        <w:trPr>
          <w:trHeight w:val="216"/>
        </w:trPr>
        <w:tc>
          <w:tcPr>
            <w:tcW w:w="5420" w:type="dxa"/>
            <w:vAlign w:val="bottom"/>
          </w:tcPr>
          <w:p>
            <w:pPr>
              <w:ind w:left="440"/>
              <w:spacing w:after="0"/>
              <w:rPr>
                <w:sz w:val="20"/>
                <w:szCs w:val="20"/>
                <w:color w:val="auto"/>
              </w:rPr>
            </w:pPr>
            <w:r>
              <w:rPr>
                <w:rFonts w:ascii="Arial" w:cs="Arial" w:eastAsia="Arial" w:hAnsi="Arial"/>
                <w:sz w:val="18"/>
                <w:szCs w:val="18"/>
                <w:color w:val="auto"/>
              </w:rPr>
              <w:t>Hulu</w:t>
            </w:r>
          </w:p>
        </w:tc>
        <w:tc>
          <w:tcPr>
            <w:tcW w:w="3600" w:type="dxa"/>
            <w:vAlign w:val="bottom"/>
          </w:tcPr>
          <w:p>
            <w:pPr>
              <w:spacing w:after="0"/>
              <w:rPr>
                <w:sz w:val="18"/>
                <w:szCs w:val="18"/>
                <w:color w:val="auto"/>
              </w:rPr>
            </w:pPr>
          </w:p>
        </w:tc>
        <w:tc>
          <w:tcPr>
            <w:tcW w:w="1080" w:type="dxa"/>
            <w:vAlign w:val="bottom"/>
          </w:tcPr>
          <w:p>
            <w:pPr>
              <w:jc w:val="right"/>
              <w:ind w:right="375"/>
              <w:spacing w:after="0"/>
              <w:rPr>
                <w:sz w:val="20"/>
                <w:szCs w:val="20"/>
                <w:color w:val="auto"/>
              </w:rPr>
            </w:pPr>
            <w:r>
              <w:rPr>
                <w:rFonts w:ascii="Arial" w:cs="Arial" w:eastAsia="Arial" w:hAnsi="Arial"/>
                <w:sz w:val="18"/>
                <w:szCs w:val="18"/>
                <w:color w:val="auto"/>
              </w:rPr>
              <w:t>247</w:t>
            </w:r>
          </w:p>
        </w:tc>
        <w:tc>
          <w:tcPr>
            <w:tcW w:w="620" w:type="dxa"/>
            <w:vAlign w:val="bottom"/>
          </w:tcPr>
          <w:p>
            <w:pPr>
              <w:spacing w:after="0"/>
              <w:rPr>
                <w:sz w:val="18"/>
                <w:szCs w:val="18"/>
                <w:color w:val="auto"/>
              </w:rPr>
            </w:pPr>
          </w:p>
        </w:tc>
        <w:tc>
          <w:tcPr>
            <w:tcW w:w="700" w:type="dxa"/>
            <w:vAlign w:val="bottom"/>
          </w:tcPr>
          <w:p>
            <w:pPr>
              <w:jc w:val="right"/>
              <w:ind w:right="15"/>
              <w:spacing w:after="0"/>
              <w:rPr>
                <w:sz w:val="20"/>
                <w:szCs w:val="20"/>
                <w:color w:val="auto"/>
              </w:rPr>
            </w:pPr>
            <w:r>
              <w:rPr>
                <w:rFonts w:ascii="Arial" w:cs="Arial" w:eastAsia="Arial" w:hAnsi="Arial"/>
                <w:sz w:val="18"/>
                <w:szCs w:val="18"/>
                <w:color w:val="auto"/>
              </w:rPr>
              <w:t>167</w:t>
            </w:r>
          </w:p>
        </w:tc>
      </w:tr>
      <w:tr>
        <w:trPr>
          <w:trHeight w:val="216"/>
        </w:trPr>
        <w:tc>
          <w:tcPr>
            <w:tcW w:w="5420" w:type="dxa"/>
            <w:vAlign w:val="bottom"/>
            <w:tcBorders>
              <w:bottom w:val="single" w:sz="8" w:color="auto"/>
            </w:tcBorders>
            <w:shd w:val="clear" w:color="auto" w:fill="E5E5E5"/>
          </w:tcPr>
          <w:p>
            <w:pPr>
              <w:ind w:left="440"/>
              <w:spacing w:after="0"/>
              <w:rPr>
                <w:sz w:val="20"/>
                <w:szCs w:val="20"/>
                <w:color w:val="auto"/>
              </w:rPr>
            </w:pPr>
            <w:r>
              <w:rPr>
                <w:rFonts w:ascii="Arial" w:cs="Arial" w:eastAsia="Arial" w:hAnsi="Arial"/>
                <w:sz w:val="18"/>
                <w:szCs w:val="18"/>
                <w:color w:val="auto"/>
              </w:rPr>
              <w:t>Other</w:t>
            </w:r>
          </w:p>
        </w:tc>
        <w:tc>
          <w:tcPr>
            <w:tcW w:w="3600" w:type="dxa"/>
            <w:vAlign w:val="bottom"/>
            <w:tcBorders>
              <w:bottom w:val="single" w:sz="8" w:color="auto"/>
            </w:tcBorders>
            <w:shd w:val="clear" w:color="auto" w:fill="E5E5E5"/>
          </w:tcPr>
          <w:p>
            <w:pPr>
              <w:spacing w:after="0"/>
              <w:rPr>
                <w:sz w:val="18"/>
                <w:szCs w:val="18"/>
                <w:color w:val="auto"/>
              </w:rPr>
            </w:pPr>
          </w:p>
        </w:tc>
        <w:tc>
          <w:tcPr>
            <w:tcW w:w="1080" w:type="dxa"/>
            <w:vAlign w:val="bottom"/>
            <w:tcBorders>
              <w:bottom w:val="single" w:sz="8" w:color="auto"/>
            </w:tcBorders>
            <w:shd w:val="clear" w:color="auto" w:fill="E5E5E5"/>
          </w:tcPr>
          <w:p>
            <w:pPr>
              <w:jc w:val="right"/>
              <w:ind w:right="375"/>
              <w:spacing w:after="0"/>
              <w:rPr>
                <w:sz w:val="20"/>
                <w:szCs w:val="20"/>
                <w:color w:val="auto"/>
              </w:rPr>
            </w:pPr>
            <w:r>
              <w:rPr>
                <w:rFonts w:ascii="Arial" w:cs="Arial" w:eastAsia="Arial" w:hAnsi="Arial"/>
                <w:sz w:val="18"/>
                <w:szCs w:val="18"/>
                <w:color w:val="auto"/>
              </w:rPr>
              <w:t>298</w:t>
            </w:r>
          </w:p>
        </w:tc>
        <w:tc>
          <w:tcPr>
            <w:tcW w:w="6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color w:val="auto"/>
              </w:rPr>
              <w:t>338</w:t>
            </w:r>
          </w:p>
        </w:tc>
      </w:tr>
      <w:tr>
        <w:trPr>
          <w:trHeight w:val="210"/>
        </w:trPr>
        <w:tc>
          <w:tcPr>
            <w:tcW w:w="54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080" w:type="dxa"/>
            <w:vAlign w:val="bottom"/>
          </w:tcPr>
          <w:p>
            <w:pPr>
              <w:jc w:val="right"/>
              <w:ind w:right="375"/>
              <w:spacing w:after="0"/>
              <w:rPr>
                <w:sz w:val="20"/>
                <w:szCs w:val="20"/>
                <w:color w:val="auto"/>
              </w:rPr>
            </w:pPr>
            <w:r>
              <w:rPr>
                <w:rFonts w:ascii="Arial" w:cs="Arial" w:eastAsia="Arial" w:hAnsi="Arial"/>
                <w:sz w:val="18"/>
                <w:szCs w:val="18"/>
                <w:color w:val="auto"/>
              </w:rPr>
              <w:t>626</w:t>
            </w:r>
          </w:p>
        </w:tc>
        <w:tc>
          <w:tcPr>
            <w:tcW w:w="620" w:type="dxa"/>
            <w:vAlign w:val="bottom"/>
          </w:tcPr>
          <w:p>
            <w:pPr>
              <w:spacing w:after="0"/>
              <w:rPr>
                <w:sz w:val="18"/>
                <w:szCs w:val="18"/>
                <w:color w:val="auto"/>
              </w:rPr>
            </w:pPr>
          </w:p>
        </w:tc>
        <w:tc>
          <w:tcPr>
            <w:tcW w:w="700" w:type="dxa"/>
            <w:vAlign w:val="bottom"/>
          </w:tcPr>
          <w:p>
            <w:pPr>
              <w:jc w:val="right"/>
              <w:ind w:right="15"/>
              <w:spacing w:after="0"/>
              <w:rPr>
                <w:sz w:val="20"/>
                <w:szCs w:val="20"/>
                <w:color w:val="auto"/>
              </w:rPr>
            </w:pPr>
            <w:r>
              <w:rPr>
                <w:rFonts w:ascii="Arial" w:cs="Arial" w:eastAsia="Arial" w:hAnsi="Arial"/>
                <w:sz w:val="18"/>
                <w:szCs w:val="18"/>
                <w:color w:val="auto"/>
              </w:rPr>
              <w:t>840</w:t>
            </w:r>
          </w:p>
        </w:tc>
      </w:tr>
      <w:tr>
        <w:trPr>
          <w:trHeight w:val="216"/>
        </w:trPr>
        <w:tc>
          <w:tcPr>
            <w:tcW w:w="54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Cost Method</w:t>
            </w:r>
          </w:p>
        </w:tc>
        <w:tc>
          <w:tcPr>
            <w:tcW w:w="3600" w:type="dxa"/>
            <w:vAlign w:val="bottom"/>
            <w:tcBorders>
              <w:bottom w:val="single" w:sz="8" w:color="auto"/>
            </w:tcBorders>
            <w:shd w:val="clear" w:color="auto" w:fill="E5E5E5"/>
          </w:tcPr>
          <w:p>
            <w:pPr>
              <w:spacing w:after="0"/>
              <w:rPr>
                <w:sz w:val="18"/>
                <w:szCs w:val="18"/>
                <w:color w:val="auto"/>
              </w:rPr>
            </w:pPr>
          </w:p>
        </w:tc>
        <w:tc>
          <w:tcPr>
            <w:tcW w:w="1080" w:type="dxa"/>
            <w:vAlign w:val="bottom"/>
            <w:tcBorders>
              <w:bottom w:val="single" w:sz="8" w:color="auto"/>
            </w:tcBorders>
            <w:shd w:val="clear" w:color="auto" w:fill="E5E5E5"/>
          </w:tcPr>
          <w:p>
            <w:pPr>
              <w:jc w:val="right"/>
              <w:ind w:right="375"/>
              <w:spacing w:after="0"/>
              <w:rPr>
                <w:sz w:val="20"/>
                <w:szCs w:val="20"/>
                <w:color w:val="auto"/>
              </w:rPr>
            </w:pPr>
            <w:r>
              <w:rPr>
                <w:rFonts w:ascii="Arial" w:cs="Arial" w:eastAsia="Arial" w:hAnsi="Arial"/>
                <w:sz w:val="18"/>
                <w:szCs w:val="18"/>
                <w:color w:val="auto"/>
              </w:rPr>
              <w:t>456</w:t>
            </w:r>
          </w:p>
        </w:tc>
        <w:tc>
          <w:tcPr>
            <w:tcW w:w="6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color w:val="auto"/>
              </w:rPr>
              <w:t>32</w:t>
            </w:r>
          </w:p>
        </w:tc>
      </w:tr>
      <w:tr>
        <w:trPr>
          <w:trHeight w:val="217"/>
        </w:trPr>
        <w:tc>
          <w:tcPr>
            <w:tcW w:w="5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investments</w:t>
            </w:r>
          </w:p>
        </w:tc>
        <w:tc>
          <w:tcPr>
            <w:tcW w:w="3600" w:type="dxa"/>
            <w:vAlign w:val="bottom"/>
            <w:tcBorders>
              <w:bottom w:val="single" w:sz="8" w:color="auto"/>
            </w:tcBorders>
          </w:tcPr>
          <w:p>
            <w:pPr>
              <w:ind w:left="344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tcPr>
          <w:p>
            <w:pPr>
              <w:jc w:val="right"/>
              <w:ind w:right="375"/>
              <w:spacing w:after="0"/>
              <w:rPr>
                <w:sz w:val="20"/>
                <w:szCs w:val="20"/>
                <w:color w:val="auto"/>
              </w:rPr>
            </w:pPr>
            <w:r>
              <w:rPr>
                <w:rFonts w:ascii="Arial" w:cs="Arial" w:eastAsia="Arial" w:hAnsi="Arial"/>
                <w:sz w:val="18"/>
                <w:szCs w:val="18"/>
                <w:b w:val="1"/>
                <w:bCs w:val="1"/>
                <w:color w:val="auto"/>
              </w:rPr>
              <w:t>1,092</w:t>
            </w:r>
          </w:p>
        </w:tc>
        <w:tc>
          <w:tcPr>
            <w:tcW w:w="620" w:type="dxa"/>
            <w:vAlign w:val="bottom"/>
            <w:tcBorders>
              <w:bottom w:val="single" w:sz="8" w:color="auto"/>
            </w:tcBorders>
          </w:tcPr>
          <w:p>
            <w:pPr>
              <w:ind w:left="46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882</w:t>
            </w: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Method</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nine months ended September 30, 2015, The Weather Channel Holding Corp. (“The Weather Channel”) recorded an impairment charge related to goodwill. We recorded an expense of $252 million representing our proportionate share of this impairment charge in equity in net income (losses) of investees, net in our condensed consolidated statement of income.</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Method</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September 2015, we made an additional investment in Vox Media, Inc. (“Vox Media”) and acquired an interest in BuzzFeed, Inc. (“BuzzFeed”) for $200 million each in cash. Vox Media is a digital media company comprised of eight distinct brands. BuzzFeed is a global media company that produces and distributes original news, entertainment and videos.</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6: Long-Term Debt</w:t>
      </w:r>
    </w:p>
    <w:p>
      <w:pPr>
        <w:spacing w:after="0" w:line="8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As of September 30, 2015, our debt had a carrying value of $9.3 billion and an estimated fair value of $10.2 billion. The estimated fair value of our publicly traded debt is primarily based on Level 1 inputs that use quoted market values for the debt. The estimated fair value of debt for which there are no quoted market prices is based on Level 2 inputs that use interest rates available to us for debt with similar terms and remaining maturities.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Repayments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In April 2015, we repaid at maturity $1 billion aggregate principal amount of 3.65% senior notes due 2015.</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Cross-Guarantee Structure</w:t>
      </w:r>
    </w:p>
    <w:p>
      <w:pPr>
        <w:spacing w:after="0" w:line="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2013, we, Comcast and certain of Comcast’s 100% owned cable holding company subsidiaries (the “cable guarantors”) entered into a series of agreements and supplemental indentures to include us as a part of Comcast’s existing cross-guarantee structure. As members of the cross-guarantee structure, Comcast and the cable guarantors fully and unconditionally guarantee our public debt securities, and we fully and unconditionally guarantee all of Comcast’s and the cable guarantors’ public debt securities. As of September 30, 2015, we guaranteed $33.2 billion of outstanding debt securities of Comcast and the cable guarantors. We also fully and unconditionally guarantee the $6.25 billion Comcast revolving credit facility due June 2017, of which no amounts were outstanding as of September 30, 2015.</w:t>
      </w:r>
    </w:p>
    <w:p>
      <w:pPr>
        <w:spacing w:after="0" w:line="50"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We do not, however, guarantee the obligations of NBCUniversal Enterprise with respect to its $4 billion aggregate principal amount of senior notes, $1.35 billion revolving credit facility and associated commercial paper program, or $725 million liquidation preference of Series A cumulative preferred stock.</w:t>
      </w:r>
    </w:p>
    <w:p>
      <w:pPr>
        <w:spacing w:after="0" w:line="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7: Fair Value Measurements</w:t>
      </w:r>
    </w:p>
    <w:p>
      <w:pPr>
        <w:spacing w:after="0" w:line="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accounting guidance related to financial assets and financial liabilities (“financial instruments”) establishes a hierarchy that prioritizes fair value measurements based on the types of inputs used for the various valuation techniques (market approach, income approach and cost approach). Our assessment of the significance of a</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20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particular input to the fair value measurement requires judgment and may affect the valuation of financial instruments and their classification within the fair value hierarchy.</w:t>
      </w:r>
    </w:p>
    <w:p>
      <w:pPr>
        <w:spacing w:after="0" w:line="3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financial instruments that are accounted for at fair value on a recurring basis were not material for all periods presented, except for the liabilities associated with our contractual obligations. The estimated fair values of the contractual obligations in the table below are primarily based on certain expected future discounted cash flows, the determination of which involves the use of significant unobservable inputs. The contractual obligations involve financial interests held by a third party in certain of our businesses and are based on a percentage of future revenue of the specified businesses. The most significant unobservable inputs we use include our estimates of the future revenue we expect to generate from certain of our businesses. The discount rates used in the measurements of fair value as of September 30, 2015 were between 12% and 13% and are based on the underlying risk associated with our estimate of future revenue and the terms of the respective contracts. The fair value adjustments to the contractual obligations are sensitive to the assumptions related to future revenue, as well as to current interest rates, and therefore the adjustments are recorded to other income (expense), net in our condensed consolidated statement of income. Since the inputs used are not quoted market prices or observable inputs, we classify these contractual obligations as Level 3 financial instruments.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180" w:type="dxa"/>
            <w:vAlign w:val="bottom"/>
          </w:tcPr>
          <w:p>
            <w:pPr>
              <w:spacing w:after="0"/>
              <w:rPr>
                <w:sz w:val="20"/>
                <w:szCs w:val="20"/>
                <w:color w:val="auto"/>
              </w:rPr>
            </w:pPr>
          </w:p>
        </w:tc>
        <w:tc>
          <w:tcPr>
            <w:tcW w:w="7660" w:type="dxa"/>
            <w:vAlign w:val="bottom"/>
          </w:tcPr>
          <w:p>
            <w:pPr>
              <w:ind w:left="1040"/>
              <w:spacing w:after="0"/>
              <w:rPr>
                <w:sz w:val="20"/>
                <w:szCs w:val="20"/>
                <w:color w:val="auto"/>
              </w:rPr>
            </w:pPr>
            <w:r>
              <w:rPr>
                <w:rFonts w:ascii="Arial" w:cs="Arial" w:eastAsia="Arial" w:hAnsi="Arial"/>
                <w:sz w:val="18"/>
                <w:szCs w:val="18"/>
                <w:b w:val="1"/>
                <w:bCs w:val="1"/>
                <w:color w:val="auto"/>
              </w:rPr>
              <w:t>Changes in Contractual Obligations</w:t>
            </w:r>
          </w:p>
        </w:tc>
        <w:tc>
          <w:tcPr>
            <w:tcW w:w="580" w:type="dxa"/>
            <w:vAlign w:val="bottom"/>
          </w:tcPr>
          <w:p>
            <w:pPr>
              <w:spacing w:after="0"/>
              <w:rPr>
                <w:sz w:val="20"/>
                <w:szCs w:val="20"/>
                <w:color w:val="auto"/>
              </w:rPr>
            </w:pPr>
          </w:p>
        </w:tc>
      </w:tr>
      <w:tr>
        <w:trPr>
          <w:trHeight w:val="261"/>
        </w:trPr>
        <w:tc>
          <w:tcPr>
            <w:tcW w:w="3180" w:type="dxa"/>
            <w:vAlign w:val="bottom"/>
          </w:tcPr>
          <w:p>
            <w:pPr>
              <w:spacing w:after="0"/>
              <w:rPr>
                <w:sz w:val="22"/>
                <w:szCs w:val="22"/>
                <w:color w:val="auto"/>
              </w:rPr>
            </w:pPr>
          </w:p>
        </w:tc>
        <w:tc>
          <w:tcPr>
            <w:tcW w:w="8240" w:type="dxa"/>
            <w:vAlign w:val="bottom"/>
            <w:gridSpan w:val="2"/>
          </w:tcPr>
          <w:p>
            <w:pPr>
              <w:ind w:left="7500"/>
              <w:spacing w:after="0"/>
              <w:rPr>
                <w:sz w:val="20"/>
                <w:szCs w:val="20"/>
                <w:color w:val="auto"/>
              </w:rPr>
            </w:pPr>
            <w:r>
              <w:rPr>
                <w:rFonts w:ascii="Arial" w:cs="Arial" w:eastAsia="Arial" w:hAnsi="Arial"/>
                <w:sz w:val="14"/>
                <w:szCs w:val="14"/>
                <w:color w:val="auto"/>
              </w:rPr>
              <w:t>Contractual</w:t>
            </w:r>
          </w:p>
        </w:tc>
      </w:tr>
      <w:tr>
        <w:trPr>
          <w:trHeight w:val="159"/>
        </w:trPr>
        <w:tc>
          <w:tcPr>
            <w:tcW w:w="318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8240" w:type="dxa"/>
            <w:vAlign w:val="bottom"/>
            <w:tcBorders>
              <w:bottom w:val="single" w:sz="8" w:color="auto"/>
            </w:tcBorders>
            <w:gridSpan w:val="2"/>
          </w:tcPr>
          <w:p>
            <w:pPr>
              <w:ind w:left="7500"/>
              <w:spacing w:after="0" w:line="159" w:lineRule="exact"/>
              <w:rPr>
                <w:sz w:val="20"/>
                <w:szCs w:val="20"/>
                <w:color w:val="auto"/>
              </w:rPr>
            </w:pPr>
            <w:r>
              <w:rPr>
                <w:rFonts w:ascii="Arial" w:cs="Arial" w:eastAsia="Arial" w:hAnsi="Arial"/>
                <w:sz w:val="14"/>
                <w:szCs w:val="14"/>
                <w:color w:val="auto"/>
              </w:rPr>
              <w:t>Obligations</w:t>
            </w:r>
          </w:p>
        </w:tc>
      </w:tr>
      <w:tr>
        <w:trPr>
          <w:trHeight w:val="210"/>
        </w:trPr>
        <w:tc>
          <w:tcPr>
            <w:tcW w:w="3180" w:type="dxa"/>
            <w:vAlign w:val="bottom"/>
            <w:shd w:val="clear" w:color="auto" w:fill="E5E5E5"/>
          </w:tcPr>
          <w:p>
            <w:pPr>
              <w:spacing w:after="0"/>
              <w:rPr>
                <w:sz w:val="20"/>
                <w:szCs w:val="20"/>
                <w:color w:val="auto"/>
              </w:rPr>
            </w:pPr>
            <w:r>
              <w:rPr>
                <w:rFonts w:ascii="Arial" w:cs="Arial" w:eastAsia="Arial" w:hAnsi="Arial"/>
                <w:sz w:val="18"/>
                <w:szCs w:val="18"/>
                <w:color w:val="auto"/>
              </w:rPr>
              <w:t>Balance, December 31, 2014</w:t>
            </w:r>
          </w:p>
        </w:tc>
        <w:tc>
          <w:tcPr>
            <w:tcW w:w="7660" w:type="dxa"/>
            <w:vAlign w:val="bottom"/>
            <w:shd w:val="clear" w:color="auto" w:fill="E5E5E5"/>
          </w:tcPr>
          <w:p>
            <w:pPr>
              <w:ind w:left="7500"/>
              <w:spacing w:after="0"/>
              <w:rPr>
                <w:sz w:val="20"/>
                <w:szCs w:val="20"/>
                <w:color w:val="auto"/>
              </w:rPr>
            </w:pPr>
            <w:r>
              <w:rPr>
                <w:rFonts w:ascii="Arial" w:cs="Arial" w:eastAsia="Arial" w:hAnsi="Arial"/>
                <w:sz w:val="18"/>
                <w:szCs w:val="18"/>
                <w:color w:val="auto"/>
              </w:rPr>
              <w:t>$</w:t>
            </w:r>
          </w:p>
        </w:tc>
        <w:tc>
          <w:tcPr>
            <w:tcW w:w="58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883</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Fair value adjustments</w:t>
            </w:r>
          </w:p>
        </w:tc>
        <w:tc>
          <w:tcPr>
            <w:tcW w:w="7660" w:type="dxa"/>
            <w:vAlign w:val="bottom"/>
          </w:tcPr>
          <w:p>
            <w:pPr>
              <w:spacing w:after="0"/>
              <w:rPr>
                <w:sz w:val="18"/>
                <w:szCs w:val="18"/>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236</w:t>
            </w:r>
          </w:p>
        </w:tc>
      </w:tr>
      <w:tr>
        <w:trPr>
          <w:trHeight w:val="216"/>
        </w:trPr>
        <w:tc>
          <w:tcPr>
            <w:tcW w:w="31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Payments</w:t>
            </w:r>
          </w:p>
        </w:tc>
        <w:tc>
          <w:tcPr>
            <w:tcW w:w="766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(63)</w:t>
            </w:r>
          </w:p>
        </w:tc>
      </w:tr>
      <w:tr>
        <w:trPr>
          <w:trHeight w:val="217"/>
        </w:trPr>
        <w:tc>
          <w:tcPr>
            <w:tcW w:w="3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Balance, September 30, 2015</w:t>
            </w:r>
          </w:p>
        </w:tc>
        <w:tc>
          <w:tcPr>
            <w:tcW w:w="7660" w:type="dxa"/>
            <w:vAlign w:val="bottom"/>
            <w:tcBorders>
              <w:bottom w:val="single" w:sz="8" w:color="auto"/>
            </w:tcBorders>
          </w:tcPr>
          <w:p>
            <w:pPr>
              <w:ind w:left="7500"/>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1,056</w:t>
            </w:r>
          </w:p>
        </w:tc>
      </w:tr>
    </w:tbl>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8: Share-Based Compensation</w:t>
      </w:r>
    </w:p>
    <w:p>
      <w:pPr>
        <w:spacing w:after="0" w:line="8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Comcast maintains share-based compensation plans that primarily consist of awards of stock options and restricted share units to certain employees and directors as part of its approach to long-term incentive compensation. Additionally, through its employee stock purchase plans, employees are able to purchase shares of Comcast Class A common stock at a discount through payroll deductions. Certain of our employees participate in these plans and the expense associated with their participation is settled in cash with Comcast.</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Recognized Share-Based Compensation Expense</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40" w:type="dxa"/>
            <w:vAlign w:val="bottom"/>
            <w:gridSpan w:val="3"/>
          </w:tcPr>
          <w:p>
            <w:pPr>
              <w:jc w:val="right"/>
              <w:ind w:right="476"/>
              <w:spacing w:after="0"/>
              <w:rPr>
                <w:sz w:val="20"/>
                <w:szCs w:val="20"/>
                <w:color w:val="auto"/>
              </w:rPr>
            </w:pPr>
            <w:r>
              <w:rPr>
                <w:rFonts w:ascii="Arial" w:cs="Arial" w:eastAsia="Arial" w:hAnsi="Arial"/>
                <w:sz w:val="14"/>
                <w:szCs w:val="14"/>
                <w:color w:val="auto"/>
                <w:w w:val="96"/>
              </w:rPr>
              <w:t>Three Months Ended</w:t>
            </w:r>
          </w:p>
        </w:tc>
        <w:tc>
          <w:tcPr>
            <w:tcW w:w="400" w:type="dxa"/>
            <w:vAlign w:val="bottom"/>
          </w:tcPr>
          <w:p>
            <w:pPr>
              <w:spacing w:after="0"/>
              <w:rPr>
                <w:sz w:val="14"/>
                <w:szCs w:val="14"/>
                <w:color w:val="auto"/>
              </w:rPr>
            </w:pPr>
          </w:p>
        </w:tc>
        <w:tc>
          <w:tcPr>
            <w:tcW w:w="1640" w:type="dxa"/>
            <w:vAlign w:val="bottom"/>
            <w:gridSpan w:val="3"/>
          </w:tcPr>
          <w:p>
            <w:pPr>
              <w:jc w:val="right"/>
              <w:ind w:right="296"/>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59"/>
        </w:trPr>
        <w:tc>
          <w:tcPr>
            <w:tcW w:w="392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302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September 30</w:t>
            </w:r>
          </w:p>
        </w:tc>
        <w:tc>
          <w:tcPr>
            <w:tcW w:w="7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September 30</w:t>
            </w:r>
          </w:p>
        </w:tc>
        <w:tc>
          <w:tcPr>
            <w:tcW w:w="5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920" w:type="dxa"/>
            <w:vAlign w:val="bottom"/>
            <w:tcBorders>
              <w:bottom w:val="single" w:sz="8" w:color="auto"/>
            </w:tcBorders>
            <w:vMerge w:val="continue"/>
          </w:tcPr>
          <w:p>
            <w:pPr>
              <w:spacing w:after="0"/>
              <w:rPr>
                <w:sz w:val="12"/>
                <w:szCs w:val="12"/>
                <w:color w:val="auto"/>
              </w:rPr>
            </w:pPr>
          </w:p>
        </w:tc>
        <w:tc>
          <w:tcPr>
            <w:tcW w:w="30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61"/>
              <w:spacing w:after="0" w:line="142" w:lineRule="exact"/>
              <w:rPr>
                <w:sz w:val="20"/>
                <w:szCs w:val="20"/>
                <w:color w:val="auto"/>
              </w:rPr>
            </w:pPr>
            <w:r>
              <w:rPr>
                <w:rFonts w:ascii="Arial" w:cs="Arial" w:eastAsia="Arial" w:hAnsi="Arial"/>
                <w:sz w:val="14"/>
                <w:szCs w:val="14"/>
                <w:color w:val="auto"/>
                <w:w w:val="83"/>
              </w:rPr>
              <w:t>2015</w:t>
            </w:r>
          </w:p>
        </w:tc>
        <w:tc>
          <w:tcPr>
            <w:tcW w:w="4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56"/>
              <w:spacing w:after="0" w:line="142" w:lineRule="exact"/>
              <w:rPr>
                <w:sz w:val="20"/>
                <w:szCs w:val="20"/>
                <w:color w:val="auto"/>
              </w:rPr>
            </w:pPr>
            <w:r>
              <w:rPr>
                <w:rFonts w:ascii="Arial" w:cs="Arial" w:eastAsia="Arial" w:hAnsi="Arial"/>
                <w:sz w:val="14"/>
                <w:szCs w:val="14"/>
                <w:color w:val="auto"/>
                <w:w w:val="83"/>
              </w:rPr>
              <w:t>2014</w:t>
            </w:r>
          </w:p>
        </w:tc>
        <w:tc>
          <w:tcPr>
            <w:tcW w:w="4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61"/>
              <w:spacing w:after="0" w:line="142" w:lineRule="exact"/>
              <w:rPr>
                <w:sz w:val="20"/>
                <w:szCs w:val="20"/>
                <w:color w:val="auto"/>
              </w:rPr>
            </w:pPr>
            <w:r>
              <w:rPr>
                <w:rFonts w:ascii="Arial" w:cs="Arial" w:eastAsia="Arial" w:hAnsi="Arial"/>
                <w:sz w:val="14"/>
                <w:szCs w:val="14"/>
                <w:color w:val="auto"/>
                <w:w w:val="83"/>
              </w:rPr>
              <w:t>2015</w:t>
            </w:r>
          </w:p>
        </w:tc>
        <w:tc>
          <w:tcPr>
            <w:tcW w:w="4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color w:val="auto"/>
                <w:w w:val="89"/>
              </w:rPr>
              <w:t>2014</w:t>
            </w:r>
          </w:p>
        </w:tc>
        <w:tc>
          <w:tcPr>
            <w:tcW w:w="0" w:type="dxa"/>
            <w:vAlign w:val="bottom"/>
          </w:tcPr>
          <w:p>
            <w:pPr>
              <w:spacing w:after="0"/>
              <w:rPr>
                <w:sz w:val="1"/>
                <w:szCs w:val="1"/>
                <w:color w:val="auto"/>
              </w:rPr>
            </w:pPr>
          </w:p>
        </w:tc>
      </w:tr>
      <w:tr>
        <w:trPr>
          <w:trHeight w:val="210"/>
        </w:trPr>
        <w:tc>
          <w:tcPr>
            <w:tcW w:w="3920" w:type="dxa"/>
            <w:vAlign w:val="bottom"/>
            <w:shd w:val="clear" w:color="auto" w:fill="E5E5E5"/>
          </w:tcPr>
          <w:p>
            <w:pPr>
              <w:spacing w:after="0"/>
              <w:rPr>
                <w:sz w:val="20"/>
                <w:szCs w:val="20"/>
                <w:color w:val="auto"/>
              </w:rPr>
            </w:pPr>
            <w:r>
              <w:rPr>
                <w:rFonts w:ascii="Arial" w:cs="Arial" w:eastAsia="Arial" w:hAnsi="Arial"/>
                <w:sz w:val="18"/>
                <w:szCs w:val="18"/>
                <w:color w:val="auto"/>
              </w:rPr>
              <w:t>Stock options</w:t>
            </w:r>
          </w:p>
        </w:tc>
        <w:tc>
          <w:tcPr>
            <w:tcW w:w="3620" w:type="dxa"/>
            <w:vAlign w:val="bottom"/>
            <w:gridSpan w:val="2"/>
            <w:shd w:val="clear" w:color="auto" w:fill="E5E5E5"/>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E5E5E5"/>
          </w:tcPr>
          <w:p>
            <w:pPr>
              <w:jc w:val="right"/>
              <w:ind w:right="221"/>
              <w:spacing w:after="0"/>
              <w:rPr>
                <w:sz w:val="20"/>
                <w:szCs w:val="20"/>
                <w:color w:val="auto"/>
              </w:rPr>
            </w:pPr>
            <w:r>
              <w:rPr>
                <w:rFonts w:ascii="Arial" w:cs="Arial" w:eastAsia="Arial" w:hAnsi="Arial"/>
                <w:sz w:val="18"/>
                <w:szCs w:val="18"/>
                <w:color w:val="auto"/>
              </w:rPr>
              <w:t>3</w:t>
            </w:r>
          </w:p>
        </w:tc>
        <w:tc>
          <w:tcPr>
            <w:tcW w:w="4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5E5E5"/>
          </w:tcPr>
          <w:p>
            <w:pPr>
              <w:jc w:val="right"/>
              <w:ind w:right="216"/>
              <w:spacing w:after="0"/>
              <w:rPr>
                <w:sz w:val="20"/>
                <w:szCs w:val="20"/>
                <w:color w:val="auto"/>
              </w:rPr>
            </w:pPr>
            <w:r>
              <w:rPr>
                <w:rFonts w:ascii="Arial" w:cs="Arial" w:eastAsia="Arial" w:hAnsi="Arial"/>
                <w:sz w:val="18"/>
                <w:szCs w:val="18"/>
                <w:color w:val="auto"/>
              </w:rPr>
              <w:t>4</w:t>
            </w:r>
          </w:p>
        </w:tc>
        <w:tc>
          <w:tcPr>
            <w:tcW w:w="4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5E5E5"/>
          </w:tcPr>
          <w:p>
            <w:pPr>
              <w:jc w:val="right"/>
              <w:ind w:right="221"/>
              <w:spacing w:after="0"/>
              <w:rPr>
                <w:sz w:val="20"/>
                <w:szCs w:val="20"/>
                <w:color w:val="auto"/>
              </w:rPr>
            </w:pPr>
            <w:r>
              <w:rPr>
                <w:rFonts w:ascii="Arial" w:cs="Arial" w:eastAsia="Arial" w:hAnsi="Arial"/>
                <w:sz w:val="18"/>
                <w:szCs w:val="18"/>
                <w:color w:val="auto"/>
              </w:rPr>
              <w:t>8</w:t>
            </w:r>
          </w:p>
        </w:tc>
        <w:tc>
          <w:tcPr>
            <w:tcW w:w="4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Restricted share units</w:t>
            </w:r>
          </w:p>
        </w:tc>
        <w:tc>
          <w:tcPr>
            <w:tcW w:w="3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jc w:val="right"/>
              <w:ind w:right="221"/>
              <w:spacing w:after="0"/>
              <w:rPr>
                <w:sz w:val="20"/>
                <w:szCs w:val="20"/>
                <w:color w:val="auto"/>
              </w:rPr>
            </w:pPr>
            <w:r>
              <w:rPr>
                <w:rFonts w:ascii="Arial" w:cs="Arial" w:eastAsia="Arial" w:hAnsi="Arial"/>
                <w:sz w:val="18"/>
                <w:szCs w:val="18"/>
                <w:color w:val="auto"/>
              </w:rPr>
              <w:t>20</w:t>
            </w:r>
          </w:p>
        </w:tc>
        <w:tc>
          <w:tcPr>
            <w:tcW w:w="400" w:type="dxa"/>
            <w:vAlign w:val="bottom"/>
          </w:tcPr>
          <w:p>
            <w:pPr>
              <w:spacing w:after="0"/>
              <w:rPr>
                <w:sz w:val="18"/>
                <w:szCs w:val="18"/>
                <w:color w:val="auto"/>
              </w:rPr>
            </w:pPr>
          </w:p>
        </w:tc>
        <w:tc>
          <w:tcPr>
            <w:tcW w:w="720" w:type="dxa"/>
            <w:vAlign w:val="bottom"/>
          </w:tcPr>
          <w:p>
            <w:pPr>
              <w:jc w:val="right"/>
              <w:ind w:right="216"/>
              <w:spacing w:after="0"/>
              <w:rPr>
                <w:sz w:val="20"/>
                <w:szCs w:val="20"/>
                <w:color w:val="auto"/>
              </w:rPr>
            </w:pPr>
            <w:r>
              <w:rPr>
                <w:rFonts w:ascii="Arial" w:cs="Arial" w:eastAsia="Arial" w:hAnsi="Arial"/>
                <w:sz w:val="18"/>
                <w:szCs w:val="18"/>
                <w:color w:val="auto"/>
              </w:rPr>
              <w:t>15</w:t>
            </w:r>
          </w:p>
        </w:tc>
        <w:tc>
          <w:tcPr>
            <w:tcW w:w="400" w:type="dxa"/>
            <w:vAlign w:val="bottom"/>
          </w:tcPr>
          <w:p>
            <w:pPr>
              <w:spacing w:after="0"/>
              <w:rPr>
                <w:sz w:val="18"/>
                <w:szCs w:val="18"/>
                <w:color w:val="auto"/>
              </w:rPr>
            </w:pPr>
          </w:p>
        </w:tc>
        <w:tc>
          <w:tcPr>
            <w:tcW w:w="720" w:type="dxa"/>
            <w:vAlign w:val="bottom"/>
          </w:tcPr>
          <w:p>
            <w:pPr>
              <w:jc w:val="right"/>
              <w:ind w:right="221"/>
              <w:spacing w:after="0"/>
              <w:rPr>
                <w:sz w:val="20"/>
                <w:szCs w:val="20"/>
                <w:color w:val="auto"/>
              </w:rPr>
            </w:pPr>
            <w:r>
              <w:rPr>
                <w:rFonts w:ascii="Arial" w:cs="Arial" w:eastAsia="Arial" w:hAnsi="Arial"/>
                <w:sz w:val="18"/>
                <w:szCs w:val="18"/>
                <w:color w:val="auto"/>
              </w:rPr>
              <w:t>61</w:t>
            </w:r>
          </w:p>
        </w:tc>
        <w:tc>
          <w:tcPr>
            <w:tcW w:w="400" w:type="dxa"/>
            <w:vAlign w:val="bottom"/>
          </w:tcPr>
          <w:p>
            <w:pPr>
              <w:spacing w:after="0"/>
              <w:rPr>
                <w:sz w:val="18"/>
                <w:szCs w:val="18"/>
                <w:color w:val="auto"/>
              </w:rPr>
            </w:pPr>
          </w:p>
        </w:tc>
        <w:tc>
          <w:tcPr>
            <w:tcW w:w="520" w:type="dxa"/>
            <w:vAlign w:val="bottom"/>
          </w:tcPr>
          <w:p>
            <w:pPr>
              <w:jc w:val="right"/>
              <w:ind w:right="16"/>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39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Employee stock purchase plans</w:t>
            </w:r>
          </w:p>
        </w:tc>
        <w:tc>
          <w:tcPr>
            <w:tcW w:w="30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221"/>
              <w:spacing w:after="0"/>
              <w:rPr>
                <w:sz w:val="20"/>
                <w:szCs w:val="20"/>
                <w:color w:val="auto"/>
              </w:rPr>
            </w:pPr>
            <w:r>
              <w:rPr>
                <w:rFonts w:ascii="Arial" w:cs="Arial" w:eastAsia="Arial" w:hAnsi="Arial"/>
                <w:sz w:val="18"/>
                <w:szCs w:val="18"/>
                <w:color w:val="auto"/>
              </w:rPr>
              <w:t>1</w:t>
            </w:r>
          </w:p>
        </w:tc>
        <w:tc>
          <w:tcPr>
            <w:tcW w:w="40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216"/>
              <w:spacing w:after="0"/>
              <w:rPr>
                <w:sz w:val="20"/>
                <w:szCs w:val="20"/>
                <w:color w:val="auto"/>
              </w:rPr>
            </w:pPr>
            <w:r>
              <w:rPr>
                <w:rFonts w:ascii="Arial" w:cs="Arial" w:eastAsia="Arial" w:hAnsi="Arial"/>
                <w:sz w:val="18"/>
                <w:szCs w:val="18"/>
                <w:color w:val="auto"/>
              </w:rPr>
              <w:t>1</w:t>
            </w:r>
          </w:p>
        </w:tc>
        <w:tc>
          <w:tcPr>
            <w:tcW w:w="40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221"/>
              <w:spacing w:after="0"/>
              <w:rPr>
                <w:sz w:val="20"/>
                <w:szCs w:val="20"/>
                <w:color w:val="auto"/>
              </w:rPr>
            </w:pPr>
            <w:r>
              <w:rPr>
                <w:rFonts w:ascii="Arial" w:cs="Arial" w:eastAsia="Arial" w:hAnsi="Arial"/>
                <w:sz w:val="18"/>
                <w:szCs w:val="18"/>
                <w:color w:val="auto"/>
              </w:rPr>
              <w:t>5</w:t>
            </w:r>
          </w:p>
        </w:tc>
        <w:tc>
          <w:tcPr>
            <w:tcW w:w="40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16"/>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7"/>
        </w:trPr>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w:t>
            </w:r>
          </w:p>
        </w:tc>
        <w:tc>
          <w:tcPr>
            <w:tcW w:w="36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221"/>
              <w:spacing w:after="0"/>
              <w:rPr>
                <w:sz w:val="20"/>
                <w:szCs w:val="20"/>
                <w:color w:val="auto"/>
              </w:rPr>
            </w:pPr>
            <w:r>
              <w:rPr>
                <w:rFonts w:ascii="Arial" w:cs="Arial" w:eastAsia="Arial" w:hAnsi="Arial"/>
                <w:sz w:val="18"/>
                <w:szCs w:val="18"/>
                <w:b w:val="1"/>
                <w:bCs w:val="1"/>
                <w:color w:val="auto"/>
              </w:rPr>
              <w:t>24</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216"/>
              <w:spacing w:after="0"/>
              <w:rPr>
                <w:sz w:val="20"/>
                <w:szCs w:val="20"/>
                <w:color w:val="auto"/>
              </w:rPr>
            </w:pPr>
            <w:r>
              <w:rPr>
                <w:rFonts w:ascii="Arial" w:cs="Arial" w:eastAsia="Arial" w:hAnsi="Arial"/>
                <w:sz w:val="18"/>
                <w:szCs w:val="18"/>
                <w:b w:val="1"/>
                <w:bCs w:val="1"/>
                <w:color w:val="auto"/>
              </w:rPr>
              <w:t>20</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221"/>
              <w:spacing w:after="0"/>
              <w:rPr>
                <w:sz w:val="20"/>
                <w:szCs w:val="20"/>
                <w:color w:val="auto"/>
              </w:rPr>
            </w:pPr>
            <w:r>
              <w:rPr>
                <w:rFonts w:ascii="Arial" w:cs="Arial" w:eastAsia="Arial" w:hAnsi="Arial"/>
                <w:sz w:val="18"/>
                <w:szCs w:val="18"/>
                <w:b w:val="1"/>
                <w:bCs w:val="1"/>
                <w:color w:val="auto"/>
              </w:rPr>
              <w:t>74</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70</w:t>
            </w:r>
          </w:p>
        </w:tc>
        <w:tc>
          <w:tcPr>
            <w:tcW w:w="0" w:type="dxa"/>
            <w:vAlign w:val="bottom"/>
          </w:tcPr>
          <w:p>
            <w:pPr>
              <w:spacing w:after="0"/>
              <w:rPr>
                <w:sz w:val="1"/>
                <w:szCs w:val="1"/>
                <w:color w:val="auto"/>
              </w:rPr>
            </w:pPr>
          </w:p>
        </w:tc>
      </w:tr>
      <w:tr>
        <w:trPr>
          <w:trHeight w:val="363"/>
        </w:trPr>
        <w:tc>
          <w:tcPr>
            <w:tcW w:w="3920" w:type="dxa"/>
            <w:vAlign w:val="bottom"/>
          </w:tcPr>
          <w:p>
            <w:pPr>
              <w:spacing w:after="0"/>
              <w:rPr>
                <w:sz w:val="24"/>
                <w:szCs w:val="24"/>
                <w:color w:val="auto"/>
              </w:rPr>
            </w:pPr>
          </w:p>
        </w:tc>
        <w:tc>
          <w:tcPr>
            <w:tcW w:w="3020" w:type="dxa"/>
            <w:vAlign w:val="bottom"/>
          </w:tcPr>
          <w:p>
            <w:pPr>
              <w:jc w:val="right"/>
              <w:ind w:right="1032"/>
              <w:spacing w:after="0"/>
              <w:rPr>
                <w:sz w:val="20"/>
                <w:szCs w:val="20"/>
                <w:color w:val="auto"/>
              </w:rPr>
            </w:pPr>
            <w:r>
              <w:rPr>
                <w:rFonts w:ascii="Arial" w:cs="Arial" w:eastAsia="Arial" w:hAnsi="Arial"/>
                <w:sz w:val="18"/>
                <w:szCs w:val="18"/>
                <w:color w:val="auto"/>
              </w:rPr>
              <w:t>57</w:t>
            </w: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9: Supplemental Financial Information</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Receivables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gridSpan w:val="3"/>
          </w:tcPr>
          <w:p>
            <w:pPr>
              <w:jc w:val="right"/>
              <w:spacing w:after="0"/>
              <w:rPr>
                <w:sz w:val="20"/>
                <w:szCs w:val="20"/>
                <w:color w:val="auto"/>
              </w:rPr>
            </w:pPr>
            <w:r>
              <w:rPr>
                <w:rFonts w:ascii="Arial" w:cs="Arial" w:eastAsia="Arial" w:hAnsi="Arial"/>
                <w:sz w:val="14"/>
                <w:szCs w:val="14"/>
                <w:color w:val="auto"/>
              </w:rPr>
              <w:t>September 30,</w:t>
            </w:r>
          </w:p>
        </w:tc>
        <w:tc>
          <w:tcPr>
            <w:tcW w:w="1660" w:type="dxa"/>
            <w:vAlign w:val="bottom"/>
            <w:gridSpan w:val="3"/>
          </w:tcPr>
          <w:p>
            <w:pPr>
              <w:jc w:val="center"/>
              <w:ind w:left="619"/>
              <w:spacing w:after="0"/>
              <w:rPr>
                <w:sz w:val="20"/>
                <w:szCs w:val="20"/>
                <w:color w:val="auto"/>
              </w:rPr>
            </w:pPr>
            <w:r>
              <w:rPr>
                <w:rFonts w:ascii="Arial" w:cs="Arial" w:eastAsia="Arial" w:hAnsi="Arial"/>
                <w:sz w:val="14"/>
                <w:szCs w:val="14"/>
                <w:color w:val="auto"/>
                <w:w w:val="86"/>
              </w:rPr>
              <w:t>December 31,</w:t>
            </w:r>
          </w:p>
        </w:tc>
        <w:tc>
          <w:tcPr>
            <w:tcW w:w="0" w:type="dxa"/>
            <w:vAlign w:val="bottom"/>
          </w:tcPr>
          <w:p>
            <w:pPr>
              <w:spacing w:after="0"/>
              <w:rPr>
                <w:sz w:val="1"/>
                <w:szCs w:val="1"/>
                <w:color w:val="auto"/>
              </w:rPr>
            </w:pPr>
          </w:p>
        </w:tc>
      </w:tr>
      <w:tr>
        <w:trPr>
          <w:trHeight w:val="159"/>
        </w:trPr>
        <w:tc>
          <w:tcPr>
            <w:tcW w:w="688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6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2"/>
          </w:tcPr>
          <w:p>
            <w:pPr>
              <w:jc w:val="right"/>
              <w:ind w:right="212"/>
              <w:spacing w:after="0" w:line="159" w:lineRule="exact"/>
              <w:rPr>
                <w:sz w:val="20"/>
                <w:szCs w:val="20"/>
                <w:color w:val="auto"/>
              </w:rPr>
            </w:pPr>
            <w:r>
              <w:rPr>
                <w:rFonts w:ascii="Arial" w:cs="Arial" w:eastAsia="Arial" w:hAnsi="Arial"/>
                <w:sz w:val="14"/>
                <w:szCs w:val="14"/>
                <w:color w:val="auto"/>
              </w:rPr>
              <w:t>2015</w:t>
            </w:r>
          </w:p>
        </w:tc>
        <w:tc>
          <w:tcPr>
            <w:tcW w:w="9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2"/>
          </w:tcPr>
          <w:p>
            <w:pPr>
              <w:jc w:val="center"/>
              <w:ind w:right="113"/>
              <w:spacing w:after="0" w:line="159" w:lineRule="exact"/>
              <w:rPr>
                <w:sz w:val="20"/>
                <w:szCs w:val="20"/>
                <w:color w:val="auto"/>
              </w:rPr>
            </w:pPr>
            <w:r>
              <w:rPr>
                <w:rFonts w:ascii="Arial" w:cs="Arial" w:eastAsia="Arial" w:hAnsi="Arial"/>
                <w:sz w:val="14"/>
                <w:szCs w:val="14"/>
                <w:color w:val="auto"/>
                <w:w w:val="89"/>
              </w:rPr>
              <w:t>2014</w:t>
            </w:r>
          </w:p>
        </w:tc>
        <w:tc>
          <w:tcPr>
            <w:tcW w:w="0" w:type="dxa"/>
            <w:vAlign w:val="bottom"/>
          </w:tcPr>
          <w:p>
            <w:pPr>
              <w:spacing w:after="0"/>
              <w:rPr>
                <w:sz w:val="1"/>
                <w:szCs w:val="1"/>
                <w:color w:val="auto"/>
              </w:rPr>
            </w:pPr>
          </w:p>
        </w:tc>
      </w:tr>
      <w:tr>
        <w:trPr>
          <w:trHeight w:val="210"/>
        </w:trPr>
        <w:tc>
          <w:tcPr>
            <w:tcW w:w="6880" w:type="dxa"/>
            <w:vAlign w:val="bottom"/>
            <w:shd w:val="clear" w:color="auto" w:fill="E5E5E5"/>
          </w:tcPr>
          <w:p>
            <w:pPr>
              <w:spacing w:after="0"/>
              <w:rPr>
                <w:sz w:val="20"/>
                <w:szCs w:val="20"/>
                <w:color w:val="auto"/>
              </w:rPr>
            </w:pPr>
            <w:r>
              <w:rPr>
                <w:rFonts w:ascii="Arial" w:cs="Arial" w:eastAsia="Arial" w:hAnsi="Arial"/>
                <w:sz w:val="18"/>
                <w:szCs w:val="18"/>
                <w:color w:val="auto"/>
              </w:rPr>
              <w:t>Receivables, gross</w:t>
            </w:r>
          </w:p>
        </w:tc>
        <w:tc>
          <w:tcPr>
            <w:tcW w:w="6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440" w:type="dxa"/>
            <w:vAlign w:val="bottom"/>
            <w:shd w:val="clear" w:color="auto" w:fill="E5E5E5"/>
          </w:tcPr>
          <w:p>
            <w:pPr>
              <w:jc w:val="center"/>
              <w:ind w:left="199"/>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E5E5E5"/>
          </w:tcPr>
          <w:p>
            <w:pPr>
              <w:jc w:val="right"/>
              <w:spacing w:after="0"/>
              <w:rPr>
                <w:sz w:val="20"/>
                <w:szCs w:val="20"/>
                <w:color w:val="auto"/>
              </w:rPr>
            </w:pPr>
            <w:r>
              <w:rPr>
                <w:rFonts w:ascii="Arial" w:cs="Arial" w:eastAsia="Arial" w:hAnsi="Arial"/>
                <w:sz w:val="18"/>
                <w:szCs w:val="18"/>
                <w:color w:val="auto"/>
              </w:rPr>
              <w:t>5,417</w:t>
            </w:r>
          </w:p>
        </w:tc>
        <w:tc>
          <w:tcPr>
            <w:tcW w:w="9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w w:val="93"/>
              </w:rPr>
              <w:t>5,258</w:t>
            </w: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Less: Allowance for returns and customer incentives</w:t>
            </w: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286</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ind w:right="13"/>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16"/>
        </w:trPr>
        <w:tc>
          <w:tcPr>
            <w:tcW w:w="68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Less: Allowance for doubtful accounts</w:t>
            </w:r>
          </w:p>
        </w:tc>
        <w:tc>
          <w:tcPr>
            <w:tcW w:w="6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spacing w:after="0"/>
              <w:rPr>
                <w:sz w:val="18"/>
                <w:szCs w:val="18"/>
                <w:color w:val="auto"/>
              </w:rPr>
            </w:pPr>
          </w:p>
        </w:tc>
        <w:tc>
          <w:tcPr>
            <w:tcW w:w="400" w:type="dxa"/>
            <w:vAlign w:val="bottom"/>
            <w:tcBorders>
              <w:bottom w:val="single" w:sz="8" w:color="auto"/>
            </w:tcBorders>
            <w:shd w:val="clear" w:color="auto" w:fill="E5E5E5"/>
          </w:tcPr>
          <w:p>
            <w:pPr>
              <w:spacing w:after="0"/>
              <w:rPr>
                <w:sz w:val="18"/>
                <w:szCs w:val="18"/>
                <w:color w:val="auto"/>
              </w:rPr>
            </w:pPr>
          </w:p>
        </w:tc>
        <w:tc>
          <w:tcPr>
            <w:tcW w:w="4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gridSpan w:val="2"/>
            <w:shd w:val="clear" w:color="auto" w:fill="E5E5E5"/>
          </w:tcPr>
          <w:p>
            <w:pPr>
              <w:jc w:val="right"/>
              <w:spacing w:after="0"/>
              <w:rPr>
                <w:sz w:val="20"/>
                <w:szCs w:val="20"/>
                <w:color w:val="auto"/>
              </w:rPr>
            </w:pPr>
            <w:r>
              <w:rPr>
                <w:rFonts w:ascii="Arial" w:cs="Arial" w:eastAsia="Arial" w:hAnsi="Arial"/>
                <w:sz w:val="18"/>
                <w:szCs w:val="18"/>
                <w:color w:val="auto"/>
              </w:rPr>
              <w:t>75</w:t>
            </w:r>
          </w:p>
        </w:tc>
        <w:tc>
          <w:tcPr>
            <w:tcW w:w="900" w:type="dxa"/>
            <w:vAlign w:val="bottom"/>
            <w:tcBorders>
              <w:bottom w:val="single" w:sz="8" w:color="auto"/>
            </w:tcBorders>
            <w:shd w:val="clear" w:color="auto" w:fill="E5E5E5"/>
          </w:tcPr>
          <w:p>
            <w:pPr>
              <w:spacing w:after="0"/>
              <w:rPr>
                <w:sz w:val="18"/>
                <w:szCs w:val="18"/>
                <w:color w:val="auto"/>
              </w:rPr>
            </w:pPr>
          </w:p>
        </w:tc>
        <w:tc>
          <w:tcPr>
            <w:tcW w:w="22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7"/>
        </w:trPr>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Receivables, net</w:t>
            </w:r>
          </w:p>
        </w:tc>
        <w:tc>
          <w:tcPr>
            <w:tcW w:w="6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center"/>
              <w:ind w:left="199"/>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5,056</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w w:val="93"/>
              </w:rPr>
              <w:t>4,842</w:t>
            </w:r>
          </w:p>
        </w:tc>
        <w:tc>
          <w:tcPr>
            <w:tcW w:w="0" w:type="dxa"/>
            <w:vAlign w:val="bottom"/>
          </w:tcPr>
          <w:p>
            <w:pPr>
              <w:spacing w:after="0"/>
              <w:rPr>
                <w:sz w:val="1"/>
                <w:szCs w:val="1"/>
                <w:color w:val="auto"/>
              </w:rPr>
            </w:pPr>
          </w:p>
        </w:tc>
      </w:tr>
      <w:tr>
        <w:trPr>
          <w:trHeight w:val="403"/>
        </w:trPr>
        <w:tc>
          <w:tcPr>
            <w:tcW w:w="8220" w:type="dxa"/>
            <w:vAlign w:val="bottom"/>
            <w:gridSpan w:val="3"/>
          </w:tcPr>
          <w:p>
            <w:pPr>
              <w:ind w:left="3600"/>
              <w:spacing w:after="0"/>
              <w:rPr>
                <w:sz w:val="20"/>
                <w:szCs w:val="20"/>
                <w:color w:val="auto"/>
              </w:rPr>
            </w:pPr>
            <w:r>
              <w:rPr>
                <w:rFonts w:ascii="Arial" w:cs="Arial" w:eastAsia="Arial" w:hAnsi="Arial"/>
                <w:sz w:val="18"/>
                <w:szCs w:val="18"/>
                <w:b w:val="1"/>
                <w:bCs w:val="1"/>
                <w:color w:val="auto"/>
              </w:rPr>
              <w:t>Accumulated Other Comprehensive Income (Loss)</w:t>
            </w: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68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40" w:type="dxa"/>
            <w:vAlign w:val="bottom"/>
            <w:gridSpan w:val="3"/>
          </w:tcPr>
          <w:p>
            <w:pPr>
              <w:ind w:left="200"/>
              <w:spacing w:after="0"/>
              <w:rPr>
                <w:sz w:val="20"/>
                <w:szCs w:val="20"/>
                <w:color w:val="auto"/>
              </w:rPr>
            </w:pPr>
            <w:r>
              <w:rPr>
                <w:rFonts w:ascii="Arial" w:cs="Arial" w:eastAsia="Arial" w:hAnsi="Arial"/>
                <w:sz w:val="14"/>
                <w:szCs w:val="14"/>
                <w:color w:val="auto"/>
              </w:rPr>
              <w:t>September 30,</w:t>
            </w:r>
          </w:p>
        </w:tc>
        <w:tc>
          <w:tcPr>
            <w:tcW w:w="1660" w:type="dxa"/>
            <w:vAlign w:val="bottom"/>
            <w:gridSpan w:val="3"/>
          </w:tcPr>
          <w:p>
            <w:pPr>
              <w:jc w:val="center"/>
              <w:ind w:left="599"/>
              <w:spacing w:after="0"/>
              <w:rPr>
                <w:sz w:val="20"/>
                <w:szCs w:val="20"/>
                <w:color w:val="auto"/>
              </w:rPr>
            </w:pPr>
            <w:r>
              <w:rPr>
                <w:rFonts w:ascii="Arial" w:cs="Arial" w:eastAsia="Arial" w:hAnsi="Arial"/>
                <w:sz w:val="14"/>
                <w:szCs w:val="14"/>
                <w:color w:val="auto"/>
                <w:w w:val="84"/>
              </w:rPr>
              <w:t>September 30,</w:t>
            </w:r>
          </w:p>
        </w:tc>
        <w:tc>
          <w:tcPr>
            <w:tcW w:w="0" w:type="dxa"/>
            <w:vAlign w:val="bottom"/>
          </w:tcPr>
          <w:p>
            <w:pPr>
              <w:spacing w:after="0"/>
              <w:rPr>
                <w:sz w:val="1"/>
                <w:szCs w:val="1"/>
                <w:color w:val="auto"/>
              </w:rPr>
            </w:pPr>
          </w:p>
        </w:tc>
      </w:tr>
      <w:tr>
        <w:trPr>
          <w:trHeight w:val="159"/>
        </w:trPr>
        <w:tc>
          <w:tcPr>
            <w:tcW w:w="688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6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w w:val="83"/>
              </w:rPr>
              <w:t>2015</w:t>
            </w:r>
          </w:p>
        </w:tc>
        <w:tc>
          <w:tcPr>
            <w:tcW w:w="4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2"/>
          </w:tcPr>
          <w:p>
            <w:pPr>
              <w:ind w:left="120"/>
              <w:spacing w:after="0" w:line="159" w:lineRule="exact"/>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210"/>
        </w:trPr>
        <w:tc>
          <w:tcPr>
            <w:tcW w:w="6880" w:type="dxa"/>
            <w:vAlign w:val="bottom"/>
            <w:shd w:val="clear" w:color="auto" w:fill="E5E5E5"/>
          </w:tcPr>
          <w:p>
            <w:pPr>
              <w:spacing w:after="0"/>
              <w:rPr>
                <w:sz w:val="20"/>
                <w:szCs w:val="20"/>
                <w:color w:val="auto"/>
              </w:rPr>
            </w:pPr>
            <w:r>
              <w:rPr>
                <w:rFonts w:ascii="Arial" w:cs="Arial" w:eastAsia="Arial" w:hAnsi="Arial"/>
                <w:sz w:val="18"/>
                <w:szCs w:val="18"/>
                <w:color w:val="auto"/>
              </w:rPr>
              <w:t>Unrealized gains (losses) on marketable securities</w:t>
            </w:r>
          </w:p>
        </w:tc>
        <w:tc>
          <w:tcPr>
            <w:tcW w:w="6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440" w:type="dxa"/>
            <w:vAlign w:val="bottom"/>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40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w:t>
            </w:r>
          </w:p>
        </w:tc>
        <w:tc>
          <w:tcPr>
            <w:tcW w:w="9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Deferred gains (losses) on cash flow hedges</w:t>
            </w: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gridSpan w:val="2"/>
          </w:tcPr>
          <w:p>
            <w:pPr>
              <w:jc w:val="right"/>
              <w:ind w:right="72"/>
              <w:spacing w:after="0"/>
              <w:rPr>
                <w:sz w:val="20"/>
                <w:szCs w:val="20"/>
                <w:color w:val="auto"/>
              </w:rPr>
            </w:pPr>
            <w:r>
              <w:rPr>
                <w:rFonts w:ascii="Arial" w:cs="Arial" w:eastAsia="Arial" w:hAnsi="Arial"/>
                <w:sz w:val="18"/>
                <w:szCs w:val="18"/>
                <w:color w:val="auto"/>
              </w:rPr>
              <w:t>8</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ind w:right="13"/>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6880" w:type="dxa"/>
            <w:vAlign w:val="bottom"/>
            <w:shd w:val="clear" w:color="auto" w:fill="E5E5E5"/>
          </w:tcPr>
          <w:p>
            <w:pPr>
              <w:spacing w:after="0"/>
              <w:rPr>
                <w:sz w:val="20"/>
                <w:szCs w:val="20"/>
                <w:color w:val="auto"/>
              </w:rPr>
            </w:pPr>
            <w:r>
              <w:rPr>
                <w:rFonts w:ascii="Arial" w:cs="Arial" w:eastAsia="Arial" w:hAnsi="Arial"/>
                <w:sz w:val="18"/>
                <w:szCs w:val="18"/>
                <w:color w:val="auto"/>
              </w:rPr>
              <w:t>Unrecognized gains (losses) on employee benefit obligations</w:t>
            </w:r>
          </w:p>
        </w:tc>
        <w:tc>
          <w:tcPr>
            <w:tcW w:w="6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700" w:type="dxa"/>
            <w:vAlign w:val="bottom"/>
            <w:gridSpan w:val="2"/>
            <w:shd w:val="clear" w:color="auto" w:fill="E5E5E5"/>
          </w:tcPr>
          <w:p>
            <w:pPr>
              <w:jc w:val="right"/>
              <w:ind w:right="12"/>
              <w:spacing w:after="0"/>
              <w:rPr>
                <w:sz w:val="20"/>
                <w:szCs w:val="20"/>
                <w:color w:val="auto"/>
              </w:rPr>
            </w:pPr>
            <w:r>
              <w:rPr>
                <w:rFonts w:ascii="Arial" w:cs="Arial" w:eastAsia="Arial" w:hAnsi="Arial"/>
                <w:sz w:val="18"/>
                <w:szCs w:val="18"/>
                <w:color w:val="auto"/>
              </w:rPr>
              <w:t>(39)</w:t>
            </w:r>
          </w:p>
        </w:tc>
        <w:tc>
          <w:tcPr>
            <w:tcW w:w="90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Cumulative translation adjustments</w:t>
            </w:r>
          </w:p>
        </w:tc>
        <w:tc>
          <w:tcPr>
            <w:tcW w:w="6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8"/>
                <w:szCs w:val="18"/>
                <w:color w:val="auto"/>
              </w:rPr>
              <w:t>(180)</w:t>
            </w:r>
          </w:p>
        </w:tc>
        <w:tc>
          <w:tcPr>
            <w:tcW w:w="9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7"/>
        </w:trPr>
        <w:tc>
          <w:tcPr>
            <w:tcW w:w="68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Accumulated other comprehensive income (loss)</w:t>
            </w:r>
          </w:p>
        </w:tc>
        <w:tc>
          <w:tcPr>
            <w:tcW w:w="6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spacing w:after="0"/>
              <w:rPr>
                <w:sz w:val="18"/>
                <w:szCs w:val="18"/>
                <w:color w:val="auto"/>
              </w:rPr>
            </w:pPr>
          </w:p>
        </w:tc>
        <w:tc>
          <w:tcPr>
            <w:tcW w:w="400" w:type="dxa"/>
            <w:vAlign w:val="bottom"/>
            <w:tcBorders>
              <w:bottom w:val="single" w:sz="8" w:color="auto"/>
            </w:tcBorders>
            <w:shd w:val="clear" w:color="auto" w:fill="E5E5E5"/>
          </w:tcPr>
          <w:p>
            <w:pPr>
              <w:spacing w:after="0"/>
              <w:rPr>
                <w:sz w:val="18"/>
                <w:szCs w:val="18"/>
                <w:color w:val="auto"/>
              </w:rPr>
            </w:pPr>
          </w:p>
        </w:tc>
        <w:tc>
          <w:tcPr>
            <w:tcW w:w="44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gridSpan w:val="2"/>
            <w:shd w:val="clear" w:color="auto" w:fill="E5E5E5"/>
          </w:tcPr>
          <w:p>
            <w:pPr>
              <w:jc w:val="right"/>
              <w:ind w:right="12"/>
              <w:spacing w:after="0"/>
              <w:rPr>
                <w:sz w:val="20"/>
                <w:szCs w:val="20"/>
                <w:color w:val="auto"/>
              </w:rPr>
            </w:pPr>
            <w:r>
              <w:rPr>
                <w:rFonts w:ascii="Arial" w:cs="Arial" w:eastAsia="Arial" w:hAnsi="Arial"/>
                <w:sz w:val="18"/>
                <w:szCs w:val="18"/>
                <w:b w:val="1"/>
                <w:bCs w:val="1"/>
                <w:color w:val="auto"/>
              </w:rPr>
              <w:t>(211)</w:t>
            </w:r>
          </w:p>
        </w:tc>
        <w:tc>
          <w:tcPr>
            <w:tcW w:w="9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(12)</w:t>
            </w:r>
          </w:p>
        </w:tc>
        <w:tc>
          <w:tcPr>
            <w:tcW w:w="0" w:type="dxa"/>
            <w:vAlign w:val="bottom"/>
          </w:tcPr>
          <w:p>
            <w:pPr>
              <w:spacing w:after="0"/>
              <w:rPr>
                <w:sz w:val="1"/>
                <w:szCs w:val="1"/>
                <w:color w:val="auto"/>
              </w:rPr>
            </w:pPr>
          </w:p>
        </w:tc>
      </w:tr>
      <w:tr>
        <w:trPr>
          <w:trHeight w:val="403"/>
        </w:trPr>
        <w:tc>
          <w:tcPr>
            <w:tcW w:w="7500" w:type="dxa"/>
            <w:vAlign w:val="bottom"/>
            <w:gridSpan w:val="2"/>
          </w:tcPr>
          <w:p>
            <w:pPr>
              <w:jc w:val="right"/>
              <w:spacing w:after="0"/>
              <w:rPr>
                <w:sz w:val="20"/>
                <w:szCs w:val="20"/>
                <w:color w:val="auto"/>
              </w:rPr>
            </w:pPr>
            <w:r>
              <w:rPr>
                <w:rFonts w:ascii="Arial" w:cs="Arial" w:eastAsia="Arial" w:hAnsi="Arial"/>
                <w:sz w:val="18"/>
                <w:szCs w:val="18"/>
                <w:b w:val="1"/>
                <w:bCs w:val="1"/>
                <w:color w:val="auto"/>
              </w:rPr>
              <w:t>Net Cash Provided by Operating Activities</w:t>
            </w: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68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660" w:type="dxa"/>
            <w:vAlign w:val="bottom"/>
            <w:gridSpan w:val="3"/>
          </w:tcPr>
          <w:p>
            <w:pPr>
              <w:jc w:val="center"/>
              <w:ind w:right="93"/>
              <w:spacing w:after="0"/>
              <w:rPr>
                <w:sz w:val="20"/>
                <w:szCs w:val="20"/>
                <w:color w:val="auto"/>
              </w:rPr>
            </w:pPr>
            <w:r>
              <w:rPr>
                <w:rFonts w:ascii="Arial" w:cs="Arial" w:eastAsia="Arial" w:hAnsi="Arial"/>
                <w:sz w:val="14"/>
                <w:szCs w:val="14"/>
                <w:color w:val="auto"/>
                <w:w w:val="87"/>
              </w:rPr>
              <w:t>Nine Months Ended</w:t>
            </w:r>
          </w:p>
        </w:tc>
        <w:tc>
          <w:tcPr>
            <w:tcW w:w="0" w:type="dxa"/>
            <w:vAlign w:val="bottom"/>
          </w:tcPr>
          <w:p>
            <w:pPr>
              <w:spacing w:after="0"/>
              <w:rPr>
                <w:sz w:val="1"/>
                <w:szCs w:val="1"/>
                <w:color w:val="auto"/>
              </w:rPr>
            </w:pPr>
          </w:p>
        </w:tc>
      </w:tr>
      <w:tr>
        <w:trPr>
          <w:trHeight w:val="159"/>
        </w:trPr>
        <w:tc>
          <w:tcPr>
            <w:tcW w:w="688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2"/>
          </w:tcPr>
          <w:p>
            <w:pPr>
              <w:jc w:val="center"/>
              <w:ind w:left="279"/>
              <w:spacing w:after="0" w:line="159" w:lineRule="exact"/>
              <w:rPr>
                <w:sz w:val="20"/>
                <w:szCs w:val="20"/>
                <w:color w:val="auto"/>
              </w:rPr>
            </w:pPr>
            <w:r>
              <w:rPr>
                <w:rFonts w:ascii="Arial" w:cs="Arial" w:eastAsia="Arial" w:hAnsi="Arial"/>
                <w:sz w:val="14"/>
                <w:szCs w:val="14"/>
                <w:color w:val="auto"/>
                <w:w w:val="86"/>
              </w:rPr>
              <w:t>September 30</w:t>
            </w:r>
          </w:p>
        </w:tc>
        <w:tc>
          <w:tcPr>
            <w:tcW w:w="5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880" w:type="dxa"/>
            <w:vAlign w:val="bottom"/>
            <w:tcBorders>
              <w:bottom w:val="single" w:sz="8" w:color="auto"/>
            </w:tcBorders>
            <w:vMerge w:val="continue"/>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ind w:left="180"/>
              <w:spacing w:after="0" w:line="142" w:lineRule="exact"/>
              <w:rPr>
                <w:sz w:val="20"/>
                <w:szCs w:val="20"/>
                <w:color w:val="auto"/>
              </w:rPr>
            </w:pPr>
            <w:r>
              <w:rPr>
                <w:rFonts w:ascii="Arial" w:cs="Arial" w:eastAsia="Arial" w:hAnsi="Arial"/>
                <w:sz w:val="14"/>
                <w:szCs w:val="14"/>
                <w:color w:val="auto"/>
              </w:rPr>
              <w:t>2015</w:t>
            </w:r>
          </w:p>
        </w:tc>
        <w:tc>
          <w:tcPr>
            <w:tcW w:w="760" w:type="dxa"/>
            <w:vAlign w:val="bottom"/>
            <w:tcBorders>
              <w:bottom w:val="single" w:sz="8" w:color="auto"/>
            </w:tcBorders>
            <w:gridSpan w:val="2"/>
          </w:tcPr>
          <w:p>
            <w:pPr>
              <w:jc w:val="center"/>
              <w:ind w:right="133"/>
              <w:spacing w:after="0" w:line="142" w:lineRule="exact"/>
              <w:rPr>
                <w:sz w:val="20"/>
                <w:szCs w:val="20"/>
                <w:color w:val="auto"/>
              </w:rPr>
            </w:pPr>
            <w:r>
              <w:rPr>
                <w:rFonts w:ascii="Arial" w:cs="Arial" w:eastAsia="Arial" w:hAnsi="Arial"/>
                <w:sz w:val="14"/>
                <w:szCs w:val="14"/>
                <w:color w:val="auto"/>
                <w:w w:val="83"/>
              </w:rPr>
              <w:t>2014</w:t>
            </w:r>
          </w:p>
        </w:tc>
        <w:tc>
          <w:tcPr>
            <w:tcW w:w="0" w:type="dxa"/>
            <w:vAlign w:val="bottom"/>
          </w:tcPr>
          <w:p>
            <w:pPr>
              <w:spacing w:after="0"/>
              <w:rPr>
                <w:sz w:val="1"/>
                <w:szCs w:val="1"/>
                <w:color w:val="auto"/>
              </w:rPr>
            </w:pPr>
          </w:p>
        </w:tc>
      </w:tr>
      <w:tr>
        <w:trPr>
          <w:trHeight w:val="210"/>
        </w:trPr>
        <w:tc>
          <w:tcPr>
            <w:tcW w:w="6880" w:type="dxa"/>
            <w:vAlign w:val="bottom"/>
            <w:shd w:val="clear" w:color="auto" w:fill="E5E5E5"/>
          </w:tcPr>
          <w:p>
            <w:pPr>
              <w:spacing w:after="0"/>
              <w:rPr>
                <w:sz w:val="20"/>
                <w:szCs w:val="20"/>
                <w:color w:val="auto"/>
              </w:rPr>
            </w:pPr>
            <w:r>
              <w:rPr>
                <w:rFonts w:ascii="Arial" w:cs="Arial" w:eastAsia="Arial" w:hAnsi="Arial"/>
                <w:sz w:val="18"/>
                <w:szCs w:val="18"/>
                <w:color w:val="auto"/>
              </w:rPr>
              <w:t>Net income</w:t>
            </w:r>
          </w:p>
        </w:tc>
        <w:tc>
          <w:tcPr>
            <w:tcW w:w="6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239"/>
              <w:spacing w:after="0"/>
              <w:rPr>
                <w:sz w:val="20"/>
                <w:szCs w:val="20"/>
                <w:color w:val="auto"/>
              </w:rPr>
            </w:pPr>
            <w:r>
              <w:rPr>
                <w:rFonts w:ascii="Arial" w:cs="Arial" w:eastAsia="Arial" w:hAnsi="Arial"/>
                <w:sz w:val="18"/>
                <w:szCs w:val="18"/>
                <w:color w:val="auto"/>
                <w:w w:val="93"/>
              </w:rPr>
              <w:t>$ 2,824</w:t>
            </w:r>
          </w:p>
        </w:tc>
        <w:tc>
          <w:tcPr>
            <w:tcW w:w="760" w:type="dxa"/>
            <w:vAlign w:val="bottom"/>
            <w:gridSpan w:val="2"/>
            <w:shd w:val="clear" w:color="auto" w:fill="E5E5E5"/>
          </w:tcPr>
          <w:p>
            <w:pPr>
              <w:jc w:val="right"/>
              <w:ind w:right="133"/>
              <w:spacing w:after="0"/>
              <w:rPr>
                <w:sz w:val="20"/>
                <w:szCs w:val="20"/>
                <w:color w:val="auto"/>
              </w:rPr>
            </w:pPr>
            <w:r>
              <w:rPr>
                <w:rFonts w:ascii="Arial" w:cs="Arial" w:eastAsia="Arial" w:hAnsi="Arial"/>
                <w:sz w:val="18"/>
                <w:szCs w:val="18"/>
                <w:color w:val="auto"/>
                <w:w w:val="86"/>
              </w:rPr>
              <w:t>$ 2,416</w:t>
            </w: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E5E5E5"/>
          </w:tcPr>
          <w:p>
            <w:pPr>
              <w:ind w:left="440"/>
              <w:spacing w:after="0"/>
              <w:rPr>
                <w:sz w:val="20"/>
                <w:szCs w:val="20"/>
                <w:color w:val="auto"/>
              </w:rPr>
            </w:pPr>
            <w:r>
              <w:rPr>
                <w:rFonts w:ascii="Arial" w:cs="Arial" w:eastAsia="Arial" w:hAnsi="Arial"/>
                <w:sz w:val="18"/>
                <w:szCs w:val="18"/>
                <w:color w:val="auto"/>
              </w:rPr>
              <w:t>Depreciation and amortization</w:t>
            </w:r>
          </w:p>
        </w:tc>
        <w:tc>
          <w:tcPr>
            <w:tcW w:w="6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239"/>
              <w:spacing w:after="0"/>
              <w:rPr>
                <w:sz w:val="20"/>
                <w:szCs w:val="20"/>
                <w:color w:val="auto"/>
              </w:rPr>
            </w:pPr>
            <w:r>
              <w:rPr>
                <w:rFonts w:ascii="Arial" w:cs="Arial" w:eastAsia="Arial" w:hAnsi="Arial"/>
                <w:sz w:val="18"/>
                <w:szCs w:val="18"/>
                <w:color w:val="auto"/>
              </w:rPr>
              <w:t>1,149</w:t>
            </w:r>
          </w:p>
        </w:tc>
        <w:tc>
          <w:tcPr>
            <w:tcW w:w="760" w:type="dxa"/>
            <w:vAlign w:val="bottom"/>
            <w:gridSpan w:val="2"/>
            <w:shd w:val="clear" w:color="auto" w:fill="E5E5E5"/>
          </w:tcPr>
          <w:p>
            <w:pPr>
              <w:jc w:val="right"/>
              <w:ind w:right="133"/>
              <w:spacing w:after="0"/>
              <w:rPr>
                <w:sz w:val="20"/>
                <w:szCs w:val="20"/>
                <w:color w:val="auto"/>
              </w:rPr>
            </w:pPr>
            <w:r>
              <w:rPr>
                <w:rFonts w:ascii="Arial" w:cs="Arial" w:eastAsia="Arial" w:hAnsi="Arial"/>
                <w:sz w:val="18"/>
                <w:szCs w:val="18"/>
                <w:color w:val="auto"/>
              </w:rPr>
              <w:t>1,106</w:t>
            </w:r>
          </w:p>
        </w:tc>
        <w:tc>
          <w:tcPr>
            <w:tcW w:w="0" w:type="dxa"/>
            <w:vAlign w:val="bottom"/>
          </w:tcPr>
          <w:p>
            <w:pPr>
              <w:spacing w:after="0"/>
              <w:rPr>
                <w:sz w:val="1"/>
                <w:szCs w:val="1"/>
                <w:color w:val="auto"/>
              </w:rPr>
            </w:pPr>
          </w:p>
        </w:tc>
      </w:tr>
      <w:tr>
        <w:trPr>
          <w:trHeight w:val="216"/>
        </w:trPr>
        <w:tc>
          <w:tcPr>
            <w:tcW w:w="6880" w:type="dxa"/>
            <w:vAlign w:val="bottom"/>
          </w:tcPr>
          <w:p>
            <w:pPr>
              <w:ind w:left="440"/>
              <w:spacing w:after="0"/>
              <w:rPr>
                <w:sz w:val="20"/>
                <w:szCs w:val="20"/>
                <w:color w:val="auto"/>
              </w:rPr>
            </w:pPr>
            <w:r>
              <w:rPr>
                <w:rFonts w:ascii="Arial" w:cs="Arial" w:eastAsia="Arial" w:hAnsi="Arial"/>
                <w:sz w:val="18"/>
                <w:szCs w:val="18"/>
                <w:color w:val="auto"/>
              </w:rPr>
              <w:t>Equity in net (income) losses of investees, net</w:t>
            </w: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ind w:right="239"/>
              <w:spacing w:after="0"/>
              <w:rPr>
                <w:sz w:val="20"/>
                <w:szCs w:val="20"/>
                <w:color w:val="auto"/>
              </w:rPr>
            </w:pPr>
            <w:r>
              <w:rPr>
                <w:rFonts w:ascii="Arial" w:cs="Arial" w:eastAsia="Arial" w:hAnsi="Arial"/>
                <w:sz w:val="18"/>
                <w:szCs w:val="18"/>
                <w:color w:val="auto"/>
              </w:rPr>
              <w:t>241</w:t>
            </w:r>
          </w:p>
        </w:tc>
        <w:tc>
          <w:tcPr>
            <w:tcW w:w="220" w:type="dxa"/>
            <w:vAlign w:val="bottom"/>
          </w:tcPr>
          <w:p>
            <w:pPr>
              <w:spacing w:after="0"/>
              <w:rPr>
                <w:sz w:val="18"/>
                <w:szCs w:val="18"/>
                <w:color w:val="auto"/>
              </w:rPr>
            </w:pPr>
          </w:p>
        </w:tc>
        <w:tc>
          <w:tcPr>
            <w:tcW w:w="540" w:type="dxa"/>
            <w:vAlign w:val="bottom"/>
          </w:tcPr>
          <w:p>
            <w:pPr>
              <w:jc w:val="right"/>
              <w:ind w:right="73"/>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688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Cash received from investees</w:t>
            </w:r>
          </w:p>
        </w:tc>
        <w:tc>
          <w:tcPr>
            <w:tcW w:w="6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239"/>
              <w:spacing w:after="0"/>
              <w:rPr>
                <w:sz w:val="20"/>
                <w:szCs w:val="20"/>
                <w:color w:val="auto"/>
              </w:rPr>
            </w:pPr>
            <w:r>
              <w:rPr>
                <w:rFonts w:ascii="Arial" w:cs="Arial" w:eastAsia="Arial" w:hAnsi="Arial"/>
                <w:sz w:val="18"/>
                <w:szCs w:val="18"/>
                <w:color w:val="auto"/>
              </w:rPr>
              <w:t>43</w:t>
            </w:r>
          </w:p>
        </w:tc>
        <w:tc>
          <w:tcPr>
            <w:tcW w:w="22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6880" w:type="dxa"/>
            <w:vAlign w:val="bottom"/>
          </w:tcPr>
          <w:p>
            <w:pPr>
              <w:ind w:left="440"/>
              <w:spacing w:after="0"/>
              <w:rPr>
                <w:sz w:val="20"/>
                <w:szCs w:val="20"/>
                <w:color w:val="auto"/>
              </w:rPr>
            </w:pPr>
            <w:r>
              <w:rPr>
                <w:rFonts w:ascii="Arial" w:cs="Arial" w:eastAsia="Arial" w:hAnsi="Arial"/>
                <w:sz w:val="18"/>
                <w:szCs w:val="18"/>
                <w:color w:val="auto"/>
              </w:rPr>
              <w:t>Net (gain) loss on investment activity and other</w:t>
            </w: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ind w:right="239"/>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8"/>
                <w:szCs w:val="18"/>
                <w:color w:val="auto"/>
              </w:rPr>
            </w:pPr>
          </w:p>
        </w:tc>
        <w:tc>
          <w:tcPr>
            <w:tcW w:w="540" w:type="dxa"/>
            <w:vAlign w:val="bottom"/>
          </w:tcPr>
          <w:p>
            <w:pPr>
              <w:jc w:val="right"/>
              <w:ind w:right="133"/>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6880" w:type="dxa"/>
            <w:vAlign w:val="bottom"/>
            <w:shd w:val="clear" w:color="auto" w:fill="E5E5E5"/>
          </w:tcPr>
          <w:p>
            <w:pPr>
              <w:ind w:left="440"/>
              <w:spacing w:after="0"/>
              <w:rPr>
                <w:sz w:val="20"/>
                <w:szCs w:val="20"/>
                <w:color w:val="auto"/>
              </w:rPr>
            </w:pPr>
            <w:r>
              <w:rPr>
                <w:rFonts w:ascii="Arial" w:cs="Arial" w:eastAsia="Arial" w:hAnsi="Arial"/>
                <w:sz w:val="18"/>
                <w:szCs w:val="18"/>
                <w:color w:val="auto"/>
              </w:rPr>
              <w:t>Deferred income taxes</w:t>
            </w:r>
          </w:p>
        </w:tc>
        <w:tc>
          <w:tcPr>
            <w:tcW w:w="6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179"/>
              <w:spacing w:after="0"/>
              <w:rPr>
                <w:sz w:val="20"/>
                <w:szCs w:val="20"/>
                <w:color w:val="auto"/>
              </w:rPr>
            </w:pPr>
            <w:r>
              <w:rPr>
                <w:rFonts w:ascii="Arial" w:cs="Arial" w:eastAsia="Arial" w:hAnsi="Arial"/>
                <w:sz w:val="18"/>
                <w:szCs w:val="18"/>
                <w:color w:val="auto"/>
              </w:rPr>
              <w:t>(35)</w:t>
            </w:r>
          </w:p>
        </w:tc>
        <w:tc>
          <w:tcPr>
            <w:tcW w:w="22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w w:val="97"/>
              </w:rPr>
              <w:t>Changes in operating assets and liabilities, net of effects of acquisitions and divestitures:</w:t>
            </w: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Current and noncurrent receivables, net</w:t>
            </w:r>
          </w:p>
        </w:tc>
        <w:tc>
          <w:tcPr>
            <w:tcW w:w="6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179"/>
              <w:spacing w:after="0"/>
              <w:rPr>
                <w:sz w:val="20"/>
                <w:szCs w:val="20"/>
                <w:color w:val="auto"/>
              </w:rPr>
            </w:pPr>
            <w:r>
              <w:rPr>
                <w:rFonts w:ascii="Arial" w:cs="Arial" w:eastAsia="Arial" w:hAnsi="Arial"/>
                <w:sz w:val="18"/>
                <w:szCs w:val="18"/>
                <w:color w:val="auto"/>
              </w:rPr>
              <w:t>(346)</w:t>
            </w:r>
          </w:p>
        </w:tc>
        <w:tc>
          <w:tcPr>
            <w:tcW w:w="22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6880" w:type="dxa"/>
            <w:vAlign w:val="bottom"/>
          </w:tcPr>
          <w:p>
            <w:pPr>
              <w:ind w:left="440"/>
              <w:spacing w:after="0"/>
              <w:rPr>
                <w:sz w:val="20"/>
                <w:szCs w:val="20"/>
                <w:color w:val="auto"/>
              </w:rPr>
            </w:pPr>
            <w:r>
              <w:rPr>
                <w:rFonts w:ascii="Arial" w:cs="Arial" w:eastAsia="Arial" w:hAnsi="Arial"/>
                <w:sz w:val="18"/>
                <w:szCs w:val="18"/>
                <w:color w:val="auto"/>
              </w:rPr>
              <w:t>Film and television costs, net</w:t>
            </w: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ind w:right="179"/>
              <w:spacing w:after="0"/>
              <w:rPr>
                <w:sz w:val="20"/>
                <w:szCs w:val="20"/>
                <w:color w:val="auto"/>
              </w:rPr>
            </w:pPr>
            <w:r>
              <w:rPr>
                <w:rFonts w:ascii="Arial" w:cs="Arial" w:eastAsia="Arial" w:hAnsi="Arial"/>
                <w:sz w:val="18"/>
                <w:szCs w:val="18"/>
                <w:color w:val="auto"/>
              </w:rPr>
              <w:t>(74)</w:t>
            </w:r>
          </w:p>
        </w:tc>
        <w:tc>
          <w:tcPr>
            <w:tcW w:w="220" w:type="dxa"/>
            <w:vAlign w:val="bottom"/>
          </w:tcPr>
          <w:p>
            <w:pPr>
              <w:spacing w:after="0"/>
              <w:rPr>
                <w:sz w:val="18"/>
                <w:szCs w:val="18"/>
                <w:color w:val="auto"/>
              </w:rPr>
            </w:pPr>
          </w:p>
        </w:tc>
        <w:tc>
          <w:tcPr>
            <w:tcW w:w="540" w:type="dxa"/>
            <w:vAlign w:val="bottom"/>
          </w:tcPr>
          <w:p>
            <w:pPr>
              <w:jc w:val="right"/>
              <w:ind w:right="73"/>
              <w:spacing w:after="0"/>
              <w:rPr>
                <w:sz w:val="20"/>
                <w:szCs w:val="20"/>
                <w:color w:val="auto"/>
              </w:rPr>
            </w:pPr>
            <w:r>
              <w:rPr>
                <w:rFonts w:ascii="Arial" w:cs="Arial" w:eastAsia="Arial" w:hAnsi="Arial"/>
                <w:sz w:val="18"/>
                <w:szCs w:val="18"/>
                <w:color w:val="auto"/>
                <w:w w:val="85"/>
              </w:rPr>
              <w:t>(483)</w:t>
            </w:r>
          </w:p>
        </w:tc>
        <w:tc>
          <w:tcPr>
            <w:tcW w:w="0" w:type="dxa"/>
            <w:vAlign w:val="bottom"/>
          </w:tcPr>
          <w:p>
            <w:pPr>
              <w:spacing w:after="0"/>
              <w:rPr>
                <w:sz w:val="1"/>
                <w:szCs w:val="1"/>
                <w:color w:val="auto"/>
              </w:rPr>
            </w:pPr>
          </w:p>
        </w:tc>
      </w:tr>
      <w:tr>
        <w:trPr>
          <w:trHeight w:val="216"/>
        </w:trPr>
        <w:tc>
          <w:tcPr>
            <w:tcW w:w="6880" w:type="dxa"/>
            <w:vAlign w:val="bottom"/>
            <w:shd w:val="clear" w:color="auto" w:fill="E5E5E5"/>
          </w:tcPr>
          <w:p>
            <w:pPr>
              <w:ind w:left="440"/>
              <w:spacing w:after="0"/>
              <w:rPr>
                <w:sz w:val="20"/>
                <w:szCs w:val="20"/>
                <w:color w:val="auto"/>
              </w:rPr>
            </w:pPr>
            <w:r>
              <w:rPr>
                <w:rFonts w:ascii="Arial" w:cs="Arial" w:eastAsia="Arial" w:hAnsi="Arial"/>
                <w:sz w:val="18"/>
                <w:szCs w:val="18"/>
                <w:color w:val="auto"/>
              </w:rPr>
              <w:t>Accounts payable and accrued expenses related to trade creditors</w:t>
            </w:r>
          </w:p>
        </w:tc>
        <w:tc>
          <w:tcPr>
            <w:tcW w:w="6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239"/>
              <w:spacing w:after="0"/>
              <w:rPr>
                <w:sz w:val="20"/>
                <w:szCs w:val="20"/>
                <w:color w:val="auto"/>
              </w:rPr>
            </w:pPr>
            <w:r>
              <w:rPr>
                <w:rFonts w:ascii="Arial" w:cs="Arial" w:eastAsia="Arial" w:hAnsi="Arial"/>
                <w:sz w:val="18"/>
                <w:szCs w:val="18"/>
                <w:color w:val="auto"/>
              </w:rPr>
              <w:t>97</w:t>
            </w:r>
          </w:p>
        </w:tc>
        <w:tc>
          <w:tcPr>
            <w:tcW w:w="22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w w:val="85"/>
              </w:rPr>
              <w:t>(183)</w:t>
            </w:r>
          </w:p>
        </w:tc>
        <w:tc>
          <w:tcPr>
            <w:tcW w:w="0" w:type="dxa"/>
            <w:vAlign w:val="bottom"/>
          </w:tcPr>
          <w:p>
            <w:pPr>
              <w:spacing w:after="0"/>
              <w:rPr>
                <w:sz w:val="1"/>
                <w:szCs w:val="1"/>
                <w:color w:val="auto"/>
              </w:rPr>
            </w:pPr>
          </w:p>
        </w:tc>
      </w:tr>
      <w:tr>
        <w:trPr>
          <w:trHeight w:val="216"/>
        </w:trPr>
        <w:tc>
          <w:tcPr>
            <w:tcW w:w="688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Other operating assets and liabilities</w:t>
            </w:r>
          </w:p>
        </w:tc>
        <w:tc>
          <w:tcPr>
            <w:tcW w:w="6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39"/>
              <w:spacing w:after="0"/>
              <w:rPr>
                <w:sz w:val="20"/>
                <w:szCs w:val="20"/>
                <w:color w:val="auto"/>
              </w:rPr>
            </w:pPr>
            <w:r>
              <w:rPr>
                <w:rFonts w:ascii="Arial" w:cs="Arial" w:eastAsia="Arial" w:hAnsi="Arial"/>
                <w:sz w:val="18"/>
                <w:szCs w:val="18"/>
                <w:color w:val="auto"/>
              </w:rPr>
              <w:t>405</w:t>
            </w:r>
          </w:p>
        </w:tc>
        <w:tc>
          <w:tcPr>
            <w:tcW w:w="2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w w:val="99"/>
              </w:rPr>
              <w:t>157</w:t>
            </w:r>
          </w:p>
        </w:tc>
        <w:tc>
          <w:tcPr>
            <w:tcW w:w="0" w:type="dxa"/>
            <w:vAlign w:val="bottom"/>
          </w:tcPr>
          <w:p>
            <w:pPr>
              <w:spacing w:after="0"/>
              <w:rPr>
                <w:sz w:val="1"/>
                <w:szCs w:val="1"/>
                <w:color w:val="auto"/>
              </w:rPr>
            </w:pPr>
          </w:p>
        </w:tc>
      </w:tr>
      <w:tr>
        <w:trPr>
          <w:trHeight w:val="217"/>
        </w:trPr>
        <w:tc>
          <w:tcPr>
            <w:tcW w:w="68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6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spacing w:after="0"/>
              <w:rPr>
                <w:sz w:val="18"/>
                <w:szCs w:val="18"/>
                <w:color w:val="auto"/>
              </w:rPr>
            </w:pPr>
          </w:p>
        </w:tc>
        <w:tc>
          <w:tcPr>
            <w:tcW w:w="400" w:type="dxa"/>
            <w:vAlign w:val="bottom"/>
            <w:tcBorders>
              <w:bottom w:val="single" w:sz="8" w:color="auto"/>
            </w:tcBorders>
            <w:shd w:val="clear" w:color="auto" w:fill="E5E5E5"/>
          </w:tcPr>
          <w:p>
            <w:pPr>
              <w:spacing w:after="0"/>
              <w:rPr>
                <w:sz w:val="18"/>
                <w:szCs w:val="18"/>
                <w:color w:val="auto"/>
              </w:rPr>
            </w:pPr>
          </w:p>
        </w:tc>
        <w:tc>
          <w:tcPr>
            <w:tcW w:w="440" w:type="dxa"/>
            <w:vAlign w:val="bottom"/>
            <w:tcBorders>
              <w:bottom w:val="single" w:sz="8" w:color="auto"/>
            </w:tcBorders>
            <w:shd w:val="clear" w:color="auto" w:fill="E5E5E5"/>
          </w:tcPr>
          <w:p>
            <w:pPr>
              <w:spacing w:after="0"/>
              <w:rPr>
                <w:sz w:val="18"/>
                <w:szCs w:val="18"/>
                <w:color w:val="auto"/>
              </w:rPr>
            </w:pPr>
          </w:p>
        </w:tc>
        <w:tc>
          <w:tcPr>
            <w:tcW w:w="300" w:type="dxa"/>
            <w:vAlign w:val="bottom"/>
            <w:tcBorders>
              <w:bottom w:val="single" w:sz="8" w:color="auto"/>
            </w:tcBorders>
            <w:shd w:val="clear" w:color="auto" w:fill="E5E5E5"/>
          </w:tcPr>
          <w:p>
            <w:pPr>
              <w:spacing w:after="0"/>
              <w:rPr>
                <w:sz w:val="18"/>
                <w:szCs w:val="18"/>
                <w:color w:val="auto"/>
              </w:rPr>
            </w:pPr>
          </w:p>
        </w:tc>
        <w:tc>
          <w:tcPr>
            <w:tcW w:w="40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239"/>
              <w:spacing w:after="0"/>
              <w:rPr>
                <w:sz w:val="20"/>
                <w:szCs w:val="20"/>
                <w:color w:val="auto"/>
              </w:rPr>
            </w:pPr>
            <w:r>
              <w:rPr>
                <w:rFonts w:ascii="Arial" w:cs="Arial" w:eastAsia="Arial" w:hAnsi="Arial"/>
                <w:sz w:val="18"/>
                <w:szCs w:val="18"/>
                <w:b w:val="1"/>
                <w:bCs w:val="1"/>
                <w:color w:val="auto"/>
                <w:w w:val="93"/>
              </w:rPr>
              <w:t>$ 4,318</w:t>
            </w:r>
          </w:p>
        </w:tc>
        <w:tc>
          <w:tcPr>
            <w:tcW w:w="760" w:type="dxa"/>
            <w:vAlign w:val="bottom"/>
            <w:tcBorders>
              <w:bottom w:val="single" w:sz="8" w:color="auto"/>
            </w:tcBorders>
            <w:gridSpan w:val="2"/>
            <w:shd w:val="clear" w:color="auto" w:fill="E5E5E5"/>
          </w:tcPr>
          <w:p>
            <w:pPr>
              <w:jc w:val="right"/>
              <w:ind w:right="133"/>
              <w:spacing w:after="0"/>
              <w:rPr>
                <w:sz w:val="20"/>
                <w:szCs w:val="20"/>
                <w:color w:val="auto"/>
              </w:rPr>
            </w:pPr>
            <w:r>
              <w:rPr>
                <w:rFonts w:ascii="Arial" w:cs="Arial" w:eastAsia="Arial" w:hAnsi="Arial"/>
                <w:sz w:val="18"/>
                <w:szCs w:val="18"/>
                <w:b w:val="1"/>
                <w:bCs w:val="1"/>
                <w:color w:val="auto"/>
                <w:w w:val="86"/>
              </w:rPr>
              <w:t>$ 3,156</w:t>
            </w:r>
          </w:p>
        </w:tc>
        <w:tc>
          <w:tcPr>
            <w:tcW w:w="0" w:type="dxa"/>
            <w:vAlign w:val="bottom"/>
          </w:tcPr>
          <w:p>
            <w:pPr>
              <w:spacing w:after="0"/>
              <w:rPr>
                <w:sz w:val="1"/>
                <w:szCs w:val="1"/>
                <w:color w:val="auto"/>
              </w:rPr>
            </w:pPr>
          </w:p>
        </w:tc>
      </w:tr>
      <w:tr>
        <w:trPr>
          <w:trHeight w:val="403"/>
        </w:trPr>
        <w:tc>
          <w:tcPr>
            <w:tcW w:w="8220" w:type="dxa"/>
            <w:vAlign w:val="bottom"/>
            <w:gridSpan w:val="3"/>
          </w:tcPr>
          <w:p>
            <w:pPr>
              <w:ind w:left="3800"/>
              <w:spacing w:after="0"/>
              <w:rPr>
                <w:sz w:val="20"/>
                <w:szCs w:val="20"/>
                <w:color w:val="auto"/>
              </w:rPr>
            </w:pPr>
            <w:r>
              <w:rPr>
                <w:rFonts w:ascii="Arial" w:cs="Arial" w:eastAsia="Arial" w:hAnsi="Arial"/>
                <w:sz w:val="18"/>
                <w:szCs w:val="18"/>
                <w:b w:val="1"/>
                <w:bCs w:val="1"/>
                <w:color w:val="auto"/>
              </w:rPr>
              <w:t>Cash Payments for Interest and Income Taxes</w:t>
            </w: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68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560" w:type="dxa"/>
            <w:vAlign w:val="bottom"/>
            <w:gridSpan w:val="3"/>
          </w:tcPr>
          <w:p>
            <w:pPr>
              <w:jc w:val="right"/>
              <w:ind w:right="199"/>
              <w:spacing w:after="0"/>
              <w:rPr>
                <w:sz w:val="20"/>
                <w:szCs w:val="20"/>
                <w:color w:val="auto"/>
              </w:rPr>
            </w:pPr>
            <w:r>
              <w:rPr>
                <w:rFonts w:ascii="Arial" w:cs="Arial" w:eastAsia="Arial" w:hAnsi="Arial"/>
                <w:sz w:val="14"/>
                <w:szCs w:val="14"/>
                <w:color w:val="auto"/>
                <w:w w:val="96"/>
              </w:rPr>
              <w:t>Three Months Ended</w:t>
            </w: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660" w:type="dxa"/>
            <w:vAlign w:val="bottom"/>
            <w:gridSpan w:val="3"/>
          </w:tcPr>
          <w:p>
            <w:pPr>
              <w:jc w:val="center"/>
              <w:ind w:right="113"/>
              <w:spacing w:after="0"/>
              <w:rPr>
                <w:sz w:val="20"/>
                <w:szCs w:val="20"/>
                <w:color w:val="auto"/>
              </w:rPr>
            </w:pPr>
            <w:r>
              <w:rPr>
                <w:rFonts w:ascii="Arial" w:cs="Arial" w:eastAsia="Arial" w:hAnsi="Arial"/>
                <w:sz w:val="14"/>
                <w:szCs w:val="14"/>
                <w:color w:val="auto"/>
                <w:w w:val="89"/>
              </w:rPr>
              <w:t>Nine Months Ended</w:t>
            </w:r>
          </w:p>
        </w:tc>
        <w:tc>
          <w:tcPr>
            <w:tcW w:w="0" w:type="dxa"/>
            <w:vAlign w:val="bottom"/>
          </w:tcPr>
          <w:p>
            <w:pPr>
              <w:spacing w:after="0"/>
              <w:rPr>
                <w:sz w:val="1"/>
                <w:szCs w:val="1"/>
                <w:color w:val="auto"/>
              </w:rPr>
            </w:pPr>
          </w:p>
        </w:tc>
      </w:tr>
      <w:tr>
        <w:trPr>
          <w:trHeight w:val="159"/>
        </w:trPr>
        <w:tc>
          <w:tcPr>
            <w:tcW w:w="688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6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September 30</w:t>
            </w:r>
          </w:p>
        </w:tc>
        <w:tc>
          <w:tcPr>
            <w:tcW w:w="4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2"/>
          </w:tcPr>
          <w:p>
            <w:pPr>
              <w:jc w:val="center"/>
              <w:ind w:left="259"/>
              <w:spacing w:after="0" w:line="159" w:lineRule="exact"/>
              <w:rPr>
                <w:sz w:val="20"/>
                <w:szCs w:val="20"/>
                <w:color w:val="auto"/>
              </w:rPr>
            </w:pPr>
            <w:r>
              <w:rPr>
                <w:rFonts w:ascii="Arial" w:cs="Arial" w:eastAsia="Arial" w:hAnsi="Arial"/>
                <w:sz w:val="14"/>
                <w:szCs w:val="14"/>
                <w:color w:val="auto"/>
                <w:w w:val="84"/>
              </w:rPr>
              <w:t>September 30</w:t>
            </w:r>
          </w:p>
        </w:tc>
        <w:tc>
          <w:tcPr>
            <w:tcW w:w="5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880" w:type="dxa"/>
            <w:vAlign w:val="bottom"/>
            <w:tcBorders>
              <w:bottom w:val="single" w:sz="8" w:color="auto"/>
            </w:tcBorders>
            <w:vMerge w:val="continue"/>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64"/>
              <w:spacing w:after="0" w:line="142" w:lineRule="exact"/>
              <w:rPr>
                <w:sz w:val="20"/>
                <w:szCs w:val="20"/>
                <w:color w:val="auto"/>
              </w:rPr>
            </w:pPr>
            <w:r>
              <w:rPr>
                <w:rFonts w:ascii="Arial" w:cs="Arial" w:eastAsia="Arial" w:hAnsi="Arial"/>
                <w:sz w:val="14"/>
                <w:szCs w:val="14"/>
                <w:color w:val="auto"/>
                <w:w w:val="83"/>
              </w:rPr>
              <w:t>2015</w:t>
            </w:r>
          </w:p>
        </w:tc>
        <w:tc>
          <w:tcPr>
            <w:tcW w:w="4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color w:val="auto"/>
                <w:w w:val="89"/>
              </w:rPr>
              <w:t>2014</w:t>
            </w:r>
          </w:p>
        </w:tc>
        <w:tc>
          <w:tcPr>
            <w:tcW w:w="3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519"/>
              <w:spacing w:after="0" w:line="142" w:lineRule="exact"/>
              <w:rPr>
                <w:sz w:val="20"/>
                <w:szCs w:val="20"/>
                <w:color w:val="auto"/>
              </w:rPr>
            </w:pPr>
            <w:r>
              <w:rPr>
                <w:rFonts w:ascii="Arial" w:cs="Arial" w:eastAsia="Arial" w:hAnsi="Arial"/>
                <w:sz w:val="14"/>
                <w:szCs w:val="14"/>
                <w:color w:val="auto"/>
                <w:w w:val="89"/>
              </w:rPr>
              <w:t>2015</w:t>
            </w:r>
          </w:p>
        </w:tc>
        <w:tc>
          <w:tcPr>
            <w:tcW w:w="2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color w:val="auto"/>
                <w:w w:val="96"/>
              </w:rPr>
              <w:t>2014</w:t>
            </w:r>
          </w:p>
        </w:tc>
        <w:tc>
          <w:tcPr>
            <w:tcW w:w="0" w:type="dxa"/>
            <w:vAlign w:val="bottom"/>
          </w:tcPr>
          <w:p>
            <w:pPr>
              <w:spacing w:after="0"/>
              <w:rPr>
                <w:sz w:val="1"/>
                <w:szCs w:val="1"/>
                <w:color w:val="auto"/>
              </w:rPr>
            </w:pPr>
          </w:p>
        </w:tc>
      </w:tr>
      <w:tr>
        <w:trPr>
          <w:trHeight w:val="210"/>
        </w:trPr>
        <w:tc>
          <w:tcPr>
            <w:tcW w:w="6880" w:type="dxa"/>
            <w:vAlign w:val="bottom"/>
            <w:shd w:val="clear" w:color="auto" w:fill="E5E5E5"/>
          </w:tcPr>
          <w:p>
            <w:pPr>
              <w:spacing w:after="0"/>
              <w:rPr>
                <w:sz w:val="20"/>
                <w:szCs w:val="20"/>
                <w:color w:val="auto"/>
              </w:rPr>
            </w:pPr>
            <w:r>
              <w:rPr>
                <w:rFonts w:ascii="Arial" w:cs="Arial" w:eastAsia="Arial" w:hAnsi="Arial"/>
                <w:sz w:val="18"/>
                <w:szCs w:val="18"/>
                <w:color w:val="auto"/>
              </w:rPr>
              <w:t>Interest</w:t>
            </w:r>
          </w:p>
        </w:tc>
        <w:tc>
          <w:tcPr>
            <w:tcW w:w="6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5E5E5"/>
          </w:tcPr>
          <w:p>
            <w:pPr>
              <w:jc w:val="right"/>
              <w:ind w:right="224"/>
              <w:spacing w:after="0"/>
              <w:rPr>
                <w:sz w:val="20"/>
                <w:szCs w:val="20"/>
                <w:color w:val="auto"/>
              </w:rPr>
            </w:pPr>
            <w:r>
              <w:rPr>
                <w:rFonts w:ascii="Arial" w:cs="Arial" w:eastAsia="Arial" w:hAnsi="Arial"/>
                <w:sz w:val="18"/>
                <w:szCs w:val="18"/>
                <w:color w:val="auto"/>
              </w:rPr>
              <w:t>35</w:t>
            </w:r>
          </w:p>
        </w:tc>
        <w:tc>
          <w:tcPr>
            <w:tcW w:w="4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E5E5E5"/>
          </w:tcPr>
          <w:p>
            <w:pPr>
              <w:jc w:val="center"/>
              <w:ind w:left="179"/>
              <w:spacing w:after="0"/>
              <w:rPr>
                <w:sz w:val="20"/>
                <w:szCs w:val="20"/>
                <w:color w:val="auto"/>
              </w:rPr>
            </w:pPr>
            <w:r>
              <w:rPr>
                <w:rFonts w:ascii="Arial" w:cs="Arial" w:eastAsia="Arial" w:hAnsi="Arial"/>
                <w:sz w:val="18"/>
                <w:szCs w:val="18"/>
                <w:color w:val="auto"/>
                <w:w w:val="89"/>
              </w:rPr>
              <w:t>38</w:t>
            </w:r>
          </w:p>
        </w:tc>
        <w:tc>
          <w:tcPr>
            <w:tcW w:w="700" w:type="dxa"/>
            <w:vAlign w:val="bottom"/>
            <w:gridSpan w:val="2"/>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E5E5E5"/>
          </w:tcPr>
          <w:p>
            <w:pPr>
              <w:ind w:left="160"/>
              <w:spacing w:after="0"/>
              <w:rPr>
                <w:sz w:val="20"/>
                <w:szCs w:val="20"/>
                <w:color w:val="auto"/>
              </w:rPr>
            </w:pPr>
            <w:r>
              <w:rPr>
                <w:rFonts w:ascii="Arial" w:cs="Arial" w:eastAsia="Arial" w:hAnsi="Arial"/>
                <w:sz w:val="18"/>
                <w:szCs w:val="18"/>
                <w:color w:val="auto"/>
              </w:rPr>
              <w:t>277</w:t>
            </w:r>
          </w:p>
        </w:tc>
        <w:tc>
          <w:tcPr>
            <w:tcW w:w="220" w:type="dxa"/>
            <w:vAlign w:val="bottom"/>
            <w:shd w:val="clear" w:color="auto" w:fill="E5E5E5"/>
          </w:tcPr>
          <w:p>
            <w:pPr>
              <w:ind w:left="12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16"/>
        </w:trPr>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taxes</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224"/>
              <w:spacing w:after="0"/>
              <w:rPr>
                <w:sz w:val="20"/>
                <w:szCs w:val="20"/>
                <w:color w:val="auto"/>
              </w:rPr>
            </w:pPr>
            <w:r>
              <w:rPr>
                <w:rFonts w:ascii="Arial" w:cs="Arial" w:eastAsia="Arial" w:hAnsi="Arial"/>
                <w:sz w:val="18"/>
                <w:szCs w:val="18"/>
                <w:color w:val="auto"/>
              </w:rPr>
              <w:t>56</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jc w:val="center"/>
              <w:ind w:left="179"/>
              <w:spacing w:after="0"/>
              <w:rPr>
                <w:sz w:val="20"/>
                <w:szCs w:val="20"/>
                <w:color w:val="auto"/>
              </w:rPr>
            </w:pPr>
            <w:r>
              <w:rPr>
                <w:rFonts w:ascii="Arial" w:cs="Arial" w:eastAsia="Arial" w:hAnsi="Arial"/>
                <w:sz w:val="18"/>
                <w:szCs w:val="18"/>
                <w:color w:val="auto"/>
                <w:w w:val="89"/>
              </w:rPr>
              <w:t>31</w:t>
            </w: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141</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Noncash Investing and Financing Activities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During the nine months ended September 30, 2015:</w:t>
      </w:r>
    </w:p>
    <w:p>
      <w:pPr>
        <w:spacing w:after="0" w:line="77" w:lineRule="exact"/>
        <w:rPr>
          <w:sz w:val="20"/>
          <w:szCs w:val="20"/>
          <w:color w:val="auto"/>
        </w:rPr>
      </w:pPr>
    </w:p>
    <w:p>
      <w:pPr>
        <w:ind w:left="5620" w:right="3120" w:hanging="4815"/>
        <w:spacing w:after="0" w:line="440" w:lineRule="auto"/>
        <w:tabs>
          <w:tab w:leader="none" w:pos="1025"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acquired $281 million of property and equipment and intangible assets that were accrued but unpaid 58</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204" w:lineRule="exact"/>
        <w:rPr>
          <w:sz w:val="20"/>
          <w:szCs w:val="20"/>
          <w:color w:val="auto"/>
        </w:rPr>
      </w:pPr>
    </w:p>
    <w:p>
      <w:pPr>
        <w:ind w:left="800"/>
        <w:spacing w:after="0"/>
        <w:tabs>
          <w:tab w:leader="none" w:pos="10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Comcast contributed the net assets of $252 million related to a recently acquired business, which was a noncash transaction</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10: Financial Data by Business Segment</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We present our operations in four reportable business segments:</w:t>
      </w:r>
    </w:p>
    <w:p>
      <w:pPr>
        <w:spacing w:after="0" w:line="71" w:lineRule="exact"/>
        <w:rPr>
          <w:sz w:val="20"/>
          <w:szCs w:val="20"/>
          <w:color w:val="auto"/>
        </w:rPr>
      </w:pPr>
    </w:p>
    <w:p>
      <w:pPr>
        <w:ind w:left="1020" w:right="1240" w:hanging="215"/>
        <w:spacing w:after="0" w:line="275"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Cable Networks: </w:t>
      </w:r>
      <w:r>
        <w:rPr>
          <w:rFonts w:ascii="Arial" w:cs="Arial" w:eastAsia="Arial" w:hAnsi="Arial"/>
          <w:sz w:val="18"/>
          <w:szCs w:val="18"/>
          <w:color w:val="auto"/>
        </w:rPr>
        <w:t>Consists primarily of our national cable networks, our regional sports and news networks, our international</w:t>
      </w:r>
      <w:r>
        <w:rPr>
          <w:rFonts w:ascii="Arial" w:cs="Arial" w:eastAsia="Arial" w:hAnsi="Arial"/>
          <w:sz w:val="18"/>
          <w:szCs w:val="18"/>
          <w:b w:val="1"/>
          <w:bCs w:val="1"/>
          <w:color w:val="auto"/>
        </w:rPr>
        <w:t xml:space="preserve"> </w:t>
      </w:r>
      <w:r>
        <w:rPr>
          <w:rFonts w:ascii="Arial" w:cs="Arial" w:eastAsia="Arial" w:hAnsi="Arial"/>
          <w:sz w:val="18"/>
          <w:szCs w:val="18"/>
          <w:color w:val="auto"/>
        </w:rPr>
        <w:t>cable networks and our cable television production operations.</w:t>
      </w:r>
    </w:p>
    <w:p>
      <w:pPr>
        <w:spacing w:after="0" w:line="25" w:lineRule="exact"/>
        <w:rPr>
          <w:rFonts w:ascii="Arial" w:cs="Arial" w:eastAsia="Arial" w:hAnsi="Arial"/>
          <w:sz w:val="18"/>
          <w:szCs w:val="18"/>
          <w:color w:val="auto"/>
        </w:rPr>
      </w:pPr>
    </w:p>
    <w:p>
      <w:pPr>
        <w:ind w:left="1020" w:right="1260" w:hanging="215"/>
        <w:spacing w:after="0" w:line="325" w:lineRule="auto"/>
        <w:tabs>
          <w:tab w:leader="none" w:pos="1020" w:val="left"/>
        </w:tabs>
        <w:numPr>
          <w:ilvl w:val="0"/>
          <w:numId w:val="14"/>
        </w:numPr>
        <w:rPr>
          <w:rFonts w:ascii="Arial" w:cs="Arial" w:eastAsia="Arial" w:hAnsi="Arial"/>
          <w:sz w:val="16"/>
          <w:szCs w:val="16"/>
          <w:color w:val="auto"/>
        </w:rPr>
      </w:pPr>
      <w:r>
        <w:rPr>
          <w:rFonts w:ascii="Arial" w:cs="Arial" w:eastAsia="Arial" w:hAnsi="Arial"/>
          <w:sz w:val="16"/>
          <w:szCs w:val="16"/>
          <w:b w:val="1"/>
          <w:bCs w:val="1"/>
          <w:color w:val="auto"/>
        </w:rPr>
        <w:t xml:space="preserve">Broadcast Television: </w:t>
      </w:r>
      <w:r>
        <w:rPr>
          <w:rFonts w:ascii="Arial" w:cs="Arial" w:eastAsia="Arial" w:hAnsi="Arial"/>
          <w:sz w:val="16"/>
          <w:szCs w:val="16"/>
          <w:color w:val="auto"/>
        </w:rPr>
        <w:t>Consists primarily of the NBC and Telemundo broadcast networks, our NBC and Telemundo owned local</w:t>
      </w:r>
      <w:r>
        <w:rPr>
          <w:rFonts w:ascii="Arial" w:cs="Arial" w:eastAsia="Arial" w:hAnsi="Arial"/>
          <w:sz w:val="16"/>
          <w:szCs w:val="16"/>
          <w:b w:val="1"/>
          <w:bCs w:val="1"/>
          <w:color w:val="auto"/>
        </w:rPr>
        <w:t xml:space="preserve"> </w:t>
      </w:r>
      <w:r>
        <w:rPr>
          <w:rFonts w:ascii="Arial" w:cs="Arial" w:eastAsia="Arial" w:hAnsi="Arial"/>
          <w:sz w:val="16"/>
          <w:szCs w:val="16"/>
          <w:color w:val="auto"/>
        </w:rPr>
        <w:t>broadcast television stations, the NBC Universo national cable network, and our broadcast television production operations.</w:t>
      </w:r>
    </w:p>
    <w:p>
      <w:pPr>
        <w:spacing w:after="0" w:line="1" w:lineRule="exact"/>
        <w:rPr>
          <w:rFonts w:ascii="Arial" w:cs="Arial" w:eastAsia="Arial" w:hAnsi="Arial"/>
          <w:sz w:val="16"/>
          <w:szCs w:val="16"/>
          <w:color w:val="auto"/>
        </w:rPr>
      </w:pPr>
    </w:p>
    <w:p>
      <w:pPr>
        <w:ind w:left="1020" w:right="1240" w:hanging="215"/>
        <w:spacing w:after="0" w:line="275"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Filmed Entertainment: </w:t>
      </w:r>
      <w:r>
        <w:rPr>
          <w:rFonts w:ascii="Arial" w:cs="Arial" w:eastAsia="Arial" w:hAnsi="Arial"/>
          <w:sz w:val="18"/>
          <w:szCs w:val="18"/>
          <w:color w:val="auto"/>
        </w:rPr>
        <w:t>Consists primarily of the studio operations of Universal Pictures, which produces, acquires, markets and</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distributes filmed entertainment worldwide.</w:t>
      </w:r>
    </w:p>
    <w:p>
      <w:pPr>
        <w:spacing w:after="0" w:line="25" w:lineRule="exact"/>
        <w:rPr>
          <w:rFonts w:ascii="Arial" w:cs="Arial" w:eastAsia="Arial" w:hAnsi="Arial"/>
          <w:sz w:val="18"/>
          <w:szCs w:val="18"/>
          <w:color w:val="auto"/>
        </w:rPr>
      </w:pPr>
    </w:p>
    <w:p>
      <w:pPr>
        <w:ind w:left="1020" w:hanging="215"/>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Theme Parks: </w:t>
      </w:r>
      <w:r>
        <w:rPr>
          <w:rFonts w:ascii="Arial" w:cs="Arial" w:eastAsia="Arial" w:hAnsi="Arial"/>
          <w:sz w:val="18"/>
          <w:szCs w:val="18"/>
          <w:color w:val="auto"/>
        </w:rPr>
        <w:t>Consists primarily of our Universal theme parks in Orlando, Florida and Hollywood, California.</w:t>
      </w:r>
    </w:p>
    <w:p>
      <w:pPr>
        <w:spacing w:after="0" w:line="8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evaluating the profitability of our operating segments, the components of net income (loss) below operating income (loss) before depreciation and amortization are not separately evaluated by our management. Our financial data by business segment is presented in the tables below.</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4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520" w:type="dxa"/>
            <w:vAlign w:val="bottom"/>
            <w:tcBorders>
              <w:bottom w:val="single" w:sz="8" w:color="auto"/>
            </w:tcBorders>
            <w:gridSpan w:val="3"/>
          </w:tcPr>
          <w:p>
            <w:pPr>
              <w:jc w:val="right"/>
              <w:ind w:right="35"/>
              <w:spacing w:after="0"/>
              <w:rPr>
                <w:sz w:val="20"/>
                <w:szCs w:val="20"/>
                <w:color w:val="auto"/>
              </w:rPr>
            </w:pPr>
            <w:r>
              <w:rPr>
                <w:rFonts w:ascii="Arial" w:cs="Arial" w:eastAsia="Arial" w:hAnsi="Arial"/>
                <w:sz w:val="14"/>
                <w:szCs w:val="14"/>
                <w:color w:val="auto"/>
              </w:rPr>
              <w:t>Three Months Ended September 30, 2015</w:t>
            </w: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30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120" w:type="dxa"/>
            <w:vAlign w:val="bottom"/>
            <w:gridSpan w:val="2"/>
          </w:tcPr>
          <w:p>
            <w:pPr>
              <w:ind w:left="340"/>
              <w:spacing w:after="0" w:line="131" w:lineRule="exact"/>
              <w:rPr>
                <w:sz w:val="20"/>
                <w:szCs w:val="20"/>
                <w:color w:val="auto"/>
              </w:rPr>
            </w:pPr>
            <w:r>
              <w:rPr>
                <w:rFonts w:ascii="Arial" w:cs="Arial" w:eastAsia="Arial" w:hAnsi="Arial"/>
                <w:sz w:val="14"/>
                <w:szCs w:val="14"/>
                <w:color w:val="auto"/>
              </w:rPr>
              <w:t>Operating Income (Loss)</w:t>
            </w:r>
          </w:p>
        </w:tc>
        <w:tc>
          <w:tcPr>
            <w:tcW w:w="4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3040" w:type="dxa"/>
            <w:vAlign w:val="bottom"/>
          </w:tcPr>
          <w:p>
            <w:pPr>
              <w:spacing w:after="0"/>
              <w:rPr>
                <w:sz w:val="11"/>
                <w:szCs w:val="11"/>
                <w:color w:val="auto"/>
              </w:rPr>
            </w:pPr>
          </w:p>
        </w:tc>
        <w:tc>
          <w:tcPr>
            <w:tcW w:w="1680" w:type="dxa"/>
            <w:vAlign w:val="bottom"/>
            <w:gridSpan w:val="2"/>
            <w:vMerge w:val="restart"/>
          </w:tcPr>
          <w:p>
            <w:pPr>
              <w:ind w:left="660"/>
              <w:spacing w:after="0"/>
              <w:rPr>
                <w:sz w:val="20"/>
                <w:szCs w:val="20"/>
                <w:color w:val="auto"/>
              </w:rPr>
            </w:pPr>
            <w:r>
              <w:rPr>
                <w:rFonts w:ascii="Arial" w:cs="Arial" w:eastAsia="Arial" w:hAnsi="Arial"/>
                <w:sz w:val="14"/>
                <w:szCs w:val="14"/>
                <w:color w:val="auto"/>
              </w:rPr>
              <w:t>Revenue</w:t>
            </w:r>
            <w:r>
              <w:rPr>
                <w:rFonts w:ascii="Arial" w:cs="Arial" w:eastAsia="Arial" w:hAnsi="Arial"/>
                <w:sz w:val="22"/>
                <w:szCs w:val="22"/>
                <w:color w:val="auto"/>
                <w:vertAlign w:val="superscript"/>
              </w:rPr>
              <w:t>(c)</w:t>
            </w:r>
          </w:p>
        </w:tc>
        <w:tc>
          <w:tcPr>
            <w:tcW w:w="2120" w:type="dxa"/>
            <w:vAlign w:val="bottom"/>
            <w:gridSpan w:val="2"/>
          </w:tcPr>
          <w:p>
            <w:pPr>
              <w:ind w:left="360"/>
              <w:spacing w:after="0" w:line="133" w:lineRule="exact"/>
              <w:rPr>
                <w:sz w:val="20"/>
                <w:szCs w:val="20"/>
                <w:color w:val="auto"/>
              </w:rPr>
            </w:pPr>
            <w:r>
              <w:rPr>
                <w:rFonts w:ascii="Arial" w:cs="Arial" w:eastAsia="Arial" w:hAnsi="Arial"/>
                <w:sz w:val="14"/>
                <w:szCs w:val="14"/>
                <w:color w:val="auto"/>
              </w:rPr>
              <w:t>Before Depreciation and</w:t>
            </w:r>
          </w:p>
        </w:tc>
        <w:tc>
          <w:tcPr>
            <w:tcW w:w="1920" w:type="dxa"/>
            <w:vAlign w:val="bottom"/>
            <w:gridSpan w:val="2"/>
          </w:tcPr>
          <w:p>
            <w:pPr>
              <w:ind w:left="340"/>
              <w:spacing w:after="0" w:line="133" w:lineRule="exact"/>
              <w:rPr>
                <w:sz w:val="20"/>
                <w:szCs w:val="20"/>
                <w:color w:val="auto"/>
              </w:rPr>
            </w:pPr>
            <w:r>
              <w:rPr>
                <w:rFonts w:ascii="Arial" w:cs="Arial" w:eastAsia="Arial" w:hAnsi="Arial"/>
                <w:sz w:val="14"/>
                <w:szCs w:val="14"/>
                <w:color w:val="auto"/>
              </w:rPr>
              <w:t>Depreciation and</w:t>
            </w:r>
          </w:p>
        </w:tc>
        <w:tc>
          <w:tcPr>
            <w:tcW w:w="1500" w:type="dxa"/>
            <w:vAlign w:val="bottom"/>
            <w:gridSpan w:val="2"/>
          </w:tcPr>
          <w:p>
            <w:pPr>
              <w:ind w:left="120"/>
              <w:spacing w:after="0" w:line="133" w:lineRule="exact"/>
              <w:rPr>
                <w:sz w:val="20"/>
                <w:szCs w:val="20"/>
                <w:color w:val="auto"/>
              </w:rPr>
            </w:pPr>
            <w:r>
              <w:rPr>
                <w:rFonts w:ascii="Arial" w:cs="Arial" w:eastAsia="Arial" w:hAnsi="Arial"/>
                <w:sz w:val="14"/>
                <w:szCs w:val="14"/>
                <w:color w:val="auto"/>
              </w:rPr>
              <w:t>Operating Income</w:t>
            </w:r>
          </w:p>
        </w:tc>
        <w:tc>
          <w:tcPr>
            <w:tcW w:w="480" w:type="dxa"/>
            <w:vAlign w:val="bottom"/>
          </w:tcPr>
          <w:p>
            <w:pPr>
              <w:spacing w:after="0"/>
              <w:rPr>
                <w:sz w:val="11"/>
                <w:szCs w:val="11"/>
                <w:color w:val="auto"/>
              </w:rPr>
            </w:pPr>
          </w:p>
        </w:tc>
        <w:tc>
          <w:tcPr>
            <w:tcW w:w="680" w:type="dxa"/>
            <w:vAlign w:val="bottom"/>
          </w:tcPr>
          <w:p>
            <w:pPr>
              <w:jc w:val="right"/>
              <w:ind w:right="175"/>
              <w:spacing w:after="0" w:line="133" w:lineRule="exact"/>
              <w:rPr>
                <w:sz w:val="20"/>
                <w:szCs w:val="20"/>
                <w:color w:val="auto"/>
              </w:rPr>
            </w:pPr>
            <w:r>
              <w:rPr>
                <w:rFonts w:ascii="Arial" w:cs="Arial" w:eastAsia="Arial" w:hAnsi="Arial"/>
                <w:sz w:val="14"/>
                <w:szCs w:val="14"/>
                <w:color w:val="auto"/>
                <w:w w:val="91"/>
              </w:rPr>
              <w:t>Capital</w:t>
            </w:r>
          </w:p>
        </w:tc>
        <w:tc>
          <w:tcPr>
            <w:tcW w:w="0" w:type="dxa"/>
            <w:vAlign w:val="bottom"/>
          </w:tcPr>
          <w:p>
            <w:pPr>
              <w:spacing w:after="0"/>
              <w:rPr>
                <w:sz w:val="1"/>
                <w:szCs w:val="1"/>
                <w:color w:val="auto"/>
              </w:rPr>
            </w:pPr>
          </w:p>
        </w:tc>
      </w:tr>
      <w:tr>
        <w:trPr>
          <w:trHeight w:val="176"/>
        </w:trPr>
        <w:tc>
          <w:tcPr>
            <w:tcW w:w="30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1680" w:type="dxa"/>
            <w:vAlign w:val="bottom"/>
            <w:tcBorders>
              <w:bottom w:val="single" w:sz="8" w:color="auto"/>
            </w:tcBorders>
            <w:gridSpan w:val="2"/>
            <w:vMerge w:val="continue"/>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597"/>
              <w:spacing w:after="0" w:line="176" w:lineRule="exact"/>
              <w:rPr>
                <w:sz w:val="20"/>
                <w:szCs w:val="20"/>
                <w:color w:val="auto"/>
              </w:rPr>
            </w:pPr>
            <w:r>
              <w:rPr>
                <w:rFonts w:ascii="Arial" w:cs="Arial" w:eastAsia="Arial" w:hAnsi="Arial"/>
                <w:sz w:val="13"/>
                <w:szCs w:val="13"/>
                <w:color w:val="auto"/>
              </w:rPr>
              <w:t>Amortization</w:t>
            </w:r>
            <w:r>
              <w:rPr>
                <w:rFonts w:ascii="Arial" w:cs="Arial" w:eastAsia="Arial" w:hAnsi="Arial"/>
                <w:sz w:val="20"/>
                <w:szCs w:val="20"/>
                <w:color w:val="auto"/>
                <w:vertAlign w:val="superscript"/>
              </w:rPr>
              <w:t>(d)</w:t>
            </w:r>
          </w:p>
        </w:tc>
        <w:tc>
          <w:tcPr>
            <w:tcW w:w="4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color w:val="auto"/>
                <w:w w:val="89"/>
              </w:rPr>
              <w:t>Amortization</w:t>
            </w:r>
          </w:p>
        </w:tc>
        <w:tc>
          <w:tcPr>
            <w:tcW w:w="3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color w:val="auto"/>
              </w:rPr>
              <w:t>(Loss)</w:t>
            </w:r>
          </w:p>
        </w:tc>
        <w:tc>
          <w:tcPr>
            <w:tcW w:w="1160" w:type="dxa"/>
            <w:vAlign w:val="bottom"/>
            <w:tcBorders>
              <w:bottom w:val="single" w:sz="8" w:color="auto"/>
            </w:tcBorders>
            <w:gridSpan w:val="2"/>
          </w:tcPr>
          <w:p>
            <w:pPr>
              <w:ind w:left="360"/>
              <w:spacing w:after="0"/>
              <w:rPr>
                <w:sz w:val="20"/>
                <w:szCs w:val="20"/>
                <w:color w:val="auto"/>
              </w:rPr>
            </w:pPr>
            <w:r>
              <w:rPr>
                <w:rFonts w:ascii="Arial" w:cs="Arial" w:eastAsia="Arial" w:hAnsi="Arial"/>
                <w:sz w:val="14"/>
                <w:szCs w:val="14"/>
                <w:color w:val="auto"/>
                <w:w w:val="95"/>
              </w:rPr>
              <w:t>Expenditures</w:t>
            </w:r>
          </w:p>
        </w:tc>
        <w:tc>
          <w:tcPr>
            <w:tcW w:w="0" w:type="dxa"/>
            <w:vAlign w:val="bottom"/>
          </w:tcPr>
          <w:p>
            <w:pPr>
              <w:spacing w:after="0"/>
              <w:rPr>
                <w:sz w:val="1"/>
                <w:szCs w:val="1"/>
                <w:color w:val="auto"/>
              </w:rPr>
            </w:pPr>
          </w:p>
        </w:tc>
      </w:tr>
      <w:tr>
        <w:trPr>
          <w:trHeight w:val="210"/>
        </w:trPr>
        <w:tc>
          <w:tcPr>
            <w:tcW w:w="3040" w:type="dxa"/>
            <w:vAlign w:val="bottom"/>
            <w:shd w:val="clear" w:color="auto" w:fill="E5E5E5"/>
          </w:tcPr>
          <w:p>
            <w:pPr>
              <w:spacing w:after="0"/>
              <w:rPr>
                <w:sz w:val="20"/>
                <w:szCs w:val="20"/>
                <w:color w:val="auto"/>
              </w:rPr>
            </w:pPr>
            <w:r>
              <w:rPr>
                <w:rFonts w:ascii="Arial" w:cs="Arial" w:eastAsia="Arial" w:hAnsi="Arial"/>
                <w:sz w:val="18"/>
                <w:szCs w:val="18"/>
                <w:color w:val="auto"/>
              </w:rPr>
              <w:t>Cable Networks</w:t>
            </w:r>
          </w:p>
        </w:tc>
        <w:tc>
          <w:tcPr>
            <w:tcW w:w="800" w:type="dxa"/>
            <w:vAlign w:val="bottom"/>
            <w:shd w:val="clear" w:color="auto" w:fill="E5E5E5"/>
          </w:tcPr>
          <w:p>
            <w:pPr>
              <w:ind w:left="660"/>
              <w:spacing w:after="0"/>
              <w:rPr>
                <w:sz w:val="20"/>
                <w:szCs w:val="20"/>
                <w:color w:val="auto"/>
              </w:rPr>
            </w:pPr>
            <w:r>
              <w:rPr>
                <w:rFonts w:ascii="Arial" w:cs="Arial" w:eastAsia="Arial" w:hAnsi="Arial"/>
                <w:sz w:val="18"/>
                <w:szCs w:val="18"/>
                <w:color w:val="auto"/>
              </w:rPr>
              <w:t>$</w:t>
            </w:r>
          </w:p>
        </w:tc>
        <w:tc>
          <w:tcPr>
            <w:tcW w:w="880" w:type="dxa"/>
            <w:vAlign w:val="bottom"/>
            <w:shd w:val="clear" w:color="auto" w:fill="E5E5E5"/>
          </w:tcPr>
          <w:p>
            <w:pPr>
              <w:jc w:val="right"/>
              <w:ind w:right="332"/>
              <w:spacing w:after="0"/>
              <w:rPr>
                <w:sz w:val="20"/>
                <w:szCs w:val="20"/>
                <w:color w:val="auto"/>
              </w:rPr>
            </w:pPr>
            <w:r>
              <w:rPr>
                <w:rFonts w:ascii="Arial" w:cs="Arial" w:eastAsia="Arial" w:hAnsi="Arial"/>
                <w:sz w:val="18"/>
                <w:szCs w:val="18"/>
                <w:color w:val="auto"/>
                <w:w w:val="97"/>
              </w:rPr>
              <w:t>2,412</w:t>
            </w:r>
          </w:p>
        </w:tc>
        <w:tc>
          <w:tcPr>
            <w:tcW w:w="520" w:type="dxa"/>
            <w:vAlign w:val="bottom"/>
            <w:shd w:val="clear" w:color="auto" w:fill="E5E5E5"/>
          </w:tcPr>
          <w:p>
            <w:pPr>
              <w:ind w:left="340"/>
              <w:spacing w:after="0"/>
              <w:rPr>
                <w:sz w:val="20"/>
                <w:szCs w:val="20"/>
                <w:color w:val="auto"/>
              </w:rPr>
            </w:pPr>
            <w:r>
              <w:rPr>
                <w:rFonts w:ascii="Arial" w:cs="Arial" w:eastAsia="Arial" w:hAnsi="Arial"/>
                <w:sz w:val="18"/>
                <w:szCs w:val="18"/>
                <w:color w:val="auto"/>
              </w:rPr>
              <w:t>$</w:t>
            </w:r>
          </w:p>
        </w:tc>
        <w:tc>
          <w:tcPr>
            <w:tcW w:w="1600" w:type="dxa"/>
            <w:vAlign w:val="bottom"/>
            <w:shd w:val="clear" w:color="auto" w:fill="E5E5E5"/>
          </w:tcPr>
          <w:p>
            <w:pPr>
              <w:jc w:val="right"/>
              <w:ind w:right="337"/>
              <w:spacing w:after="0"/>
              <w:rPr>
                <w:sz w:val="20"/>
                <w:szCs w:val="20"/>
                <w:color w:val="auto"/>
              </w:rPr>
            </w:pPr>
            <w:r>
              <w:rPr>
                <w:rFonts w:ascii="Arial" w:cs="Arial" w:eastAsia="Arial" w:hAnsi="Arial"/>
                <w:sz w:val="18"/>
                <w:szCs w:val="18"/>
                <w:color w:val="auto"/>
              </w:rPr>
              <w:t>835</w:t>
            </w:r>
          </w:p>
        </w:tc>
        <w:tc>
          <w:tcPr>
            <w:tcW w:w="440" w:type="dxa"/>
            <w:vAlign w:val="bottom"/>
            <w:shd w:val="clear" w:color="auto" w:fill="E5E5E5"/>
          </w:tcPr>
          <w:p>
            <w:pPr>
              <w:ind w:left="34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E5E5E5"/>
          </w:tcPr>
          <w:p>
            <w:pPr>
              <w:jc w:val="right"/>
              <w:ind w:right="555"/>
              <w:spacing w:after="0"/>
              <w:rPr>
                <w:sz w:val="20"/>
                <w:szCs w:val="20"/>
                <w:color w:val="auto"/>
              </w:rPr>
            </w:pPr>
            <w:r>
              <w:rPr>
                <w:rFonts w:ascii="Arial" w:cs="Arial" w:eastAsia="Arial" w:hAnsi="Arial"/>
                <w:sz w:val="18"/>
                <w:szCs w:val="18"/>
                <w:color w:val="auto"/>
              </w:rPr>
              <w:t>193</w:t>
            </w:r>
          </w:p>
        </w:tc>
        <w:tc>
          <w:tcPr>
            <w:tcW w:w="320" w:type="dxa"/>
            <w:vAlign w:val="bottom"/>
            <w:shd w:val="clear" w:color="auto" w:fill="E5E5E5"/>
          </w:tcPr>
          <w:p>
            <w:pPr>
              <w:ind w:left="1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E5E5E5"/>
          </w:tcPr>
          <w:p>
            <w:pPr>
              <w:jc w:val="right"/>
              <w:ind w:right="315"/>
              <w:spacing w:after="0"/>
              <w:rPr>
                <w:sz w:val="20"/>
                <w:szCs w:val="20"/>
                <w:color w:val="auto"/>
              </w:rPr>
            </w:pPr>
            <w:r>
              <w:rPr>
                <w:rFonts w:ascii="Arial" w:cs="Arial" w:eastAsia="Arial" w:hAnsi="Arial"/>
                <w:sz w:val="18"/>
                <w:szCs w:val="18"/>
                <w:color w:val="auto"/>
              </w:rPr>
              <w:t>642</w:t>
            </w:r>
          </w:p>
        </w:tc>
        <w:tc>
          <w:tcPr>
            <w:tcW w:w="480" w:type="dxa"/>
            <w:vAlign w:val="bottom"/>
            <w:shd w:val="clear" w:color="auto" w:fill="E5E5E5"/>
          </w:tcPr>
          <w:p>
            <w:pPr>
              <w:ind w:left="340"/>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Broadcast Television</w:t>
            </w:r>
          </w:p>
        </w:tc>
        <w:tc>
          <w:tcPr>
            <w:tcW w:w="800" w:type="dxa"/>
            <w:vAlign w:val="bottom"/>
          </w:tcPr>
          <w:p>
            <w:pPr>
              <w:spacing w:after="0"/>
              <w:rPr>
                <w:sz w:val="18"/>
                <w:szCs w:val="18"/>
                <w:color w:val="auto"/>
              </w:rPr>
            </w:pPr>
          </w:p>
        </w:tc>
        <w:tc>
          <w:tcPr>
            <w:tcW w:w="880" w:type="dxa"/>
            <w:vAlign w:val="bottom"/>
          </w:tcPr>
          <w:p>
            <w:pPr>
              <w:jc w:val="right"/>
              <w:ind w:right="332"/>
              <w:spacing w:after="0"/>
              <w:rPr>
                <w:sz w:val="20"/>
                <w:szCs w:val="20"/>
                <w:color w:val="auto"/>
              </w:rPr>
            </w:pPr>
            <w:r>
              <w:rPr>
                <w:rFonts w:ascii="Arial" w:cs="Arial" w:eastAsia="Arial" w:hAnsi="Arial"/>
                <w:sz w:val="18"/>
                <w:szCs w:val="18"/>
                <w:color w:val="auto"/>
                <w:w w:val="97"/>
              </w:rPr>
              <w:t>1,971</w:t>
            </w:r>
          </w:p>
        </w:tc>
        <w:tc>
          <w:tcPr>
            <w:tcW w:w="520" w:type="dxa"/>
            <w:vAlign w:val="bottom"/>
          </w:tcPr>
          <w:p>
            <w:pPr>
              <w:spacing w:after="0"/>
              <w:rPr>
                <w:sz w:val="18"/>
                <w:szCs w:val="18"/>
                <w:color w:val="auto"/>
              </w:rPr>
            </w:pPr>
          </w:p>
        </w:tc>
        <w:tc>
          <w:tcPr>
            <w:tcW w:w="1600" w:type="dxa"/>
            <w:vAlign w:val="bottom"/>
          </w:tcPr>
          <w:p>
            <w:pPr>
              <w:jc w:val="right"/>
              <w:ind w:right="337"/>
              <w:spacing w:after="0"/>
              <w:rPr>
                <w:sz w:val="20"/>
                <w:szCs w:val="20"/>
                <w:color w:val="auto"/>
              </w:rPr>
            </w:pPr>
            <w:r>
              <w:rPr>
                <w:rFonts w:ascii="Arial" w:cs="Arial" w:eastAsia="Arial" w:hAnsi="Arial"/>
                <w:sz w:val="18"/>
                <w:szCs w:val="18"/>
                <w:color w:val="auto"/>
              </w:rPr>
              <w:t>150</w:t>
            </w:r>
          </w:p>
        </w:tc>
        <w:tc>
          <w:tcPr>
            <w:tcW w:w="440" w:type="dxa"/>
            <w:vAlign w:val="bottom"/>
          </w:tcPr>
          <w:p>
            <w:pPr>
              <w:spacing w:after="0"/>
              <w:rPr>
                <w:sz w:val="18"/>
                <w:szCs w:val="18"/>
                <w:color w:val="auto"/>
              </w:rPr>
            </w:pPr>
          </w:p>
        </w:tc>
        <w:tc>
          <w:tcPr>
            <w:tcW w:w="1480" w:type="dxa"/>
            <w:vAlign w:val="bottom"/>
          </w:tcPr>
          <w:p>
            <w:pPr>
              <w:jc w:val="right"/>
              <w:ind w:right="555"/>
              <w:spacing w:after="0"/>
              <w:rPr>
                <w:sz w:val="20"/>
                <w:szCs w:val="20"/>
                <w:color w:val="auto"/>
              </w:rPr>
            </w:pPr>
            <w:r>
              <w:rPr>
                <w:rFonts w:ascii="Arial" w:cs="Arial" w:eastAsia="Arial" w:hAnsi="Arial"/>
                <w:sz w:val="18"/>
                <w:szCs w:val="18"/>
                <w:color w:val="auto"/>
              </w:rPr>
              <w:t>26</w:t>
            </w:r>
          </w:p>
        </w:tc>
        <w:tc>
          <w:tcPr>
            <w:tcW w:w="320" w:type="dxa"/>
            <w:vAlign w:val="bottom"/>
          </w:tcPr>
          <w:p>
            <w:pPr>
              <w:spacing w:after="0"/>
              <w:rPr>
                <w:sz w:val="18"/>
                <w:szCs w:val="18"/>
                <w:color w:val="auto"/>
              </w:rPr>
            </w:pPr>
          </w:p>
        </w:tc>
        <w:tc>
          <w:tcPr>
            <w:tcW w:w="1180" w:type="dxa"/>
            <w:vAlign w:val="bottom"/>
          </w:tcPr>
          <w:p>
            <w:pPr>
              <w:jc w:val="right"/>
              <w:ind w:right="315"/>
              <w:spacing w:after="0"/>
              <w:rPr>
                <w:sz w:val="20"/>
                <w:szCs w:val="20"/>
                <w:color w:val="auto"/>
              </w:rPr>
            </w:pPr>
            <w:r>
              <w:rPr>
                <w:rFonts w:ascii="Arial" w:cs="Arial" w:eastAsia="Arial" w:hAnsi="Arial"/>
                <w:sz w:val="18"/>
                <w:szCs w:val="18"/>
                <w:color w:val="auto"/>
              </w:rPr>
              <w:t>124</w:t>
            </w:r>
          </w:p>
        </w:tc>
        <w:tc>
          <w:tcPr>
            <w:tcW w:w="480" w:type="dxa"/>
            <w:vAlign w:val="bottom"/>
          </w:tcPr>
          <w:p>
            <w:pPr>
              <w:spacing w:after="0"/>
              <w:rPr>
                <w:sz w:val="18"/>
                <w:szCs w:val="18"/>
                <w:color w:val="auto"/>
              </w:rPr>
            </w:pPr>
          </w:p>
        </w:tc>
        <w:tc>
          <w:tcPr>
            <w:tcW w:w="680" w:type="dxa"/>
            <w:vAlign w:val="bottom"/>
          </w:tcPr>
          <w:p>
            <w:pPr>
              <w:jc w:val="right"/>
              <w:ind w:right="15"/>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3040" w:type="dxa"/>
            <w:vAlign w:val="bottom"/>
            <w:shd w:val="clear" w:color="auto" w:fill="E5E5E5"/>
          </w:tcPr>
          <w:p>
            <w:pPr>
              <w:spacing w:after="0"/>
              <w:rPr>
                <w:sz w:val="20"/>
                <w:szCs w:val="20"/>
                <w:color w:val="auto"/>
              </w:rPr>
            </w:pPr>
            <w:r>
              <w:rPr>
                <w:rFonts w:ascii="Arial" w:cs="Arial" w:eastAsia="Arial" w:hAnsi="Arial"/>
                <w:sz w:val="18"/>
                <w:szCs w:val="18"/>
                <w:color w:val="auto"/>
              </w:rPr>
              <w:t>Filmed Entertainment</w:t>
            </w:r>
          </w:p>
        </w:tc>
        <w:tc>
          <w:tcPr>
            <w:tcW w:w="800" w:type="dxa"/>
            <w:vAlign w:val="bottom"/>
            <w:shd w:val="clear" w:color="auto" w:fill="E5E5E5"/>
          </w:tcPr>
          <w:p>
            <w:pPr>
              <w:spacing w:after="0"/>
              <w:rPr>
                <w:sz w:val="18"/>
                <w:szCs w:val="18"/>
                <w:color w:val="auto"/>
              </w:rPr>
            </w:pPr>
          </w:p>
        </w:tc>
        <w:tc>
          <w:tcPr>
            <w:tcW w:w="880" w:type="dxa"/>
            <w:vAlign w:val="bottom"/>
            <w:shd w:val="clear" w:color="auto" w:fill="E5E5E5"/>
          </w:tcPr>
          <w:p>
            <w:pPr>
              <w:jc w:val="right"/>
              <w:ind w:right="332"/>
              <w:spacing w:after="0"/>
              <w:rPr>
                <w:sz w:val="20"/>
                <w:szCs w:val="20"/>
                <w:color w:val="auto"/>
              </w:rPr>
            </w:pPr>
            <w:r>
              <w:rPr>
                <w:rFonts w:ascii="Arial" w:cs="Arial" w:eastAsia="Arial" w:hAnsi="Arial"/>
                <w:sz w:val="18"/>
                <w:szCs w:val="18"/>
                <w:color w:val="auto"/>
                <w:w w:val="97"/>
              </w:rPr>
              <w:t>1,946</w:t>
            </w:r>
          </w:p>
        </w:tc>
        <w:tc>
          <w:tcPr>
            <w:tcW w:w="520" w:type="dxa"/>
            <w:vAlign w:val="bottom"/>
            <w:shd w:val="clear" w:color="auto" w:fill="E5E5E5"/>
          </w:tcPr>
          <w:p>
            <w:pPr>
              <w:spacing w:after="0"/>
              <w:rPr>
                <w:sz w:val="18"/>
                <w:szCs w:val="18"/>
                <w:color w:val="auto"/>
              </w:rPr>
            </w:pPr>
          </w:p>
        </w:tc>
        <w:tc>
          <w:tcPr>
            <w:tcW w:w="1600" w:type="dxa"/>
            <w:vAlign w:val="bottom"/>
            <w:shd w:val="clear" w:color="auto" w:fill="E5E5E5"/>
          </w:tcPr>
          <w:p>
            <w:pPr>
              <w:jc w:val="right"/>
              <w:ind w:right="337"/>
              <w:spacing w:after="0"/>
              <w:rPr>
                <w:sz w:val="20"/>
                <w:szCs w:val="20"/>
                <w:color w:val="auto"/>
              </w:rPr>
            </w:pPr>
            <w:r>
              <w:rPr>
                <w:rFonts w:ascii="Arial" w:cs="Arial" w:eastAsia="Arial" w:hAnsi="Arial"/>
                <w:sz w:val="18"/>
                <w:szCs w:val="18"/>
                <w:color w:val="auto"/>
              </w:rPr>
              <w:t>376</w:t>
            </w:r>
          </w:p>
        </w:tc>
        <w:tc>
          <w:tcPr>
            <w:tcW w:w="440" w:type="dxa"/>
            <w:vAlign w:val="bottom"/>
            <w:shd w:val="clear" w:color="auto" w:fill="E5E5E5"/>
          </w:tcPr>
          <w:p>
            <w:pPr>
              <w:spacing w:after="0"/>
              <w:rPr>
                <w:sz w:val="18"/>
                <w:szCs w:val="18"/>
                <w:color w:val="auto"/>
              </w:rPr>
            </w:pPr>
          </w:p>
        </w:tc>
        <w:tc>
          <w:tcPr>
            <w:tcW w:w="1480" w:type="dxa"/>
            <w:vAlign w:val="bottom"/>
            <w:shd w:val="clear" w:color="auto" w:fill="E5E5E5"/>
          </w:tcPr>
          <w:p>
            <w:pPr>
              <w:jc w:val="right"/>
              <w:ind w:right="555"/>
              <w:spacing w:after="0"/>
              <w:rPr>
                <w:sz w:val="20"/>
                <w:szCs w:val="20"/>
                <w:color w:val="auto"/>
              </w:rPr>
            </w:pPr>
            <w:r>
              <w:rPr>
                <w:rFonts w:ascii="Arial" w:cs="Arial" w:eastAsia="Arial" w:hAnsi="Arial"/>
                <w:sz w:val="18"/>
                <w:szCs w:val="18"/>
                <w:color w:val="auto"/>
              </w:rPr>
              <w:t>8</w:t>
            </w:r>
          </w:p>
        </w:tc>
        <w:tc>
          <w:tcPr>
            <w:tcW w:w="320" w:type="dxa"/>
            <w:vAlign w:val="bottom"/>
            <w:shd w:val="clear" w:color="auto" w:fill="E5E5E5"/>
          </w:tcPr>
          <w:p>
            <w:pPr>
              <w:spacing w:after="0"/>
              <w:rPr>
                <w:sz w:val="18"/>
                <w:szCs w:val="18"/>
                <w:color w:val="auto"/>
              </w:rPr>
            </w:pPr>
          </w:p>
        </w:tc>
        <w:tc>
          <w:tcPr>
            <w:tcW w:w="1180" w:type="dxa"/>
            <w:vAlign w:val="bottom"/>
            <w:shd w:val="clear" w:color="auto" w:fill="E5E5E5"/>
          </w:tcPr>
          <w:p>
            <w:pPr>
              <w:jc w:val="right"/>
              <w:ind w:right="315"/>
              <w:spacing w:after="0"/>
              <w:rPr>
                <w:sz w:val="20"/>
                <w:szCs w:val="20"/>
                <w:color w:val="auto"/>
              </w:rPr>
            </w:pPr>
            <w:r>
              <w:rPr>
                <w:rFonts w:ascii="Arial" w:cs="Arial" w:eastAsia="Arial" w:hAnsi="Arial"/>
                <w:sz w:val="18"/>
                <w:szCs w:val="18"/>
                <w:color w:val="auto"/>
              </w:rPr>
              <w:t>368</w:t>
            </w:r>
          </w:p>
        </w:tc>
        <w:tc>
          <w:tcPr>
            <w:tcW w:w="4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Theme Parks</w:t>
            </w:r>
          </w:p>
        </w:tc>
        <w:tc>
          <w:tcPr>
            <w:tcW w:w="800" w:type="dxa"/>
            <w:vAlign w:val="bottom"/>
          </w:tcPr>
          <w:p>
            <w:pPr>
              <w:spacing w:after="0"/>
              <w:rPr>
                <w:sz w:val="18"/>
                <w:szCs w:val="18"/>
                <w:color w:val="auto"/>
              </w:rPr>
            </w:pPr>
          </w:p>
        </w:tc>
        <w:tc>
          <w:tcPr>
            <w:tcW w:w="880" w:type="dxa"/>
            <w:vAlign w:val="bottom"/>
          </w:tcPr>
          <w:p>
            <w:pPr>
              <w:jc w:val="right"/>
              <w:ind w:right="332"/>
              <w:spacing w:after="0"/>
              <w:rPr>
                <w:sz w:val="20"/>
                <w:szCs w:val="20"/>
                <w:color w:val="auto"/>
              </w:rPr>
            </w:pPr>
            <w:r>
              <w:rPr>
                <w:rFonts w:ascii="Arial" w:cs="Arial" w:eastAsia="Arial" w:hAnsi="Arial"/>
                <w:sz w:val="18"/>
                <w:szCs w:val="18"/>
                <w:color w:val="auto"/>
              </w:rPr>
              <w:t>896</w:t>
            </w:r>
          </w:p>
        </w:tc>
        <w:tc>
          <w:tcPr>
            <w:tcW w:w="520" w:type="dxa"/>
            <w:vAlign w:val="bottom"/>
          </w:tcPr>
          <w:p>
            <w:pPr>
              <w:spacing w:after="0"/>
              <w:rPr>
                <w:sz w:val="18"/>
                <w:szCs w:val="18"/>
                <w:color w:val="auto"/>
              </w:rPr>
            </w:pPr>
          </w:p>
        </w:tc>
        <w:tc>
          <w:tcPr>
            <w:tcW w:w="1600" w:type="dxa"/>
            <w:vAlign w:val="bottom"/>
          </w:tcPr>
          <w:p>
            <w:pPr>
              <w:jc w:val="right"/>
              <w:ind w:right="337"/>
              <w:spacing w:after="0"/>
              <w:rPr>
                <w:sz w:val="20"/>
                <w:szCs w:val="20"/>
                <w:color w:val="auto"/>
              </w:rPr>
            </w:pPr>
            <w:r>
              <w:rPr>
                <w:rFonts w:ascii="Arial" w:cs="Arial" w:eastAsia="Arial" w:hAnsi="Arial"/>
                <w:sz w:val="18"/>
                <w:szCs w:val="18"/>
                <w:color w:val="auto"/>
              </w:rPr>
              <w:t>458</w:t>
            </w:r>
          </w:p>
        </w:tc>
        <w:tc>
          <w:tcPr>
            <w:tcW w:w="440" w:type="dxa"/>
            <w:vAlign w:val="bottom"/>
          </w:tcPr>
          <w:p>
            <w:pPr>
              <w:spacing w:after="0"/>
              <w:rPr>
                <w:sz w:val="18"/>
                <w:szCs w:val="18"/>
                <w:color w:val="auto"/>
              </w:rPr>
            </w:pPr>
          </w:p>
        </w:tc>
        <w:tc>
          <w:tcPr>
            <w:tcW w:w="1480" w:type="dxa"/>
            <w:vAlign w:val="bottom"/>
          </w:tcPr>
          <w:p>
            <w:pPr>
              <w:jc w:val="right"/>
              <w:ind w:right="555"/>
              <w:spacing w:after="0"/>
              <w:rPr>
                <w:sz w:val="20"/>
                <w:szCs w:val="20"/>
                <w:color w:val="auto"/>
              </w:rPr>
            </w:pPr>
            <w:r>
              <w:rPr>
                <w:rFonts w:ascii="Arial" w:cs="Arial" w:eastAsia="Arial" w:hAnsi="Arial"/>
                <w:sz w:val="18"/>
                <w:szCs w:val="18"/>
                <w:color w:val="auto"/>
              </w:rPr>
              <w:t>72</w:t>
            </w:r>
          </w:p>
        </w:tc>
        <w:tc>
          <w:tcPr>
            <w:tcW w:w="320" w:type="dxa"/>
            <w:vAlign w:val="bottom"/>
          </w:tcPr>
          <w:p>
            <w:pPr>
              <w:spacing w:after="0"/>
              <w:rPr>
                <w:sz w:val="18"/>
                <w:szCs w:val="18"/>
                <w:color w:val="auto"/>
              </w:rPr>
            </w:pPr>
          </w:p>
        </w:tc>
        <w:tc>
          <w:tcPr>
            <w:tcW w:w="1180" w:type="dxa"/>
            <w:vAlign w:val="bottom"/>
          </w:tcPr>
          <w:p>
            <w:pPr>
              <w:jc w:val="right"/>
              <w:ind w:right="315"/>
              <w:spacing w:after="0"/>
              <w:rPr>
                <w:sz w:val="20"/>
                <w:szCs w:val="20"/>
                <w:color w:val="auto"/>
              </w:rPr>
            </w:pPr>
            <w:r>
              <w:rPr>
                <w:rFonts w:ascii="Arial" w:cs="Arial" w:eastAsia="Arial" w:hAnsi="Arial"/>
                <w:sz w:val="18"/>
                <w:szCs w:val="18"/>
                <w:color w:val="auto"/>
              </w:rPr>
              <w:t>386</w:t>
            </w:r>
          </w:p>
        </w:tc>
        <w:tc>
          <w:tcPr>
            <w:tcW w:w="480" w:type="dxa"/>
            <w:vAlign w:val="bottom"/>
          </w:tcPr>
          <w:p>
            <w:pPr>
              <w:spacing w:after="0"/>
              <w:rPr>
                <w:sz w:val="18"/>
                <w:szCs w:val="18"/>
                <w:color w:val="auto"/>
              </w:rPr>
            </w:pPr>
          </w:p>
        </w:tc>
        <w:tc>
          <w:tcPr>
            <w:tcW w:w="680" w:type="dxa"/>
            <w:vAlign w:val="bottom"/>
          </w:tcPr>
          <w:p>
            <w:pPr>
              <w:jc w:val="right"/>
              <w:ind w:right="15"/>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3040" w:type="dxa"/>
            <w:vAlign w:val="bottom"/>
            <w:shd w:val="clear" w:color="auto" w:fill="E5E5E5"/>
          </w:tcPr>
          <w:p>
            <w:pPr>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11"/>
                <w:szCs w:val="11"/>
                <w:color w:val="auto"/>
              </w:rPr>
              <w:t>(a)</w:t>
            </w:r>
          </w:p>
        </w:tc>
        <w:tc>
          <w:tcPr>
            <w:tcW w:w="800" w:type="dxa"/>
            <w:vAlign w:val="bottom"/>
            <w:shd w:val="clear" w:color="auto" w:fill="E5E5E5"/>
          </w:tcPr>
          <w:p>
            <w:pPr>
              <w:spacing w:after="0"/>
              <w:rPr>
                <w:sz w:val="18"/>
                <w:szCs w:val="18"/>
                <w:color w:val="auto"/>
              </w:rPr>
            </w:pPr>
          </w:p>
        </w:tc>
        <w:tc>
          <w:tcPr>
            <w:tcW w:w="880" w:type="dxa"/>
            <w:vAlign w:val="bottom"/>
            <w:shd w:val="clear" w:color="auto" w:fill="E5E5E5"/>
          </w:tcPr>
          <w:p>
            <w:pPr>
              <w:jc w:val="right"/>
              <w:ind w:right="332"/>
              <w:spacing w:after="0"/>
              <w:rPr>
                <w:sz w:val="20"/>
                <w:szCs w:val="20"/>
                <w:color w:val="auto"/>
              </w:rPr>
            </w:pPr>
            <w:r>
              <w:rPr>
                <w:rFonts w:ascii="Arial" w:cs="Arial" w:eastAsia="Arial" w:hAnsi="Arial"/>
                <w:sz w:val="18"/>
                <w:szCs w:val="18"/>
                <w:color w:val="auto"/>
              </w:rPr>
              <w:t>5</w:t>
            </w:r>
          </w:p>
        </w:tc>
        <w:tc>
          <w:tcPr>
            <w:tcW w:w="520" w:type="dxa"/>
            <w:vAlign w:val="bottom"/>
            <w:shd w:val="clear" w:color="auto" w:fill="E5E5E5"/>
          </w:tcPr>
          <w:p>
            <w:pPr>
              <w:spacing w:after="0"/>
              <w:rPr>
                <w:sz w:val="18"/>
                <w:szCs w:val="18"/>
                <w:color w:val="auto"/>
              </w:rPr>
            </w:pPr>
          </w:p>
        </w:tc>
        <w:tc>
          <w:tcPr>
            <w:tcW w:w="1600" w:type="dxa"/>
            <w:vAlign w:val="bottom"/>
            <w:shd w:val="clear" w:color="auto" w:fill="E5E5E5"/>
          </w:tcPr>
          <w:p>
            <w:pPr>
              <w:jc w:val="right"/>
              <w:ind w:right="277"/>
              <w:spacing w:after="0"/>
              <w:rPr>
                <w:sz w:val="20"/>
                <w:szCs w:val="20"/>
                <w:color w:val="auto"/>
              </w:rPr>
            </w:pPr>
            <w:r>
              <w:rPr>
                <w:rFonts w:ascii="Arial" w:cs="Arial" w:eastAsia="Arial" w:hAnsi="Arial"/>
                <w:sz w:val="18"/>
                <w:szCs w:val="18"/>
                <w:color w:val="auto"/>
              </w:rPr>
              <w:t>(164)</w:t>
            </w:r>
          </w:p>
        </w:tc>
        <w:tc>
          <w:tcPr>
            <w:tcW w:w="440" w:type="dxa"/>
            <w:vAlign w:val="bottom"/>
            <w:shd w:val="clear" w:color="auto" w:fill="E5E5E5"/>
          </w:tcPr>
          <w:p>
            <w:pPr>
              <w:spacing w:after="0"/>
              <w:rPr>
                <w:sz w:val="18"/>
                <w:szCs w:val="18"/>
                <w:color w:val="auto"/>
              </w:rPr>
            </w:pPr>
          </w:p>
        </w:tc>
        <w:tc>
          <w:tcPr>
            <w:tcW w:w="1480" w:type="dxa"/>
            <w:vAlign w:val="bottom"/>
            <w:shd w:val="clear" w:color="auto" w:fill="E5E5E5"/>
          </w:tcPr>
          <w:p>
            <w:pPr>
              <w:jc w:val="right"/>
              <w:ind w:right="555"/>
              <w:spacing w:after="0"/>
              <w:rPr>
                <w:sz w:val="20"/>
                <w:szCs w:val="20"/>
                <w:color w:val="auto"/>
              </w:rPr>
            </w:pPr>
            <w:r>
              <w:rPr>
                <w:rFonts w:ascii="Arial" w:cs="Arial" w:eastAsia="Arial" w:hAnsi="Arial"/>
                <w:sz w:val="18"/>
                <w:szCs w:val="18"/>
                <w:color w:val="auto"/>
              </w:rPr>
              <w:t>81</w:t>
            </w:r>
          </w:p>
        </w:tc>
        <w:tc>
          <w:tcPr>
            <w:tcW w:w="320" w:type="dxa"/>
            <w:vAlign w:val="bottom"/>
            <w:shd w:val="clear" w:color="auto" w:fill="E5E5E5"/>
          </w:tcPr>
          <w:p>
            <w:pPr>
              <w:spacing w:after="0"/>
              <w:rPr>
                <w:sz w:val="18"/>
                <w:szCs w:val="18"/>
                <w:color w:val="auto"/>
              </w:rPr>
            </w:pPr>
          </w:p>
        </w:tc>
        <w:tc>
          <w:tcPr>
            <w:tcW w:w="1180" w:type="dxa"/>
            <w:vAlign w:val="bottom"/>
            <w:shd w:val="clear" w:color="auto" w:fill="E5E5E5"/>
          </w:tcPr>
          <w:p>
            <w:pPr>
              <w:jc w:val="right"/>
              <w:ind w:right="255"/>
              <w:spacing w:after="0"/>
              <w:rPr>
                <w:sz w:val="20"/>
                <w:szCs w:val="20"/>
                <w:color w:val="auto"/>
              </w:rPr>
            </w:pPr>
            <w:r>
              <w:rPr>
                <w:rFonts w:ascii="Arial" w:cs="Arial" w:eastAsia="Arial" w:hAnsi="Arial"/>
                <w:sz w:val="18"/>
                <w:szCs w:val="18"/>
                <w:color w:val="auto"/>
              </w:rPr>
              <w:t>(245)</w:t>
            </w:r>
          </w:p>
        </w:tc>
        <w:tc>
          <w:tcPr>
            <w:tcW w:w="4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3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(b)</w:t>
            </w:r>
          </w:p>
        </w:tc>
        <w:tc>
          <w:tcPr>
            <w:tcW w:w="8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(79)</w:t>
            </w:r>
          </w:p>
        </w:tc>
        <w:tc>
          <w:tcPr>
            <w:tcW w:w="5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277"/>
              <w:spacing w:after="0"/>
              <w:rPr>
                <w:sz w:val="20"/>
                <w:szCs w:val="20"/>
                <w:color w:val="auto"/>
              </w:rPr>
            </w:pPr>
            <w:r>
              <w:rPr>
                <w:rFonts w:ascii="Arial" w:cs="Arial" w:eastAsia="Arial" w:hAnsi="Arial"/>
                <w:sz w:val="18"/>
                <w:szCs w:val="18"/>
                <w:color w:val="auto"/>
              </w:rPr>
              <w:t>(54)</w:t>
            </w: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555"/>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55"/>
              <w:spacing w:after="0"/>
              <w:rPr>
                <w:sz w:val="20"/>
                <w:szCs w:val="20"/>
                <w:color w:val="auto"/>
              </w:rPr>
            </w:pPr>
            <w:r>
              <w:rPr>
                <w:rFonts w:ascii="Arial" w:cs="Arial" w:eastAsia="Arial" w:hAnsi="Arial"/>
                <w:sz w:val="18"/>
                <w:szCs w:val="18"/>
                <w:color w:val="auto"/>
              </w:rPr>
              <w:t>(54)</w:t>
            </w:r>
          </w:p>
        </w:tc>
        <w:tc>
          <w:tcPr>
            <w:tcW w:w="4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30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w:t>
            </w:r>
          </w:p>
        </w:tc>
        <w:tc>
          <w:tcPr>
            <w:tcW w:w="800" w:type="dxa"/>
            <w:vAlign w:val="bottom"/>
            <w:tcBorders>
              <w:bottom w:val="single" w:sz="8" w:color="auto"/>
            </w:tcBorders>
            <w:shd w:val="clear" w:color="auto" w:fill="E5E5E5"/>
          </w:tcPr>
          <w:p>
            <w:pPr>
              <w:ind w:left="66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shd w:val="clear" w:color="auto" w:fill="E5E5E5"/>
          </w:tcPr>
          <w:p>
            <w:pPr>
              <w:jc w:val="right"/>
              <w:ind w:right="332"/>
              <w:spacing w:after="0"/>
              <w:rPr>
                <w:sz w:val="20"/>
                <w:szCs w:val="20"/>
                <w:color w:val="auto"/>
              </w:rPr>
            </w:pPr>
            <w:r>
              <w:rPr>
                <w:rFonts w:ascii="Arial" w:cs="Arial" w:eastAsia="Arial" w:hAnsi="Arial"/>
                <w:sz w:val="18"/>
                <w:szCs w:val="18"/>
                <w:b w:val="1"/>
                <w:bCs w:val="1"/>
                <w:color w:val="auto"/>
                <w:w w:val="97"/>
              </w:rPr>
              <w:t>7,151</w:t>
            </w:r>
          </w:p>
        </w:tc>
        <w:tc>
          <w:tcPr>
            <w:tcW w:w="520" w:type="dxa"/>
            <w:vAlign w:val="bottom"/>
            <w:tcBorders>
              <w:bottom w:val="single" w:sz="8" w:color="auto"/>
            </w:tcBorders>
            <w:shd w:val="clear" w:color="auto" w:fill="E5E5E5"/>
          </w:tcPr>
          <w:p>
            <w:pPr>
              <w:ind w:left="340"/>
              <w:spacing w:after="0"/>
              <w:rPr>
                <w:sz w:val="20"/>
                <w:szCs w:val="20"/>
                <w:color w:val="auto"/>
              </w:rPr>
            </w:pPr>
            <w:r>
              <w:rPr>
                <w:rFonts w:ascii="Arial" w:cs="Arial" w:eastAsia="Arial" w:hAnsi="Arial"/>
                <w:sz w:val="18"/>
                <w:szCs w:val="18"/>
                <w:b w:val="1"/>
                <w:bCs w:val="1"/>
                <w:color w:val="auto"/>
              </w:rPr>
              <w:t>$</w:t>
            </w:r>
          </w:p>
        </w:tc>
        <w:tc>
          <w:tcPr>
            <w:tcW w:w="1600" w:type="dxa"/>
            <w:vAlign w:val="bottom"/>
            <w:tcBorders>
              <w:bottom w:val="single" w:sz="8" w:color="auto"/>
            </w:tcBorders>
            <w:shd w:val="clear" w:color="auto" w:fill="E5E5E5"/>
          </w:tcPr>
          <w:p>
            <w:pPr>
              <w:jc w:val="right"/>
              <w:ind w:right="337"/>
              <w:spacing w:after="0"/>
              <w:rPr>
                <w:sz w:val="20"/>
                <w:szCs w:val="20"/>
                <w:color w:val="auto"/>
              </w:rPr>
            </w:pPr>
            <w:r>
              <w:rPr>
                <w:rFonts w:ascii="Arial" w:cs="Arial" w:eastAsia="Arial" w:hAnsi="Arial"/>
                <w:sz w:val="18"/>
                <w:szCs w:val="18"/>
                <w:b w:val="1"/>
                <w:bCs w:val="1"/>
                <w:color w:val="auto"/>
              </w:rPr>
              <w:t>1,601</w:t>
            </w:r>
          </w:p>
        </w:tc>
        <w:tc>
          <w:tcPr>
            <w:tcW w:w="440" w:type="dxa"/>
            <w:vAlign w:val="bottom"/>
            <w:tcBorders>
              <w:bottom w:val="single" w:sz="8" w:color="auto"/>
            </w:tcBorders>
            <w:shd w:val="clear" w:color="auto" w:fill="E5E5E5"/>
          </w:tcPr>
          <w:p>
            <w:pPr>
              <w:ind w:left="340"/>
              <w:spacing w:after="0"/>
              <w:rPr>
                <w:sz w:val="20"/>
                <w:szCs w:val="20"/>
                <w:color w:val="auto"/>
              </w:rPr>
            </w:pPr>
            <w:r>
              <w:rPr>
                <w:rFonts w:ascii="Arial" w:cs="Arial" w:eastAsia="Arial" w:hAnsi="Arial"/>
                <w:sz w:val="18"/>
                <w:szCs w:val="18"/>
                <w:b w:val="1"/>
                <w:bCs w:val="1"/>
                <w:color w:val="auto"/>
                <w:w w:val="79"/>
              </w:rPr>
              <w:t>$</w:t>
            </w:r>
          </w:p>
        </w:tc>
        <w:tc>
          <w:tcPr>
            <w:tcW w:w="1480" w:type="dxa"/>
            <w:vAlign w:val="bottom"/>
            <w:tcBorders>
              <w:bottom w:val="single" w:sz="8" w:color="auto"/>
            </w:tcBorders>
            <w:shd w:val="clear" w:color="auto" w:fill="E5E5E5"/>
          </w:tcPr>
          <w:p>
            <w:pPr>
              <w:jc w:val="right"/>
              <w:ind w:right="555"/>
              <w:spacing w:after="0"/>
              <w:rPr>
                <w:sz w:val="20"/>
                <w:szCs w:val="20"/>
                <w:color w:val="auto"/>
              </w:rPr>
            </w:pPr>
            <w:r>
              <w:rPr>
                <w:rFonts w:ascii="Arial" w:cs="Arial" w:eastAsia="Arial" w:hAnsi="Arial"/>
                <w:sz w:val="18"/>
                <w:szCs w:val="18"/>
                <w:b w:val="1"/>
                <w:bCs w:val="1"/>
                <w:color w:val="auto"/>
              </w:rPr>
              <w:t>380</w:t>
            </w:r>
          </w:p>
        </w:tc>
        <w:tc>
          <w:tcPr>
            <w:tcW w:w="320" w:type="dxa"/>
            <w:vAlign w:val="bottom"/>
            <w:tcBorders>
              <w:bottom w:val="single" w:sz="8" w:color="auto"/>
            </w:tcBorders>
            <w:shd w:val="clear" w:color="auto" w:fill="E5E5E5"/>
          </w:tcPr>
          <w:p>
            <w:pPr>
              <w:ind w:left="10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auto"/>
            </w:tcBorders>
            <w:shd w:val="clear" w:color="auto" w:fill="E5E5E5"/>
          </w:tcPr>
          <w:p>
            <w:pPr>
              <w:jc w:val="right"/>
              <w:ind w:right="315"/>
              <w:spacing w:after="0"/>
              <w:rPr>
                <w:sz w:val="20"/>
                <w:szCs w:val="20"/>
                <w:color w:val="auto"/>
              </w:rPr>
            </w:pPr>
            <w:r>
              <w:rPr>
                <w:rFonts w:ascii="Arial" w:cs="Arial" w:eastAsia="Arial" w:hAnsi="Arial"/>
                <w:sz w:val="18"/>
                <w:szCs w:val="18"/>
                <w:b w:val="1"/>
                <w:bCs w:val="1"/>
                <w:color w:val="auto"/>
              </w:rPr>
              <w:t>1,221</w:t>
            </w:r>
          </w:p>
        </w:tc>
        <w:tc>
          <w:tcPr>
            <w:tcW w:w="480" w:type="dxa"/>
            <w:vAlign w:val="bottom"/>
            <w:tcBorders>
              <w:bottom w:val="single" w:sz="8" w:color="auto"/>
            </w:tcBorders>
            <w:shd w:val="clear" w:color="auto" w:fill="E5E5E5"/>
          </w:tcPr>
          <w:p>
            <w:pPr>
              <w:ind w:left="340"/>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b w:val="1"/>
                <w:bCs w:val="1"/>
                <w:color w:val="auto"/>
              </w:rPr>
              <w:t>289</w:t>
            </w:r>
          </w:p>
        </w:tc>
        <w:tc>
          <w:tcPr>
            <w:tcW w:w="0" w:type="dxa"/>
            <w:vAlign w:val="bottom"/>
          </w:tcPr>
          <w:p>
            <w:pPr>
              <w:spacing w:after="0"/>
              <w:rPr>
                <w:sz w:val="1"/>
                <w:szCs w:val="1"/>
                <w:color w:val="auto"/>
              </w:rPr>
            </w:pPr>
          </w:p>
        </w:tc>
      </w:tr>
      <w:tr>
        <w:trPr>
          <w:trHeight w:val="284"/>
        </w:trPr>
        <w:tc>
          <w:tcPr>
            <w:tcW w:w="304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gridSpan w:val="3"/>
          </w:tcPr>
          <w:p>
            <w:pPr>
              <w:jc w:val="right"/>
              <w:ind w:right="35"/>
              <w:spacing w:after="0"/>
              <w:rPr>
                <w:sz w:val="20"/>
                <w:szCs w:val="20"/>
                <w:color w:val="auto"/>
              </w:rPr>
            </w:pPr>
            <w:r>
              <w:rPr>
                <w:rFonts w:ascii="Arial" w:cs="Arial" w:eastAsia="Arial" w:hAnsi="Arial"/>
                <w:sz w:val="14"/>
                <w:szCs w:val="14"/>
                <w:color w:val="auto"/>
              </w:rPr>
              <w:t>Three Months Ended September 30, 2014</w:t>
            </w: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30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120" w:type="dxa"/>
            <w:vAlign w:val="bottom"/>
            <w:gridSpan w:val="2"/>
          </w:tcPr>
          <w:p>
            <w:pPr>
              <w:ind w:left="340"/>
              <w:spacing w:after="0" w:line="131" w:lineRule="exact"/>
              <w:rPr>
                <w:sz w:val="20"/>
                <w:szCs w:val="20"/>
                <w:color w:val="auto"/>
              </w:rPr>
            </w:pPr>
            <w:r>
              <w:rPr>
                <w:rFonts w:ascii="Arial" w:cs="Arial" w:eastAsia="Arial" w:hAnsi="Arial"/>
                <w:sz w:val="14"/>
                <w:szCs w:val="14"/>
                <w:color w:val="auto"/>
              </w:rPr>
              <w:t>Operating Income (Loss)</w:t>
            </w:r>
          </w:p>
        </w:tc>
        <w:tc>
          <w:tcPr>
            <w:tcW w:w="4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3040" w:type="dxa"/>
            <w:vAlign w:val="bottom"/>
          </w:tcPr>
          <w:p>
            <w:pPr>
              <w:spacing w:after="0"/>
              <w:rPr>
                <w:sz w:val="11"/>
                <w:szCs w:val="11"/>
                <w:color w:val="auto"/>
              </w:rPr>
            </w:pPr>
          </w:p>
        </w:tc>
        <w:tc>
          <w:tcPr>
            <w:tcW w:w="1680" w:type="dxa"/>
            <w:vAlign w:val="bottom"/>
            <w:gridSpan w:val="2"/>
            <w:vMerge w:val="restart"/>
          </w:tcPr>
          <w:p>
            <w:pPr>
              <w:ind w:left="660"/>
              <w:spacing w:after="0"/>
              <w:rPr>
                <w:sz w:val="20"/>
                <w:szCs w:val="20"/>
                <w:color w:val="auto"/>
              </w:rPr>
            </w:pPr>
            <w:r>
              <w:rPr>
                <w:rFonts w:ascii="Arial" w:cs="Arial" w:eastAsia="Arial" w:hAnsi="Arial"/>
                <w:sz w:val="14"/>
                <w:szCs w:val="14"/>
                <w:color w:val="auto"/>
              </w:rPr>
              <w:t>Revenue</w:t>
            </w:r>
            <w:r>
              <w:rPr>
                <w:rFonts w:ascii="Arial" w:cs="Arial" w:eastAsia="Arial" w:hAnsi="Arial"/>
                <w:sz w:val="22"/>
                <w:szCs w:val="22"/>
                <w:color w:val="auto"/>
                <w:vertAlign w:val="superscript"/>
              </w:rPr>
              <w:t>(c)</w:t>
            </w:r>
          </w:p>
        </w:tc>
        <w:tc>
          <w:tcPr>
            <w:tcW w:w="2120" w:type="dxa"/>
            <w:vAlign w:val="bottom"/>
            <w:gridSpan w:val="2"/>
          </w:tcPr>
          <w:p>
            <w:pPr>
              <w:ind w:left="360"/>
              <w:spacing w:after="0" w:line="133" w:lineRule="exact"/>
              <w:rPr>
                <w:sz w:val="20"/>
                <w:szCs w:val="20"/>
                <w:color w:val="auto"/>
              </w:rPr>
            </w:pPr>
            <w:r>
              <w:rPr>
                <w:rFonts w:ascii="Arial" w:cs="Arial" w:eastAsia="Arial" w:hAnsi="Arial"/>
                <w:sz w:val="14"/>
                <w:szCs w:val="14"/>
                <w:color w:val="auto"/>
              </w:rPr>
              <w:t>Before Depreciation and</w:t>
            </w:r>
          </w:p>
        </w:tc>
        <w:tc>
          <w:tcPr>
            <w:tcW w:w="1920" w:type="dxa"/>
            <w:vAlign w:val="bottom"/>
            <w:gridSpan w:val="2"/>
          </w:tcPr>
          <w:p>
            <w:pPr>
              <w:ind w:left="340"/>
              <w:spacing w:after="0" w:line="133" w:lineRule="exact"/>
              <w:rPr>
                <w:sz w:val="20"/>
                <w:szCs w:val="20"/>
                <w:color w:val="auto"/>
              </w:rPr>
            </w:pPr>
            <w:r>
              <w:rPr>
                <w:rFonts w:ascii="Arial" w:cs="Arial" w:eastAsia="Arial" w:hAnsi="Arial"/>
                <w:sz w:val="14"/>
                <w:szCs w:val="14"/>
                <w:color w:val="auto"/>
              </w:rPr>
              <w:t>Depreciation and</w:t>
            </w:r>
          </w:p>
        </w:tc>
        <w:tc>
          <w:tcPr>
            <w:tcW w:w="1500" w:type="dxa"/>
            <w:vAlign w:val="bottom"/>
            <w:gridSpan w:val="2"/>
          </w:tcPr>
          <w:p>
            <w:pPr>
              <w:ind w:left="120"/>
              <w:spacing w:after="0" w:line="133" w:lineRule="exact"/>
              <w:rPr>
                <w:sz w:val="20"/>
                <w:szCs w:val="20"/>
                <w:color w:val="auto"/>
              </w:rPr>
            </w:pPr>
            <w:r>
              <w:rPr>
                <w:rFonts w:ascii="Arial" w:cs="Arial" w:eastAsia="Arial" w:hAnsi="Arial"/>
                <w:sz w:val="14"/>
                <w:szCs w:val="14"/>
                <w:color w:val="auto"/>
              </w:rPr>
              <w:t>Operating Income</w:t>
            </w:r>
          </w:p>
        </w:tc>
        <w:tc>
          <w:tcPr>
            <w:tcW w:w="480" w:type="dxa"/>
            <w:vAlign w:val="bottom"/>
          </w:tcPr>
          <w:p>
            <w:pPr>
              <w:spacing w:after="0"/>
              <w:rPr>
                <w:sz w:val="11"/>
                <w:szCs w:val="11"/>
                <w:color w:val="auto"/>
              </w:rPr>
            </w:pPr>
          </w:p>
        </w:tc>
        <w:tc>
          <w:tcPr>
            <w:tcW w:w="680" w:type="dxa"/>
            <w:vAlign w:val="bottom"/>
          </w:tcPr>
          <w:p>
            <w:pPr>
              <w:jc w:val="right"/>
              <w:ind w:right="175"/>
              <w:spacing w:after="0" w:line="133" w:lineRule="exact"/>
              <w:rPr>
                <w:sz w:val="20"/>
                <w:szCs w:val="20"/>
                <w:color w:val="auto"/>
              </w:rPr>
            </w:pPr>
            <w:r>
              <w:rPr>
                <w:rFonts w:ascii="Arial" w:cs="Arial" w:eastAsia="Arial" w:hAnsi="Arial"/>
                <w:sz w:val="14"/>
                <w:szCs w:val="14"/>
                <w:color w:val="auto"/>
                <w:w w:val="91"/>
              </w:rPr>
              <w:t>Capital</w:t>
            </w:r>
          </w:p>
        </w:tc>
        <w:tc>
          <w:tcPr>
            <w:tcW w:w="0" w:type="dxa"/>
            <w:vAlign w:val="bottom"/>
          </w:tcPr>
          <w:p>
            <w:pPr>
              <w:spacing w:after="0"/>
              <w:rPr>
                <w:sz w:val="1"/>
                <w:szCs w:val="1"/>
                <w:color w:val="auto"/>
              </w:rPr>
            </w:pPr>
          </w:p>
        </w:tc>
      </w:tr>
      <w:tr>
        <w:trPr>
          <w:trHeight w:val="176"/>
        </w:trPr>
        <w:tc>
          <w:tcPr>
            <w:tcW w:w="30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1680" w:type="dxa"/>
            <w:vAlign w:val="bottom"/>
            <w:tcBorders>
              <w:bottom w:val="single" w:sz="8" w:color="auto"/>
            </w:tcBorders>
            <w:gridSpan w:val="2"/>
            <w:vMerge w:val="continue"/>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597"/>
              <w:spacing w:after="0" w:line="176" w:lineRule="exact"/>
              <w:rPr>
                <w:sz w:val="20"/>
                <w:szCs w:val="20"/>
                <w:color w:val="auto"/>
              </w:rPr>
            </w:pPr>
            <w:r>
              <w:rPr>
                <w:rFonts w:ascii="Arial" w:cs="Arial" w:eastAsia="Arial" w:hAnsi="Arial"/>
                <w:sz w:val="13"/>
                <w:szCs w:val="13"/>
                <w:color w:val="auto"/>
              </w:rPr>
              <w:t>Amortization</w:t>
            </w:r>
            <w:r>
              <w:rPr>
                <w:rFonts w:ascii="Arial" w:cs="Arial" w:eastAsia="Arial" w:hAnsi="Arial"/>
                <w:sz w:val="20"/>
                <w:szCs w:val="20"/>
                <w:color w:val="auto"/>
                <w:vertAlign w:val="superscript"/>
              </w:rPr>
              <w:t>(d)</w:t>
            </w:r>
          </w:p>
        </w:tc>
        <w:tc>
          <w:tcPr>
            <w:tcW w:w="4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color w:val="auto"/>
                <w:w w:val="89"/>
              </w:rPr>
              <w:t>Amortization</w:t>
            </w:r>
          </w:p>
        </w:tc>
        <w:tc>
          <w:tcPr>
            <w:tcW w:w="3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color w:val="auto"/>
              </w:rPr>
              <w:t>(Loss)</w:t>
            </w:r>
          </w:p>
        </w:tc>
        <w:tc>
          <w:tcPr>
            <w:tcW w:w="1160" w:type="dxa"/>
            <w:vAlign w:val="bottom"/>
            <w:tcBorders>
              <w:bottom w:val="single" w:sz="8" w:color="auto"/>
            </w:tcBorders>
            <w:gridSpan w:val="2"/>
          </w:tcPr>
          <w:p>
            <w:pPr>
              <w:ind w:left="360"/>
              <w:spacing w:after="0"/>
              <w:rPr>
                <w:sz w:val="20"/>
                <w:szCs w:val="20"/>
                <w:color w:val="auto"/>
              </w:rPr>
            </w:pPr>
            <w:r>
              <w:rPr>
                <w:rFonts w:ascii="Arial" w:cs="Arial" w:eastAsia="Arial" w:hAnsi="Arial"/>
                <w:sz w:val="14"/>
                <w:szCs w:val="14"/>
                <w:color w:val="auto"/>
                <w:w w:val="95"/>
              </w:rPr>
              <w:t>Expenditures</w:t>
            </w:r>
          </w:p>
        </w:tc>
        <w:tc>
          <w:tcPr>
            <w:tcW w:w="0" w:type="dxa"/>
            <w:vAlign w:val="bottom"/>
          </w:tcPr>
          <w:p>
            <w:pPr>
              <w:spacing w:after="0"/>
              <w:rPr>
                <w:sz w:val="1"/>
                <w:szCs w:val="1"/>
                <w:color w:val="auto"/>
              </w:rPr>
            </w:pPr>
          </w:p>
        </w:tc>
      </w:tr>
      <w:tr>
        <w:trPr>
          <w:trHeight w:val="210"/>
        </w:trPr>
        <w:tc>
          <w:tcPr>
            <w:tcW w:w="3040" w:type="dxa"/>
            <w:vAlign w:val="bottom"/>
            <w:shd w:val="clear" w:color="auto" w:fill="E5E5E5"/>
          </w:tcPr>
          <w:p>
            <w:pPr>
              <w:spacing w:after="0"/>
              <w:rPr>
                <w:sz w:val="20"/>
                <w:szCs w:val="20"/>
                <w:color w:val="auto"/>
              </w:rPr>
            </w:pPr>
            <w:r>
              <w:rPr>
                <w:rFonts w:ascii="Arial" w:cs="Arial" w:eastAsia="Arial" w:hAnsi="Arial"/>
                <w:sz w:val="18"/>
                <w:szCs w:val="18"/>
                <w:color w:val="auto"/>
              </w:rPr>
              <w:t>Cable Networks</w:t>
            </w:r>
          </w:p>
        </w:tc>
        <w:tc>
          <w:tcPr>
            <w:tcW w:w="800" w:type="dxa"/>
            <w:vAlign w:val="bottom"/>
            <w:shd w:val="clear" w:color="auto" w:fill="E5E5E5"/>
          </w:tcPr>
          <w:p>
            <w:pPr>
              <w:ind w:left="660"/>
              <w:spacing w:after="0"/>
              <w:rPr>
                <w:sz w:val="20"/>
                <w:szCs w:val="20"/>
                <w:color w:val="auto"/>
              </w:rPr>
            </w:pPr>
            <w:r>
              <w:rPr>
                <w:rFonts w:ascii="Arial" w:cs="Arial" w:eastAsia="Arial" w:hAnsi="Arial"/>
                <w:sz w:val="18"/>
                <w:szCs w:val="18"/>
                <w:color w:val="auto"/>
              </w:rPr>
              <w:t>$</w:t>
            </w:r>
          </w:p>
        </w:tc>
        <w:tc>
          <w:tcPr>
            <w:tcW w:w="880" w:type="dxa"/>
            <w:vAlign w:val="bottom"/>
            <w:shd w:val="clear" w:color="auto" w:fill="E5E5E5"/>
          </w:tcPr>
          <w:p>
            <w:pPr>
              <w:jc w:val="right"/>
              <w:ind w:right="332"/>
              <w:spacing w:after="0"/>
              <w:rPr>
                <w:sz w:val="20"/>
                <w:szCs w:val="20"/>
                <w:color w:val="auto"/>
              </w:rPr>
            </w:pPr>
            <w:r>
              <w:rPr>
                <w:rFonts w:ascii="Arial" w:cs="Arial" w:eastAsia="Arial" w:hAnsi="Arial"/>
                <w:sz w:val="18"/>
                <w:szCs w:val="18"/>
                <w:color w:val="auto"/>
                <w:w w:val="97"/>
              </w:rPr>
              <w:t>2,255</w:t>
            </w:r>
          </w:p>
        </w:tc>
        <w:tc>
          <w:tcPr>
            <w:tcW w:w="520" w:type="dxa"/>
            <w:vAlign w:val="bottom"/>
            <w:shd w:val="clear" w:color="auto" w:fill="E5E5E5"/>
          </w:tcPr>
          <w:p>
            <w:pPr>
              <w:ind w:left="340"/>
              <w:spacing w:after="0"/>
              <w:rPr>
                <w:sz w:val="20"/>
                <w:szCs w:val="20"/>
                <w:color w:val="auto"/>
              </w:rPr>
            </w:pPr>
            <w:r>
              <w:rPr>
                <w:rFonts w:ascii="Arial" w:cs="Arial" w:eastAsia="Arial" w:hAnsi="Arial"/>
                <w:sz w:val="18"/>
                <w:szCs w:val="18"/>
                <w:color w:val="auto"/>
              </w:rPr>
              <w:t>$</w:t>
            </w:r>
          </w:p>
        </w:tc>
        <w:tc>
          <w:tcPr>
            <w:tcW w:w="1600" w:type="dxa"/>
            <w:vAlign w:val="bottom"/>
            <w:shd w:val="clear" w:color="auto" w:fill="E5E5E5"/>
          </w:tcPr>
          <w:p>
            <w:pPr>
              <w:jc w:val="right"/>
              <w:ind w:right="337"/>
              <w:spacing w:after="0"/>
              <w:rPr>
                <w:sz w:val="20"/>
                <w:szCs w:val="20"/>
                <w:color w:val="auto"/>
              </w:rPr>
            </w:pPr>
            <w:r>
              <w:rPr>
                <w:rFonts w:ascii="Arial" w:cs="Arial" w:eastAsia="Arial" w:hAnsi="Arial"/>
                <w:sz w:val="18"/>
                <w:szCs w:val="18"/>
                <w:color w:val="auto"/>
              </w:rPr>
              <w:t>868</w:t>
            </w:r>
          </w:p>
        </w:tc>
        <w:tc>
          <w:tcPr>
            <w:tcW w:w="440" w:type="dxa"/>
            <w:vAlign w:val="bottom"/>
            <w:shd w:val="clear" w:color="auto" w:fill="E5E5E5"/>
          </w:tcPr>
          <w:p>
            <w:pPr>
              <w:ind w:left="34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E5E5E5"/>
          </w:tcPr>
          <w:p>
            <w:pPr>
              <w:jc w:val="right"/>
              <w:ind w:right="555"/>
              <w:spacing w:after="0"/>
              <w:rPr>
                <w:sz w:val="20"/>
                <w:szCs w:val="20"/>
                <w:color w:val="auto"/>
              </w:rPr>
            </w:pPr>
            <w:r>
              <w:rPr>
                <w:rFonts w:ascii="Arial" w:cs="Arial" w:eastAsia="Arial" w:hAnsi="Arial"/>
                <w:sz w:val="18"/>
                <w:szCs w:val="18"/>
                <w:color w:val="auto"/>
              </w:rPr>
              <w:t>189</w:t>
            </w:r>
          </w:p>
        </w:tc>
        <w:tc>
          <w:tcPr>
            <w:tcW w:w="320" w:type="dxa"/>
            <w:vAlign w:val="bottom"/>
            <w:shd w:val="clear" w:color="auto" w:fill="E5E5E5"/>
          </w:tcPr>
          <w:p>
            <w:pPr>
              <w:ind w:left="1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E5E5E5"/>
          </w:tcPr>
          <w:p>
            <w:pPr>
              <w:jc w:val="right"/>
              <w:ind w:right="315"/>
              <w:spacing w:after="0"/>
              <w:rPr>
                <w:sz w:val="20"/>
                <w:szCs w:val="20"/>
                <w:color w:val="auto"/>
              </w:rPr>
            </w:pPr>
            <w:r>
              <w:rPr>
                <w:rFonts w:ascii="Arial" w:cs="Arial" w:eastAsia="Arial" w:hAnsi="Arial"/>
                <w:sz w:val="18"/>
                <w:szCs w:val="18"/>
                <w:color w:val="auto"/>
              </w:rPr>
              <w:t>679</w:t>
            </w:r>
          </w:p>
        </w:tc>
        <w:tc>
          <w:tcPr>
            <w:tcW w:w="480" w:type="dxa"/>
            <w:vAlign w:val="bottom"/>
            <w:shd w:val="clear" w:color="auto" w:fill="E5E5E5"/>
          </w:tcPr>
          <w:p>
            <w:pPr>
              <w:ind w:left="340"/>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Broadcast Television</w:t>
            </w:r>
          </w:p>
        </w:tc>
        <w:tc>
          <w:tcPr>
            <w:tcW w:w="800" w:type="dxa"/>
            <w:vAlign w:val="bottom"/>
          </w:tcPr>
          <w:p>
            <w:pPr>
              <w:spacing w:after="0"/>
              <w:rPr>
                <w:sz w:val="18"/>
                <w:szCs w:val="18"/>
                <w:color w:val="auto"/>
              </w:rPr>
            </w:pPr>
          </w:p>
        </w:tc>
        <w:tc>
          <w:tcPr>
            <w:tcW w:w="880" w:type="dxa"/>
            <w:vAlign w:val="bottom"/>
          </w:tcPr>
          <w:p>
            <w:pPr>
              <w:jc w:val="right"/>
              <w:ind w:right="332"/>
              <w:spacing w:after="0"/>
              <w:rPr>
                <w:sz w:val="20"/>
                <w:szCs w:val="20"/>
                <w:color w:val="auto"/>
              </w:rPr>
            </w:pPr>
            <w:r>
              <w:rPr>
                <w:rFonts w:ascii="Arial" w:cs="Arial" w:eastAsia="Arial" w:hAnsi="Arial"/>
                <w:sz w:val="18"/>
                <w:szCs w:val="18"/>
                <w:color w:val="auto"/>
                <w:w w:val="97"/>
              </w:rPr>
              <w:t>1,770</w:t>
            </w:r>
          </w:p>
        </w:tc>
        <w:tc>
          <w:tcPr>
            <w:tcW w:w="520" w:type="dxa"/>
            <w:vAlign w:val="bottom"/>
          </w:tcPr>
          <w:p>
            <w:pPr>
              <w:spacing w:after="0"/>
              <w:rPr>
                <w:sz w:val="18"/>
                <w:szCs w:val="18"/>
                <w:color w:val="auto"/>
              </w:rPr>
            </w:pPr>
          </w:p>
        </w:tc>
        <w:tc>
          <w:tcPr>
            <w:tcW w:w="1600" w:type="dxa"/>
            <w:vAlign w:val="bottom"/>
          </w:tcPr>
          <w:p>
            <w:pPr>
              <w:jc w:val="right"/>
              <w:ind w:right="337"/>
              <w:spacing w:after="0"/>
              <w:rPr>
                <w:sz w:val="20"/>
                <w:szCs w:val="20"/>
                <w:color w:val="auto"/>
              </w:rPr>
            </w:pPr>
            <w:r>
              <w:rPr>
                <w:rFonts w:ascii="Arial" w:cs="Arial" w:eastAsia="Arial" w:hAnsi="Arial"/>
                <w:sz w:val="18"/>
                <w:szCs w:val="18"/>
                <w:color w:val="auto"/>
              </w:rPr>
              <w:t>142</w:t>
            </w:r>
          </w:p>
        </w:tc>
        <w:tc>
          <w:tcPr>
            <w:tcW w:w="440" w:type="dxa"/>
            <w:vAlign w:val="bottom"/>
          </w:tcPr>
          <w:p>
            <w:pPr>
              <w:spacing w:after="0"/>
              <w:rPr>
                <w:sz w:val="18"/>
                <w:szCs w:val="18"/>
                <w:color w:val="auto"/>
              </w:rPr>
            </w:pPr>
          </w:p>
        </w:tc>
        <w:tc>
          <w:tcPr>
            <w:tcW w:w="1480" w:type="dxa"/>
            <w:vAlign w:val="bottom"/>
          </w:tcPr>
          <w:p>
            <w:pPr>
              <w:jc w:val="right"/>
              <w:ind w:right="555"/>
              <w:spacing w:after="0"/>
              <w:rPr>
                <w:sz w:val="20"/>
                <w:szCs w:val="20"/>
                <w:color w:val="auto"/>
              </w:rPr>
            </w:pPr>
            <w:r>
              <w:rPr>
                <w:rFonts w:ascii="Arial" w:cs="Arial" w:eastAsia="Arial" w:hAnsi="Arial"/>
                <w:sz w:val="18"/>
                <w:szCs w:val="18"/>
                <w:color w:val="auto"/>
              </w:rPr>
              <w:t>24</w:t>
            </w:r>
          </w:p>
        </w:tc>
        <w:tc>
          <w:tcPr>
            <w:tcW w:w="320" w:type="dxa"/>
            <w:vAlign w:val="bottom"/>
          </w:tcPr>
          <w:p>
            <w:pPr>
              <w:spacing w:after="0"/>
              <w:rPr>
                <w:sz w:val="18"/>
                <w:szCs w:val="18"/>
                <w:color w:val="auto"/>
              </w:rPr>
            </w:pPr>
          </w:p>
        </w:tc>
        <w:tc>
          <w:tcPr>
            <w:tcW w:w="1180" w:type="dxa"/>
            <w:vAlign w:val="bottom"/>
          </w:tcPr>
          <w:p>
            <w:pPr>
              <w:jc w:val="right"/>
              <w:ind w:right="315"/>
              <w:spacing w:after="0"/>
              <w:rPr>
                <w:sz w:val="20"/>
                <w:szCs w:val="20"/>
                <w:color w:val="auto"/>
              </w:rPr>
            </w:pPr>
            <w:r>
              <w:rPr>
                <w:rFonts w:ascii="Arial" w:cs="Arial" w:eastAsia="Arial" w:hAnsi="Arial"/>
                <w:sz w:val="18"/>
                <w:szCs w:val="18"/>
                <w:color w:val="auto"/>
              </w:rPr>
              <w:t>118</w:t>
            </w:r>
          </w:p>
        </w:tc>
        <w:tc>
          <w:tcPr>
            <w:tcW w:w="480" w:type="dxa"/>
            <w:vAlign w:val="bottom"/>
          </w:tcPr>
          <w:p>
            <w:pPr>
              <w:spacing w:after="0"/>
              <w:rPr>
                <w:sz w:val="18"/>
                <w:szCs w:val="18"/>
                <w:color w:val="auto"/>
              </w:rPr>
            </w:pPr>
          </w:p>
        </w:tc>
        <w:tc>
          <w:tcPr>
            <w:tcW w:w="680" w:type="dxa"/>
            <w:vAlign w:val="bottom"/>
          </w:tcPr>
          <w:p>
            <w:pPr>
              <w:jc w:val="right"/>
              <w:ind w:right="15"/>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3040" w:type="dxa"/>
            <w:vAlign w:val="bottom"/>
            <w:shd w:val="clear" w:color="auto" w:fill="E5E5E5"/>
          </w:tcPr>
          <w:p>
            <w:pPr>
              <w:spacing w:after="0"/>
              <w:rPr>
                <w:sz w:val="20"/>
                <w:szCs w:val="20"/>
                <w:color w:val="auto"/>
              </w:rPr>
            </w:pPr>
            <w:r>
              <w:rPr>
                <w:rFonts w:ascii="Arial" w:cs="Arial" w:eastAsia="Arial" w:hAnsi="Arial"/>
                <w:sz w:val="18"/>
                <w:szCs w:val="18"/>
                <w:color w:val="auto"/>
              </w:rPr>
              <w:t>Filmed Entertainment</w:t>
            </w:r>
          </w:p>
        </w:tc>
        <w:tc>
          <w:tcPr>
            <w:tcW w:w="800" w:type="dxa"/>
            <w:vAlign w:val="bottom"/>
            <w:shd w:val="clear" w:color="auto" w:fill="E5E5E5"/>
          </w:tcPr>
          <w:p>
            <w:pPr>
              <w:spacing w:after="0"/>
              <w:rPr>
                <w:sz w:val="18"/>
                <w:szCs w:val="18"/>
                <w:color w:val="auto"/>
              </w:rPr>
            </w:pPr>
          </w:p>
        </w:tc>
        <w:tc>
          <w:tcPr>
            <w:tcW w:w="880" w:type="dxa"/>
            <w:vAlign w:val="bottom"/>
            <w:shd w:val="clear" w:color="auto" w:fill="E5E5E5"/>
          </w:tcPr>
          <w:p>
            <w:pPr>
              <w:jc w:val="right"/>
              <w:ind w:right="332"/>
              <w:spacing w:after="0"/>
              <w:rPr>
                <w:sz w:val="20"/>
                <w:szCs w:val="20"/>
                <w:color w:val="auto"/>
              </w:rPr>
            </w:pPr>
            <w:r>
              <w:rPr>
                <w:rFonts w:ascii="Arial" w:cs="Arial" w:eastAsia="Arial" w:hAnsi="Arial"/>
                <w:sz w:val="18"/>
                <w:szCs w:val="18"/>
                <w:color w:val="auto"/>
                <w:w w:val="97"/>
              </w:rPr>
              <w:t>1,186</w:t>
            </w:r>
          </w:p>
        </w:tc>
        <w:tc>
          <w:tcPr>
            <w:tcW w:w="520" w:type="dxa"/>
            <w:vAlign w:val="bottom"/>
            <w:shd w:val="clear" w:color="auto" w:fill="E5E5E5"/>
          </w:tcPr>
          <w:p>
            <w:pPr>
              <w:spacing w:after="0"/>
              <w:rPr>
                <w:sz w:val="18"/>
                <w:szCs w:val="18"/>
                <w:color w:val="auto"/>
              </w:rPr>
            </w:pPr>
          </w:p>
        </w:tc>
        <w:tc>
          <w:tcPr>
            <w:tcW w:w="1600" w:type="dxa"/>
            <w:vAlign w:val="bottom"/>
            <w:shd w:val="clear" w:color="auto" w:fill="E5E5E5"/>
          </w:tcPr>
          <w:p>
            <w:pPr>
              <w:jc w:val="right"/>
              <w:ind w:right="337"/>
              <w:spacing w:after="0"/>
              <w:rPr>
                <w:sz w:val="20"/>
                <w:szCs w:val="20"/>
                <w:color w:val="auto"/>
              </w:rPr>
            </w:pPr>
            <w:r>
              <w:rPr>
                <w:rFonts w:ascii="Arial" w:cs="Arial" w:eastAsia="Arial" w:hAnsi="Arial"/>
                <w:sz w:val="18"/>
                <w:szCs w:val="18"/>
                <w:color w:val="auto"/>
              </w:rPr>
              <w:t>151</w:t>
            </w:r>
          </w:p>
        </w:tc>
        <w:tc>
          <w:tcPr>
            <w:tcW w:w="440" w:type="dxa"/>
            <w:vAlign w:val="bottom"/>
            <w:shd w:val="clear" w:color="auto" w:fill="E5E5E5"/>
          </w:tcPr>
          <w:p>
            <w:pPr>
              <w:spacing w:after="0"/>
              <w:rPr>
                <w:sz w:val="18"/>
                <w:szCs w:val="18"/>
                <w:color w:val="auto"/>
              </w:rPr>
            </w:pPr>
          </w:p>
        </w:tc>
        <w:tc>
          <w:tcPr>
            <w:tcW w:w="1480" w:type="dxa"/>
            <w:vAlign w:val="bottom"/>
            <w:shd w:val="clear" w:color="auto" w:fill="E5E5E5"/>
          </w:tcPr>
          <w:p>
            <w:pPr>
              <w:jc w:val="right"/>
              <w:ind w:right="555"/>
              <w:spacing w:after="0"/>
              <w:rPr>
                <w:sz w:val="20"/>
                <w:szCs w:val="20"/>
                <w:color w:val="auto"/>
              </w:rPr>
            </w:pPr>
            <w:r>
              <w:rPr>
                <w:rFonts w:ascii="Arial" w:cs="Arial" w:eastAsia="Arial" w:hAnsi="Arial"/>
                <w:sz w:val="18"/>
                <w:szCs w:val="18"/>
                <w:color w:val="auto"/>
              </w:rPr>
              <w:t>6</w:t>
            </w:r>
          </w:p>
        </w:tc>
        <w:tc>
          <w:tcPr>
            <w:tcW w:w="320" w:type="dxa"/>
            <w:vAlign w:val="bottom"/>
            <w:shd w:val="clear" w:color="auto" w:fill="E5E5E5"/>
          </w:tcPr>
          <w:p>
            <w:pPr>
              <w:spacing w:after="0"/>
              <w:rPr>
                <w:sz w:val="18"/>
                <w:szCs w:val="18"/>
                <w:color w:val="auto"/>
              </w:rPr>
            </w:pPr>
          </w:p>
        </w:tc>
        <w:tc>
          <w:tcPr>
            <w:tcW w:w="1180" w:type="dxa"/>
            <w:vAlign w:val="bottom"/>
            <w:shd w:val="clear" w:color="auto" w:fill="E5E5E5"/>
          </w:tcPr>
          <w:p>
            <w:pPr>
              <w:jc w:val="right"/>
              <w:ind w:right="315"/>
              <w:spacing w:after="0"/>
              <w:rPr>
                <w:sz w:val="20"/>
                <w:szCs w:val="20"/>
                <w:color w:val="auto"/>
              </w:rPr>
            </w:pPr>
            <w:r>
              <w:rPr>
                <w:rFonts w:ascii="Arial" w:cs="Arial" w:eastAsia="Arial" w:hAnsi="Arial"/>
                <w:sz w:val="18"/>
                <w:szCs w:val="18"/>
                <w:color w:val="auto"/>
              </w:rPr>
              <w:t>145</w:t>
            </w:r>
          </w:p>
        </w:tc>
        <w:tc>
          <w:tcPr>
            <w:tcW w:w="4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Theme Parks</w:t>
            </w:r>
          </w:p>
        </w:tc>
        <w:tc>
          <w:tcPr>
            <w:tcW w:w="800" w:type="dxa"/>
            <w:vAlign w:val="bottom"/>
          </w:tcPr>
          <w:p>
            <w:pPr>
              <w:spacing w:after="0"/>
              <w:rPr>
                <w:sz w:val="18"/>
                <w:szCs w:val="18"/>
                <w:color w:val="auto"/>
              </w:rPr>
            </w:pPr>
          </w:p>
        </w:tc>
        <w:tc>
          <w:tcPr>
            <w:tcW w:w="880" w:type="dxa"/>
            <w:vAlign w:val="bottom"/>
          </w:tcPr>
          <w:p>
            <w:pPr>
              <w:jc w:val="right"/>
              <w:ind w:right="332"/>
              <w:spacing w:after="0"/>
              <w:rPr>
                <w:sz w:val="20"/>
                <w:szCs w:val="20"/>
                <w:color w:val="auto"/>
              </w:rPr>
            </w:pPr>
            <w:r>
              <w:rPr>
                <w:rFonts w:ascii="Arial" w:cs="Arial" w:eastAsia="Arial" w:hAnsi="Arial"/>
                <w:sz w:val="18"/>
                <w:szCs w:val="18"/>
                <w:color w:val="auto"/>
              </w:rPr>
              <w:t>786</w:t>
            </w:r>
          </w:p>
        </w:tc>
        <w:tc>
          <w:tcPr>
            <w:tcW w:w="520" w:type="dxa"/>
            <w:vAlign w:val="bottom"/>
          </w:tcPr>
          <w:p>
            <w:pPr>
              <w:spacing w:after="0"/>
              <w:rPr>
                <w:sz w:val="18"/>
                <w:szCs w:val="18"/>
                <w:color w:val="auto"/>
              </w:rPr>
            </w:pPr>
          </w:p>
        </w:tc>
        <w:tc>
          <w:tcPr>
            <w:tcW w:w="1600" w:type="dxa"/>
            <w:vAlign w:val="bottom"/>
          </w:tcPr>
          <w:p>
            <w:pPr>
              <w:jc w:val="right"/>
              <w:ind w:right="337"/>
              <w:spacing w:after="0"/>
              <w:rPr>
                <w:sz w:val="20"/>
                <w:szCs w:val="20"/>
                <w:color w:val="auto"/>
              </w:rPr>
            </w:pPr>
            <w:r>
              <w:rPr>
                <w:rFonts w:ascii="Arial" w:cs="Arial" w:eastAsia="Arial" w:hAnsi="Arial"/>
                <w:sz w:val="18"/>
                <w:szCs w:val="18"/>
                <w:color w:val="auto"/>
              </w:rPr>
              <w:t>402</w:t>
            </w:r>
          </w:p>
        </w:tc>
        <w:tc>
          <w:tcPr>
            <w:tcW w:w="440" w:type="dxa"/>
            <w:vAlign w:val="bottom"/>
          </w:tcPr>
          <w:p>
            <w:pPr>
              <w:spacing w:after="0"/>
              <w:rPr>
                <w:sz w:val="18"/>
                <w:szCs w:val="18"/>
                <w:color w:val="auto"/>
              </w:rPr>
            </w:pPr>
          </w:p>
        </w:tc>
        <w:tc>
          <w:tcPr>
            <w:tcW w:w="1480" w:type="dxa"/>
            <w:vAlign w:val="bottom"/>
          </w:tcPr>
          <w:p>
            <w:pPr>
              <w:jc w:val="right"/>
              <w:ind w:right="555"/>
              <w:spacing w:after="0"/>
              <w:rPr>
                <w:sz w:val="20"/>
                <w:szCs w:val="20"/>
                <w:color w:val="auto"/>
              </w:rPr>
            </w:pPr>
            <w:r>
              <w:rPr>
                <w:rFonts w:ascii="Arial" w:cs="Arial" w:eastAsia="Arial" w:hAnsi="Arial"/>
                <w:sz w:val="18"/>
                <w:szCs w:val="18"/>
                <w:color w:val="auto"/>
              </w:rPr>
              <w:t>68</w:t>
            </w:r>
          </w:p>
        </w:tc>
        <w:tc>
          <w:tcPr>
            <w:tcW w:w="320" w:type="dxa"/>
            <w:vAlign w:val="bottom"/>
          </w:tcPr>
          <w:p>
            <w:pPr>
              <w:spacing w:after="0"/>
              <w:rPr>
                <w:sz w:val="18"/>
                <w:szCs w:val="18"/>
                <w:color w:val="auto"/>
              </w:rPr>
            </w:pPr>
          </w:p>
        </w:tc>
        <w:tc>
          <w:tcPr>
            <w:tcW w:w="1180" w:type="dxa"/>
            <w:vAlign w:val="bottom"/>
          </w:tcPr>
          <w:p>
            <w:pPr>
              <w:jc w:val="right"/>
              <w:ind w:right="315"/>
              <w:spacing w:after="0"/>
              <w:rPr>
                <w:sz w:val="20"/>
                <w:szCs w:val="20"/>
                <w:color w:val="auto"/>
              </w:rPr>
            </w:pPr>
            <w:r>
              <w:rPr>
                <w:rFonts w:ascii="Arial" w:cs="Arial" w:eastAsia="Arial" w:hAnsi="Arial"/>
                <w:sz w:val="18"/>
                <w:szCs w:val="18"/>
                <w:color w:val="auto"/>
              </w:rPr>
              <w:t>334</w:t>
            </w:r>
          </w:p>
        </w:tc>
        <w:tc>
          <w:tcPr>
            <w:tcW w:w="480" w:type="dxa"/>
            <w:vAlign w:val="bottom"/>
          </w:tcPr>
          <w:p>
            <w:pPr>
              <w:spacing w:after="0"/>
              <w:rPr>
                <w:sz w:val="18"/>
                <w:szCs w:val="18"/>
                <w:color w:val="auto"/>
              </w:rPr>
            </w:pPr>
          </w:p>
        </w:tc>
        <w:tc>
          <w:tcPr>
            <w:tcW w:w="680" w:type="dxa"/>
            <w:vAlign w:val="bottom"/>
          </w:tcPr>
          <w:p>
            <w:pPr>
              <w:jc w:val="right"/>
              <w:ind w:right="15"/>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3040" w:type="dxa"/>
            <w:vAlign w:val="bottom"/>
            <w:shd w:val="clear" w:color="auto" w:fill="E5E5E5"/>
          </w:tcPr>
          <w:p>
            <w:pPr>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11"/>
                <w:szCs w:val="11"/>
                <w:color w:val="auto"/>
              </w:rPr>
              <w:t>(a)</w:t>
            </w:r>
          </w:p>
        </w:tc>
        <w:tc>
          <w:tcPr>
            <w:tcW w:w="800" w:type="dxa"/>
            <w:vAlign w:val="bottom"/>
            <w:shd w:val="clear" w:color="auto" w:fill="E5E5E5"/>
          </w:tcPr>
          <w:p>
            <w:pPr>
              <w:spacing w:after="0"/>
              <w:rPr>
                <w:sz w:val="18"/>
                <w:szCs w:val="18"/>
                <w:color w:val="auto"/>
              </w:rPr>
            </w:pPr>
          </w:p>
        </w:tc>
        <w:tc>
          <w:tcPr>
            <w:tcW w:w="880" w:type="dxa"/>
            <w:vAlign w:val="bottom"/>
            <w:shd w:val="clear" w:color="auto" w:fill="E5E5E5"/>
          </w:tcPr>
          <w:p>
            <w:pPr>
              <w:jc w:val="right"/>
              <w:ind w:right="332"/>
              <w:spacing w:after="0"/>
              <w:rPr>
                <w:sz w:val="20"/>
                <w:szCs w:val="20"/>
                <w:color w:val="auto"/>
              </w:rPr>
            </w:pPr>
            <w:r>
              <w:rPr>
                <w:rFonts w:ascii="Arial" w:cs="Arial" w:eastAsia="Arial" w:hAnsi="Arial"/>
                <w:sz w:val="18"/>
                <w:szCs w:val="18"/>
                <w:color w:val="auto"/>
              </w:rPr>
              <w:t>4</w:t>
            </w:r>
          </w:p>
        </w:tc>
        <w:tc>
          <w:tcPr>
            <w:tcW w:w="520" w:type="dxa"/>
            <w:vAlign w:val="bottom"/>
            <w:shd w:val="clear" w:color="auto" w:fill="E5E5E5"/>
          </w:tcPr>
          <w:p>
            <w:pPr>
              <w:spacing w:after="0"/>
              <w:rPr>
                <w:sz w:val="18"/>
                <w:szCs w:val="18"/>
                <w:color w:val="auto"/>
              </w:rPr>
            </w:pPr>
          </w:p>
        </w:tc>
        <w:tc>
          <w:tcPr>
            <w:tcW w:w="1600" w:type="dxa"/>
            <w:vAlign w:val="bottom"/>
            <w:shd w:val="clear" w:color="auto" w:fill="E5E5E5"/>
          </w:tcPr>
          <w:p>
            <w:pPr>
              <w:jc w:val="right"/>
              <w:ind w:right="277"/>
              <w:spacing w:after="0"/>
              <w:rPr>
                <w:sz w:val="20"/>
                <w:szCs w:val="20"/>
                <w:color w:val="auto"/>
              </w:rPr>
            </w:pPr>
            <w:r>
              <w:rPr>
                <w:rFonts w:ascii="Arial" w:cs="Arial" w:eastAsia="Arial" w:hAnsi="Arial"/>
                <w:sz w:val="18"/>
                <w:szCs w:val="18"/>
                <w:color w:val="auto"/>
              </w:rPr>
              <w:t>(142)</w:t>
            </w:r>
          </w:p>
        </w:tc>
        <w:tc>
          <w:tcPr>
            <w:tcW w:w="440" w:type="dxa"/>
            <w:vAlign w:val="bottom"/>
            <w:shd w:val="clear" w:color="auto" w:fill="E5E5E5"/>
          </w:tcPr>
          <w:p>
            <w:pPr>
              <w:spacing w:after="0"/>
              <w:rPr>
                <w:sz w:val="18"/>
                <w:szCs w:val="18"/>
                <w:color w:val="auto"/>
              </w:rPr>
            </w:pPr>
          </w:p>
        </w:tc>
        <w:tc>
          <w:tcPr>
            <w:tcW w:w="1480" w:type="dxa"/>
            <w:vAlign w:val="bottom"/>
            <w:shd w:val="clear" w:color="auto" w:fill="E5E5E5"/>
          </w:tcPr>
          <w:p>
            <w:pPr>
              <w:jc w:val="right"/>
              <w:ind w:right="555"/>
              <w:spacing w:after="0"/>
              <w:rPr>
                <w:sz w:val="20"/>
                <w:szCs w:val="20"/>
                <w:color w:val="auto"/>
              </w:rPr>
            </w:pPr>
            <w:r>
              <w:rPr>
                <w:rFonts w:ascii="Arial" w:cs="Arial" w:eastAsia="Arial" w:hAnsi="Arial"/>
                <w:sz w:val="18"/>
                <w:szCs w:val="18"/>
                <w:color w:val="auto"/>
              </w:rPr>
              <w:t>84</w:t>
            </w:r>
          </w:p>
        </w:tc>
        <w:tc>
          <w:tcPr>
            <w:tcW w:w="320" w:type="dxa"/>
            <w:vAlign w:val="bottom"/>
            <w:shd w:val="clear" w:color="auto" w:fill="E5E5E5"/>
          </w:tcPr>
          <w:p>
            <w:pPr>
              <w:spacing w:after="0"/>
              <w:rPr>
                <w:sz w:val="18"/>
                <w:szCs w:val="18"/>
                <w:color w:val="auto"/>
              </w:rPr>
            </w:pPr>
          </w:p>
        </w:tc>
        <w:tc>
          <w:tcPr>
            <w:tcW w:w="1180" w:type="dxa"/>
            <w:vAlign w:val="bottom"/>
            <w:shd w:val="clear" w:color="auto" w:fill="E5E5E5"/>
          </w:tcPr>
          <w:p>
            <w:pPr>
              <w:jc w:val="right"/>
              <w:ind w:right="255"/>
              <w:spacing w:after="0"/>
              <w:rPr>
                <w:sz w:val="20"/>
                <w:szCs w:val="20"/>
                <w:color w:val="auto"/>
              </w:rPr>
            </w:pPr>
            <w:r>
              <w:rPr>
                <w:rFonts w:ascii="Arial" w:cs="Arial" w:eastAsia="Arial" w:hAnsi="Arial"/>
                <w:sz w:val="18"/>
                <w:szCs w:val="18"/>
                <w:color w:val="auto"/>
              </w:rPr>
              <w:t>(226)</w:t>
            </w:r>
          </w:p>
        </w:tc>
        <w:tc>
          <w:tcPr>
            <w:tcW w:w="4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3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(b)</w:t>
            </w:r>
          </w:p>
        </w:tc>
        <w:tc>
          <w:tcPr>
            <w:tcW w:w="8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(80)</w:t>
            </w:r>
          </w:p>
        </w:tc>
        <w:tc>
          <w:tcPr>
            <w:tcW w:w="5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277"/>
              <w:spacing w:after="0"/>
              <w:rPr>
                <w:sz w:val="20"/>
                <w:szCs w:val="20"/>
                <w:color w:val="auto"/>
              </w:rPr>
            </w:pPr>
            <w:r>
              <w:rPr>
                <w:rFonts w:ascii="Arial" w:cs="Arial" w:eastAsia="Arial" w:hAnsi="Arial"/>
                <w:sz w:val="18"/>
                <w:szCs w:val="18"/>
                <w:color w:val="auto"/>
              </w:rPr>
              <w:t>(5)</w:t>
            </w: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555"/>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55"/>
              <w:spacing w:after="0"/>
              <w:rPr>
                <w:sz w:val="20"/>
                <w:szCs w:val="20"/>
                <w:color w:val="auto"/>
              </w:rPr>
            </w:pPr>
            <w:r>
              <w:rPr>
                <w:rFonts w:ascii="Arial" w:cs="Arial" w:eastAsia="Arial" w:hAnsi="Arial"/>
                <w:sz w:val="18"/>
                <w:szCs w:val="18"/>
                <w:color w:val="auto"/>
              </w:rPr>
              <w:t>(5)</w:t>
            </w:r>
          </w:p>
        </w:tc>
        <w:tc>
          <w:tcPr>
            <w:tcW w:w="4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30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w:t>
            </w:r>
          </w:p>
        </w:tc>
        <w:tc>
          <w:tcPr>
            <w:tcW w:w="800" w:type="dxa"/>
            <w:vAlign w:val="bottom"/>
            <w:tcBorders>
              <w:bottom w:val="single" w:sz="8" w:color="auto"/>
            </w:tcBorders>
            <w:shd w:val="clear" w:color="auto" w:fill="E5E5E5"/>
          </w:tcPr>
          <w:p>
            <w:pPr>
              <w:ind w:left="66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shd w:val="clear" w:color="auto" w:fill="E5E5E5"/>
          </w:tcPr>
          <w:p>
            <w:pPr>
              <w:jc w:val="right"/>
              <w:ind w:right="332"/>
              <w:spacing w:after="0"/>
              <w:rPr>
                <w:sz w:val="20"/>
                <w:szCs w:val="20"/>
                <w:color w:val="auto"/>
              </w:rPr>
            </w:pPr>
            <w:r>
              <w:rPr>
                <w:rFonts w:ascii="Arial" w:cs="Arial" w:eastAsia="Arial" w:hAnsi="Arial"/>
                <w:sz w:val="18"/>
                <w:szCs w:val="18"/>
                <w:b w:val="1"/>
                <w:bCs w:val="1"/>
                <w:color w:val="auto"/>
                <w:w w:val="97"/>
              </w:rPr>
              <w:t>5,921</w:t>
            </w:r>
          </w:p>
        </w:tc>
        <w:tc>
          <w:tcPr>
            <w:tcW w:w="520" w:type="dxa"/>
            <w:vAlign w:val="bottom"/>
            <w:tcBorders>
              <w:bottom w:val="single" w:sz="8" w:color="auto"/>
            </w:tcBorders>
            <w:shd w:val="clear" w:color="auto" w:fill="E5E5E5"/>
          </w:tcPr>
          <w:p>
            <w:pPr>
              <w:ind w:left="340"/>
              <w:spacing w:after="0"/>
              <w:rPr>
                <w:sz w:val="20"/>
                <w:szCs w:val="20"/>
                <w:color w:val="auto"/>
              </w:rPr>
            </w:pPr>
            <w:r>
              <w:rPr>
                <w:rFonts w:ascii="Arial" w:cs="Arial" w:eastAsia="Arial" w:hAnsi="Arial"/>
                <w:sz w:val="18"/>
                <w:szCs w:val="18"/>
                <w:b w:val="1"/>
                <w:bCs w:val="1"/>
                <w:color w:val="auto"/>
              </w:rPr>
              <w:t>$</w:t>
            </w:r>
          </w:p>
        </w:tc>
        <w:tc>
          <w:tcPr>
            <w:tcW w:w="1600" w:type="dxa"/>
            <w:vAlign w:val="bottom"/>
            <w:tcBorders>
              <w:bottom w:val="single" w:sz="8" w:color="auto"/>
            </w:tcBorders>
            <w:shd w:val="clear" w:color="auto" w:fill="E5E5E5"/>
          </w:tcPr>
          <w:p>
            <w:pPr>
              <w:jc w:val="right"/>
              <w:ind w:right="337"/>
              <w:spacing w:after="0"/>
              <w:rPr>
                <w:sz w:val="20"/>
                <w:szCs w:val="20"/>
                <w:color w:val="auto"/>
              </w:rPr>
            </w:pPr>
            <w:r>
              <w:rPr>
                <w:rFonts w:ascii="Arial" w:cs="Arial" w:eastAsia="Arial" w:hAnsi="Arial"/>
                <w:sz w:val="18"/>
                <w:szCs w:val="18"/>
                <w:b w:val="1"/>
                <w:bCs w:val="1"/>
                <w:color w:val="auto"/>
              </w:rPr>
              <w:t>1,416</w:t>
            </w:r>
          </w:p>
        </w:tc>
        <w:tc>
          <w:tcPr>
            <w:tcW w:w="440" w:type="dxa"/>
            <w:vAlign w:val="bottom"/>
            <w:tcBorders>
              <w:bottom w:val="single" w:sz="8" w:color="auto"/>
            </w:tcBorders>
            <w:shd w:val="clear" w:color="auto" w:fill="E5E5E5"/>
          </w:tcPr>
          <w:p>
            <w:pPr>
              <w:ind w:left="340"/>
              <w:spacing w:after="0"/>
              <w:rPr>
                <w:sz w:val="20"/>
                <w:szCs w:val="20"/>
                <w:color w:val="auto"/>
              </w:rPr>
            </w:pPr>
            <w:r>
              <w:rPr>
                <w:rFonts w:ascii="Arial" w:cs="Arial" w:eastAsia="Arial" w:hAnsi="Arial"/>
                <w:sz w:val="18"/>
                <w:szCs w:val="18"/>
                <w:b w:val="1"/>
                <w:bCs w:val="1"/>
                <w:color w:val="auto"/>
                <w:w w:val="79"/>
              </w:rPr>
              <w:t>$</w:t>
            </w:r>
          </w:p>
        </w:tc>
        <w:tc>
          <w:tcPr>
            <w:tcW w:w="1480" w:type="dxa"/>
            <w:vAlign w:val="bottom"/>
            <w:tcBorders>
              <w:bottom w:val="single" w:sz="8" w:color="auto"/>
            </w:tcBorders>
            <w:shd w:val="clear" w:color="auto" w:fill="E5E5E5"/>
          </w:tcPr>
          <w:p>
            <w:pPr>
              <w:jc w:val="right"/>
              <w:ind w:right="555"/>
              <w:spacing w:after="0"/>
              <w:rPr>
                <w:sz w:val="20"/>
                <w:szCs w:val="20"/>
                <w:color w:val="auto"/>
              </w:rPr>
            </w:pPr>
            <w:r>
              <w:rPr>
                <w:rFonts w:ascii="Arial" w:cs="Arial" w:eastAsia="Arial" w:hAnsi="Arial"/>
                <w:sz w:val="18"/>
                <w:szCs w:val="18"/>
                <w:b w:val="1"/>
                <w:bCs w:val="1"/>
                <w:color w:val="auto"/>
              </w:rPr>
              <w:t>371</w:t>
            </w:r>
          </w:p>
        </w:tc>
        <w:tc>
          <w:tcPr>
            <w:tcW w:w="320" w:type="dxa"/>
            <w:vAlign w:val="bottom"/>
            <w:tcBorders>
              <w:bottom w:val="single" w:sz="8" w:color="auto"/>
            </w:tcBorders>
            <w:shd w:val="clear" w:color="auto" w:fill="E5E5E5"/>
          </w:tcPr>
          <w:p>
            <w:pPr>
              <w:ind w:left="10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auto"/>
            </w:tcBorders>
            <w:shd w:val="clear" w:color="auto" w:fill="E5E5E5"/>
          </w:tcPr>
          <w:p>
            <w:pPr>
              <w:jc w:val="right"/>
              <w:ind w:right="315"/>
              <w:spacing w:after="0"/>
              <w:rPr>
                <w:sz w:val="20"/>
                <w:szCs w:val="20"/>
                <w:color w:val="auto"/>
              </w:rPr>
            </w:pPr>
            <w:r>
              <w:rPr>
                <w:rFonts w:ascii="Arial" w:cs="Arial" w:eastAsia="Arial" w:hAnsi="Arial"/>
                <w:sz w:val="18"/>
                <w:szCs w:val="18"/>
                <w:b w:val="1"/>
                <w:bCs w:val="1"/>
                <w:color w:val="auto"/>
              </w:rPr>
              <w:t>1,045</w:t>
            </w:r>
          </w:p>
        </w:tc>
        <w:tc>
          <w:tcPr>
            <w:tcW w:w="480" w:type="dxa"/>
            <w:vAlign w:val="bottom"/>
            <w:tcBorders>
              <w:bottom w:val="single" w:sz="8" w:color="auto"/>
            </w:tcBorders>
            <w:shd w:val="clear" w:color="auto" w:fill="E5E5E5"/>
          </w:tcPr>
          <w:p>
            <w:pPr>
              <w:ind w:left="340"/>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b w:val="1"/>
                <w:bCs w:val="1"/>
                <w:color w:val="auto"/>
              </w:rPr>
              <w:t>295</w:t>
            </w:r>
          </w:p>
        </w:tc>
        <w:tc>
          <w:tcPr>
            <w:tcW w:w="0" w:type="dxa"/>
            <w:vAlign w:val="bottom"/>
          </w:tcPr>
          <w:p>
            <w:pPr>
              <w:spacing w:after="0"/>
              <w:rPr>
                <w:sz w:val="1"/>
                <w:szCs w:val="1"/>
                <w:color w:val="auto"/>
              </w:rPr>
            </w:pPr>
          </w:p>
        </w:tc>
      </w:tr>
      <w:tr>
        <w:trPr>
          <w:trHeight w:val="363"/>
        </w:trPr>
        <w:tc>
          <w:tcPr>
            <w:tcW w:w="3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0" w:type="dxa"/>
            <w:vAlign w:val="bottom"/>
          </w:tcPr>
          <w:p>
            <w:pPr>
              <w:jc w:val="right"/>
              <w:ind w:right="937"/>
              <w:spacing w:after="0"/>
              <w:rPr>
                <w:sz w:val="20"/>
                <w:szCs w:val="20"/>
                <w:color w:val="auto"/>
              </w:rPr>
            </w:pPr>
            <w:r>
              <w:rPr>
                <w:rFonts w:ascii="Arial" w:cs="Arial" w:eastAsia="Arial" w:hAnsi="Arial"/>
                <w:sz w:val="18"/>
                <w:szCs w:val="18"/>
                <w:color w:val="auto"/>
              </w:rPr>
              <w:t>59</w:t>
            </w: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2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540" w:type="dxa"/>
            <w:vAlign w:val="bottom"/>
            <w:tcBorders>
              <w:bottom w:val="single" w:sz="8" w:color="auto"/>
            </w:tcBorders>
            <w:gridSpan w:val="3"/>
          </w:tcPr>
          <w:p>
            <w:pPr>
              <w:jc w:val="right"/>
              <w:ind w:right="55"/>
              <w:spacing w:after="0"/>
              <w:rPr>
                <w:sz w:val="20"/>
                <w:szCs w:val="20"/>
                <w:color w:val="auto"/>
              </w:rPr>
            </w:pPr>
            <w:r>
              <w:rPr>
                <w:rFonts w:ascii="Arial" w:cs="Arial" w:eastAsia="Arial" w:hAnsi="Arial"/>
                <w:sz w:val="14"/>
                <w:szCs w:val="14"/>
                <w:color w:val="auto"/>
              </w:rPr>
              <w:t>Nine Months Ended September 30, 2015</w:t>
            </w:r>
          </w:p>
        </w:tc>
        <w:tc>
          <w:tcPr>
            <w:tcW w:w="3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140" w:type="dxa"/>
            <w:vAlign w:val="bottom"/>
            <w:gridSpan w:val="2"/>
          </w:tcPr>
          <w:p>
            <w:pPr>
              <w:ind w:left="360"/>
              <w:spacing w:after="0" w:line="131" w:lineRule="exact"/>
              <w:rPr>
                <w:sz w:val="20"/>
                <w:szCs w:val="20"/>
                <w:color w:val="auto"/>
              </w:rPr>
            </w:pPr>
            <w:r>
              <w:rPr>
                <w:rFonts w:ascii="Arial" w:cs="Arial" w:eastAsia="Arial" w:hAnsi="Arial"/>
                <w:sz w:val="14"/>
                <w:szCs w:val="14"/>
                <w:color w:val="auto"/>
              </w:rPr>
              <w:t>Operating Income (Loss)</w:t>
            </w:r>
          </w:p>
        </w:tc>
        <w:tc>
          <w:tcPr>
            <w:tcW w:w="4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920" w:type="dxa"/>
            <w:vAlign w:val="bottom"/>
          </w:tcPr>
          <w:p>
            <w:pPr>
              <w:spacing w:after="0"/>
              <w:rPr>
                <w:sz w:val="11"/>
                <w:szCs w:val="11"/>
                <w:color w:val="auto"/>
              </w:rPr>
            </w:pPr>
          </w:p>
        </w:tc>
        <w:tc>
          <w:tcPr>
            <w:tcW w:w="1700" w:type="dxa"/>
            <w:vAlign w:val="bottom"/>
            <w:gridSpan w:val="2"/>
            <w:vMerge w:val="restart"/>
          </w:tcPr>
          <w:p>
            <w:pPr>
              <w:ind w:left="680"/>
              <w:spacing w:after="0"/>
              <w:rPr>
                <w:sz w:val="20"/>
                <w:szCs w:val="20"/>
                <w:color w:val="auto"/>
              </w:rPr>
            </w:pPr>
            <w:r>
              <w:rPr>
                <w:rFonts w:ascii="Arial" w:cs="Arial" w:eastAsia="Arial" w:hAnsi="Arial"/>
                <w:sz w:val="14"/>
                <w:szCs w:val="14"/>
                <w:color w:val="auto"/>
              </w:rPr>
              <w:t>Revenue</w:t>
            </w:r>
            <w:r>
              <w:rPr>
                <w:rFonts w:ascii="Arial" w:cs="Arial" w:eastAsia="Arial" w:hAnsi="Arial"/>
                <w:sz w:val="22"/>
                <w:szCs w:val="22"/>
                <w:color w:val="auto"/>
                <w:vertAlign w:val="superscript"/>
              </w:rPr>
              <w:t>(c)</w:t>
            </w:r>
          </w:p>
        </w:tc>
        <w:tc>
          <w:tcPr>
            <w:tcW w:w="2140" w:type="dxa"/>
            <w:vAlign w:val="bottom"/>
            <w:gridSpan w:val="2"/>
          </w:tcPr>
          <w:p>
            <w:pPr>
              <w:ind w:left="380"/>
              <w:spacing w:after="0" w:line="133" w:lineRule="exact"/>
              <w:rPr>
                <w:sz w:val="20"/>
                <w:szCs w:val="20"/>
                <w:color w:val="auto"/>
              </w:rPr>
            </w:pPr>
            <w:r>
              <w:rPr>
                <w:rFonts w:ascii="Arial" w:cs="Arial" w:eastAsia="Arial" w:hAnsi="Arial"/>
                <w:sz w:val="14"/>
                <w:szCs w:val="14"/>
                <w:color w:val="auto"/>
              </w:rPr>
              <w:t>Before Depreciation and</w:t>
            </w:r>
          </w:p>
        </w:tc>
        <w:tc>
          <w:tcPr>
            <w:tcW w:w="1940" w:type="dxa"/>
            <w:vAlign w:val="bottom"/>
            <w:gridSpan w:val="2"/>
          </w:tcPr>
          <w:p>
            <w:pPr>
              <w:ind w:left="360"/>
              <w:spacing w:after="0" w:line="133" w:lineRule="exact"/>
              <w:rPr>
                <w:sz w:val="20"/>
                <w:szCs w:val="20"/>
                <w:color w:val="auto"/>
              </w:rPr>
            </w:pPr>
            <w:r>
              <w:rPr>
                <w:rFonts w:ascii="Arial" w:cs="Arial" w:eastAsia="Arial" w:hAnsi="Arial"/>
                <w:sz w:val="14"/>
                <w:szCs w:val="14"/>
                <w:color w:val="auto"/>
              </w:rPr>
              <w:t>Depreciation and</w:t>
            </w:r>
          </w:p>
        </w:tc>
        <w:tc>
          <w:tcPr>
            <w:tcW w:w="1540" w:type="dxa"/>
            <w:vAlign w:val="bottom"/>
            <w:gridSpan w:val="2"/>
          </w:tcPr>
          <w:p>
            <w:pPr>
              <w:ind w:left="140"/>
              <w:spacing w:after="0" w:line="133" w:lineRule="exact"/>
              <w:rPr>
                <w:sz w:val="20"/>
                <w:szCs w:val="20"/>
                <w:color w:val="auto"/>
              </w:rPr>
            </w:pPr>
            <w:r>
              <w:rPr>
                <w:rFonts w:ascii="Arial" w:cs="Arial" w:eastAsia="Arial" w:hAnsi="Arial"/>
                <w:sz w:val="14"/>
                <w:szCs w:val="14"/>
                <w:color w:val="auto"/>
              </w:rPr>
              <w:t>Operating Income</w:t>
            </w:r>
          </w:p>
        </w:tc>
        <w:tc>
          <w:tcPr>
            <w:tcW w:w="500" w:type="dxa"/>
            <w:vAlign w:val="bottom"/>
          </w:tcPr>
          <w:p>
            <w:pPr>
              <w:spacing w:after="0"/>
              <w:rPr>
                <w:sz w:val="11"/>
                <w:szCs w:val="11"/>
                <w:color w:val="auto"/>
              </w:rPr>
            </w:pPr>
          </w:p>
        </w:tc>
        <w:tc>
          <w:tcPr>
            <w:tcW w:w="680" w:type="dxa"/>
            <w:vAlign w:val="bottom"/>
          </w:tcPr>
          <w:p>
            <w:pPr>
              <w:jc w:val="right"/>
              <w:ind w:right="175"/>
              <w:spacing w:after="0" w:line="133" w:lineRule="exact"/>
              <w:rPr>
                <w:sz w:val="20"/>
                <w:szCs w:val="20"/>
                <w:color w:val="auto"/>
              </w:rPr>
            </w:pPr>
            <w:r>
              <w:rPr>
                <w:rFonts w:ascii="Arial" w:cs="Arial" w:eastAsia="Arial" w:hAnsi="Arial"/>
                <w:sz w:val="14"/>
                <w:szCs w:val="14"/>
                <w:color w:val="auto"/>
                <w:w w:val="91"/>
              </w:rPr>
              <w:t>Capital</w:t>
            </w:r>
          </w:p>
        </w:tc>
        <w:tc>
          <w:tcPr>
            <w:tcW w:w="0" w:type="dxa"/>
            <w:vAlign w:val="bottom"/>
          </w:tcPr>
          <w:p>
            <w:pPr>
              <w:spacing w:after="0"/>
              <w:rPr>
                <w:sz w:val="1"/>
                <w:szCs w:val="1"/>
                <w:color w:val="auto"/>
              </w:rPr>
            </w:pPr>
          </w:p>
        </w:tc>
      </w:tr>
      <w:tr>
        <w:trPr>
          <w:trHeight w:val="176"/>
        </w:trPr>
        <w:tc>
          <w:tcPr>
            <w:tcW w:w="29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1700" w:type="dxa"/>
            <w:vAlign w:val="bottom"/>
            <w:tcBorders>
              <w:bottom w:val="single" w:sz="8" w:color="auto"/>
            </w:tcBorders>
            <w:gridSpan w:val="2"/>
            <w:vMerge w:val="continue"/>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597"/>
              <w:spacing w:after="0" w:line="176" w:lineRule="exact"/>
              <w:rPr>
                <w:sz w:val="20"/>
                <w:szCs w:val="20"/>
                <w:color w:val="auto"/>
              </w:rPr>
            </w:pPr>
            <w:r>
              <w:rPr>
                <w:rFonts w:ascii="Arial" w:cs="Arial" w:eastAsia="Arial" w:hAnsi="Arial"/>
                <w:sz w:val="13"/>
                <w:szCs w:val="13"/>
                <w:color w:val="auto"/>
              </w:rPr>
              <w:t>Amortization</w:t>
            </w:r>
            <w:r>
              <w:rPr>
                <w:rFonts w:ascii="Arial" w:cs="Arial" w:eastAsia="Arial" w:hAnsi="Arial"/>
                <w:sz w:val="20"/>
                <w:szCs w:val="20"/>
                <w:color w:val="auto"/>
                <w:vertAlign w:val="superscript"/>
              </w:rPr>
              <w:t>(d)</w:t>
            </w:r>
          </w:p>
        </w:tc>
        <w:tc>
          <w:tcPr>
            <w:tcW w:w="4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color w:val="auto"/>
                <w:w w:val="92"/>
              </w:rPr>
              <w:t>Amortization</w:t>
            </w:r>
          </w:p>
        </w:tc>
        <w:tc>
          <w:tcPr>
            <w:tcW w:w="3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color w:val="auto"/>
              </w:rPr>
              <w:t>(Loss)</w:t>
            </w:r>
          </w:p>
        </w:tc>
        <w:tc>
          <w:tcPr>
            <w:tcW w:w="1180" w:type="dxa"/>
            <w:vAlign w:val="bottom"/>
            <w:tcBorders>
              <w:bottom w:val="single" w:sz="8" w:color="auto"/>
            </w:tcBorders>
            <w:gridSpan w:val="2"/>
          </w:tcPr>
          <w:p>
            <w:pPr>
              <w:ind w:left="380"/>
              <w:spacing w:after="0"/>
              <w:rPr>
                <w:sz w:val="20"/>
                <w:szCs w:val="20"/>
                <w:color w:val="auto"/>
              </w:rPr>
            </w:pPr>
            <w:r>
              <w:rPr>
                <w:rFonts w:ascii="Arial" w:cs="Arial" w:eastAsia="Arial" w:hAnsi="Arial"/>
                <w:sz w:val="14"/>
                <w:szCs w:val="14"/>
                <w:color w:val="auto"/>
                <w:w w:val="95"/>
              </w:rPr>
              <w:t>Expenditures</w:t>
            </w:r>
          </w:p>
        </w:tc>
        <w:tc>
          <w:tcPr>
            <w:tcW w:w="0" w:type="dxa"/>
            <w:vAlign w:val="bottom"/>
          </w:tcPr>
          <w:p>
            <w:pPr>
              <w:spacing w:after="0"/>
              <w:rPr>
                <w:sz w:val="1"/>
                <w:szCs w:val="1"/>
                <w:color w:val="auto"/>
              </w:rPr>
            </w:pPr>
          </w:p>
        </w:tc>
      </w:tr>
      <w:tr>
        <w:trPr>
          <w:trHeight w:val="210"/>
        </w:trPr>
        <w:tc>
          <w:tcPr>
            <w:tcW w:w="2920" w:type="dxa"/>
            <w:vAlign w:val="bottom"/>
            <w:shd w:val="clear" w:color="auto" w:fill="E5E5E5"/>
          </w:tcPr>
          <w:p>
            <w:pPr>
              <w:spacing w:after="0"/>
              <w:rPr>
                <w:sz w:val="20"/>
                <w:szCs w:val="20"/>
                <w:color w:val="auto"/>
              </w:rPr>
            </w:pPr>
            <w:r>
              <w:rPr>
                <w:rFonts w:ascii="Arial" w:cs="Arial" w:eastAsia="Arial" w:hAnsi="Arial"/>
                <w:sz w:val="18"/>
                <w:szCs w:val="18"/>
                <w:color w:val="auto"/>
              </w:rPr>
              <w:t>Cable Networks</w:t>
            </w:r>
          </w:p>
        </w:tc>
        <w:tc>
          <w:tcPr>
            <w:tcW w:w="820" w:type="dxa"/>
            <w:vAlign w:val="bottom"/>
            <w:shd w:val="clear" w:color="auto" w:fill="E5E5E5"/>
          </w:tcPr>
          <w:p>
            <w:pPr>
              <w:ind w:left="660"/>
              <w:spacing w:after="0"/>
              <w:rPr>
                <w:sz w:val="20"/>
                <w:szCs w:val="20"/>
                <w:color w:val="auto"/>
              </w:rPr>
            </w:pPr>
            <w:r>
              <w:rPr>
                <w:rFonts w:ascii="Arial" w:cs="Arial" w:eastAsia="Arial" w:hAnsi="Arial"/>
                <w:sz w:val="18"/>
                <w:szCs w:val="18"/>
                <w:color w:val="auto"/>
              </w:rPr>
              <w:t>$</w:t>
            </w:r>
          </w:p>
        </w:tc>
        <w:tc>
          <w:tcPr>
            <w:tcW w:w="880" w:type="dxa"/>
            <w:vAlign w:val="bottom"/>
            <w:shd w:val="clear" w:color="auto" w:fill="E5E5E5"/>
          </w:tcPr>
          <w:p>
            <w:pPr>
              <w:jc w:val="right"/>
              <w:ind w:right="332"/>
              <w:spacing w:after="0"/>
              <w:rPr>
                <w:sz w:val="20"/>
                <w:szCs w:val="20"/>
                <w:color w:val="auto"/>
              </w:rPr>
            </w:pPr>
            <w:r>
              <w:rPr>
                <w:rFonts w:ascii="Arial" w:cs="Arial" w:eastAsia="Arial" w:hAnsi="Arial"/>
                <w:sz w:val="18"/>
                <w:szCs w:val="18"/>
                <w:color w:val="auto"/>
                <w:w w:val="97"/>
              </w:rPr>
              <w:t>7,221</w:t>
            </w:r>
          </w:p>
        </w:tc>
        <w:tc>
          <w:tcPr>
            <w:tcW w:w="540" w:type="dxa"/>
            <w:vAlign w:val="bottom"/>
            <w:shd w:val="clear" w:color="auto" w:fill="E5E5E5"/>
          </w:tcPr>
          <w:p>
            <w:pPr>
              <w:ind w:left="360"/>
              <w:spacing w:after="0"/>
              <w:rPr>
                <w:sz w:val="20"/>
                <w:szCs w:val="20"/>
                <w:color w:val="auto"/>
              </w:rPr>
            </w:pPr>
            <w:r>
              <w:rPr>
                <w:rFonts w:ascii="Arial" w:cs="Arial" w:eastAsia="Arial" w:hAnsi="Arial"/>
                <w:sz w:val="18"/>
                <w:szCs w:val="18"/>
                <w:color w:val="auto"/>
              </w:rPr>
              <w:t>$</w:t>
            </w:r>
          </w:p>
        </w:tc>
        <w:tc>
          <w:tcPr>
            <w:tcW w:w="1600" w:type="dxa"/>
            <w:vAlign w:val="bottom"/>
            <w:shd w:val="clear" w:color="auto" w:fill="E5E5E5"/>
          </w:tcPr>
          <w:p>
            <w:pPr>
              <w:jc w:val="right"/>
              <w:ind w:right="337"/>
              <w:spacing w:after="0"/>
              <w:rPr>
                <w:sz w:val="20"/>
                <w:szCs w:val="20"/>
                <w:color w:val="auto"/>
              </w:rPr>
            </w:pPr>
            <w:r>
              <w:rPr>
                <w:rFonts w:ascii="Arial" w:cs="Arial" w:eastAsia="Arial" w:hAnsi="Arial"/>
                <w:sz w:val="18"/>
                <w:szCs w:val="18"/>
                <w:color w:val="auto"/>
              </w:rPr>
              <w:t>2,605</w:t>
            </w:r>
          </w:p>
        </w:tc>
        <w:tc>
          <w:tcPr>
            <w:tcW w:w="460" w:type="dxa"/>
            <w:vAlign w:val="bottom"/>
            <w:shd w:val="clear" w:color="auto" w:fill="E5E5E5"/>
          </w:tcPr>
          <w:p>
            <w:pPr>
              <w:ind w:left="36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E5E5E5"/>
          </w:tcPr>
          <w:p>
            <w:pPr>
              <w:jc w:val="right"/>
              <w:ind w:right="555"/>
              <w:spacing w:after="0"/>
              <w:rPr>
                <w:sz w:val="20"/>
                <w:szCs w:val="20"/>
                <w:color w:val="auto"/>
              </w:rPr>
            </w:pPr>
            <w:r>
              <w:rPr>
                <w:rFonts w:ascii="Arial" w:cs="Arial" w:eastAsia="Arial" w:hAnsi="Arial"/>
                <w:sz w:val="18"/>
                <w:szCs w:val="18"/>
                <w:color w:val="auto"/>
              </w:rPr>
              <w:t>588</w:t>
            </w:r>
          </w:p>
        </w:tc>
        <w:tc>
          <w:tcPr>
            <w:tcW w:w="340" w:type="dxa"/>
            <w:vAlign w:val="bottom"/>
            <w:shd w:val="clear" w:color="auto" w:fill="E5E5E5"/>
          </w:tcPr>
          <w:p>
            <w:pPr>
              <w:ind w:left="1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E5E5E5"/>
          </w:tcPr>
          <w:p>
            <w:pPr>
              <w:jc w:val="right"/>
              <w:ind w:right="335"/>
              <w:spacing w:after="0"/>
              <w:rPr>
                <w:sz w:val="20"/>
                <w:szCs w:val="20"/>
                <w:color w:val="auto"/>
              </w:rPr>
            </w:pPr>
            <w:r>
              <w:rPr>
                <w:rFonts w:ascii="Arial" w:cs="Arial" w:eastAsia="Arial" w:hAnsi="Arial"/>
                <w:sz w:val="18"/>
                <w:szCs w:val="18"/>
                <w:color w:val="auto"/>
              </w:rPr>
              <w:t>2,017</w:t>
            </w:r>
          </w:p>
        </w:tc>
        <w:tc>
          <w:tcPr>
            <w:tcW w:w="500" w:type="dxa"/>
            <w:vAlign w:val="bottom"/>
            <w:shd w:val="clear" w:color="auto" w:fill="E5E5E5"/>
          </w:tcPr>
          <w:p>
            <w:pPr>
              <w:ind w:left="360"/>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Broadcast Television</w:t>
            </w:r>
          </w:p>
        </w:tc>
        <w:tc>
          <w:tcPr>
            <w:tcW w:w="820" w:type="dxa"/>
            <w:vAlign w:val="bottom"/>
          </w:tcPr>
          <w:p>
            <w:pPr>
              <w:spacing w:after="0"/>
              <w:rPr>
                <w:sz w:val="18"/>
                <w:szCs w:val="18"/>
                <w:color w:val="auto"/>
              </w:rPr>
            </w:pPr>
          </w:p>
        </w:tc>
        <w:tc>
          <w:tcPr>
            <w:tcW w:w="880" w:type="dxa"/>
            <w:vAlign w:val="bottom"/>
          </w:tcPr>
          <w:p>
            <w:pPr>
              <w:jc w:val="right"/>
              <w:ind w:right="332"/>
              <w:spacing w:after="0"/>
              <w:rPr>
                <w:sz w:val="20"/>
                <w:szCs w:val="20"/>
                <w:color w:val="auto"/>
              </w:rPr>
            </w:pPr>
            <w:r>
              <w:rPr>
                <w:rFonts w:ascii="Arial" w:cs="Arial" w:eastAsia="Arial" w:hAnsi="Arial"/>
                <w:sz w:val="18"/>
                <w:szCs w:val="18"/>
                <w:color w:val="auto"/>
                <w:w w:val="97"/>
              </w:rPr>
              <w:t>6,032</w:t>
            </w:r>
          </w:p>
        </w:tc>
        <w:tc>
          <w:tcPr>
            <w:tcW w:w="540" w:type="dxa"/>
            <w:vAlign w:val="bottom"/>
          </w:tcPr>
          <w:p>
            <w:pPr>
              <w:spacing w:after="0"/>
              <w:rPr>
                <w:sz w:val="18"/>
                <w:szCs w:val="18"/>
                <w:color w:val="auto"/>
              </w:rPr>
            </w:pPr>
          </w:p>
        </w:tc>
        <w:tc>
          <w:tcPr>
            <w:tcW w:w="1600" w:type="dxa"/>
            <w:vAlign w:val="bottom"/>
          </w:tcPr>
          <w:p>
            <w:pPr>
              <w:jc w:val="right"/>
              <w:ind w:right="337"/>
              <w:spacing w:after="0"/>
              <w:rPr>
                <w:sz w:val="20"/>
                <w:szCs w:val="20"/>
                <w:color w:val="auto"/>
              </w:rPr>
            </w:pPr>
            <w:r>
              <w:rPr>
                <w:rFonts w:ascii="Arial" w:cs="Arial" w:eastAsia="Arial" w:hAnsi="Arial"/>
                <w:sz w:val="18"/>
                <w:szCs w:val="18"/>
                <w:color w:val="auto"/>
              </w:rPr>
              <w:t>563</w:t>
            </w:r>
          </w:p>
        </w:tc>
        <w:tc>
          <w:tcPr>
            <w:tcW w:w="460" w:type="dxa"/>
            <w:vAlign w:val="bottom"/>
          </w:tcPr>
          <w:p>
            <w:pPr>
              <w:spacing w:after="0"/>
              <w:rPr>
                <w:sz w:val="18"/>
                <w:szCs w:val="18"/>
                <w:color w:val="auto"/>
              </w:rPr>
            </w:pPr>
          </w:p>
        </w:tc>
        <w:tc>
          <w:tcPr>
            <w:tcW w:w="1480" w:type="dxa"/>
            <w:vAlign w:val="bottom"/>
          </w:tcPr>
          <w:p>
            <w:pPr>
              <w:jc w:val="right"/>
              <w:ind w:right="555"/>
              <w:spacing w:after="0"/>
              <w:rPr>
                <w:sz w:val="20"/>
                <w:szCs w:val="20"/>
                <w:color w:val="auto"/>
              </w:rPr>
            </w:pPr>
            <w:r>
              <w:rPr>
                <w:rFonts w:ascii="Arial" w:cs="Arial" w:eastAsia="Arial" w:hAnsi="Arial"/>
                <w:sz w:val="18"/>
                <w:szCs w:val="18"/>
                <w:color w:val="auto"/>
              </w:rPr>
              <w:t>85</w:t>
            </w:r>
          </w:p>
        </w:tc>
        <w:tc>
          <w:tcPr>
            <w:tcW w:w="340" w:type="dxa"/>
            <w:vAlign w:val="bottom"/>
          </w:tcPr>
          <w:p>
            <w:pPr>
              <w:spacing w:after="0"/>
              <w:rPr>
                <w:sz w:val="18"/>
                <w:szCs w:val="18"/>
                <w:color w:val="auto"/>
              </w:rPr>
            </w:pPr>
          </w:p>
        </w:tc>
        <w:tc>
          <w:tcPr>
            <w:tcW w:w="1200" w:type="dxa"/>
            <w:vAlign w:val="bottom"/>
          </w:tcPr>
          <w:p>
            <w:pPr>
              <w:jc w:val="right"/>
              <w:ind w:right="335"/>
              <w:spacing w:after="0"/>
              <w:rPr>
                <w:sz w:val="20"/>
                <w:szCs w:val="20"/>
                <w:color w:val="auto"/>
              </w:rPr>
            </w:pPr>
            <w:r>
              <w:rPr>
                <w:rFonts w:ascii="Arial" w:cs="Arial" w:eastAsia="Arial" w:hAnsi="Arial"/>
                <w:sz w:val="18"/>
                <w:szCs w:val="18"/>
                <w:color w:val="auto"/>
              </w:rPr>
              <w:t>478</w:t>
            </w:r>
          </w:p>
        </w:tc>
        <w:tc>
          <w:tcPr>
            <w:tcW w:w="500" w:type="dxa"/>
            <w:vAlign w:val="bottom"/>
          </w:tcPr>
          <w:p>
            <w:pPr>
              <w:spacing w:after="0"/>
              <w:rPr>
                <w:sz w:val="18"/>
                <w:szCs w:val="18"/>
                <w:color w:val="auto"/>
              </w:rPr>
            </w:pPr>
          </w:p>
        </w:tc>
        <w:tc>
          <w:tcPr>
            <w:tcW w:w="680" w:type="dxa"/>
            <w:vAlign w:val="bottom"/>
          </w:tcPr>
          <w:p>
            <w:pPr>
              <w:jc w:val="right"/>
              <w:ind w:right="15"/>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920" w:type="dxa"/>
            <w:vAlign w:val="bottom"/>
            <w:shd w:val="clear" w:color="auto" w:fill="E5E5E5"/>
          </w:tcPr>
          <w:p>
            <w:pPr>
              <w:spacing w:after="0"/>
              <w:rPr>
                <w:sz w:val="20"/>
                <w:szCs w:val="20"/>
                <w:color w:val="auto"/>
              </w:rPr>
            </w:pPr>
            <w:r>
              <w:rPr>
                <w:rFonts w:ascii="Arial" w:cs="Arial" w:eastAsia="Arial" w:hAnsi="Arial"/>
                <w:sz w:val="18"/>
                <w:szCs w:val="18"/>
                <w:color w:val="auto"/>
              </w:rPr>
              <w:t>Filmed Entertainment</w:t>
            </w:r>
          </w:p>
        </w:tc>
        <w:tc>
          <w:tcPr>
            <w:tcW w:w="820" w:type="dxa"/>
            <w:vAlign w:val="bottom"/>
            <w:shd w:val="clear" w:color="auto" w:fill="E5E5E5"/>
          </w:tcPr>
          <w:p>
            <w:pPr>
              <w:spacing w:after="0"/>
              <w:rPr>
                <w:sz w:val="18"/>
                <w:szCs w:val="18"/>
                <w:color w:val="auto"/>
              </w:rPr>
            </w:pPr>
          </w:p>
        </w:tc>
        <w:tc>
          <w:tcPr>
            <w:tcW w:w="880" w:type="dxa"/>
            <w:vAlign w:val="bottom"/>
            <w:shd w:val="clear" w:color="auto" w:fill="E5E5E5"/>
          </w:tcPr>
          <w:p>
            <w:pPr>
              <w:jc w:val="right"/>
              <w:ind w:right="332"/>
              <w:spacing w:after="0"/>
              <w:rPr>
                <w:sz w:val="20"/>
                <w:szCs w:val="20"/>
                <w:color w:val="auto"/>
              </w:rPr>
            </w:pPr>
            <w:r>
              <w:rPr>
                <w:rFonts w:ascii="Arial" w:cs="Arial" w:eastAsia="Arial" w:hAnsi="Arial"/>
                <w:sz w:val="18"/>
                <w:szCs w:val="18"/>
                <w:color w:val="auto"/>
                <w:w w:val="97"/>
              </w:rPr>
              <w:t>5,658</w:t>
            </w:r>
          </w:p>
        </w:tc>
        <w:tc>
          <w:tcPr>
            <w:tcW w:w="540" w:type="dxa"/>
            <w:vAlign w:val="bottom"/>
            <w:shd w:val="clear" w:color="auto" w:fill="E5E5E5"/>
          </w:tcPr>
          <w:p>
            <w:pPr>
              <w:spacing w:after="0"/>
              <w:rPr>
                <w:sz w:val="18"/>
                <w:szCs w:val="18"/>
                <w:color w:val="auto"/>
              </w:rPr>
            </w:pPr>
          </w:p>
        </w:tc>
        <w:tc>
          <w:tcPr>
            <w:tcW w:w="1600" w:type="dxa"/>
            <w:vAlign w:val="bottom"/>
            <w:shd w:val="clear" w:color="auto" w:fill="E5E5E5"/>
          </w:tcPr>
          <w:p>
            <w:pPr>
              <w:jc w:val="right"/>
              <w:ind w:right="337"/>
              <w:spacing w:after="0"/>
              <w:rPr>
                <w:sz w:val="20"/>
                <w:szCs w:val="20"/>
                <w:color w:val="auto"/>
              </w:rPr>
            </w:pPr>
            <w:r>
              <w:rPr>
                <w:rFonts w:ascii="Arial" w:cs="Arial" w:eastAsia="Arial" w:hAnsi="Arial"/>
                <w:sz w:val="18"/>
                <w:szCs w:val="18"/>
                <w:color w:val="auto"/>
              </w:rPr>
              <w:t>1,091</w:t>
            </w:r>
          </w:p>
        </w:tc>
        <w:tc>
          <w:tcPr>
            <w:tcW w:w="460" w:type="dxa"/>
            <w:vAlign w:val="bottom"/>
            <w:shd w:val="clear" w:color="auto" w:fill="E5E5E5"/>
          </w:tcPr>
          <w:p>
            <w:pPr>
              <w:spacing w:after="0"/>
              <w:rPr>
                <w:sz w:val="18"/>
                <w:szCs w:val="18"/>
                <w:color w:val="auto"/>
              </w:rPr>
            </w:pPr>
          </w:p>
        </w:tc>
        <w:tc>
          <w:tcPr>
            <w:tcW w:w="1480" w:type="dxa"/>
            <w:vAlign w:val="bottom"/>
            <w:shd w:val="clear" w:color="auto" w:fill="E5E5E5"/>
          </w:tcPr>
          <w:p>
            <w:pPr>
              <w:jc w:val="right"/>
              <w:ind w:right="555"/>
              <w:spacing w:after="0"/>
              <w:rPr>
                <w:sz w:val="20"/>
                <w:szCs w:val="20"/>
                <w:color w:val="auto"/>
              </w:rPr>
            </w:pPr>
            <w:r>
              <w:rPr>
                <w:rFonts w:ascii="Arial" w:cs="Arial" w:eastAsia="Arial" w:hAnsi="Arial"/>
                <w:sz w:val="18"/>
                <w:szCs w:val="18"/>
                <w:color w:val="auto"/>
              </w:rPr>
              <w:t>19</w:t>
            </w:r>
          </w:p>
        </w:tc>
        <w:tc>
          <w:tcPr>
            <w:tcW w:w="340" w:type="dxa"/>
            <w:vAlign w:val="bottom"/>
            <w:shd w:val="clear" w:color="auto" w:fill="E5E5E5"/>
          </w:tcPr>
          <w:p>
            <w:pPr>
              <w:spacing w:after="0"/>
              <w:rPr>
                <w:sz w:val="18"/>
                <w:szCs w:val="18"/>
                <w:color w:val="auto"/>
              </w:rPr>
            </w:pPr>
          </w:p>
        </w:tc>
        <w:tc>
          <w:tcPr>
            <w:tcW w:w="1200" w:type="dxa"/>
            <w:vAlign w:val="bottom"/>
            <w:shd w:val="clear" w:color="auto" w:fill="E5E5E5"/>
          </w:tcPr>
          <w:p>
            <w:pPr>
              <w:jc w:val="right"/>
              <w:ind w:right="335"/>
              <w:spacing w:after="0"/>
              <w:rPr>
                <w:sz w:val="20"/>
                <w:szCs w:val="20"/>
                <w:color w:val="auto"/>
              </w:rPr>
            </w:pPr>
            <w:r>
              <w:rPr>
                <w:rFonts w:ascii="Arial" w:cs="Arial" w:eastAsia="Arial" w:hAnsi="Arial"/>
                <w:sz w:val="18"/>
                <w:szCs w:val="18"/>
                <w:color w:val="auto"/>
              </w:rPr>
              <w:t>1,072</w:t>
            </w:r>
          </w:p>
        </w:tc>
        <w:tc>
          <w:tcPr>
            <w:tcW w:w="5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Theme Parks</w:t>
            </w:r>
          </w:p>
        </w:tc>
        <w:tc>
          <w:tcPr>
            <w:tcW w:w="820" w:type="dxa"/>
            <w:vAlign w:val="bottom"/>
          </w:tcPr>
          <w:p>
            <w:pPr>
              <w:spacing w:after="0"/>
              <w:rPr>
                <w:sz w:val="18"/>
                <w:szCs w:val="18"/>
                <w:color w:val="auto"/>
              </w:rPr>
            </w:pPr>
          </w:p>
        </w:tc>
        <w:tc>
          <w:tcPr>
            <w:tcW w:w="880" w:type="dxa"/>
            <w:vAlign w:val="bottom"/>
          </w:tcPr>
          <w:p>
            <w:pPr>
              <w:jc w:val="right"/>
              <w:ind w:right="332"/>
              <w:spacing w:after="0"/>
              <w:rPr>
                <w:sz w:val="20"/>
                <w:szCs w:val="20"/>
                <w:color w:val="auto"/>
              </w:rPr>
            </w:pPr>
            <w:r>
              <w:rPr>
                <w:rFonts w:ascii="Arial" w:cs="Arial" w:eastAsia="Arial" w:hAnsi="Arial"/>
                <w:sz w:val="18"/>
                <w:szCs w:val="18"/>
                <w:color w:val="auto"/>
                <w:w w:val="97"/>
              </w:rPr>
              <w:t>2,320</w:t>
            </w:r>
          </w:p>
        </w:tc>
        <w:tc>
          <w:tcPr>
            <w:tcW w:w="540" w:type="dxa"/>
            <w:vAlign w:val="bottom"/>
          </w:tcPr>
          <w:p>
            <w:pPr>
              <w:spacing w:after="0"/>
              <w:rPr>
                <w:sz w:val="18"/>
                <w:szCs w:val="18"/>
                <w:color w:val="auto"/>
              </w:rPr>
            </w:pPr>
          </w:p>
        </w:tc>
        <w:tc>
          <w:tcPr>
            <w:tcW w:w="1600" w:type="dxa"/>
            <w:vAlign w:val="bottom"/>
          </w:tcPr>
          <w:p>
            <w:pPr>
              <w:jc w:val="right"/>
              <w:ind w:right="337"/>
              <w:spacing w:after="0"/>
              <w:rPr>
                <w:sz w:val="20"/>
                <w:szCs w:val="20"/>
                <w:color w:val="auto"/>
              </w:rPr>
            </w:pPr>
            <w:r>
              <w:rPr>
                <w:rFonts w:ascii="Arial" w:cs="Arial" w:eastAsia="Arial" w:hAnsi="Arial"/>
                <w:sz w:val="18"/>
                <w:szCs w:val="18"/>
                <w:color w:val="auto"/>
              </w:rPr>
              <w:t>1,075</w:t>
            </w:r>
          </w:p>
        </w:tc>
        <w:tc>
          <w:tcPr>
            <w:tcW w:w="460" w:type="dxa"/>
            <w:vAlign w:val="bottom"/>
          </w:tcPr>
          <w:p>
            <w:pPr>
              <w:spacing w:after="0"/>
              <w:rPr>
                <w:sz w:val="18"/>
                <w:szCs w:val="18"/>
                <w:color w:val="auto"/>
              </w:rPr>
            </w:pPr>
          </w:p>
        </w:tc>
        <w:tc>
          <w:tcPr>
            <w:tcW w:w="1480" w:type="dxa"/>
            <w:vAlign w:val="bottom"/>
          </w:tcPr>
          <w:p>
            <w:pPr>
              <w:jc w:val="right"/>
              <w:ind w:right="555"/>
              <w:spacing w:after="0"/>
              <w:rPr>
                <w:sz w:val="20"/>
                <w:szCs w:val="20"/>
                <w:color w:val="auto"/>
              </w:rPr>
            </w:pPr>
            <w:r>
              <w:rPr>
                <w:rFonts w:ascii="Arial" w:cs="Arial" w:eastAsia="Arial" w:hAnsi="Arial"/>
                <w:sz w:val="18"/>
                <w:szCs w:val="18"/>
                <w:color w:val="auto"/>
              </w:rPr>
              <w:t>214</w:t>
            </w:r>
          </w:p>
        </w:tc>
        <w:tc>
          <w:tcPr>
            <w:tcW w:w="340" w:type="dxa"/>
            <w:vAlign w:val="bottom"/>
          </w:tcPr>
          <w:p>
            <w:pPr>
              <w:spacing w:after="0"/>
              <w:rPr>
                <w:sz w:val="18"/>
                <w:szCs w:val="18"/>
                <w:color w:val="auto"/>
              </w:rPr>
            </w:pPr>
          </w:p>
        </w:tc>
        <w:tc>
          <w:tcPr>
            <w:tcW w:w="1200" w:type="dxa"/>
            <w:vAlign w:val="bottom"/>
          </w:tcPr>
          <w:p>
            <w:pPr>
              <w:jc w:val="right"/>
              <w:ind w:right="335"/>
              <w:spacing w:after="0"/>
              <w:rPr>
                <w:sz w:val="20"/>
                <w:szCs w:val="20"/>
                <w:color w:val="auto"/>
              </w:rPr>
            </w:pPr>
            <w:r>
              <w:rPr>
                <w:rFonts w:ascii="Arial" w:cs="Arial" w:eastAsia="Arial" w:hAnsi="Arial"/>
                <w:sz w:val="18"/>
                <w:szCs w:val="18"/>
                <w:color w:val="auto"/>
              </w:rPr>
              <w:t>861</w:t>
            </w:r>
          </w:p>
        </w:tc>
        <w:tc>
          <w:tcPr>
            <w:tcW w:w="500" w:type="dxa"/>
            <w:vAlign w:val="bottom"/>
          </w:tcPr>
          <w:p>
            <w:pPr>
              <w:spacing w:after="0"/>
              <w:rPr>
                <w:sz w:val="18"/>
                <w:szCs w:val="18"/>
                <w:color w:val="auto"/>
              </w:rPr>
            </w:pPr>
          </w:p>
        </w:tc>
        <w:tc>
          <w:tcPr>
            <w:tcW w:w="680" w:type="dxa"/>
            <w:vAlign w:val="bottom"/>
          </w:tcPr>
          <w:p>
            <w:pPr>
              <w:jc w:val="right"/>
              <w:ind w:right="15"/>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16"/>
        </w:trPr>
        <w:tc>
          <w:tcPr>
            <w:tcW w:w="2920" w:type="dxa"/>
            <w:vAlign w:val="bottom"/>
            <w:shd w:val="clear" w:color="auto" w:fill="E5E5E5"/>
          </w:tcPr>
          <w:p>
            <w:pPr>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11"/>
                <w:szCs w:val="11"/>
                <w:color w:val="auto"/>
              </w:rPr>
              <w:t>(a)</w:t>
            </w:r>
          </w:p>
        </w:tc>
        <w:tc>
          <w:tcPr>
            <w:tcW w:w="820" w:type="dxa"/>
            <w:vAlign w:val="bottom"/>
            <w:shd w:val="clear" w:color="auto" w:fill="E5E5E5"/>
          </w:tcPr>
          <w:p>
            <w:pPr>
              <w:spacing w:after="0"/>
              <w:rPr>
                <w:sz w:val="18"/>
                <w:szCs w:val="18"/>
                <w:color w:val="auto"/>
              </w:rPr>
            </w:pPr>
          </w:p>
        </w:tc>
        <w:tc>
          <w:tcPr>
            <w:tcW w:w="880" w:type="dxa"/>
            <w:vAlign w:val="bottom"/>
            <w:shd w:val="clear" w:color="auto" w:fill="E5E5E5"/>
          </w:tcPr>
          <w:p>
            <w:pPr>
              <w:jc w:val="right"/>
              <w:ind w:right="332"/>
              <w:spacing w:after="0"/>
              <w:rPr>
                <w:sz w:val="20"/>
                <w:szCs w:val="20"/>
                <w:color w:val="auto"/>
              </w:rPr>
            </w:pPr>
            <w:r>
              <w:rPr>
                <w:rFonts w:ascii="Arial" w:cs="Arial" w:eastAsia="Arial" w:hAnsi="Arial"/>
                <w:sz w:val="18"/>
                <w:szCs w:val="18"/>
                <w:color w:val="auto"/>
              </w:rPr>
              <w:t>12</w:t>
            </w:r>
          </w:p>
        </w:tc>
        <w:tc>
          <w:tcPr>
            <w:tcW w:w="540" w:type="dxa"/>
            <w:vAlign w:val="bottom"/>
            <w:shd w:val="clear" w:color="auto" w:fill="E5E5E5"/>
          </w:tcPr>
          <w:p>
            <w:pPr>
              <w:spacing w:after="0"/>
              <w:rPr>
                <w:sz w:val="18"/>
                <w:szCs w:val="18"/>
                <w:color w:val="auto"/>
              </w:rPr>
            </w:pPr>
          </w:p>
        </w:tc>
        <w:tc>
          <w:tcPr>
            <w:tcW w:w="1600" w:type="dxa"/>
            <w:vAlign w:val="bottom"/>
            <w:shd w:val="clear" w:color="auto" w:fill="E5E5E5"/>
          </w:tcPr>
          <w:p>
            <w:pPr>
              <w:jc w:val="right"/>
              <w:ind w:right="277"/>
              <w:spacing w:after="0"/>
              <w:rPr>
                <w:sz w:val="20"/>
                <w:szCs w:val="20"/>
                <w:color w:val="auto"/>
              </w:rPr>
            </w:pPr>
            <w:r>
              <w:rPr>
                <w:rFonts w:ascii="Arial" w:cs="Arial" w:eastAsia="Arial" w:hAnsi="Arial"/>
                <w:sz w:val="18"/>
                <w:szCs w:val="18"/>
                <w:color w:val="auto"/>
              </w:rPr>
              <w:t>(473)</w:t>
            </w:r>
          </w:p>
        </w:tc>
        <w:tc>
          <w:tcPr>
            <w:tcW w:w="460" w:type="dxa"/>
            <w:vAlign w:val="bottom"/>
            <w:shd w:val="clear" w:color="auto" w:fill="E5E5E5"/>
          </w:tcPr>
          <w:p>
            <w:pPr>
              <w:spacing w:after="0"/>
              <w:rPr>
                <w:sz w:val="18"/>
                <w:szCs w:val="18"/>
                <w:color w:val="auto"/>
              </w:rPr>
            </w:pPr>
          </w:p>
        </w:tc>
        <w:tc>
          <w:tcPr>
            <w:tcW w:w="1480" w:type="dxa"/>
            <w:vAlign w:val="bottom"/>
            <w:shd w:val="clear" w:color="auto" w:fill="E5E5E5"/>
          </w:tcPr>
          <w:p>
            <w:pPr>
              <w:jc w:val="right"/>
              <w:ind w:right="555"/>
              <w:spacing w:after="0"/>
              <w:rPr>
                <w:sz w:val="20"/>
                <w:szCs w:val="20"/>
                <w:color w:val="auto"/>
              </w:rPr>
            </w:pPr>
            <w:r>
              <w:rPr>
                <w:rFonts w:ascii="Arial" w:cs="Arial" w:eastAsia="Arial" w:hAnsi="Arial"/>
                <w:sz w:val="18"/>
                <w:szCs w:val="18"/>
                <w:color w:val="auto"/>
              </w:rPr>
              <w:t>243</w:t>
            </w:r>
          </w:p>
        </w:tc>
        <w:tc>
          <w:tcPr>
            <w:tcW w:w="340" w:type="dxa"/>
            <w:vAlign w:val="bottom"/>
            <w:shd w:val="clear" w:color="auto" w:fill="E5E5E5"/>
          </w:tcPr>
          <w:p>
            <w:pPr>
              <w:spacing w:after="0"/>
              <w:rPr>
                <w:sz w:val="18"/>
                <w:szCs w:val="18"/>
                <w:color w:val="auto"/>
              </w:rPr>
            </w:pPr>
          </w:p>
        </w:tc>
        <w:tc>
          <w:tcPr>
            <w:tcW w:w="1200" w:type="dxa"/>
            <w:vAlign w:val="bottom"/>
            <w:shd w:val="clear" w:color="auto" w:fill="E5E5E5"/>
          </w:tcPr>
          <w:p>
            <w:pPr>
              <w:jc w:val="right"/>
              <w:ind w:right="275"/>
              <w:spacing w:after="0"/>
              <w:rPr>
                <w:sz w:val="20"/>
                <w:szCs w:val="20"/>
                <w:color w:val="auto"/>
              </w:rPr>
            </w:pPr>
            <w:r>
              <w:rPr>
                <w:rFonts w:ascii="Arial" w:cs="Arial" w:eastAsia="Arial" w:hAnsi="Arial"/>
                <w:sz w:val="18"/>
                <w:szCs w:val="18"/>
                <w:color w:val="auto"/>
              </w:rPr>
              <w:t>(716)</w:t>
            </w:r>
          </w:p>
        </w:tc>
        <w:tc>
          <w:tcPr>
            <w:tcW w:w="5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16"/>
        </w:trPr>
        <w:tc>
          <w:tcPr>
            <w:tcW w:w="2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(b)</w:t>
            </w:r>
          </w:p>
        </w:tc>
        <w:tc>
          <w:tcPr>
            <w:tcW w:w="8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(258)</w:t>
            </w:r>
          </w:p>
        </w:tc>
        <w:tc>
          <w:tcPr>
            <w:tcW w:w="5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277"/>
              <w:spacing w:after="0"/>
              <w:rPr>
                <w:sz w:val="20"/>
                <w:szCs w:val="20"/>
                <w:color w:val="auto"/>
              </w:rPr>
            </w:pPr>
            <w:r>
              <w:rPr>
                <w:rFonts w:ascii="Arial" w:cs="Arial" w:eastAsia="Arial" w:hAnsi="Arial"/>
                <w:sz w:val="18"/>
                <w:szCs w:val="18"/>
                <w:color w:val="auto"/>
              </w:rPr>
              <w:t>(54)</w:t>
            </w:r>
          </w:p>
        </w:tc>
        <w:tc>
          <w:tcPr>
            <w:tcW w:w="4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555"/>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75"/>
              <w:spacing w:after="0"/>
              <w:rPr>
                <w:sz w:val="20"/>
                <w:szCs w:val="20"/>
                <w:color w:val="auto"/>
              </w:rPr>
            </w:pPr>
            <w:r>
              <w:rPr>
                <w:rFonts w:ascii="Arial" w:cs="Arial" w:eastAsia="Arial" w:hAnsi="Arial"/>
                <w:sz w:val="18"/>
                <w:szCs w:val="18"/>
                <w:color w:val="auto"/>
              </w:rPr>
              <w:t>(54)</w:t>
            </w:r>
          </w:p>
        </w:tc>
        <w:tc>
          <w:tcPr>
            <w:tcW w:w="5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9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w:t>
            </w:r>
          </w:p>
        </w:tc>
        <w:tc>
          <w:tcPr>
            <w:tcW w:w="1700" w:type="dxa"/>
            <w:vAlign w:val="bottom"/>
            <w:tcBorders>
              <w:bottom w:val="single" w:sz="8" w:color="auto"/>
            </w:tcBorders>
            <w:gridSpan w:val="2"/>
            <w:shd w:val="clear" w:color="auto" w:fill="E5E5E5"/>
          </w:tcPr>
          <w:p>
            <w:pPr>
              <w:jc w:val="right"/>
              <w:ind w:right="332"/>
              <w:spacing w:after="0"/>
              <w:rPr>
                <w:sz w:val="20"/>
                <w:szCs w:val="20"/>
                <w:color w:val="auto"/>
              </w:rPr>
            </w:pPr>
            <w:r>
              <w:rPr>
                <w:rFonts w:ascii="Arial" w:cs="Arial" w:eastAsia="Arial" w:hAnsi="Arial"/>
                <w:sz w:val="18"/>
                <w:szCs w:val="18"/>
                <w:b w:val="1"/>
                <w:bCs w:val="1"/>
                <w:color w:val="auto"/>
              </w:rPr>
              <w:t>$ 20,985</w:t>
            </w:r>
          </w:p>
        </w:tc>
        <w:tc>
          <w:tcPr>
            <w:tcW w:w="540" w:type="dxa"/>
            <w:vAlign w:val="bottom"/>
            <w:tcBorders>
              <w:bottom w:val="single" w:sz="8" w:color="auto"/>
            </w:tcBorders>
            <w:shd w:val="clear" w:color="auto" w:fill="E5E5E5"/>
          </w:tcPr>
          <w:p>
            <w:pPr>
              <w:ind w:left="360"/>
              <w:spacing w:after="0"/>
              <w:rPr>
                <w:sz w:val="20"/>
                <w:szCs w:val="20"/>
                <w:color w:val="auto"/>
              </w:rPr>
            </w:pPr>
            <w:r>
              <w:rPr>
                <w:rFonts w:ascii="Arial" w:cs="Arial" w:eastAsia="Arial" w:hAnsi="Arial"/>
                <w:sz w:val="18"/>
                <w:szCs w:val="18"/>
                <w:b w:val="1"/>
                <w:bCs w:val="1"/>
                <w:color w:val="auto"/>
              </w:rPr>
              <w:t>$</w:t>
            </w:r>
          </w:p>
        </w:tc>
        <w:tc>
          <w:tcPr>
            <w:tcW w:w="1600" w:type="dxa"/>
            <w:vAlign w:val="bottom"/>
            <w:tcBorders>
              <w:bottom w:val="single" w:sz="8" w:color="auto"/>
            </w:tcBorders>
            <w:shd w:val="clear" w:color="auto" w:fill="E5E5E5"/>
          </w:tcPr>
          <w:p>
            <w:pPr>
              <w:jc w:val="right"/>
              <w:ind w:right="337"/>
              <w:spacing w:after="0"/>
              <w:rPr>
                <w:sz w:val="20"/>
                <w:szCs w:val="20"/>
                <w:color w:val="auto"/>
              </w:rPr>
            </w:pPr>
            <w:r>
              <w:rPr>
                <w:rFonts w:ascii="Arial" w:cs="Arial" w:eastAsia="Arial" w:hAnsi="Arial"/>
                <w:sz w:val="18"/>
                <w:szCs w:val="18"/>
                <w:b w:val="1"/>
                <w:bCs w:val="1"/>
                <w:color w:val="auto"/>
              </w:rPr>
              <w:t>4,807</w:t>
            </w:r>
          </w:p>
        </w:tc>
        <w:tc>
          <w:tcPr>
            <w:tcW w:w="460" w:type="dxa"/>
            <w:vAlign w:val="bottom"/>
            <w:tcBorders>
              <w:bottom w:val="single" w:sz="8" w:color="auto"/>
            </w:tcBorders>
            <w:shd w:val="clear" w:color="auto" w:fill="E5E5E5"/>
          </w:tcPr>
          <w:p>
            <w:pPr>
              <w:ind w:left="360"/>
              <w:spacing w:after="0"/>
              <w:rPr>
                <w:sz w:val="20"/>
                <w:szCs w:val="20"/>
                <w:color w:val="auto"/>
              </w:rPr>
            </w:pPr>
            <w:r>
              <w:rPr>
                <w:rFonts w:ascii="Arial" w:cs="Arial" w:eastAsia="Arial" w:hAnsi="Arial"/>
                <w:sz w:val="18"/>
                <w:szCs w:val="18"/>
                <w:b w:val="1"/>
                <w:bCs w:val="1"/>
                <w:color w:val="auto"/>
                <w:w w:val="79"/>
              </w:rPr>
              <w:t>$</w:t>
            </w:r>
          </w:p>
        </w:tc>
        <w:tc>
          <w:tcPr>
            <w:tcW w:w="1480" w:type="dxa"/>
            <w:vAlign w:val="bottom"/>
            <w:tcBorders>
              <w:bottom w:val="single" w:sz="8" w:color="auto"/>
            </w:tcBorders>
            <w:shd w:val="clear" w:color="auto" w:fill="E5E5E5"/>
          </w:tcPr>
          <w:p>
            <w:pPr>
              <w:jc w:val="right"/>
              <w:ind w:right="555"/>
              <w:spacing w:after="0"/>
              <w:rPr>
                <w:sz w:val="20"/>
                <w:szCs w:val="20"/>
                <w:color w:val="auto"/>
              </w:rPr>
            </w:pPr>
            <w:r>
              <w:rPr>
                <w:rFonts w:ascii="Arial" w:cs="Arial" w:eastAsia="Arial" w:hAnsi="Arial"/>
                <w:sz w:val="18"/>
                <w:szCs w:val="18"/>
                <w:b w:val="1"/>
                <w:bCs w:val="1"/>
                <w:color w:val="auto"/>
              </w:rPr>
              <w:t>1,149</w:t>
            </w:r>
          </w:p>
        </w:tc>
        <w:tc>
          <w:tcPr>
            <w:tcW w:w="340" w:type="dxa"/>
            <w:vAlign w:val="bottom"/>
            <w:tcBorders>
              <w:bottom w:val="single" w:sz="8" w:color="auto"/>
            </w:tcBorders>
            <w:shd w:val="clear" w:color="auto" w:fill="E5E5E5"/>
          </w:tcPr>
          <w:p>
            <w:pPr>
              <w:ind w:left="14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shd w:val="clear" w:color="auto" w:fill="E5E5E5"/>
          </w:tcPr>
          <w:p>
            <w:pPr>
              <w:jc w:val="right"/>
              <w:ind w:right="335"/>
              <w:spacing w:after="0"/>
              <w:rPr>
                <w:sz w:val="20"/>
                <w:szCs w:val="20"/>
                <w:color w:val="auto"/>
              </w:rPr>
            </w:pPr>
            <w:r>
              <w:rPr>
                <w:rFonts w:ascii="Arial" w:cs="Arial" w:eastAsia="Arial" w:hAnsi="Arial"/>
                <w:sz w:val="18"/>
                <w:szCs w:val="18"/>
                <w:b w:val="1"/>
                <w:bCs w:val="1"/>
                <w:color w:val="auto"/>
              </w:rPr>
              <w:t>3,658</w:t>
            </w:r>
          </w:p>
        </w:tc>
        <w:tc>
          <w:tcPr>
            <w:tcW w:w="500" w:type="dxa"/>
            <w:vAlign w:val="bottom"/>
            <w:tcBorders>
              <w:bottom w:val="single" w:sz="8" w:color="auto"/>
            </w:tcBorders>
            <w:shd w:val="clear" w:color="auto" w:fill="E5E5E5"/>
          </w:tcPr>
          <w:p>
            <w:pPr>
              <w:ind w:left="360"/>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b w:val="1"/>
                <w:bCs w:val="1"/>
                <w:color w:val="auto"/>
              </w:rPr>
              <w:t>829</w:t>
            </w:r>
          </w:p>
        </w:tc>
        <w:tc>
          <w:tcPr>
            <w:tcW w:w="0" w:type="dxa"/>
            <w:vAlign w:val="bottom"/>
          </w:tcPr>
          <w:p>
            <w:pPr>
              <w:spacing w:after="0"/>
              <w:rPr>
                <w:sz w:val="1"/>
                <w:szCs w:val="1"/>
                <w:color w:val="auto"/>
              </w:rPr>
            </w:pPr>
          </w:p>
        </w:tc>
      </w:tr>
      <w:tr>
        <w:trPr>
          <w:trHeight w:val="284"/>
        </w:trPr>
        <w:tc>
          <w:tcPr>
            <w:tcW w:w="292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3"/>
          </w:tcPr>
          <w:p>
            <w:pPr>
              <w:jc w:val="right"/>
              <w:ind w:right="55"/>
              <w:spacing w:after="0"/>
              <w:rPr>
                <w:sz w:val="20"/>
                <w:szCs w:val="20"/>
                <w:color w:val="auto"/>
              </w:rPr>
            </w:pPr>
            <w:r>
              <w:rPr>
                <w:rFonts w:ascii="Arial" w:cs="Arial" w:eastAsia="Arial" w:hAnsi="Arial"/>
                <w:sz w:val="14"/>
                <w:szCs w:val="14"/>
                <w:color w:val="auto"/>
              </w:rPr>
              <w:t>Nine Months Ended September 30, 2014</w:t>
            </w: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140" w:type="dxa"/>
            <w:vAlign w:val="bottom"/>
            <w:gridSpan w:val="2"/>
          </w:tcPr>
          <w:p>
            <w:pPr>
              <w:ind w:left="360"/>
              <w:spacing w:after="0" w:line="131" w:lineRule="exact"/>
              <w:rPr>
                <w:sz w:val="20"/>
                <w:szCs w:val="20"/>
                <w:color w:val="auto"/>
              </w:rPr>
            </w:pPr>
            <w:r>
              <w:rPr>
                <w:rFonts w:ascii="Arial" w:cs="Arial" w:eastAsia="Arial" w:hAnsi="Arial"/>
                <w:sz w:val="14"/>
                <w:szCs w:val="14"/>
                <w:color w:val="auto"/>
              </w:rPr>
              <w:t>Operating Income (Loss)</w:t>
            </w:r>
          </w:p>
        </w:tc>
        <w:tc>
          <w:tcPr>
            <w:tcW w:w="4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920" w:type="dxa"/>
            <w:vAlign w:val="bottom"/>
          </w:tcPr>
          <w:p>
            <w:pPr>
              <w:spacing w:after="0"/>
              <w:rPr>
                <w:sz w:val="11"/>
                <w:szCs w:val="11"/>
                <w:color w:val="auto"/>
              </w:rPr>
            </w:pPr>
          </w:p>
        </w:tc>
        <w:tc>
          <w:tcPr>
            <w:tcW w:w="1700" w:type="dxa"/>
            <w:vAlign w:val="bottom"/>
            <w:gridSpan w:val="2"/>
            <w:vMerge w:val="restart"/>
          </w:tcPr>
          <w:p>
            <w:pPr>
              <w:ind w:left="680"/>
              <w:spacing w:after="0"/>
              <w:rPr>
                <w:sz w:val="20"/>
                <w:szCs w:val="20"/>
                <w:color w:val="auto"/>
              </w:rPr>
            </w:pPr>
            <w:r>
              <w:rPr>
                <w:rFonts w:ascii="Arial" w:cs="Arial" w:eastAsia="Arial" w:hAnsi="Arial"/>
                <w:sz w:val="14"/>
                <w:szCs w:val="14"/>
                <w:color w:val="auto"/>
              </w:rPr>
              <w:t>Revenue</w:t>
            </w:r>
            <w:r>
              <w:rPr>
                <w:rFonts w:ascii="Arial" w:cs="Arial" w:eastAsia="Arial" w:hAnsi="Arial"/>
                <w:sz w:val="22"/>
                <w:szCs w:val="22"/>
                <w:color w:val="auto"/>
                <w:vertAlign w:val="superscript"/>
              </w:rPr>
              <w:t>(c)</w:t>
            </w:r>
          </w:p>
        </w:tc>
        <w:tc>
          <w:tcPr>
            <w:tcW w:w="2140" w:type="dxa"/>
            <w:vAlign w:val="bottom"/>
            <w:gridSpan w:val="2"/>
          </w:tcPr>
          <w:p>
            <w:pPr>
              <w:ind w:left="380"/>
              <w:spacing w:after="0" w:line="133" w:lineRule="exact"/>
              <w:rPr>
                <w:sz w:val="20"/>
                <w:szCs w:val="20"/>
                <w:color w:val="auto"/>
              </w:rPr>
            </w:pPr>
            <w:r>
              <w:rPr>
                <w:rFonts w:ascii="Arial" w:cs="Arial" w:eastAsia="Arial" w:hAnsi="Arial"/>
                <w:sz w:val="14"/>
                <w:szCs w:val="14"/>
                <w:color w:val="auto"/>
              </w:rPr>
              <w:t>Before Depreciation and</w:t>
            </w:r>
          </w:p>
        </w:tc>
        <w:tc>
          <w:tcPr>
            <w:tcW w:w="1940" w:type="dxa"/>
            <w:vAlign w:val="bottom"/>
            <w:gridSpan w:val="2"/>
          </w:tcPr>
          <w:p>
            <w:pPr>
              <w:ind w:left="360"/>
              <w:spacing w:after="0" w:line="133" w:lineRule="exact"/>
              <w:rPr>
                <w:sz w:val="20"/>
                <w:szCs w:val="20"/>
                <w:color w:val="auto"/>
              </w:rPr>
            </w:pPr>
            <w:r>
              <w:rPr>
                <w:rFonts w:ascii="Arial" w:cs="Arial" w:eastAsia="Arial" w:hAnsi="Arial"/>
                <w:sz w:val="14"/>
                <w:szCs w:val="14"/>
                <w:color w:val="auto"/>
              </w:rPr>
              <w:t>Depreciation and</w:t>
            </w:r>
          </w:p>
        </w:tc>
        <w:tc>
          <w:tcPr>
            <w:tcW w:w="1540" w:type="dxa"/>
            <w:vAlign w:val="bottom"/>
            <w:gridSpan w:val="2"/>
          </w:tcPr>
          <w:p>
            <w:pPr>
              <w:ind w:left="140"/>
              <w:spacing w:after="0" w:line="133" w:lineRule="exact"/>
              <w:rPr>
                <w:sz w:val="20"/>
                <w:szCs w:val="20"/>
                <w:color w:val="auto"/>
              </w:rPr>
            </w:pPr>
            <w:r>
              <w:rPr>
                <w:rFonts w:ascii="Arial" w:cs="Arial" w:eastAsia="Arial" w:hAnsi="Arial"/>
                <w:sz w:val="14"/>
                <w:szCs w:val="14"/>
                <w:color w:val="auto"/>
              </w:rPr>
              <w:t>Operating Income</w:t>
            </w:r>
          </w:p>
        </w:tc>
        <w:tc>
          <w:tcPr>
            <w:tcW w:w="500" w:type="dxa"/>
            <w:vAlign w:val="bottom"/>
          </w:tcPr>
          <w:p>
            <w:pPr>
              <w:spacing w:after="0"/>
              <w:rPr>
                <w:sz w:val="11"/>
                <w:szCs w:val="11"/>
                <w:color w:val="auto"/>
              </w:rPr>
            </w:pPr>
          </w:p>
        </w:tc>
        <w:tc>
          <w:tcPr>
            <w:tcW w:w="680" w:type="dxa"/>
            <w:vAlign w:val="bottom"/>
          </w:tcPr>
          <w:p>
            <w:pPr>
              <w:jc w:val="right"/>
              <w:ind w:right="175"/>
              <w:spacing w:after="0" w:line="133" w:lineRule="exact"/>
              <w:rPr>
                <w:sz w:val="20"/>
                <w:szCs w:val="20"/>
                <w:color w:val="auto"/>
              </w:rPr>
            </w:pPr>
            <w:r>
              <w:rPr>
                <w:rFonts w:ascii="Arial" w:cs="Arial" w:eastAsia="Arial" w:hAnsi="Arial"/>
                <w:sz w:val="14"/>
                <w:szCs w:val="14"/>
                <w:color w:val="auto"/>
                <w:w w:val="91"/>
              </w:rPr>
              <w:t>Capital</w:t>
            </w:r>
          </w:p>
        </w:tc>
        <w:tc>
          <w:tcPr>
            <w:tcW w:w="0" w:type="dxa"/>
            <w:vAlign w:val="bottom"/>
          </w:tcPr>
          <w:p>
            <w:pPr>
              <w:spacing w:after="0"/>
              <w:rPr>
                <w:sz w:val="1"/>
                <w:szCs w:val="1"/>
                <w:color w:val="auto"/>
              </w:rPr>
            </w:pPr>
          </w:p>
        </w:tc>
      </w:tr>
      <w:tr>
        <w:trPr>
          <w:trHeight w:val="176"/>
        </w:trPr>
        <w:tc>
          <w:tcPr>
            <w:tcW w:w="29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1700" w:type="dxa"/>
            <w:vAlign w:val="bottom"/>
            <w:tcBorders>
              <w:bottom w:val="single" w:sz="8" w:color="auto"/>
            </w:tcBorders>
            <w:gridSpan w:val="2"/>
            <w:vMerge w:val="continue"/>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597"/>
              <w:spacing w:after="0" w:line="176" w:lineRule="exact"/>
              <w:rPr>
                <w:sz w:val="20"/>
                <w:szCs w:val="20"/>
                <w:color w:val="auto"/>
              </w:rPr>
            </w:pPr>
            <w:r>
              <w:rPr>
                <w:rFonts w:ascii="Arial" w:cs="Arial" w:eastAsia="Arial" w:hAnsi="Arial"/>
                <w:sz w:val="13"/>
                <w:szCs w:val="13"/>
                <w:color w:val="auto"/>
              </w:rPr>
              <w:t>Amortization</w:t>
            </w:r>
            <w:r>
              <w:rPr>
                <w:rFonts w:ascii="Arial" w:cs="Arial" w:eastAsia="Arial" w:hAnsi="Arial"/>
                <w:sz w:val="20"/>
                <w:szCs w:val="20"/>
                <w:color w:val="auto"/>
                <w:vertAlign w:val="superscript"/>
              </w:rPr>
              <w:t>(d)</w:t>
            </w:r>
          </w:p>
        </w:tc>
        <w:tc>
          <w:tcPr>
            <w:tcW w:w="4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color w:val="auto"/>
                <w:w w:val="92"/>
              </w:rPr>
              <w:t>Amortization</w:t>
            </w:r>
          </w:p>
        </w:tc>
        <w:tc>
          <w:tcPr>
            <w:tcW w:w="3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color w:val="auto"/>
              </w:rPr>
              <w:t>(Loss)</w:t>
            </w:r>
          </w:p>
        </w:tc>
        <w:tc>
          <w:tcPr>
            <w:tcW w:w="1180" w:type="dxa"/>
            <w:vAlign w:val="bottom"/>
            <w:tcBorders>
              <w:bottom w:val="single" w:sz="8" w:color="auto"/>
            </w:tcBorders>
            <w:gridSpan w:val="2"/>
          </w:tcPr>
          <w:p>
            <w:pPr>
              <w:ind w:left="380"/>
              <w:spacing w:after="0"/>
              <w:rPr>
                <w:sz w:val="20"/>
                <w:szCs w:val="20"/>
                <w:color w:val="auto"/>
              </w:rPr>
            </w:pPr>
            <w:r>
              <w:rPr>
                <w:rFonts w:ascii="Arial" w:cs="Arial" w:eastAsia="Arial" w:hAnsi="Arial"/>
                <w:sz w:val="14"/>
                <w:szCs w:val="14"/>
                <w:color w:val="auto"/>
                <w:w w:val="95"/>
              </w:rPr>
              <w:t>Expenditures</w:t>
            </w:r>
          </w:p>
        </w:tc>
        <w:tc>
          <w:tcPr>
            <w:tcW w:w="0" w:type="dxa"/>
            <w:vAlign w:val="bottom"/>
          </w:tcPr>
          <w:p>
            <w:pPr>
              <w:spacing w:after="0"/>
              <w:rPr>
                <w:sz w:val="1"/>
                <w:szCs w:val="1"/>
                <w:color w:val="auto"/>
              </w:rPr>
            </w:pPr>
          </w:p>
        </w:tc>
      </w:tr>
      <w:tr>
        <w:trPr>
          <w:trHeight w:val="210"/>
        </w:trPr>
        <w:tc>
          <w:tcPr>
            <w:tcW w:w="2920" w:type="dxa"/>
            <w:vAlign w:val="bottom"/>
            <w:shd w:val="clear" w:color="auto" w:fill="E5E5E5"/>
          </w:tcPr>
          <w:p>
            <w:pPr>
              <w:spacing w:after="0"/>
              <w:rPr>
                <w:sz w:val="20"/>
                <w:szCs w:val="20"/>
                <w:color w:val="auto"/>
              </w:rPr>
            </w:pPr>
            <w:r>
              <w:rPr>
                <w:rFonts w:ascii="Arial" w:cs="Arial" w:eastAsia="Arial" w:hAnsi="Arial"/>
                <w:sz w:val="18"/>
                <w:szCs w:val="18"/>
                <w:color w:val="auto"/>
              </w:rPr>
              <w:t>Cable Networks</w:t>
            </w:r>
          </w:p>
        </w:tc>
        <w:tc>
          <w:tcPr>
            <w:tcW w:w="820" w:type="dxa"/>
            <w:vAlign w:val="bottom"/>
            <w:shd w:val="clear" w:color="auto" w:fill="E5E5E5"/>
          </w:tcPr>
          <w:p>
            <w:pPr>
              <w:ind w:left="660"/>
              <w:spacing w:after="0"/>
              <w:rPr>
                <w:sz w:val="20"/>
                <w:szCs w:val="20"/>
                <w:color w:val="auto"/>
              </w:rPr>
            </w:pPr>
            <w:r>
              <w:rPr>
                <w:rFonts w:ascii="Arial" w:cs="Arial" w:eastAsia="Arial" w:hAnsi="Arial"/>
                <w:sz w:val="18"/>
                <w:szCs w:val="18"/>
                <w:color w:val="auto"/>
              </w:rPr>
              <w:t>$</w:t>
            </w:r>
          </w:p>
        </w:tc>
        <w:tc>
          <w:tcPr>
            <w:tcW w:w="880" w:type="dxa"/>
            <w:vAlign w:val="bottom"/>
            <w:shd w:val="clear" w:color="auto" w:fill="E5E5E5"/>
          </w:tcPr>
          <w:p>
            <w:pPr>
              <w:jc w:val="right"/>
              <w:ind w:right="332"/>
              <w:spacing w:after="0"/>
              <w:rPr>
                <w:sz w:val="20"/>
                <w:szCs w:val="20"/>
                <w:color w:val="auto"/>
              </w:rPr>
            </w:pPr>
            <w:r>
              <w:rPr>
                <w:rFonts w:ascii="Arial" w:cs="Arial" w:eastAsia="Arial" w:hAnsi="Arial"/>
                <w:sz w:val="18"/>
                <w:szCs w:val="18"/>
                <w:color w:val="auto"/>
                <w:w w:val="97"/>
              </w:rPr>
              <w:t>7,236</w:t>
            </w:r>
          </w:p>
        </w:tc>
        <w:tc>
          <w:tcPr>
            <w:tcW w:w="540" w:type="dxa"/>
            <w:vAlign w:val="bottom"/>
            <w:shd w:val="clear" w:color="auto" w:fill="E5E5E5"/>
          </w:tcPr>
          <w:p>
            <w:pPr>
              <w:ind w:left="360"/>
              <w:spacing w:after="0"/>
              <w:rPr>
                <w:sz w:val="20"/>
                <w:szCs w:val="20"/>
                <w:color w:val="auto"/>
              </w:rPr>
            </w:pPr>
            <w:r>
              <w:rPr>
                <w:rFonts w:ascii="Arial" w:cs="Arial" w:eastAsia="Arial" w:hAnsi="Arial"/>
                <w:sz w:val="18"/>
                <w:szCs w:val="18"/>
                <w:color w:val="auto"/>
              </w:rPr>
              <w:t>$</w:t>
            </w:r>
          </w:p>
        </w:tc>
        <w:tc>
          <w:tcPr>
            <w:tcW w:w="1600" w:type="dxa"/>
            <w:vAlign w:val="bottom"/>
            <w:shd w:val="clear" w:color="auto" w:fill="E5E5E5"/>
          </w:tcPr>
          <w:p>
            <w:pPr>
              <w:jc w:val="right"/>
              <w:ind w:right="337"/>
              <w:spacing w:after="0"/>
              <w:rPr>
                <w:sz w:val="20"/>
                <w:szCs w:val="20"/>
                <w:color w:val="auto"/>
              </w:rPr>
            </w:pPr>
            <w:r>
              <w:rPr>
                <w:rFonts w:ascii="Arial" w:cs="Arial" w:eastAsia="Arial" w:hAnsi="Arial"/>
                <w:sz w:val="18"/>
                <w:szCs w:val="18"/>
                <w:color w:val="auto"/>
              </w:rPr>
              <w:t>2,677</w:t>
            </w:r>
          </w:p>
        </w:tc>
        <w:tc>
          <w:tcPr>
            <w:tcW w:w="460" w:type="dxa"/>
            <w:vAlign w:val="bottom"/>
            <w:shd w:val="clear" w:color="auto" w:fill="E5E5E5"/>
          </w:tcPr>
          <w:p>
            <w:pPr>
              <w:ind w:left="36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E5E5E5"/>
          </w:tcPr>
          <w:p>
            <w:pPr>
              <w:jc w:val="right"/>
              <w:ind w:right="555"/>
              <w:spacing w:after="0"/>
              <w:rPr>
                <w:sz w:val="20"/>
                <w:szCs w:val="20"/>
                <w:color w:val="auto"/>
              </w:rPr>
            </w:pPr>
            <w:r>
              <w:rPr>
                <w:rFonts w:ascii="Arial" w:cs="Arial" w:eastAsia="Arial" w:hAnsi="Arial"/>
                <w:sz w:val="18"/>
                <w:szCs w:val="18"/>
                <w:color w:val="auto"/>
              </w:rPr>
              <w:t>558</w:t>
            </w:r>
          </w:p>
        </w:tc>
        <w:tc>
          <w:tcPr>
            <w:tcW w:w="340" w:type="dxa"/>
            <w:vAlign w:val="bottom"/>
            <w:shd w:val="clear" w:color="auto" w:fill="E5E5E5"/>
          </w:tcPr>
          <w:p>
            <w:pPr>
              <w:ind w:left="1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E5E5E5"/>
          </w:tcPr>
          <w:p>
            <w:pPr>
              <w:jc w:val="right"/>
              <w:ind w:right="335"/>
              <w:spacing w:after="0"/>
              <w:rPr>
                <w:sz w:val="20"/>
                <w:szCs w:val="20"/>
                <w:color w:val="auto"/>
              </w:rPr>
            </w:pPr>
            <w:r>
              <w:rPr>
                <w:rFonts w:ascii="Arial" w:cs="Arial" w:eastAsia="Arial" w:hAnsi="Arial"/>
                <w:sz w:val="18"/>
                <w:szCs w:val="18"/>
                <w:color w:val="auto"/>
              </w:rPr>
              <w:t>2,119</w:t>
            </w:r>
          </w:p>
        </w:tc>
        <w:tc>
          <w:tcPr>
            <w:tcW w:w="500" w:type="dxa"/>
            <w:vAlign w:val="bottom"/>
            <w:shd w:val="clear" w:color="auto" w:fill="E5E5E5"/>
          </w:tcPr>
          <w:p>
            <w:pPr>
              <w:ind w:left="360"/>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Broadcast Television</w:t>
            </w:r>
          </w:p>
        </w:tc>
        <w:tc>
          <w:tcPr>
            <w:tcW w:w="820" w:type="dxa"/>
            <w:vAlign w:val="bottom"/>
          </w:tcPr>
          <w:p>
            <w:pPr>
              <w:spacing w:after="0"/>
              <w:rPr>
                <w:sz w:val="18"/>
                <w:szCs w:val="18"/>
                <w:color w:val="auto"/>
              </w:rPr>
            </w:pPr>
          </w:p>
        </w:tc>
        <w:tc>
          <w:tcPr>
            <w:tcW w:w="880" w:type="dxa"/>
            <w:vAlign w:val="bottom"/>
          </w:tcPr>
          <w:p>
            <w:pPr>
              <w:jc w:val="right"/>
              <w:ind w:right="332"/>
              <w:spacing w:after="0"/>
              <w:rPr>
                <w:sz w:val="20"/>
                <w:szCs w:val="20"/>
                <w:color w:val="auto"/>
              </w:rPr>
            </w:pPr>
            <w:r>
              <w:rPr>
                <w:rFonts w:ascii="Arial" w:cs="Arial" w:eastAsia="Arial" w:hAnsi="Arial"/>
                <w:sz w:val="18"/>
                <w:szCs w:val="18"/>
                <w:color w:val="auto"/>
                <w:w w:val="97"/>
              </w:rPr>
              <w:t>6,207</w:t>
            </w:r>
          </w:p>
        </w:tc>
        <w:tc>
          <w:tcPr>
            <w:tcW w:w="540" w:type="dxa"/>
            <w:vAlign w:val="bottom"/>
          </w:tcPr>
          <w:p>
            <w:pPr>
              <w:spacing w:after="0"/>
              <w:rPr>
                <w:sz w:val="18"/>
                <w:szCs w:val="18"/>
                <w:color w:val="auto"/>
              </w:rPr>
            </w:pPr>
          </w:p>
        </w:tc>
        <w:tc>
          <w:tcPr>
            <w:tcW w:w="1600" w:type="dxa"/>
            <w:vAlign w:val="bottom"/>
          </w:tcPr>
          <w:p>
            <w:pPr>
              <w:jc w:val="right"/>
              <w:ind w:right="337"/>
              <w:spacing w:after="0"/>
              <w:rPr>
                <w:sz w:val="20"/>
                <w:szCs w:val="20"/>
                <w:color w:val="auto"/>
              </w:rPr>
            </w:pPr>
            <w:r>
              <w:rPr>
                <w:rFonts w:ascii="Arial" w:cs="Arial" w:eastAsia="Arial" w:hAnsi="Arial"/>
                <w:sz w:val="18"/>
                <w:szCs w:val="18"/>
                <w:color w:val="auto"/>
              </w:rPr>
              <w:t>504</w:t>
            </w:r>
          </w:p>
        </w:tc>
        <w:tc>
          <w:tcPr>
            <w:tcW w:w="460" w:type="dxa"/>
            <w:vAlign w:val="bottom"/>
          </w:tcPr>
          <w:p>
            <w:pPr>
              <w:spacing w:after="0"/>
              <w:rPr>
                <w:sz w:val="18"/>
                <w:szCs w:val="18"/>
                <w:color w:val="auto"/>
              </w:rPr>
            </w:pPr>
          </w:p>
        </w:tc>
        <w:tc>
          <w:tcPr>
            <w:tcW w:w="1480" w:type="dxa"/>
            <w:vAlign w:val="bottom"/>
          </w:tcPr>
          <w:p>
            <w:pPr>
              <w:jc w:val="right"/>
              <w:ind w:right="555"/>
              <w:spacing w:after="0"/>
              <w:rPr>
                <w:sz w:val="20"/>
                <w:szCs w:val="20"/>
                <w:color w:val="auto"/>
              </w:rPr>
            </w:pPr>
            <w:r>
              <w:rPr>
                <w:rFonts w:ascii="Arial" w:cs="Arial" w:eastAsia="Arial" w:hAnsi="Arial"/>
                <w:sz w:val="18"/>
                <w:szCs w:val="18"/>
                <w:color w:val="auto"/>
              </w:rPr>
              <w:t>78</w:t>
            </w:r>
          </w:p>
        </w:tc>
        <w:tc>
          <w:tcPr>
            <w:tcW w:w="340" w:type="dxa"/>
            <w:vAlign w:val="bottom"/>
          </w:tcPr>
          <w:p>
            <w:pPr>
              <w:spacing w:after="0"/>
              <w:rPr>
                <w:sz w:val="18"/>
                <w:szCs w:val="18"/>
                <w:color w:val="auto"/>
              </w:rPr>
            </w:pPr>
          </w:p>
        </w:tc>
        <w:tc>
          <w:tcPr>
            <w:tcW w:w="1200" w:type="dxa"/>
            <w:vAlign w:val="bottom"/>
          </w:tcPr>
          <w:p>
            <w:pPr>
              <w:jc w:val="right"/>
              <w:ind w:right="335"/>
              <w:spacing w:after="0"/>
              <w:rPr>
                <w:sz w:val="20"/>
                <w:szCs w:val="20"/>
                <w:color w:val="auto"/>
              </w:rPr>
            </w:pPr>
            <w:r>
              <w:rPr>
                <w:rFonts w:ascii="Arial" w:cs="Arial" w:eastAsia="Arial" w:hAnsi="Arial"/>
                <w:sz w:val="18"/>
                <w:szCs w:val="18"/>
                <w:color w:val="auto"/>
              </w:rPr>
              <w:t>426</w:t>
            </w:r>
          </w:p>
        </w:tc>
        <w:tc>
          <w:tcPr>
            <w:tcW w:w="500" w:type="dxa"/>
            <w:vAlign w:val="bottom"/>
          </w:tcPr>
          <w:p>
            <w:pPr>
              <w:spacing w:after="0"/>
              <w:rPr>
                <w:sz w:val="18"/>
                <w:szCs w:val="18"/>
                <w:color w:val="auto"/>
              </w:rPr>
            </w:pPr>
          </w:p>
        </w:tc>
        <w:tc>
          <w:tcPr>
            <w:tcW w:w="680" w:type="dxa"/>
            <w:vAlign w:val="bottom"/>
          </w:tcPr>
          <w:p>
            <w:pPr>
              <w:jc w:val="right"/>
              <w:ind w:right="15"/>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920" w:type="dxa"/>
            <w:vAlign w:val="bottom"/>
            <w:shd w:val="clear" w:color="auto" w:fill="E5E5E5"/>
          </w:tcPr>
          <w:p>
            <w:pPr>
              <w:spacing w:after="0"/>
              <w:rPr>
                <w:sz w:val="20"/>
                <w:szCs w:val="20"/>
                <w:color w:val="auto"/>
              </w:rPr>
            </w:pPr>
            <w:r>
              <w:rPr>
                <w:rFonts w:ascii="Arial" w:cs="Arial" w:eastAsia="Arial" w:hAnsi="Arial"/>
                <w:sz w:val="18"/>
                <w:szCs w:val="18"/>
                <w:color w:val="auto"/>
              </w:rPr>
              <w:t>Filmed Entertainment</w:t>
            </w:r>
          </w:p>
        </w:tc>
        <w:tc>
          <w:tcPr>
            <w:tcW w:w="820" w:type="dxa"/>
            <w:vAlign w:val="bottom"/>
            <w:shd w:val="clear" w:color="auto" w:fill="E5E5E5"/>
          </w:tcPr>
          <w:p>
            <w:pPr>
              <w:spacing w:after="0"/>
              <w:rPr>
                <w:sz w:val="18"/>
                <w:szCs w:val="18"/>
                <w:color w:val="auto"/>
              </w:rPr>
            </w:pPr>
          </w:p>
        </w:tc>
        <w:tc>
          <w:tcPr>
            <w:tcW w:w="880" w:type="dxa"/>
            <w:vAlign w:val="bottom"/>
            <w:shd w:val="clear" w:color="auto" w:fill="E5E5E5"/>
          </w:tcPr>
          <w:p>
            <w:pPr>
              <w:jc w:val="right"/>
              <w:ind w:right="332"/>
              <w:spacing w:after="0"/>
              <w:rPr>
                <w:sz w:val="20"/>
                <w:szCs w:val="20"/>
                <w:color w:val="auto"/>
              </w:rPr>
            </w:pPr>
            <w:r>
              <w:rPr>
                <w:rFonts w:ascii="Arial" w:cs="Arial" w:eastAsia="Arial" w:hAnsi="Arial"/>
                <w:sz w:val="18"/>
                <w:szCs w:val="18"/>
                <w:color w:val="auto"/>
                <w:w w:val="97"/>
              </w:rPr>
              <w:t>3,713</w:t>
            </w:r>
          </w:p>
        </w:tc>
        <w:tc>
          <w:tcPr>
            <w:tcW w:w="540" w:type="dxa"/>
            <w:vAlign w:val="bottom"/>
            <w:shd w:val="clear" w:color="auto" w:fill="E5E5E5"/>
          </w:tcPr>
          <w:p>
            <w:pPr>
              <w:spacing w:after="0"/>
              <w:rPr>
                <w:sz w:val="18"/>
                <w:szCs w:val="18"/>
                <w:color w:val="auto"/>
              </w:rPr>
            </w:pPr>
          </w:p>
        </w:tc>
        <w:tc>
          <w:tcPr>
            <w:tcW w:w="1600" w:type="dxa"/>
            <w:vAlign w:val="bottom"/>
            <w:shd w:val="clear" w:color="auto" w:fill="E5E5E5"/>
          </w:tcPr>
          <w:p>
            <w:pPr>
              <w:jc w:val="right"/>
              <w:ind w:right="337"/>
              <w:spacing w:after="0"/>
              <w:rPr>
                <w:sz w:val="20"/>
                <w:szCs w:val="20"/>
                <w:color w:val="auto"/>
              </w:rPr>
            </w:pPr>
            <w:r>
              <w:rPr>
                <w:rFonts w:ascii="Arial" w:cs="Arial" w:eastAsia="Arial" w:hAnsi="Arial"/>
                <w:sz w:val="18"/>
                <w:szCs w:val="18"/>
                <w:color w:val="auto"/>
              </w:rPr>
              <w:t>634</w:t>
            </w:r>
          </w:p>
        </w:tc>
        <w:tc>
          <w:tcPr>
            <w:tcW w:w="460" w:type="dxa"/>
            <w:vAlign w:val="bottom"/>
            <w:shd w:val="clear" w:color="auto" w:fill="E5E5E5"/>
          </w:tcPr>
          <w:p>
            <w:pPr>
              <w:spacing w:after="0"/>
              <w:rPr>
                <w:sz w:val="18"/>
                <w:szCs w:val="18"/>
                <w:color w:val="auto"/>
              </w:rPr>
            </w:pPr>
          </w:p>
        </w:tc>
        <w:tc>
          <w:tcPr>
            <w:tcW w:w="1480" w:type="dxa"/>
            <w:vAlign w:val="bottom"/>
            <w:shd w:val="clear" w:color="auto" w:fill="E5E5E5"/>
          </w:tcPr>
          <w:p>
            <w:pPr>
              <w:jc w:val="right"/>
              <w:ind w:right="555"/>
              <w:spacing w:after="0"/>
              <w:rPr>
                <w:sz w:val="20"/>
                <w:szCs w:val="20"/>
                <w:color w:val="auto"/>
              </w:rPr>
            </w:pPr>
            <w:r>
              <w:rPr>
                <w:rFonts w:ascii="Arial" w:cs="Arial" w:eastAsia="Arial" w:hAnsi="Arial"/>
                <w:sz w:val="18"/>
                <w:szCs w:val="18"/>
                <w:color w:val="auto"/>
              </w:rPr>
              <w:t>16</w:t>
            </w:r>
          </w:p>
        </w:tc>
        <w:tc>
          <w:tcPr>
            <w:tcW w:w="340" w:type="dxa"/>
            <w:vAlign w:val="bottom"/>
            <w:shd w:val="clear" w:color="auto" w:fill="E5E5E5"/>
          </w:tcPr>
          <w:p>
            <w:pPr>
              <w:spacing w:after="0"/>
              <w:rPr>
                <w:sz w:val="18"/>
                <w:szCs w:val="18"/>
                <w:color w:val="auto"/>
              </w:rPr>
            </w:pPr>
          </w:p>
        </w:tc>
        <w:tc>
          <w:tcPr>
            <w:tcW w:w="1200" w:type="dxa"/>
            <w:vAlign w:val="bottom"/>
            <w:shd w:val="clear" w:color="auto" w:fill="E5E5E5"/>
          </w:tcPr>
          <w:p>
            <w:pPr>
              <w:jc w:val="right"/>
              <w:ind w:right="335"/>
              <w:spacing w:after="0"/>
              <w:rPr>
                <w:sz w:val="20"/>
                <w:szCs w:val="20"/>
                <w:color w:val="auto"/>
              </w:rPr>
            </w:pPr>
            <w:r>
              <w:rPr>
                <w:rFonts w:ascii="Arial" w:cs="Arial" w:eastAsia="Arial" w:hAnsi="Arial"/>
                <w:sz w:val="18"/>
                <w:szCs w:val="18"/>
                <w:color w:val="auto"/>
              </w:rPr>
              <w:t>618</w:t>
            </w:r>
          </w:p>
        </w:tc>
        <w:tc>
          <w:tcPr>
            <w:tcW w:w="5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Theme Parks</w:t>
            </w:r>
          </w:p>
        </w:tc>
        <w:tc>
          <w:tcPr>
            <w:tcW w:w="820" w:type="dxa"/>
            <w:vAlign w:val="bottom"/>
          </w:tcPr>
          <w:p>
            <w:pPr>
              <w:spacing w:after="0"/>
              <w:rPr>
                <w:sz w:val="18"/>
                <w:szCs w:val="18"/>
                <w:color w:val="auto"/>
              </w:rPr>
            </w:pPr>
          </w:p>
        </w:tc>
        <w:tc>
          <w:tcPr>
            <w:tcW w:w="880" w:type="dxa"/>
            <w:vAlign w:val="bottom"/>
          </w:tcPr>
          <w:p>
            <w:pPr>
              <w:jc w:val="right"/>
              <w:ind w:right="332"/>
              <w:spacing w:after="0"/>
              <w:rPr>
                <w:sz w:val="20"/>
                <w:szCs w:val="20"/>
                <w:color w:val="auto"/>
              </w:rPr>
            </w:pPr>
            <w:r>
              <w:rPr>
                <w:rFonts w:ascii="Arial" w:cs="Arial" w:eastAsia="Arial" w:hAnsi="Arial"/>
                <w:sz w:val="18"/>
                <w:szCs w:val="18"/>
                <w:color w:val="auto"/>
                <w:w w:val="97"/>
              </w:rPr>
              <w:t>1,888</w:t>
            </w:r>
          </w:p>
        </w:tc>
        <w:tc>
          <w:tcPr>
            <w:tcW w:w="540" w:type="dxa"/>
            <w:vAlign w:val="bottom"/>
          </w:tcPr>
          <w:p>
            <w:pPr>
              <w:spacing w:after="0"/>
              <w:rPr>
                <w:sz w:val="18"/>
                <w:szCs w:val="18"/>
                <w:color w:val="auto"/>
              </w:rPr>
            </w:pPr>
          </w:p>
        </w:tc>
        <w:tc>
          <w:tcPr>
            <w:tcW w:w="1600" w:type="dxa"/>
            <w:vAlign w:val="bottom"/>
          </w:tcPr>
          <w:p>
            <w:pPr>
              <w:jc w:val="right"/>
              <w:ind w:right="337"/>
              <w:spacing w:after="0"/>
              <w:rPr>
                <w:sz w:val="20"/>
                <w:szCs w:val="20"/>
                <w:color w:val="auto"/>
              </w:rPr>
            </w:pPr>
            <w:r>
              <w:rPr>
                <w:rFonts w:ascii="Arial" w:cs="Arial" w:eastAsia="Arial" w:hAnsi="Arial"/>
                <w:sz w:val="18"/>
                <w:szCs w:val="18"/>
                <w:color w:val="auto"/>
              </w:rPr>
              <w:t>816</w:t>
            </w:r>
          </w:p>
        </w:tc>
        <w:tc>
          <w:tcPr>
            <w:tcW w:w="460" w:type="dxa"/>
            <w:vAlign w:val="bottom"/>
          </w:tcPr>
          <w:p>
            <w:pPr>
              <w:spacing w:after="0"/>
              <w:rPr>
                <w:sz w:val="18"/>
                <w:szCs w:val="18"/>
                <w:color w:val="auto"/>
              </w:rPr>
            </w:pPr>
          </w:p>
        </w:tc>
        <w:tc>
          <w:tcPr>
            <w:tcW w:w="1480" w:type="dxa"/>
            <w:vAlign w:val="bottom"/>
          </w:tcPr>
          <w:p>
            <w:pPr>
              <w:jc w:val="right"/>
              <w:ind w:right="555"/>
              <w:spacing w:after="0"/>
              <w:rPr>
                <w:sz w:val="20"/>
                <w:szCs w:val="20"/>
                <w:color w:val="auto"/>
              </w:rPr>
            </w:pPr>
            <w:r>
              <w:rPr>
                <w:rFonts w:ascii="Arial" w:cs="Arial" w:eastAsia="Arial" w:hAnsi="Arial"/>
                <w:sz w:val="18"/>
                <w:szCs w:val="18"/>
                <w:color w:val="auto"/>
              </w:rPr>
              <w:t>210</w:t>
            </w:r>
          </w:p>
        </w:tc>
        <w:tc>
          <w:tcPr>
            <w:tcW w:w="340" w:type="dxa"/>
            <w:vAlign w:val="bottom"/>
          </w:tcPr>
          <w:p>
            <w:pPr>
              <w:spacing w:after="0"/>
              <w:rPr>
                <w:sz w:val="18"/>
                <w:szCs w:val="18"/>
                <w:color w:val="auto"/>
              </w:rPr>
            </w:pPr>
          </w:p>
        </w:tc>
        <w:tc>
          <w:tcPr>
            <w:tcW w:w="1200" w:type="dxa"/>
            <w:vAlign w:val="bottom"/>
          </w:tcPr>
          <w:p>
            <w:pPr>
              <w:jc w:val="right"/>
              <w:ind w:right="335"/>
              <w:spacing w:after="0"/>
              <w:rPr>
                <w:sz w:val="20"/>
                <w:szCs w:val="20"/>
                <w:color w:val="auto"/>
              </w:rPr>
            </w:pPr>
            <w:r>
              <w:rPr>
                <w:rFonts w:ascii="Arial" w:cs="Arial" w:eastAsia="Arial" w:hAnsi="Arial"/>
                <w:sz w:val="18"/>
                <w:szCs w:val="18"/>
                <w:color w:val="auto"/>
              </w:rPr>
              <w:t>606</w:t>
            </w:r>
          </w:p>
        </w:tc>
        <w:tc>
          <w:tcPr>
            <w:tcW w:w="500" w:type="dxa"/>
            <w:vAlign w:val="bottom"/>
          </w:tcPr>
          <w:p>
            <w:pPr>
              <w:spacing w:after="0"/>
              <w:rPr>
                <w:sz w:val="18"/>
                <w:szCs w:val="18"/>
                <w:color w:val="auto"/>
              </w:rPr>
            </w:pPr>
          </w:p>
        </w:tc>
        <w:tc>
          <w:tcPr>
            <w:tcW w:w="680" w:type="dxa"/>
            <w:vAlign w:val="bottom"/>
          </w:tcPr>
          <w:p>
            <w:pPr>
              <w:jc w:val="right"/>
              <w:ind w:right="15"/>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16"/>
        </w:trPr>
        <w:tc>
          <w:tcPr>
            <w:tcW w:w="2920" w:type="dxa"/>
            <w:vAlign w:val="bottom"/>
            <w:shd w:val="clear" w:color="auto" w:fill="E5E5E5"/>
          </w:tcPr>
          <w:p>
            <w:pPr>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11"/>
                <w:szCs w:val="11"/>
                <w:color w:val="auto"/>
              </w:rPr>
              <w:t>(a)</w:t>
            </w:r>
          </w:p>
        </w:tc>
        <w:tc>
          <w:tcPr>
            <w:tcW w:w="820" w:type="dxa"/>
            <w:vAlign w:val="bottom"/>
            <w:shd w:val="clear" w:color="auto" w:fill="E5E5E5"/>
          </w:tcPr>
          <w:p>
            <w:pPr>
              <w:spacing w:after="0"/>
              <w:rPr>
                <w:sz w:val="18"/>
                <w:szCs w:val="18"/>
                <w:color w:val="auto"/>
              </w:rPr>
            </w:pPr>
          </w:p>
        </w:tc>
        <w:tc>
          <w:tcPr>
            <w:tcW w:w="880" w:type="dxa"/>
            <w:vAlign w:val="bottom"/>
            <w:shd w:val="clear" w:color="auto" w:fill="E5E5E5"/>
          </w:tcPr>
          <w:p>
            <w:pPr>
              <w:jc w:val="right"/>
              <w:ind w:right="332"/>
              <w:spacing w:after="0"/>
              <w:rPr>
                <w:sz w:val="20"/>
                <w:szCs w:val="20"/>
                <w:color w:val="auto"/>
              </w:rPr>
            </w:pPr>
            <w:r>
              <w:rPr>
                <w:rFonts w:ascii="Arial" w:cs="Arial" w:eastAsia="Arial" w:hAnsi="Arial"/>
                <w:sz w:val="18"/>
                <w:szCs w:val="18"/>
                <w:color w:val="auto"/>
              </w:rPr>
              <w:t>10</w:t>
            </w:r>
          </w:p>
        </w:tc>
        <w:tc>
          <w:tcPr>
            <w:tcW w:w="540" w:type="dxa"/>
            <w:vAlign w:val="bottom"/>
            <w:shd w:val="clear" w:color="auto" w:fill="E5E5E5"/>
          </w:tcPr>
          <w:p>
            <w:pPr>
              <w:spacing w:after="0"/>
              <w:rPr>
                <w:sz w:val="18"/>
                <w:szCs w:val="18"/>
                <w:color w:val="auto"/>
              </w:rPr>
            </w:pPr>
          </w:p>
        </w:tc>
        <w:tc>
          <w:tcPr>
            <w:tcW w:w="1600" w:type="dxa"/>
            <w:vAlign w:val="bottom"/>
            <w:shd w:val="clear" w:color="auto" w:fill="E5E5E5"/>
          </w:tcPr>
          <w:p>
            <w:pPr>
              <w:jc w:val="right"/>
              <w:ind w:right="277"/>
              <w:spacing w:after="0"/>
              <w:rPr>
                <w:sz w:val="20"/>
                <w:szCs w:val="20"/>
                <w:color w:val="auto"/>
              </w:rPr>
            </w:pPr>
            <w:r>
              <w:rPr>
                <w:rFonts w:ascii="Arial" w:cs="Arial" w:eastAsia="Arial" w:hAnsi="Arial"/>
                <w:sz w:val="18"/>
                <w:szCs w:val="18"/>
                <w:color w:val="auto"/>
              </w:rPr>
              <w:t>(464)</w:t>
            </w:r>
          </w:p>
        </w:tc>
        <w:tc>
          <w:tcPr>
            <w:tcW w:w="460" w:type="dxa"/>
            <w:vAlign w:val="bottom"/>
            <w:shd w:val="clear" w:color="auto" w:fill="E5E5E5"/>
          </w:tcPr>
          <w:p>
            <w:pPr>
              <w:spacing w:after="0"/>
              <w:rPr>
                <w:sz w:val="18"/>
                <w:szCs w:val="18"/>
                <w:color w:val="auto"/>
              </w:rPr>
            </w:pPr>
          </w:p>
        </w:tc>
        <w:tc>
          <w:tcPr>
            <w:tcW w:w="1480" w:type="dxa"/>
            <w:vAlign w:val="bottom"/>
            <w:shd w:val="clear" w:color="auto" w:fill="E5E5E5"/>
          </w:tcPr>
          <w:p>
            <w:pPr>
              <w:jc w:val="right"/>
              <w:ind w:right="555"/>
              <w:spacing w:after="0"/>
              <w:rPr>
                <w:sz w:val="20"/>
                <w:szCs w:val="20"/>
                <w:color w:val="auto"/>
              </w:rPr>
            </w:pPr>
            <w:r>
              <w:rPr>
                <w:rFonts w:ascii="Arial" w:cs="Arial" w:eastAsia="Arial" w:hAnsi="Arial"/>
                <w:sz w:val="18"/>
                <w:szCs w:val="18"/>
                <w:color w:val="auto"/>
              </w:rPr>
              <w:t>244</w:t>
            </w:r>
          </w:p>
        </w:tc>
        <w:tc>
          <w:tcPr>
            <w:tcW w:w="340" w:type="dxa"/>
            <w:vAlign w:val="bottom"/>
            <w:shd w:val="clear" w:color="auto" w:fill="E5E5E5"/>
          </w:tcPr>
          <w:p>
            <w:pPr>
              <w:spacing w:after="0"/>
              <w:rPr>
                <w:sz w:val="18"/>
                <w:szCs w:val="18"/>
                <w:color w:val="auto"/>
              </w:rPr>
            </w:pPr>
          </w:p>
        </w:tc>
        <w:tc>
          <w:tcPr>
            <w:tcW w:w="1200" w:type="dxa"/>
            <w:vAlign w:val="bottom"/>
            <w:shd w:val="clear" w:color="auto" w:fill="E5E5E5"/>
          </w:tcPr>
          <w:p>
            <w:pPr>
              <w:jc w:val="right"/>
              <w:ind w:right="275"/>
              <w:spacing w:after="0"/>
              <w:rPr>
                <w:sz w:val="20"/>
                <w:szCs w:val="20"/>
                <w:color w:val="auto"/>
              </w:rPr>
            </w:pPr>
            <w:r>
              <w:rPr>
                <w:rFonts w:ascii="Arial" w:cs="Arial" w:eastAsia="Arial" w:hAnsi="Arial"/>
                <w:sz w:val="18"/>
                <w:szCs w:val="18"/>
                <w:color w:val="auto"/>
              </w:rPr>
              <w:t>(708)</w:t>
            </w:r>
          </w:p>
        </w:tc>
        <w:tc>
          <w:tcPr>
            <w:tcW w:w="5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16"/>
        </w:trPr>
        <w:tc>
          <w:tcPr>
            <w:tcW w:w="2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(b)</w:t>
            </w:r>
          </w:p>
        </w:tc>
        <w:tc>
          <w:tcPr>
            <w:tcW w:w="8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(241)</w:t>
            </w:r>
          </w:p>
        </w:tc>
        <w:tc>
          <w:tcPr>
            <w:tcW w:w="5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277"/>
              <w:spacing w:after="0"/>
              <w:rPr>
                <w:sz w:val="20"/>
                <w:szCs w:val="20"/>
                <w:color w:val="auto"/>
              </w:rPr>
            </w:pPr>
            <w:r>
              <w:rPr>
                <w:rFonts w:ascii="Arial" w:cs="Arial" w:eastAsia="Arial" w:hAnsi="Arial"/>
                <w:sz w:val="18"/>
                <w:szCs w:val="18"/>
                <w:color w:val="auto"/>
              </w:rPr>
              <w:t>(6)</w:t>
            </w:r>
          </w:p>
        </w:tc>
        <w:tc>
          <w:tcPr>
            <w:tcW w:w="4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555"/>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75"/>
              <w:spacing w:after="0"/>
              <w:rPr>
                <w:sz w:val="20"/>
                <w:szCs w:val="20"/>
                <w:color w:val="auto"/>
              </w:rPr>
            </w:pPr>
            <w:r>
              <w:rPr>
                <w:rFonts w:ascii="Arial" w:cs="Arial" w:eastAsia="Arial" w:hAnsi="Arial"/>
                <w:sz w:val="18"/>
                <w:szCs w:val="18"/>
                <w:color w:val="auto"/>
              </w:rPr>
              <w:t>(6)</w:t>
            </w:r>
          </w:p>
        </w:tc>
        <w:tc>
          <w:tcPr>
            <w:tcW w:w="5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9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w:t>
            </w:r>
          </w:p>
        </w:tc>
        <w:tc>
          <w:tcPr>
            <w:tcW w:w="1700" w:type="dxa"/>
            <w:vAlign w:val="bottom"/>
            <w:tcBorders>
              <w:bottom w:val="single" w:sz="8" w:color="auto"/>
            </w:tcBorders>
            <w:gridSpan w:val="2"/>
            <w:shd w:val="clear" w:color="auto" w:fill="E5E5E5"/>
          </w:tcPr>
          <w:p>
            <w:pPr>
              <w:jc w:val="right"/>
              <w:ind w:right="332"/>
              <w:spacing w:after="0"/>
              <w:rPr>
                <w:sz w:val="20"/>
                <w:szCs w:val="20"/>
                <w:color w:val="auto"/>
              </w:rPr>
            </w:pPr>
            <w:r>
              <w:rPr>
                <w:rFonts w:ascii="Arial" w:cs="Arial" w:eastAsia="Arial" w:hAnsi="Arial"/>
                <w:sz w:val="18"/>
                <w:szCs w:val="18"/>
                <w:b w:val="1"/>
                <w:bCs w:val="1"/>
                <w:color w:val="auto"/>
              </w:rPr>
              <w:t>$ 18,813</w:t>
            </w:r>
          </w:p>
        </w:tc>
        <w:tc>
          <w:tcPr>
            <w:tcW w:w="540" w:type="dxa"/>
            <w:vAlign w:val="bottom"/>
            <w:tcBorders>
              <w:bottom w:val="single" w:sz="8" w:color="auto"/>
            </w:tcBorders>
            <w:shd w:val="clear" w:color="auto" w:fill="E5E5E5"/>
          </w:tcPr>
          <w:p>
            <w:pPr>
              <w:ind w:left="360"/>
              <w:spacing w:after="0"/>
              <w:rPr>
                <w:sz w:val="20"/>
                <w:szCs w:val="20"/>
                <w:color w:val="auto"/>
              </w:rPr>
            </w:pPr>
            <w:r>
              <w:rPr>
                <w:rFonts w:ascii="Arial" w:cs="Arial" w:eastAsia="Arial" w:hAnsi="Arial"/>
                <w:sz w:val="18"/>
                <w:szCs w:val="18"/>
                <w:b w:val="1"/>
                <w:bCs w:val="1"/>
                <w:color w:val="auto"/>
              </w:rPr>
              <w:t>$</w:t>
            </w:r>
          </w:p>
        </w:tc>
        <w:tc>
          <w:tcPr>
            <w:tcW w:w="1600" w:type="dxa"/>
            <w:vAlign w:val="bottom"/>
            <w:tcBorders>
              <w:bottom w:val="single" w:sz="8" w:color="auto"/>
            </w:tcBorders>
            <w:shd w:val="clear" w:color="auto" w:fill="E5E5E5"/>
          </w:tcPr>
          <w:p>
            <w:pPr>
              <w:jc w:val="right"/>
              <w:ind w:right="337"/>
              <w:spacing w:after="0"/>
              <w:rPr>
                <w:sz w:val="20"/>
                <w:szCs w:val="20"/>
                <w:color w:val="auto"/>
              </w:rPr>
            </w:pPr>
            <w:r>
              <w:rPr>
                <w:rFonts w:ascii="Arial" w:cs="Arial" w:eastAsia="Arial" w:hAnsi="Arial"/>
                <w:sz w:val="18"/>
                <w:szCs w:val="18"/>
                <w:b w:val="1"/>
                <w:bCs w:val="1"/>
                <w:color w:val="auto"/>
              </w:rPr>
              <w:t>4,161</w:t>
            </w:r>
          </w:p>
        </w:tc>
        <w:tc>
          <w:tcPr>
            <w:tcW w:w="460" w:type="dxa"/>
            <w:vAlign w:val="bottom"/>
            <w:tcBorders>
              <w:bottom w:val="single" w:sz="8" w:color="auto"/>
            </w:tcBorders>
            <w:shd w:val="clear" w:color="auto" w:fill="E5E5E5"/>
          </w:tcPr>
          <w:p>
            <w:pPr>
              <w:ind w:left="360"/>
              <w:spacing w:after="0"/>
              <w:rPr>
                <w:sz w:val="20"/>
                <w:szCs w:val="20"/>
                <w:color w:val="auto"/>
              </w:rPr>
            </w:pPr>
            <w:r>
              <w:rPr>
                <w:rFonts w:ascii="Arial" w:cs="Arial" w:eastAsia="Arial" w:hAnsi="Arial"/>
                <w:sz w:val="18"/>
                <w:szCs w:val="18"/>
                <w:b w:val="1"/>
                <w:bCs w:val="1"/>
                <w:color w:val="auto"/>
                <w:w w:val="79"/>
              </w:rPr>
              <w:t>$</w:t>
            </w:r>
          </w:p>
        </w:tc>
        <w:tc>
          <w:tcPr>
            <w:tcW w:w="1480" w:type="dxa"/>
            <w:vAlign w:val="bottom"/>
            <w:tcBorders>
              <w:bottom w:val="single" w:sz="8" w:color="auto"/>
            </w:tcBorders>
            <w:shd w:val="clear" w:color="auto" w:fill="E5E5E5"/>
          </w:tcPr>
          <w:p>
            <w:pPr>
              <w:jc w:val="right"/>
              <w:ind w:right="555"/>
              <w:spacing w:after="0"/>
              <w:rPr>
                <w:sz w:val="20"/>
                <w:szCs w:val="20"/>
                <w:color w:val="auto"/>
              </w:rPr>
            </w:pPr>
            <w:r>
              <w:rPr>
                <w:rFonts w:ascii="Arial" w:cs="Arial" w:eastAsia="Arial" w:hAnsi="Arial"/>
                <w:sz w:val="18"/>
                <w:szCs w:val="18"/>
                <w:b w:val="1"/>
                <w:bCs w:val="1"/>
                <w:color w:val="auto"/>
              </w:rPr>
              <w:t>1,106</w:t>
            </w:r>
          </w:p>
        </w:tc>
        <w:tc>
          <w:tcPr>
            <w:tcW w:w="340" w:type="dxa"/>
            <w:vAlign w:val="bottom"/>
            <w:tcBorders>
              <w:bottom w:val="single" w:sz="8" w:color="auto"/>
            </w:tcBorders>
            <w:shd w:val="clear" w:color="auto" w:fill="E5E5E5"/>
          </w:tcPr>
          <w:p>
            <w:pPr>
              <w:ind w:left="14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shd w:val="clear" w:color="auto" w:fill="E5E5E5"/>
          </w:tcPr>
          <w:p>
            <w:pPr>
              <w:jc w:val="right"/>
              <w:ind w:right="335"/>
              <w:spacing w:after="0"/>
              <w:rPr>
                <w:sz w:val="20"/>
                <w:szCs w:val="20"/>
                <w:color w:val="auto"/>
              </w:rPr>
            </w:pPr>
            <w:r>
              <w:rPr>
                <w:rFonts w:ascii="Arial" w:cs="Arial" w:eastAsia="Arial" w:hAnsi="Arial"/>
                <w:sz w:val="18"/>
                <w:szCs w:val="18"/>
                <w:b w:val="1"/>
                <w:bCs w:val="1"/>
                <w:color w:val="auto"/>
              </w:rPr>
              <w:t>3,055</w:t>
            </w:r>
          </w:p>
        </w:tc>
        <w:tc>
          <w:tcPr>
            <w:tcW w:w="500" w:type="dxa"/>
            <w:vAlign w:val="bottom"/>
            <w:tcBorders>
              <w:bottom w:val="single" w:sz="8" w:color="auto"/>
            </w:tcBorders>
            <w:shd w:val="clear" w:color="auto" w:fill="E5E5E5"/>
          </w:tcPr>
          <w:p>
            <w:pPr>
              <w:ind w:left="360"/>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b w:val="1"/>
                <w:bCs w:val="1"/>
                <w:color w:val="auto"/>
              </w:rPr>
              <w:t>884</w:t>
            </w: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Headquarters and Other activities include costs associated with overhead allocations, personnel costs and headquarter initiatives.</w:t>
      </w:r>
    </w:p>
    <w:p>
      <w:pPr>
        <w:spacing w:after="0" w:line="55" w:lineRule="exact"/>
        <w:rPr>
          <w:rFonts w:ascii="Arial" w:cs="Arial" w:eastAsia="Arial" w:hAnsi="Arial"/>
          <w:sz w:val="14"/>
          <w:szCs w:val="14"/>
          <w:color w:val="auto"/>
        </w:rPr>
      </w:pPr>
    </w:p>
    <w:p>
      <w:pPr>
        <w:ind w:left="340" w:hanging="332"/>
        <w:spacing w:after="0" w:line="239" w:lineRule="auto"/>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Included in Eliminations are transactions that our segments enter into with one another, which consist primarily of the licensing of film and television content from our Filmed Entertainment and Broadcast Television segments to our Cable Networks segment.</w:t>
      </w:r>
    </w:p>
    <w:p>
      <w:pPr>
        <w:spacing w:after="0" w:line="43" w:lineRule="exact"/>
        <w:rPr>
          <w:rFonts w:ascii="Arial" w:cs="Arial" w:eastAsia="Arial" w:hAnsi="Arial"/>
          <w:sz w:val="14"/>
          <w:szCs w:val="14"/>
          <w:color w:val="auto"/>
        </w:rPr>
      </w:pPr>
    </w:p>
    <w:p>
      <w:pPr>
        <w:ind w:left="340" w:hanging="332"/>
        <w:spacing w:after="0"/>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No single customer accounted for a significant amount of revenue in any period.</w:t>
      </w:r>
    </w:p>
    <w:p>
      <w:pPr>
        <w:spacing w:after="0" w:line="55" w:lineRule="exact"/>
        <w:rPr>
          <w:rFonts w:ascii="Arial" w:cs="Arial" w:eastAsia="Arial" w:hAnsi="Arial"/>
          <w:sz w:val="14"/>
          <w:szCs w:val="14"/>
          <w:color w:val="auto"/>
        </w:rPr>
      </w:pPr>
    </w:p>
    <w:p>
      <w:pPr>
        <w:jc w:val="both"/>
        <w:ind w:left="340" w:hanging="332"/>
        <w:spacing w:after="0" w:line="268" w:lineRule="auto"/>
        <w:tabs>
          <w:tab w:leader="none" w:pos="340" w:val="left"/>
        </w:tabs>
        <w:numPr>
          <w:ilvl w:val="0"/>
          <w:numId w:val="15"/>
        </w:numPr>
        <w:rPr>
          <w:rFonts w:ascii="Arial" w:cs="Arial" w:eastAsia="Arial" w:hAnsi="Arial"/>
          <w:sz w:val="12"/>
          <w:szCs w:val="12"/>
          <w:color w:val="auto"/>
        </w:rPr>
      </w:pPr>
      <w:r>
        <w:rPr>
          <w:rFonts w:ascii="Arial" w:cs="Arial" w:eastAsia="Arial" w:hAnsi="Arial"/>
          <w:sz w:val="12"/>
          <w:szCs w:val="12"/>
          <w:color w:val="auto"/>
        </w:rPr>
        <w:t>We use operating income (loss) before depreciation and amortization, excluding impairment charges related to fixed and intangible assets and gains or losses on the sale of assets, if any, as the measure of profit or loss for our operating segments. This measure eliminates the significant level of noncash amortization expense that results from intangible assets recognized in business combinations. Additionally, it is unaffected by our capital structure or investment activities. We use this measure to evaluate our consolidated operating performance and the operating performance of our operating segments and to allocate resources and capital to our operating segments. It is also a significant performance measure in our annual incentive compensation programs. We believe that this measure is useful to investors because it is one of the bases for comparing our operating performance with that of other companies in our industries, although our measure may not be directly comparable to similar measures used by other companies. This measure should not be considered a substitute for operating income (loss), net income (loss) attributable to NBCUniversal, net cash provided by operating activities, or other measures of performance or liquidity we have reported in accordance with GAAP.</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BY-LAWS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October 23, 2015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w:t>
      </w:r>
      <w:r>
        <w:rPr>
          <w:rFonts w:ascii="Arial" w:cs="Arial" w:eastAsia="Arial" w:hAnsi="Arial"/>
          <w:sz w:val="15"/>
          <w:szCs w:val="15"/>
          <w:color w:val="auto"/>
        </w:rPr>
        <w:t>FFICES</w:t>
      </w:r>
    </w:p>
    <w:p>
      <w:pPr>
        <w:spacing w:after="0" w:line="21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i w:val="1"/>
          <w:iCs w:val="1"/>
          <w:color w:val="auto"/>
        </w:rPr>
        <w:t>Registered Office</w:t>
      </w:r>
      <w:r>
        <w:rPr>
          <w:rFonts w:ascii="Arial" w:cs="Arial" w:eastAsia="Arial" w:hAnsi="Arial"/>
          <w:sz w:val="18"/>
          <w:szCs w:val="18"/>
          <w:color w:val="auto"/>
        </w:rPr>
        <w:t>. The registered office of the Corporation shall be located within the Commonwealth of Pennsylvania at such place as the Board of Directors (hereinafter referred to as the “</w:t>
      </w:r>
      <w:r>
        <w:rPr>
          <w:rFonts w:ascii="Arial" w:cs="Arial" w:eastAsia="Arial" w:hAnsi="Arial"/>
          <w:sz w:val="18"/>
          <w:szCs w:val="18"/>
          <w:b w:val="1"/>
          <w:bCs w:val="1"/>
          <w:color w:val="auto"/>
        </w:rPr>
        <w:t>Board of Directors</w:t>
      </w:r>
      <w:r>
        <w:rPr>
          <w:rFonts w:ascii="Arial" w:cs="Arial" w:eastAsia="Arial" w:hAnsi="Arial"/>
          <w:sz w:val="18"/>
          <w:szCs w:val="18"/>
          <w:color w:val="auto"/>
        </w:rPr>
        <w:t>” or the “</w:t>
      </w:r>
      <w:r>
        <w:rPr>
          <w:rFonts w:ascii="Arial" w:cs="Arial" w:eastAsia="Arial" w:hAnsi="Arial"/>
          <w:sz w:val="18"/>
          <w:szCs w:val="18"/>
          <w:b w:val="1"/>
          <w:bCs w:val="1"/>
          <w:color w:val="auto"/>
        </w:rPr>
        <w:t>Board</w:t>
      </w:r>
      <w:r>
        <w:rPr>
          <w:rFonts w:ascii="Arial" w:cs="Arial" w:eastAsia="Arial" w:hAnsi="Arial"/>
          <w:sz w:val="18"/>
          <w:szCs w:val="18"/>
          <w:color w:val="auto"/>
        </w:rPr>
        <w:t>”) shall determine from time to time.</w:t>
      </w:r>
    </w:p>
    <w:p>
      <w:pPr>
        <w:spacing w:after="0" w:line="170"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i w:val="1"/>
          <w:iCs w:val="1"/>
          <w:color w:val="auto"/>
        </w:rPr>
        <w:t>Other Offices</w:t>
      </w:r>
      <w:r>
        <w:rPr>
          <w:rFonts w:ascii="Arial" w:cs="Arial" w:eastAsia="Arial" w:hAnsi="Arial"/>
          <w:sz w:val="18"/>
          <w:szCs w:val="18"/>
          <w:color w:val="auto"/>
        </w:rPr>
        <w:t>. The Corporation may also have offices at such other places, within or without the Commonwealth of Pennsylvania, as the Board of Directors may determine from time to time.</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w:t>
      </w:r>
      <w:r>
        <w:rPr>
          <w:rFonts w:ascii="Arial" w:cs="Arial" w:eastAsia="Arial" w:hAnsi="Arial"/>
          <w:sz w:val="15"/>
          <w:szCs w:val="15"/>
          <w:color w:val="auto"/>
        </w:rPr>
        <w:t>EETINGS OF</w:t>
      </w:r>
      <w:r>
        <w:rPr>
          <w:rFonts w:ascii="Arial" w:cs="Arial" w:eastAsia="Arial" w:hAnsi="Arial"/>
          <w:sz w:val="18"/>
          <w:szCs w:val="18"/>
          <w:color w:val="auto"/>
        </w:rPr>
        <w:t xml:space="preserve"> S</w:t>
      </w:r>
      <w:r>
        <w:rPr>
          <w:rFonts w:ascii="Arial" w:cs="Arial" w:eastAsia="Arial" w:hAnsi="Arial"/>
          <w:sz w:val="15"/>
          <w:szCs w:val="15"/>
          <w:color w:val="auto"/>
        </w:rPr>
        <w:t>HAREHOLDERS</w:t>
      </w:r>
    </w:p>
    <w:p>
      <w:pPr>
        <w:spacing w:after="0" w:line="21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i w:val="1"/>
          <w:iCs w:val="1"/>
          <w:color w:val="auto"/>
        </w:rPr>
        <w:t>Place of Meetings of Shareholders</w:t>
      </w:r>
      <w:r>
        <w:rPr>
          <w:rFonts w:ascii="Arial" w:cs="Arial" w:eastAsia="Arial" w:hAnsi="Arial"/>
          <w:sz w:val="18"/>
          <w:szCs w:val="18"/>
          <w:color w:val="auto"/>
        </w:rPr>
        <w:t>. Meetings of shareholders may be held at such geographic locations, within or without the Commonwealth of Pennsylvania, as may be fixed from time to time by the Board of Directors. If no such geographic location is so fixed by the Board of Directors or the Board of Directors does not determine to hold a meeting by means of electronic technology (as provided in the next sentence) rather than at a geographic location, meetings of the shareholders shall be held at the executive office of the Corporation. If a meeting of the shareholders is held by means of the Internet or other electronic communications technology in a fashion pursuant to which the shareholders have the opportunity to read or hear the proceedings substantially concurrently with their occurrence, vote on matters submitted to the shareholders and pose questions to the Directors, the meeting need not be held at a particular geographic location.</w:t>
      </w:r>
    </w:p>
    <w:p>
      <w:pPr>
        <w:sectPr>
          <w:pgSz w:w="11900" w:h="16838" w:orient="portrait"/>
          <w:cols w:equalWidth="0" w:num="1">
            <w:col w:w="11420"/>
          </w:cols>
          <w:pgMar w:left="240" w:top="121" w:right="239" w:bottom="1440" w:gutter="0" w:footer="0" w:header="0"/>
        </w:sectPr>
      </w:pPr>
    </w:p>
    <w:bookmarkStart w:id="63" w:name="page64"/>
    <w:bookmarkEnd w:id="6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2.02. </w:t>
      </w:r>
      <w:r>
        <w:rPr>
          <w:rFonts w:ascii="Arial" w:cs="Arial" w:eastAsia="Arial" w:hAnsi="Arial"/>
          <w:sz w:val="18"/>
          <w:szCs w:val="18"/>
          <w:i w:val="1"/>
          <w:iCs w:val="1"/>
          <w:color w:val="auto"/>
        </w:rPr>
        <w:t>Annual Meetings of Shareholders</w:t>
      </w:r>
      <w:r>
        <w:rPr>
          <w:rFonts w:ascii="Arial" w:cs="Arial" w:eastAsia="Arial" w:hAnsi="Arial"/>
          <w:sz w:val="18"/>
          <w:szCs w:val="18"/>
          <w:color w:val="auto"/>
        </w:rPr>
        <w:t>.</w:t>
      </w:r>
    </w:p>
    <w:p>
      <w:pPr>
        <w:spacing w:after="0" w:line="225" w:lineRule="exact"/>
        <w:rPr>
          <w:sz w:val="20"/>
          <w:szCs w:val="20"/>
          <w:color w:val="auto"/>
        </w:rPr>
      </w:pPr>
    </w:p>
    <w:p>
      <w:pPr>
        <w:ind w:right="140" w:firstLine="464"/>
        <w:spacing w:after="0" w:line="259" w:lineRule="auto"/>
        <w:tabs>
          <w:tab w:leader="none" w:pos="701" w:val="left"/>
        </w:tabs>
        <w:numPr>
          <w:ilvl w:val="0"/>
          <w:numId w:val="16"/>
        </w:numPr>
        <w:rPr>
          <w:rFonts w:ascii="Arial" w:cs="Arial" w:eastAsia="Arial" w:hAnsi="Arial"/>
          <w:sz w:val="18"/>
          <w:szCs w:val="18"/>
          <w:color w:val="auto"/>
        </w:rPr>
      </w:pPr>
      <w:r>
        <w:rPr>
          <w:rFonts w:ascii="Arial" w:cs="Arial" w:eastAsia="Arial" w:hAnsi="Arial"/>
          <w:sz w:val="18"/>
          <w:szCs w:val="18"/>
          <w:color w:val="auto"/>
        </w:rPr>
        <w:t>Time. Subject to Article SIXTH of the Articles of Incorporation, a meeting of the shareholders of the Corporation shall be held in each calendar year, on such date and at such time as the Board of Directors may determine, or if the Board of Directors fails to set a date and time, on the second Thursday of June at 9:00 o’clock a.m., if not a holiday on which national banks are or may elect to be closed (“</w:t>
      </w:r>
      <w:r>
        <w:rPr>
          <w:rFonts w:ascii="Arial" w:cs="Arial" w:eastAsia="Arial" w:hAnsi="Arial"/>
          <w:sz w:val="18"/>
          <w:szCs w:val="18"/>
          <w:b w:val="1"/>
          <w:bCs w:val="1"/>
          <w:color w:val="auto"/>
        </w:rPr>
        <w:t>Holiday</w:t>
      </w:r>
      <w:r>
        <w:rPr>
          <w:rFonts w:ascii="Arial" w:cs="Arial" w:eastAsia="Arial" w:hAnsi="Arial"/>
          <w:sz w:val="18"/>
          <w:szCs w:val="18"/>
          <w:color w:val="auto"/>
        </w:rPr>
        <w:t>”), and if such day is a Holiday, then such meeting shall be held on the next business day at such time.</w:t>
      </w:r>
    </w:p>
    <w:p>
      <w:pPr>
        <w:spacing w:after="0" w:line="186" w:lineRule="exact"/>
        <w:rPr>
          <w:rFonts w:ascii="Arial" w:cs="Arial" w:eastAsia="Arial" w:hAnsi="Arial"/>
          <w:sz w:val="18"/>
          <w:szCs w:val="18"/>
          <w:color w:val="auto"/>
        </w:rPr>
      </w:pPr>
    </w:p>
    <w:p>
      <w:pPr>
        <w:ind w:right="380" w:firstLine="464"/>
        <w:spacing w:after="0" w:line="277" w:lineRule="auto"/>
        <w:tabs>
          <w:tab w:leader="none" w:pos="711" w:val="left"/>
        </w:tabs>
        <w:numPr>
          <w:ilvl w:val="0"/>
          <w:numId w:val="16"/>
        </w:numPr>
        <w:rPr>
          <w:rFonts w:ascii="Arial" w:cs="Arial" w:eastAsia="Arial" w:hAnsi="Arial"/>
          <w:sz w:val="18"/>
          <w:szCs w:val="18"/>
          <w:color w:val="auto"/>
        </w:rPr>
      </w:pPr>
      <w:r>
        <w:rPr>
          <w:rFonts w:ascii="Arial" w:cs="Arial" w:eastAsia="Arial" w:hAnsi="Arial"/>
          <w:sz w:val="18"/>
          <w:szCs w:val="18"/>
          <w:color w:val="auto"/>
        </w:rPr>
        <w:t>Election of Directors. At each annual meeting, Directors shall be elected to serve for the ensuing year and until their successors shall have been selected and qualified or until their earlier death, resignation or removal.</w:t>
      </w:r>
    </w:p>
    <w:p>
      <w:pPr>
        <w:spacing w:after="0" w:line="17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i w:val="1"/>
          <w:iCs w:val="1"/>
          <w:color w:val="auto"/>
        </w:rPr>
        <w:t>Special Meetings of Shareholders</w:t>
      </w:r>
      <w:r>
        <w:rPr>
          <w:rFonts w:ascii="Arial" w:cs="Arial" w:eastAsia="Arial" w:hAnsi="Arial"/>
          <w:sz w:val="18"/>
          <w:szCs w:val="18"/>
          <w:color w:val="auto"/>
        </w:rPr>
        <w:t>. Special meetings of the shareholders may be called at any time by the Board of Directors. Special meetings of the shareholders may not be called by shareholders. Upon the written instruction of the Board of Directors, which instruction specifies the general nature of the business to be transacted at such meeting as well as the date, time and place of such meeting, it shall be the duty of the Secretary to give due notice thereof as required by Section 2.04 hereof.</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i w:val="1"/>
          <w:iCs w:val="1"/>
          <w:color w:val="auto"/>
        </w:rPr>
        <w:t>Notices of Meetings of Shareholders</w:t>
      </w:r>
      <w:r>
        <w:rPr>
          <w:rFonts w:ascii="Arial" w:cs="Arial" w:eastAsia="Arial" w:hAnsi="Arial"/>
          <w:sz w:val="18"/>
          <w:szCs w:val="18"/>
          <w:color w:val="auto"/>
        </w:rPr>
        <w:t>. Written notice, complying with Article 6 of these By-Laws, of any meeting of the shareholders, shall be given to each shareholder of record entitled to vote at the meeting, other than those excepted by Section 1707 of the Pennsylvania Business Corporation Law of 1988, as amended (the “</w:t>
      </w:r>
      <w:r>
        <w:rPr>
          <w:rFonts w:ascii="Arial" w:cs="Arial" w:eastAsia="Arial" w:hAnsi="Arial"/>
          <w:sz w:val="18"/>
          <w:szCs w:val="18"/>
          <w:b w:val="1"/>
          <w:bCs w:val="1"/>
          <w:color w:val="auto"/>
        </w:rPr>
        <w:t>Pennsylvania BCL</w:t>
      </w:r>
      <w:r>
        <w:rPr>
          <w:rFonts w:ascii="Arial" w:cs="Arial" w:eastAsia="Arial" w:hAnsi="Arial"/>
          <w:sz w:val="18"/>
          <w:szCs w:val="18"/>
          <w:color w:val="auto"/>
        </w:rPr>
        <w:t>”), at least twenty days prior to the day named for the meeting, except as provided in Section 6.07. Such notices may be given by, or at the direction of, the Secretary or his or her designated agent.</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i w:val="1"/>
          <w:iCs w:val="1"/>
          <w:color w:val="auto"/>
        </w:rPr>
        <w:t>Quorum of and Action by Shareholders</w:t>
      </w:r>
      <w:r>
        <w:rPr>
          <w:rFonts w:ascii="Arial" w:cs="Arial" w:eastAsia="Arial" w:hAnsi="Arial"/>
          <w:sz w:val="18"/>
          <w:szCs w:val="18"/>
          <w:color w:val="auto"/>
        </w:rPr>
        <w:t>.</w:t>
      </w:r>
    </w:p>
    <w:p>
      <w:pPr>
        <w:spacing w:after="0" w:line="225" w:lineRule="exact"/>
        <w:rPr>
          <w:sz w:val="20"/>
          <w:szCs w:val="20"/>
          <w:color w:val="auto"/>
        </w:rPr>
      </w:pPr>
    </w:p>
    <w:p>
      <w:pPr>
        <w:ind w:firstLine="464"/>
        <w:spacing w:after="0" w:line="255" w:lineRule="auto"/>
        <w:tabs>
          <w:tab w:leader="none" w:pos="701" w:val="left"/>
        </w:tabs>
        <w:numPr>
          <w:ilvl w:val="0"/>
          <w:numId w:val="17"/>
        </w:numPr>
        <w:rPr>
          <w:rFonts w:ascii="Arial" w:cs="Arial" w:eastAsia="Arial" w:hAnsi="Arial"/>
          <w:sz w:val="18"/>
          <w:szCs w:val="18"/>
          <w:color w:val="auto"/>
        </w:rPr>
      </w:pPr>
      <w:r>
        <w:rPr>
          <w:rFonts w:ascii="Arial" w:cs="Arial" w:eastAsia="Arial" w:hAnsi="Arial"/>
          <w:sz w:val="18"/>
          <w:szCs w:val="18"/>
          <w:color w:val="auto"/>
        </w:rPr>
        <w:t>General Rule. A meeting of shareholders duly called shall not be organized for the transaction of business unless a quorum is present as to at least one of the matters to be considered. Except as provided in subsections (c), (d) and (e) of this Section 2.05, the presence of shareholders entitled to cast at least a majority of the votes that all shareholders are entitled to cast on a particular matter to be acted upon at the meeting shall constitute a quorum for the purpose of consideration of and action on the matter. To the extent that a quorum is present with respect to consideration of and action on a particular matter or matters but a quorum is not present as to another matter or matters, consideration of and action on the matter or matters for which a quorum is present may occur, and, after such consideration and action, the meeting may be adjourned for purposes of the consideration of and action on the matter or matters for which a quorum is not present.</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64" w:name="page65"/>
    <w:bookmarkEnd w:id="64"/>
    <w:p>
      <w:pPr>
        <w:ind w:left="-40" w:right="20" w:firstLine="464"/>
        <w:spacing w:after="0" w:line="276" w:lineRule="auto"/>
        <w:tabs>
          <w:tab w:leader="none" w:pos="671" w:val="left"/>
        </w:tabs>
        <w:numPr>
          <w:ilvl w:val="0"/>
          <w:numId w:val="1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Action by Shareholders. Except as otherwise specifically provided by law, all matters coming before a meeting of shareholders shall be determined by a vote of shares. Except as otherwise provided by a resolution adopted by the Board of Directors, by the Articles of Incorporation, by the Pennsylvania BCL or by these By-Laws, whenever any corporate action is to be taken by vote of the shareholders of the Corporation at a duly organized meeting of shareholders, it shall be authorized by a majority of the votes cast at the meeting by the holders of shares entitled to vote with respect to such matter;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no event may the required shareholder vote be reduced below that provided above.</w:t>
      </w:r>
    </w:p>
    <w:p>
      <w:pPr>
        <w:spacing w:after="0" w:line="172" w:lineRule="exact"/>
        <w:rPr>
          <w:rFonts w:ascii="Arial" w:cs="Arial" w:eastAsia="Arial" w:hAnsi="Arial"/>
          <w:sz w:val="17"/>
          <w:szCs w:val="17"/>
          <w:color w:val="auto"/>
        </w:rPr>
      </w:pPr>
    </w:p>
    <w:p>
      <w:pPr>
        <w:ind w:left="-40" w:right="440" w:firstLine="464"/>
        <w:spacing w:after="0" w:line="277" w:lineRule="auto"/>
        <w:tabs>
          <w:tab w:leader="none" w:pos="661"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Continuing Quorum. The shareholders present at a duly organized meeting can continue to do business until adjournment, notwithstanding the withdrawal of enough shareholders to leave less than a quorum.</w:t>
      </w:r>
    </w:p>
    <w:p>
      <w:pPr>
        <w:spacing w:after="0" w:line="170" w:lineRule="exact"/>
        <w:rPr>
          <w:rFonts w:ascii="Arial" w:cs="Arial" w:eastAsia="Arial" w:hAnsi="Arial"/>
          <w:sz w:val="18"/>
          <w:szCs w:val="18"/>
          <w:color w:val="auto"/>
        </w:rPr>
      </w:pPr>
    </w:p>
    <w:p>
      <w:pPr>
        <w:ind w:left="-40" w:right="80" w:firstLine="464"/>
        <w:spacing w:after="0" w:line="264" w:lineRule="auto"/>
        <w:tabs>
          <w:tab w:leader="none" w:pos="671" w:val="left"/>
        </w:tabs>
        <w:numPr>
          <w:ilvl w:val="0"/>
          <w:numId w:val="18"/>
        </w:numPr>
        <w:rPr>
          <w:rFonts w:ascii="Arial" w:cs="Arial" w:eastAsia="Arial" w:hAnsi="Arial"/>
          <w:sz w:val="18"/>
          <w:szCs w:val="18"/>
          <w:color w:val="auto"/>
        </w:rPr>
      </w:pPr>
      <w:r>
        <w:rPr>
          <w:rFonts w:ascii="Arial" w:cs="Arial" w:eastAsia="Arial" w:hAnsi="Arial"/>
          <w:sz w:val="18"/>
          <w:szCs w:val="18"/>
          <w:color w:val="auto"/>
        </w:rPr>
        <w:t>Election of Directors at Adjourned Meetings. Those shareholders entitled to vote who attend a meeting at which Directors are to be elected that has been previously adjourned for lack of a quorum with respect thereto, although less than a quorum as fixed in subsection (a), shall nevertheless constitute a quorum for the purpose of electing Directors at such reconvened meeting.</w:t>
      </w:r>
    </w:p>
    <w:p>
      <w:pPr>
        <w:spacing w:after="0" w:line="181" w:lineRule="exact"/>
        <w:rPr>
          <w:rFonts w:ascii="Arial" w:cs="Arial" w:eastAsia="Arial" w:hAnsi="Arial"/>
          <w:sz w:val="18"/>
          <w:szCs w:val="18"/>
          <w:color w:val="auto"/>
        </w:rPr>
      </w:pPr>
    </w:p>
    <w:p>
      <w:pPr>
        <w:ind w:left="-40" w:firstLine="464"/>
        <w:spacing w:after="0" w:line="257" w:lineRule="auto"/>
        <w:tabs>
          <w:tab w:leader="none" w:pos="661"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Conduct of Other Business at Adjourned Meetings. Those shareholders entitled to vote who attend a meeting at which a matter other than the election of directors is to be acted upon, that has been previously adjourned for one or more periods aggregating at least 15 days because of an absence of a quorum with respect thereto, although less than a quorum as fixed in subsection (a), shall nevertheless constitute a quorum for the purpose of acting upon such matter if the notice states that those shareholders who attend the adjourned meeting shall nevertheless constitute a quorum for the purpose of acting upon such matter.</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Section 2.06. </w:t>
      </w:r>
      <w:r>
        <w:rPr>
          <w:rFonts w:ascii="Arial" w:cs="Arial" w:eastAsia="Arial" w:hAnsi="Arial"/>
          <w:sz w:val="18"/>
          <w:szCs w:val="18"/>
          <w:i w:val="1"/>
          <w:iCs w:val="1"/>
          <w:color w:val="auto"/>
        </w:rPr>
        <w:t>Adjournments</w:t>
      </w:r>
      <w:r>
        <w:rPr>
          <w:rFonts w:ascii="Arial" w:cs="Arial" w:eastAsia="Arial" w:hAnsi="Arial"/>
          <w:sz w:val="18"/>
          <w:szCs w:val="18"/>
          <w:color w:val="auto"/>
        </w:rPr>
        <w:t>.</w:t>
      </w:r>
    </w:p>
    <w:p>
      <w:pPr>
        <w:spacing w:after="0" w:line="225" w:lineRule="exact"/>
        <w:rPr>
          <w:sz w:val="20"/>
          <w:szCs w:val="20"/>
          <w:color w:val="auto"/>
        </w:rPr>
      </w:pPr>
    </w:p>
    <w:p>
      <w:pPr>
        <w:ind w:left="-40" w:right="80" w:firstLine="464"/>
        <w:spacing w:after="0" w:line="277" w:lineRule="auto"/>
        <w:tabs>
          <w:tab w:leader="none" w:pos="661" w:val="left"/>
        </w:tabs>
        <w:numPr>
          <w:ilvl w:val="0"/>
          <w:numId w:val="19"/>
        </w:numPr>
        <w:rPr>
          <w:rFonts w:ascii="Arial" w:cs="Arial" w:eastAsia="Arial" w:hAnsi="Arial"/>
          <w:sz w:val="18"/>
          <w:szCs w:val="18"/>
          <w:color w:val="auto"/>
        </w:rPr>
      </w:pPr>
      <w:r>
        <w:rPr>
          <w:rFonts w:ascii="Arial" w:cs="Arial" w:eastAsia="Arial" w:hAnsi="Arial"/>
          <w:sz w:val="18"/>
          <w:szCs w:val="18"/>
          <w:color w:val="auto"/>
        </w:rPr>
        <w:t>General Rule. Adjournments of any regular or special meeting of shareholders, including one at which Directors are to be elected, may be taken for such periods as the shareholders present and entitled to vote shall direct.</w:t>
      </w:r>
    </w:p>
    <w:p>
      <w:pPr>
        <w:spacing w:after="0" w:line="170" w:lineRule="exact"/>
        <w:rPr>
          <w:rFonts w:ascii="Arial" w:cs="Arial" w:eastAsia="Arial" w:hAnsi="Arial"/>
          <w:sz w:val="18"/>
          <w:szCs w:val="18"/>
          <w:color w:val="auto"/>
        </w:rPr>
      </w:pPr>
    </w:p>
    <w:p>
      <w:pPr>
        <w:ind w:left="-40" w:right="140" w:firstLine="464"/>
        <w:spacing w:after="0" w:line="297" w:lineRule="auto"/>
        <w:tabs>
          <w:tab w:leader="none" w:pos="671" w:val="left"/>
        </w:tabs>
        <w:numPr>
          <w:ilvl w:val="0"/>
          <w:numId w:val="19"/>
        </w:numPr>
        <w:rPr>
          <w:rFonts w:ascii="Arial" w:cs="Arial" w:eastAsia="Arial" w:hAnsi="Arial"/>
          <w:sz w:val="16"/>
          <w:szCs w:val="16"/>
          <w:color w:val="auto"/>
        </w:rPr>
      </w:pPr>
      <w:r>
        <w:rPr>
          <w:rFonts w:ascii="Arial" w:cs="Arial" w:eastAsia="Arial" w:hAnsi="Arial"/>
          <w:sz w:val="16"/>
          <w:szCs w:val="16"/>
          <w:color w:val="auto"/>
        </w:rPr>
        <w:t>Lack of Quorum. Without limiting the generality of Section 2.06(c), if a meeting cannot be organized because a quorum has not attended, those shareholders present may, except as otherwise provided in the Pennsylvania BCL, adjourn the meeting to such time and place as they may determine. To the extent, as set forth in Section 2.05(a), that a quorum was not present with respect to consideration of and action on a particular matter at a duly called and organized meeting, consideration of and action on such matter may be adjourned to such date, time and place as those shareholders present may determine, and the balance of the matters to be considered at such meeting for which a quorum was present may be considered and acted upon at the initial meeting.</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80" w:top="274" w:right="259" w:bottom="1440" w:gutter="0" w:footer="0" w:header="0"/>
        </w:sectPr>
      </w:pPr>
    </w:p>
    <w:bookmarkStart w:id="65" w:name="page66"/>
    <w:bookmarkEnd w:id="65"/>
    <w:p>
      <w:pPr>
        <w:ind w:left="-20" w:firstLine="464"/>
        <w:spacing w:after="0" w:line="259" w:lineRule="auto"/>
        <w:tabs>
          <w:tab w:leader="none" w:pos="681" w:val="left"/>
        </w:tabs>
        <w:numPr>
          <w:ilvl w:val="0"/>
          <w:numId w:val="2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Notice of an Adjourned Meeting. When a meeting of shareholders is adjourned, it shall not be necessary to give any notice of the adjourned meeting or of the business to be transacted at an adjourned meeting, other than by announcement at the meeting at which the adjournment is taken, unless the Board fixes a new record date for the adjourned meeting or the Pennsylvania BCL requires notice of the business to be transacted and such notice has not been previously given.</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2.07. </w:t>
      </w:r>
      <w:r>
        <w:rPr>
          <w:rFonts w:ascii="Arial" w:cs="Arial" w:eastAsia="Arial" w:hAnsi="Arial"/>
          <w:sz w:val="18"/>
          <w:szCs w:val="18"/>
          <w:i w:val="1"/>
          <w:iCs w:val="1"/>
          <w:color w:val="auto"/>
        </w:rPr>
        <w:t>Voting List, Voting and Proxies</w:t>
      </w:r>
      <w:r>
        <w:rPr>
          <w:rFonts w:ascii="Arial" w:cs="Arial" w:eastAsia="Arial" w:hAnsi="Arial"/>
          <w:sz w:val="18"/>
          <w:szCs w:val="18"/>
          <w:color w:val="auto"/>
        </w:rPr>
        <w:t>.</w:t>
      </w:r>
    </w:p>
    <w:p>
      <w:pPr>
        <w:spacing w:after="0" w:line="225" w:lineRule="exact"/>
        <w:rPr>
          <w:sz w:val="20"/>
          <w:szCs w:val="20"/>
          <w:color w:val="auto"/>
        </w:rPr>
      </w:pPr>
    </w:p>
    <w:p>
      <w:pPr>
        <w:ind w:left="-20" w:right="100" w:firstLine="464"/>
        <w:spacing w:after="0" w:line="276" w:lineRule="auto"/>
        <w:tabs>
          <w:tab w:leader="none" w:pos="681" w:val="left"/>
        </w:tabs>
        <w:numPr>
          <w:ilvl w:val="0"/>
          <w:numId w:val="21"/>
        </w:numPr>
        <w:rPr>
          <w:rFonts w:ascii="Arial" w:cs="Arial" w:eastAsia="Arial" w:hAnsi="Arial"/>
          <w:sz w:val="17"/>
          <w:szCs w:val="17"/>
          <w:color w:val="auto"/>
        </w:rPr>
      </w:pPr>
      <w:r>
        <w:rPr>
          <w:rFonts w:ascii="Arial" w:cs="Arial" w:eastAsia="Arial" w:hAnsi="Arial"/>
          <w:sz w:val="17"/>
          <w:szCs w:val="17"/>
          <w:color w:val="auto"/>
        </w:rPr>
        <w:t>Voting List. The officer or agent having charge of the transfer books for shares of the Corporation shall make a complete list of the shareholders entitled to vote at any meeting of shareholders, arranged in alphabetical order, with the address of and the number of shares held by each. The list shall be produced and kept open at the date, time and place of the meeting and shall be subject to the inspection of any shareholder during the whole time of the meeting for the purposes thereof except that the Corporation shall not be required to produce the list at a meeting of shareholders for which a judge or judges of election are appointed but instead shall furnish the list to the judge or judges of election.</w:t>
      </w:r>
    </w:p>
    <w:p>
      <w:pPr>
        <w:spacing w:after="0" w:line="172" w:lineRule="exact"/>
        <w:rPr>
          <w:rFonts w:ascii="Arial" w:cs="Arial" w:eastAsia="Arial" w:hAnsi="Arial"/>
          <w:sz w:val="17"/>
          <w:szCs w:val="17"/>
          <w:color w:val="auto"/>
        </w:rPr>
      </w:pPr>
    </w:p>
    <w:p>
      <w:pPr>
        <w:ind w:left="-20" w:firstLine="464"/>
        <w:spacing w:after="0" w:line="257" w:lineRule="auto"/>
        <w:tabs>
          <w:tab w:leader="none" w:pos="691" w:val="left"/>
        </w:tabs>
        <w:numPr>
          <w:ilvl w:val="0"/>
          <w:numId w:val="21"/>
        </w:numPr>
        <w:rPr>
          <w:rFonts w:ascii="Arial" w:cs="Arial" w:eastAsia="Arial" w:hAnsi="Arial"/>
          <w:sz w:val="18"/>
          <w:szCs w:val="18"/>
          <w:color w:val="auto"/>
        </w:rPr>
      </w:pPr>
      <w:r>
        <w:rPr>
          <w:rFonts w:ascii="Arial" w:cs="Arial" w:eastAsia="Arial" w:hAnsi="Arial"/>
          <w:sz w:val="18"/>
          <w:szCs w:val="18"/>
          <w:color w:val="auto"/>
        </w:rPr>
        <w:t>Method of Voting. At the discretion of the presiding officer of a meeting of shareholders, (i) in elections for directors voting need not be by ballot but may be taken by voice, show of hands or such other method determined by the presiding officer unless it is required by vote of the shareholders, before the vote begins, that the vote be taken by ballot and (ii) with respect to any other action to be taken by vote at the meeting, as set forth in Section 2.05(b), voting need not be by ballot but may be taken by voice, show of hands or such other method determined by the presiding officer to the fullest extent permitted by applicable law (including the Pennsylvania BCL).</w:t>
      </w:r>
    </w:p>
    <w:p>
      <w:pPr>
        <w:spacing w:after="0" w:line="188" w:lineRule="exact"/>
        <w:rPr>
          <w:rFonts w:ascii="Arial" w:cs="Arial" w:eastAsia="Arial" w:hAnsi="Arial"/>
          <w:sz w:val="18"/>
          <w:szCs w:val="18"/>
          <w:color w:val="auto"/>
        </w:rPr>
      </w:pPr>
    </w:p>
    <w:p>
      <w:pPr>
        <w:ind w:left="-20" w:firstLine="464"/>
        <w:spacing w:after="0" w:line="270" w:lineRule="auto"/>
        <w:tabs>
          <w:tab w:leader="none" w:pos="681" w:val="left"/>
        </w:tabs>
        <w:numPr>
          <w:ilvl w:val="0"/>
          <w:numId w:val="21"/>
        </w:numPr>
        <w:rPr>
          <w:rFonts w:ascii="Arial" w:cs="Arial" w:eastAsia="Arial" w:hAnsi="Arial"/>
          <w:sz w:val="17"/>
          <w:szCs w:val="17"/>
          <w:color w:val="auto"/>
        </w:rPr>
      </w:pPr>
      <w:r>
        <w:rPr>
          <w:rFonts w:ascii="Arial" w:cs="Arial" w:eastAsia="Arial" w:hAnsi="Arial"/>
          <w:sz w:val="17"/>
          <w:szCs w:val="17"/>
          <w:color w:val="auto"/>
        </w:rPr>
        <w:t>Proxies. At all meetings of shareholders, shareholders entitled to vote may attend and vote either in person or by proxy. Every proxy shall be executed or authenticated by the shareholder or by such shareholder’s duly authorized attorney-in-fact and shall be filed with, or transmitted to, the Secretary or his or her designated agent. A shareholder or such shareholder’s duly authorized attorney-in-fact may execute or authenticate in writing or transmit an electronic message authorizing another person to act for such shareholder by proxy. A proxy, unless coupled with an interest (as defined in Section 1759(d) of the Pennsylvania BCL), shall be revocable at will, notwithstanding any other agreement or any provision in the proxy to the contrary, but the revocation of a proxy shall not be effective until notice thereof has been given to the Secretary or his or her designated agent in writing or by electronic transmission. An unrevoked proxy shall not be valid after three years from the date of its execution unless a longer time is expressly provided therein. A proxy shall not be revoked by the death or incapacity of the maker unless, before the vote is counted or the authority is exercised, notice of the death or incapacity is given to the Secretary or his or her designated agent in writing or by electronic transmission.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60" w:top="274" w:right="259" w:bottom="1440" w:gutter="0" w:footer="0" w:header="0"/>
        </w:sectPr>
      </w:pPr>
    </w:p>
    <w:bookmarkStart w:id="66" w:name="page67"/>
    <w:bookmarkEnd w:id="66"/>
    <w:p>
      <w:pPr>
        <w:ind w:right="40" w:firstLine="464"/>
        <w:spacing w:after="0" w:line="272" w:lineRule="auto"/>
        <w:tabs>
          <w:tab w:leader="none" w:pos="711" w:val="left"/>
        </w:tabs>
        <w:numPr>
          <w:ilvl w:val="0"/>
          <w:numId w:val="2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Judges of Election. In advance of any meeting of shareholders of the Corporation, the Board of Directors may appoint one or three Judges of Election, who need not be shareholders and who will have such duties as provided in Section 1765(a)(3) of the Pennsylvania BCL, to act at the meeting or any adjournment thereof. If one or three Judges of Election are not so appointed, the presiding officer of the meeting may, and on the request of any shareholder shall, appoint one or three Judges of Election at the meeting. In case any person appointed as a Judge of Election fails to appear or refuses to act, the vacancy may be filled by appointment made by the Board of Directors in advance of the convening of the meeting or at the meeting by the presiding officer. A person who is a candidate for office to be filled at the meeting shall not act as a Judge of Election. Unless the Pennsylvania BCL permits otherwise, this Section 2.07(d) may be modified only by a By-Law amendment adopted by the shareholders.</w:t>
      </w:r>
    </w:p>
    <w:p>
      <w:pPr>
        <w:spacing w:after="0" w:line="177" w:lineRule="exact"/>
        <w:rPr>
          <w:rFonts w:ascii="Arial" w:cs="Arial" w:eastAsia="Arial" w:hAnsi="Arial"/>
          <w:sz w:val="17"/>
          <w:szCs w:val="17"/>
          <w:color w:val="auto"/>
        </w:rPr>
      </w:pPr>
    </w:p>
    <w:p>
      <w:pPr>
        <w:ind w:right="560" w:firstLine="464"/>
        <w:spacing w:after="0" w:line="277" w:lineRule="auto"/>
        <w:tabs>
          <w:tab w:leader="none" w:pos="701"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 Action by Written Consent in Lieu of a Meeting. Subject to Article NINTH of the Articles of Incorporation, the shareholders shall not be permitted to act by written consent in lieu of a meeting.</w:t>
      </w:r>
    </w:p>
    <w:p>
      <w:pPr>
        <w:spacing w:after="0" w:line="17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Section 2.08. </w:t>
      </w:r>
      <w:r>
        <w:rPr>
          <w:rFonts w:ascii="Arial" w:cs="Arial" w:eastAsia="Arial" w:hAnsi="Arial"/>
          <w:sz w:val="18"/>
          <w:szCs w:val="18"/>
          <w:i w:val="1"/>
          <w:iCs w:val="1"/>
          <w:color w:val="auto"/>
        </w:rPr>
        <w:t>Participation in Meetings by Electronic Means</w:t>
      </w:r>
      <w:r>
        <w:rPr>
          <w:rFonts w:ascii="Arial" w:cs="Arial" w:eastAsia="Arial" w:hAnsi="Arial"/>
          <w:sz w:val="18"/>
          <w:szCs w:val="18"/>
          <w:color w:val="auto"/>
        </w:rPr>
        <w:t>. The Board of Directors may permit, by resolution with respect to a particular meeting of the shareholders, or the presiding officer of such meeting may permit, one or more persons to participate in that meeting, count for the purposes of determining a quorum and exercise all rights and privileges to which such person might be entitled were such person personally in attendance, including the right to vote, by means of conference telephone or other electronic means, including, without limitation, the Internet. Unless the Board of Directors so permits by resolution, or the presiding officer of such meeting so permits, no person may participate in a meeting of the shareholders by means of conference telephone or other electronic means.</w:t>
      </w:r>
    </w:p>
    <w:p>
      <w:pPr>
        <w:spacing w:after="0" w:line="193"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color w:val="auto"/>
        </w:rPr>
        <w:t xml:space="preserve">Section 2.09. </w:t>
      </w:r>
      <w:r>
        <w:rPr>
          <w:rFonts w:ascii="Arial" w:cs="Arial" w:eastAsia="Arial" w:hAnsi="Arial"/>
          <w:sz w:val="17"/>
          <w:szCs w:val="17"/>
          <w:i w:val="1"/>
          <w:iCs w:val="1"/>
          <w:color w:val="auto"/>
        </w:rPr>
        <w:t>Business at Meetings of Shareholders</w:t>
      </w:r>
      <w:r>
        <w:rPr>
          <w:rFonts w:ascii="Arial" w:cs="Arial" w:eastAsia="Arial" w:hAnsi="Arial"/>
          <w:sz w:val="17"/>
          <w:szCs w:val="17"/>
          <w:color w:val="auto"/>
        </w:rPr>
        <w:t>. Except as otherwise provided by law (including but not limited to Rule 14a-8 promulgated under the Securities and Exchange Act of 1934, as amended, or any successor provision thereto) or in these By-Laws, the business which shall be conducted at any meeting of the shareholders shall (a) have been specified in the written notice of the meeting (or any supplement thereto) given by the Corporation, or (b) be brought before the meeting at the direction of the Board of Directors, or (c) be brought before the meeting by the presiding officer of the meeting unless a majority of the Directors then in office object to such business being conducted at the meeting, or (d) in the case of any matters intended to be brought by a shareholder before an annual meeting of shareholders for specific action at such meeting, have been specified in a written notice given to the Secretary, by or on behalf of any shareholder who shall have been a shareholder of record on the record date for such meeting and who shall continue to be entitled to vote thereat (the “</w:t>
      </w:r>
      <w:r>
        <w:rPr>
          <w:rFonts w:ascii="Arial" w:cs="Arial" w:eastAsia="Arial" w:hAnsi="Arial"/>
          <w:sz w:val="17"/>
          <w:szCs w:val="17"/>
          <w:b w:val="1"/>
          <w:bCs w:val="1"/>
          <w:color w:val="auto"/>
        </w:rPr>
        <w:t>Shareholder Notice</w:t>
      </w:r>
      <w:r>
        <w:rPr>
          <w:rFonts w:ascii="Arial" w:cs="Arial" w:eastAsia="Arial" w:hAnsi="Arial"/>
          <w:sz w:val="17"/>
          <w:szCs w:val="17"/>
          <w:color w:val="auto"/>
        </w:rPr>
        <w:t>”), in accordance with all of the following requirements: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67" w:name="page68"/>
    <w:bookmarkEnd w:id="67"/>
    <w:p>
      <w:pPr>
        <w:ind w:left="420" w:right="100" w:firstLine="443"/>
        <w:spacing w:after="0" w:line="255" w:lineRule="auto"/>
        <w:tabs>
          <w:tab w:leader="none" w:pos="1073" w:val="left"/>
        </w:tabs>
        <w:numPr>
          <w:ilvl w:val="0"/>
          <w:numId w:val="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Shareholder Notice must be delivered to, or mailed and received at, the principal executive offices of the Corporation (A) in the case of an annual meeting that is called for a date that is within 30 days before or after the anniversary date of the immediately preceding annual meeting of shareholders, not less than 60 days nor more than 90 days prior to such anniversary date, and (B) in the case of an annual meeting that is called for a date that is not within 30 days before or after the anniversary date of the immediately preceding annual meeting, not later than the close of business on the tenth day following the day on which notice of the date of the meeting was mailed or public disclosure of the date of the meeting was made, whichever occurs first;</w:t>
      </w:r>
    </w:p>
    <w:p>
      <w:pPr>
        <w:spacing w:after="0" w:line="85" w:lineRule="exact"/>
        <w:rPr>
          <w:rFonts w:ascii="Arial" w:cs="Arial" w:eastAsia="Arial" w:hAnsi="Arial"/>
          <w:sz w:val="18"/>
          <w:szCs w:val="18"/>
          <w:color w:val="auto"/>
        </w:rPr>
      </w:pPr>
    </w:p>
    <w:p>
      <w:pPr>
        <w:ind w:left="420" w:right="40" w:firstLine="443"/>
        <w:spacing w:after="0" w:line="273" w:lineRule="auto"/>
        <w:tabs>
          <w:tab w:leader="none" w:pos="1123" w:val="left"/>
        </w:tabs>
        <w:numPr>
          <w:ilvl w:val="0"/>
          <w:numId w:val="23"/>
        </w:numPr>
        <w:rPr>
          <w:rFonts w:ascii="Arial" w:cs="Arial" w:eastAsia="Arial" w:hAnsi="Arial"/>
          <w:sz w:val="17"/>
          <w:szCs w:val="17"/>
          <w:color w:val="auto"/>
        </w:rPr>
      </w:pPr>
      <w:r>
        <w:rPr>
          <w:rFonts w:ascii="Arial" w:cs="Arial" w:eastAsia="Arial" w:hAnsi="Arial"/>
          <w:sz w:val="17"/>
          <w:szCs w:val="17"/>
          <w:color w:val="auto"/>
        </w:rPr>
        <w:t>Each such Shareholder Notice must set forth: (A) the name and address of the shareholder who intends to bring the business before the meeting; (B) the general nature of the business which such shareholder seeks to bring before the meeting and the text of the resolution or resolutions which the proposing shareholder proposes that the shareholders adopt; and (C) a representation that the shareholder is a holder of record of the stock of the Corporation entitled to vote at such meeting and intends to appear in person or by proxy at the meeting to bring the business specified in the notice before the meeting. The presiding officer of the meeting may, in his or her sole discretion, refuse to acknowledge any business proposed by a shareholder not made in compliance with the foregoing procedure; and</w:t>
      </w:r>
    </w:p>
    <w:p>
      <w:pPr>
        <w:spacing w:after="0" w:line="70" w:lineRule="exact"/>
        <w:rPr>
          <w:rFonts w:ascii="Arial" w:cs="Arial" w:eastAsia="Arial" w:hAnsi="Arial"/>
          <w:sz w:val="17"/>
          <w:szCs w:val="17"/>
          <w:color w:val="auto"/>
        </w:rPr>
      </w:pPr>
    </w:p>
    <w:p>
      <w:pPr>
        <w:ind w:left="420" w:firstLine="443"/>
        <w:spacing w:after="0" w:line="277" w:lineRule="auto"/>
        <w:tabs>
          <w:tab w:leader="none" w:pos="1173" w:val="left"/>
        </w:tabs>
        <w:numPr>
          <w:ilvl w:val="0"/>
          <w:numId w:val="23"/>
        </w:numPr>
        <w:rPr>
          <w:rFonts w:ascii="Arial" w:cs="Arial" w:eastAsia="Arial" w:hAnsi="Arial"/>
          <w:sz w:val="18"/>
          <w:szCs w:val="18"/>
          <w:color w:val="auto"/>
        </w:rPr>
      </w:pPr>
      <w:r>
        <w:rPr>
          <w:rFonts w:ascii="Arial" w:cs="Arial" w:eastAsia="Arial" w:hAnsi="Arial"/>
          <w:sz w:val="18"/>
          <w:szCs w:val="18"/>
          <w:color w:val="auto"/>
        </w:rPr>
        <w:t>Beginning with Shareholder Notices relating to the first annual meeting of shareholders of the Corporation held after the annual meeting held in 2016, the references to 60 days and 90 days in Section 2.09(i) shall be changed to 90 days and 120 days, respectively.</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i w:val="1"/>
          <w:iCs w:val="1"/>
          <w:color w:val="auto"/>
        </w:rPr>
        <w:t>Conduct Of Meetings Of Shareholders</w:t>
      </w:r>
      <w:r>
        <w:rPr>
          <w:rFonts w:ascii="Arial" w:cs="Arial" w:eastAsia="Arial" w:hAnsi="Arial"/>
          <w:sz w:val="18"/>
          <w:szCs w:val="18"/>
          <w:color w:val="auto"/>
        </w:rPr>
        <w:t>.</w:t>
      </w:r>
    </w:p>
    <w:p>
      <w:pPr>
        <w:spacing w:after="0" w:line="225" w:lineRule="exact"/>
        <w:rPr>
          <w:sz w:val="20"/>
          <w:szCs w:val="20"/>
          <w:color w:val="auto"/>
        </w:rPr>
      </w:pPr>
    </w:p>
    <w:p>
      <w:pPr>
        <w:jc w:val="both"/>
        <w:ind w:left="-40" w:right="60" w:firstLine="464"/>
        <w:spacing w:after="0" w:line="312" w:lineRule="auto"/>
        <w:tabs>
          <w:tab w:leader="none" w:pos="661" w:val="left"/>
        </w:tabs>
        <w:numPr>
          <w:ilvl w:val="0"/>
          <w:numId w:val="24"/>
        </w:numPr>
        <w:rPr>
          <w:rFonts w:ascii="Arial" w:cs="Arial" w:eastAsia="Arial" w:hAnsi="Arial"/>
          <w:sz w:val="16"/>
          <w:szCs w:val="16"/>
          <w:color w:val="auto"/>
        </w:rPr>
      </w:pPr>
      <w:r>
        <w:rPr>
          <w:rFonts w:ascii="Arial" w:cs="Arial" w:eastAsia="Arial" w:hAnsi="Arial"/>
          <w:sz w:val="16"/>
          <w:szCs w:val="16"/>
          <w:color w:val="auto"/>
        </w:rPr>
        <w:t xml:space="preserve">Presiding Officer. There shall be a presiding officer at every meeting of the shareholders. Subject to Article SIXTH of the Articles of Incorporation, the presiding officer shall be appointed by the Board of Directors or in the manner authorized by the Board of Directors;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a presiding officer is not designated by the Board of Directors or in the manner authorized by the Board of Directors, the Chairman of the Board shall be the presiding officer.</w:t>
      </w:r>
    </w:p>
    <w:p>
      <w:pPr>
        <w:spacing w:after="0" w:line="146" w:lineRule="exact"/>
        <w:rPr>
          <w:rFonts w:ascii="Arial" w:cs="Arial" w:eastAsia="Arial" w:hAnsi="Arial"/>
          <w:sz w:val="16"/>
          <w:szCs w:val="16"/>
          <w:color w:val="auto"/>
        </w:rPr>
      </w:pPr>
    </w:p>
    <w:p>
      <w:pPr>
        <w:ind w:left="-40" w:right="120" w:firstLine="464"/>
        <w:spacing w:after="0" w:line="277" w:lineRule="auto"/>
        <w:tabs>
          <w:tab w:leader="none" w:pos="671" w:val="left"/>
        </w:tabs>
        <w:numPr>
          <w:ilvl w:val="0"/>
          <w:numId w:val="24"/>
        </w:numPr>
        <w:rPr>
          <w:rFonts w:ascii="Arial" w:cs="Arial" w:eastAsia="Arial" w:hAnsi="Arial"/>
          <w:sz w:val="18"/>
          <w:szCs w:val="18"/>
          <w:color w:val="auto"/>
        </w:rPr>
      </w:pPr>
      <w:r>
        <w:rPr>
          <w:rFonts w:ascii="Arial" w:cs="Arial" w:eastAsia="Arial" w:hAnsi="Arial"/>
          <w:sz w:val="18"/>
          <w:szCs w:val="18"/>
          <w:color w:val="auto"/>
        </w:rPr>
        <w:t>Authority of Presiding Officer. Except as prescribed by the Board of Directors, the presiding officer shall determine the order of business and shall have the authority to establish rules for the conduct of the meeting of the shareholders.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80" w:top="274" w:right="259" w:bottom="1440" w:gutter="0" w:footer="0" w:header="0"/>
        </w:sectPr>
      </w:pPr>
    </w:p>
    <w:bookmarkStart w:id="68" w:name="page69"/>
    <w:bookmarkEnd w:id="68"/>
    <w:p>
      <w:pPr>
        <w:ind w:left="-80" w:right="140" w:firstLine="464"/>
        <w:spacing w:after="0" w:line="308" w:lineRule="auto"/>
        <w:tabs>
          <w:tab w:leader="none" w:pos="621" w:val="left"/>
        </w:tabs>
        <w:numPr>
          <w:ilvl w:val="0"/>
          <w:numId w:val="2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Procedural Standard. Any action by the presiding officer in adopting rules for, and in conducting, a meeting of the shareholders shall be fair to the shareholders. The conduct of the meeting need not follow </w:t>
      </w:r>
      <w:r>
        <w:rPr>
          <w:rFonts w:ascii="Arial" w:cs="Arial" w:eastAsia="Arial" w:hAnsi="Arial"/>
          <w:sz w:val="17"/>
          <w:szCs w:val="17"/>
          <w:i w:val="1"/>
          <w:iCs w:val="1"/>
          <w:color w:val="auto"/>
        </w:rPr>
        <w:t>Robert’s Rules of Order</w:t>
      </w:r>
      <w:r>
        <w:rPr>
          <w:rFonts w:ascii="Arial" w:cs="Arial" w:eastAsia="Arial" w:hAnsi="Arial"/>
          <w:sz w:val="17"/>
          <w:szCs w:val="17"/>
          <w:color w:val="auto"/>
        </w:rPr>
        <w:t xml:space="preserve"> or any other published rules for the conduct of a meeting.</w:t>
      </w:r>
    </w:p>
    <w:p>
      <w:pPr>
        <w:spacing w:after="0" w:line="146" w:lineRule="exact"/>
        <w:rPr>
          <w:rFonts w:ascii="Arial" w:cs="Arial" w:eastAsia="Arial" w:hAnsi="Arial"/>
          <w:sz w:val="17"/>
          <w:szCs w:val="17"/>
          <w:color w:val="auto"/>
        </w:rPr>
      </w:pPr>
    </w:p>
    <w:p>
      <w:pPr>
        <w:ind w:left="-80" w:firstLine="464"/>
        <w:spacing w:after="0" w:line="264" w:lineRule="auto"/>
        <w:tabs>
          <w:tab w:leader="none" w:pos="631" w:val="left"/>
        </w:tabs>
        <w:numPr>
          <w:ilvl w:val="0"/>
          <w:numId w:val="25"/>
        </w:numPr>
        <w:rPr>
          <w:rFonts w:ascii="Arial" w:cs="Arial" w:eastAsia="Arial" w:hAnsi="Arial"/>
          <w:sz w:val="18"/>
          <w:szCs w:val="18"/>
          <w:color w:val="auto"/>
        </w:rPr>
      </w:pPr>
      <w:r>
        <w:rPr>
          <w:rFonts w:ascii="Arial" w:cs="Arial" w:eastAsia="Arial" w:hAnsi="Arial"/>
          <w:sz w:val="18"/>
          <w:szCs w:val="18"/>
          <w:color w:val="auto"/>
        </w:rPr>
        <w:t>Closing of the Polls. The presiding officer shall announce at the meeting of the shareholders when the polls close for each matter voted upon. If no announcement is made, the polls shall be deemed to have closed upon the final adjournment of the meeting. After the polls close, no ballots, proxies or votes, nor any revocations or changes thereto, may be accepted.</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3</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w:t>
      </w:r>
      <w:r>
        <w:rPr>
          <w:rFonts w:ascii="Arial" w:cs="Arial" w:eastAsia="Arial" w:hAnsi="Arial"/>
          <w:sz w:val="15"/>
          <w:szCs w:val="15"/>
          <w:color w:val="auto"/>
        </w:rPr>
        <w:t>OARD</w:t>
      </w:r>
      <w:r>
        <w:rPr>
          <w:rFonts w:ascii="Arial" w:cs="Arial" w:eastAsia="Arial" w:hAnsi="Arial"/>
          <w:sz w:val="18"/>
          <w:szCs w:val="18"/>
          <w:color w:val="auto"/>
        </w:rPr>
        <w:t xml:space="preserve"> O</w:t>
      </w:r>
      <w:r>
        <w:rPr>
          <w:rFonts w:ascii="Arial" w:cs="Arial" w:eastAsia="Arial" w:hAnsi="Arial"/>
          <w:sz w:val="15"/>
          <w:szCs w:val="15"/>
          <w:color w:val="auto"/>
        </w:rPr>
        <w:t>F</w:t>
      </w:r>
      <w:r>
        <w:rPr>
          <w:rFonts w:ascii="Arial" w:cs="Arial" w:eastAsia="Arial" w:hAnsi="Arial"/>
          <w:sz w:val="18"/>
          <w:szCs w:val="18"/>
          <w:color w:val="auto"/>
        </w:rPr>
        <w:t xml:space="preserve"> D</w:t>
      </w:r>
      <w:r>
        <w:rPr>
          <w:rFonts w:ascii="Arial" w:cs="Arial" w:eastAsia="Arial" w:hAnsi="Arial"/>
          <w:sz w:val="15"/>
          <w:szCs w:val="15"/>
          <w:color w:val="auto"/>
        </w:rPr>
        <w:t>IRECTORS</w:t>
      </w:r>
    </w:p>
    <w:p>
      <w:pPr>
        <w:spacing w:after="0" w:line="21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i w:val="1"/>
          <w:iCs w:val="1"/>
          <w:color w:val="auto"/>
        </w:rPr>
        <w:t>Board of Directors</w:t>
      </w:r>
      <w:r>
        <w:rPr>
          <w:rFonts w:ascii="Arial" w:cs="Arial" w:eastAsia="Arial" w:hAnsi="Arial"/>
          <w:sz w:val="18"/>
          <w:szCs w:val="18"/>
          <w:color w:val="auto"/>
        </w:rPr>
        <w:t>.</w:t>
      </w:r>
    </w:p>
    <w:p>
      <w:pPr>
        <w:spacing w:after="0" w:line="225" w:lineRule="exact"/>
        <w:rPr>
          <w:sz w:val="20"/>
          <w:szCs w:val="20"/>
          <w:color w:val="auto"/>
        </w:rPr>
      </w:pPr>
    </w:p>
    <w:p>
      <w:pPr>
        <w:jc w:val="both"/>
        <w:ind w:left="-80" w:right="500" w:firstLine="464"/>
        <w:spacing w:after="0" w:line="342" w:lineRule="auto"/>
        <w:tabs>
          <w:tab w:leader="none" w:pos="621" w:val="left"/>
        </w:tabs>
        <w:numPr>
          <w:ilvl w:val="0"/>
          <w:numId w:val="26"/>
        </w:numPr>
        <w:rPr>
          <w:rFonts w:ascii="Arial" w:cs="Arial" w:eastAsia="Arial" w:hAnsi="Arial"/>
          <w:sz w:val="16"/>
          <w:szCs w:val="16"/>
          <w:color w:val="auto"/>
        </w:rPr>
      </w:pPr>
      <w:r>
        <w:rPr>
          <w:rFonts w:ascii="Arial" w:cs="Arial" w:eastAsia="Arial" w:hAnsi="Arial"/>
          <w:sz w:val="16"/>
          <w:szCs w:val="16"/>
          <w:color w:val="auto"/>
        </w:rPr>
        <w:t>General Powers. Except as otherwise provided by law, the Articles of Incorporation or these By-Laws, all powers of the Corporation shall be exercised by or under the authority of, and the business and affairs of the Corporation shall be managed under the direction of, the Board of Directors.</w:t>
      </w:r>
    </w:p>
    <w:p>
      <w:pPr>
        <w:spacing w:after="0" w:line="123" w:lineRule="exact"/>
        <w:rPr>
          <w:rFonts w:ascii="Arial" w:cs="Arial" w:eastAsia="Arial" w:hAnsi="Arial"/>
          <w:sz w:val="16"/>
          <w:szCs w:val="16"/>
          <w:color w:val="auto"/>
        </w:rPr>
      </w:pPr>
    </w:p>
    <w:p>
      <w:pPr>
        <w:ind w:left="640" w:hanging="25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Number. The number of Directors shall be as determined by the Board of Directors from time to time.</w:t>
      </w:r>
    </w:p>
    <w:p>
      <w:pPr>
        <w:spacing w:after="0" w:line="225" w:lineRule="exact"/>
        <w:rPr>
          <w:rFonts w:ascii="Arial" w:cs="Arial" w:eastAsia="Arial" w:hAnsi="Arial"/>
          <w:sz w:val="18"/>
          <w:szCs w:val="18"/>
          <w:color w:val="auto"/>
        </w:rPr>
      </w:pPr>
    </w:p>
    <w:p>
      <w:pPr>
        <w:ind w:left="-80" w:right="60" w:firstLine="464"/>
        <w:spacing w:after="0" w:line="276" w:lineRule="auto"/>
        <w:tabs>
          <w:tab w:leader="none" w:pos="621" w:val="left"/>
        </w:tabs>
        <w:numPr>
          <w:ilvl w:val="0"/>
          <w:numId w:val="26"/>
        </w:numPr>
        <w:rPr>
          <w:rFonts w:ascii="Arial" w:cs="Arial" w:eastAsia="Arial" w:hAnsi="Arial"/>
          <w:sz w:val="17"/>
          <w:szCs w:val="17"/>
          <w:color w:val="auto"/>
        </w:rPr>
      </w:pPr>
      <w:r>
        <w:rPr>
          <w:rFonts w:ascii="Arial" w:cs="Arial" w:eastAsia="Arial" w:hAnsi="Arial"/>
          <w:sz w:val="17"/>
          <w:szCs w:val="17"/>
          <w:color w:val="auto"/>
        </w:rPr>
        <w:t>Vacancies. Each Director shall hold office until the expiration of the term for which such person was selected and until such person’s successor has been selected and qualified or until such person’s earlier death, resignation or removal. Subject to Article SIXTH of the Articles of Incorporation, any vacancies on the Board of Directors, including vacancies resulting from an increase in the number of Directors, may be filled by a majority vote of the remaining members of the Board of Directors, though less than a quorum, or by a sole remaining Director, or, if there are no remaining Directors, by the shareholders, and each person so selected shall be a Director to serve for the balance of the unexpired term.</w:t>
      </w:r>
    </w:p>
    <w:p>
      <w:pPr>
        <w:spacing w:after="0" w:line="172" w:lineRule="exact"/>
        <w:rPr>
          <w:rFonts w:ascii="Arial" w:cs="Arial" w:eastAsia="Arial" w:hAnsi="Arial"/>
          <w:sz w:val="17"/>
          <w:szCs w:val="17"/>
          <w:color w:val="auto"/>
        </w:rPr>
      </w:pPr>
    </w:p>
    <w:p>
      <w:pPr>
        <w:ind w:left="-80" w:right="420" w:firstLine="464"/>
        <w:spacing w:after="0" w:line="277" w:lineRule="auto"/>
        <w:tabs>
          <w:tab w:leader="none" w:pos="631"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Removal. The entire Board of Directors or any individual Director may be removed from office only for cause by the vote of the shareholders entitled to elect directors.</w:t>
      </w:r>
    </w:p>
    <w:p>
      <w:pPr>
        <w:spacing w:after="0" w:line="170" w:lineRule="exact"/>
        <w:rPr>
          <w:rFonts w:ascii="Arial" w:cs="Arial" w:eastAsia="Arial" w:hAnsi="Arial"/>
          <w:sz w:val="18"/>
          <w:szCs w:val="18"/>
          <w:color w:val="auto"/>
        </w:rPr>
      </w:pPr>
    </w:p>
    <w:p>
      <w:pPr>
        <w:ind w:left="620" w:hanging="236"/>
        <w:spacing w:after="0"/>
        <w:tabs>
          <w:tab w:leader="none" w:pos="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Qualification. A Director must be a natural person at least 18 years of age.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80"/>
          </w:cols>
          <w:pgMar w:left="320" w:top="274" w:right="299" w:bottom="1440" w:gutter="0" w:footer="0" w:header="0"/>
        </w:sectPr>
      </w:pPr>
    </w:p>
    <w:bookmarkStart w:id="69" w:name="page70"/>
    <w:bookmarkEnd w:id="69"/>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3.02. </w:t>
      </w:r>
      <w:r>
        <w:rPr>
          <w:rFonts w:ascii="Arial" w:cs="Arial" w:eastAsia="Arial" w:hAnsi="Arial"/>
          <w:sz w:val="18"/>
          <w:szCs w:val="18"/>
          <w:i w:val="1"/>
          <w:iCs w:val="1"/>
          <w:color w:val="auto"/>
        </w:rPr>
        <w:t>Place of Meetings</w:t>
      </w:r>
      <w:r>
        <w:rPr>
          <w:rFonts w:ascii="Arial" w:cs="Arial" w:eastAsia="Arial" w:hAnsi="Arial"/>
          <w:sz w:val="18"/>
          <w:szCs w:val="18"/>
          <w:color w:val="auto"/>
        </w:rPr>
        <w:t>. Meetings of the Board of Directors may be held at such place within or without the Commonwealth of Pennsylvania as the Board of Directors may appoint from time to time or as may be designated in the notice of the meeting.</w:t>
      </w:r>
    </w:p>
    <w:p>
      <w:pPr>
        <w:spacing w:after="0" w:line="170"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i w:val="1"/>
          <w:iCs w:val="1"/>
          <w:color w:val="auto"/>
        </w:rPr>
        <w:t>Regular Meetings</w:t>
      </w:r>
      <w:r>
        <w:rPr>
          <w:rFonts w:ascii="Arial" w:cs="Arial" w:eastAsia="Arial" w:hAnsi="Arial"/>
          <w:sz w:val="18"/>
          <w:szCs w:val="18"/>
          <w:color w:val="auto"/>
        </w:rPr>
        <w:t>. A regular meeting of the Board of Directors shall be held immediately following each annual meeting of the shareholders, at the place where such meeting of the shareholders is held or at such other place and time after the annual meeting of shareholders as the Board of Directors may designate. Subject to Article SIXTH of the Articles of Incorporation, at such meeting, the Board of Directors shall elect officers of the Corporation. In addition to such regular meeting, the Board of Directors shall have the power to fix by resolution the place, date and time of other regular meetings of the Board of Directors.</w:t>
      </w:r>
    </w:p>
    <w:p>
      <w:pPr>
        <w:spacing w:after="0" w:line="188"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i w:val="1"/>
          <w:iCs w:val="1"/>
          <w:color w:val="auto"/>
        </w:rPr>
        <w:t>Special Meetings</w:t>
      </w:r>
      <w:r>
        <w:rPr>
          <w:rFonts w:ascii="Arial" w:cs="Arial" w:eastAsia="Arial" w:hAnsi="Arial"/>
          <w:sz w:val="18"/>
          <w:szCs w:val="18"/>
          <w:color w:val="auto"/>
        </w:rPr>
        <w:t>. Special meetings of the Board of Directors shall be held whenever ordered by the Chairman of the Board, the Chief Executive Officer, by the Board of Directors or by any officer of the Corporation authorized by Article SIXTH of the Articles of Incorporation to call special meetings of the Board of Directors for so long as such officer is also a Director of the Corporation.</w:t>
      </w:r>
    </w:p>
    <w:p>
      <w:pPr>
        <w:spacing w:after="0" w:line="18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i w:val="1"/>
          <w:iCs w:val="1"/>
          <w:color w:val="auto"/>
        </w:rPr>
        <w:t>Participation in Meetings by Electronic Means</w:t>
      </w:r>
      <w:r>
        <w:rPr>
          <w:rFonts w:ascii="Arial" w:cs="Arial" w:eastAsia="Arial" w:hAnsi="Arial"/>
          <w:sz w:val="18"/>
          <w:szCs w:val="18"/>
          <w:color w:val="auto"/>
        </w:rPr>
        <w:t>. Any Director may participate in any meeting of the Board of Directors or of any committee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such Director is otherwise entitled to participate), be counted for the purpose of determining a quorum thereof and exercise all rights and privileges to which such Director might be entitled were such Director personally in attendance, including the right to vote, or any other rights attendant to presence in person at such meeting, by means of conference telephone or other electronic means, including, without limitation, the Internet, by means of which all persons participating in the meeting can hear each other.</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3.06. </w:t>
      </w:r>
      <w:r>
        <w:rPr>
          <w:rFonts w:ascii="Arial" w:cs="Arial" w:eastAsia="Arial" w:hAnsi="Arial"/>
          <w:sz w:val="18"/>
          <w:szCs w:val="18"/>
          <w:i w:val="1"/>
          <w:iCs w:val="1"/>
          <w:color w:val="auto"/>
        </w:rPr>
        <w:t>Notices of Meetings of Board of Directors</w:t>
      </w:r>
      <w:r>
        <w:rPr>
          <w:rFonts w:ascii="Arial" w:cs="Arial" w:eastAsia="Arial" w:hAnsi="Arial"/>
          <w:sz w:val="18"/>
          <w:szCs w:val="18"/>
          <w:color w:val="auto"/>
        </w:rPr>
        <w:t>.</w:t>
      </w:r>
    </w:p>
    <w:p>
      <w:pPr>
        <w:spacing w:after="0" w:line="225" w:lineRule="exact"/>
        <w:rPr>
          <w:sz w:val="20"/>
          <w:szCs w:val="20"/>
          <w:color w:val="auto"/>
        </w:rPr>
      </w:pPr>
    </w:p>
    <w:p>
      <w:pPr>
        <w:ind w:right="60" w:firstLine="464"/>
        <w:spacing w:after="0" w:line="264" w:lineRule="auto"/>
        <w:tabs>
          <w:tab w:leader="none" w:pos="701"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Regular Meetings. No notice shall be required to be given of any regular meeting, unless the same is held at other than the place, date or time for holding such meeting as fixed in accordance with Section 3.03 of these By-Laws, in which event 48 hours’ notice shall be given of the place and time of such meeting complying with Article 6 of these By-Laws.</w:t>
      </w:r>
    </w:p>
    <w:p>
      <w:pPr>
        <w:spacing w:after="0" w:line="181" w:lineRule="exact"/>
        <w:rPr>
          <w:rFonts w:ascii="Arial" w:cs="Arial" w:eastAsia="Arial" w:hAnsi="Arial"/>
          <w:sz w:val="18"/>
          <w:szCs w:val="18"/>
          <w:color w:val="auto"/>
        </w:rPr>
      </w:pPr>
    </w:p>
    <w:p>
      <w:pPr>
        <w:ind w:right="60" w:firstLine="464"/>
        <w:spacing w:after="0" w:line="277" w:lineRule="auto"/>
        <w:tabs>
          <w:tab w:leader="none" w:pos="711" w:val="left"/>
        </w:tabs>
        <w:numPr>
          <w:ilvl w:val="0"/>
          <w:numId w:val="27"/>
        </w:numPr>
        <w:rPr>
          <w:rFonts w:ascii="Arial" w:cs="Arial" w:eastAsia="Arial" w:hAnsi="Arial"/>
          <w:sz w:val="18"/>
          <w:szCs w:val="18"/>
          <w:color w:val="auto"/>
        </w:rPr>
      </w:pPr>
      <w:r>
        <w:rPr>
          <w:rFonts w:ascii="Arial" w:cs="Arial" w:eastAsia="Arial" w:hAnsi="Arial"/>
          <w:sz w:val="18"/>
          <w:szCs w:val="18"/>
          <w:color w:val="auto"/>
        </w:rPr>
        <w:t>Special Meetings. Written notice stating the place, date and time of any special meeting of the Board of Directors shall be sufficient if given at least 48 hours, as provided in Article 6, in advance of the date and time fixed for the meeting.</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70" w:name="page71"/>
    <w:bookmarkEnd w:id="70"/>
    <w:p>
      <w:pPr>
        <w:ind w:right="160" w:firstLine="456"/>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3.07. </w:t>
      </w:r>
      <w:r>
        <w:rPr>
          <w:rFonts w:ascii="Arial" w:cs="Arial" w:eastAsia="Arial" w:hAnsi="Arial"/>
          <w:sz w:val="17"/>
          <w:szCs w:val="17"/>
          <w:i w:val="1"/>
          <w:iCs w:val="1"/>
          <w:color w:val="auto"/>
        </w:rPr>
        <w:t>Quorum; Action by the Board of Directors</w:t>
      </w:r>
      <w:r>
        <w:rPr>
          <w:rFonts w:ascii="Arial" w:cs="Arial" w:eastAsia="Arial" w:hAnsi="Arial"/>
          <w:sz w:val="17"/>
          <w:szCs w:val="17"/>
          <w:color w:val="auto"/>
        </w:rPr>
        <w:t>. A majority of the Directors in office shall be necessary to constitute a quorum for the transaction of business and, subject to Article SIXTH of the Articles of Incorporation and these By-Laws, the acts of a majority of the Directors present and voting at a meeting at which a quorum is present shall be the acts of the Board of Directors. If there is no quorum present at a duly convened meeting of the Board of Directors, the majority of those present may adjourn the meeting from place to place and from time to time.</w:t>
      </w:r>
    </w:p>
    <w:p>
      <w:pPr>
        <w:spacing w:after="0" w:line="171" w:lineRule="exact"/>
        <w:rPr>
          <w:sz w:val="20"/>
          <w:szCs w:val="20"/>
          <w:color w:val="auto"/>
        </w:rPr>
      </w:pPr>
    </w:p>
    <w:p>
      <w:pPr>
        <w:ind w:right="260" w:firstLine="456"/>
        <w:spacing w:after="0" w:line="342" w:lineRule="auto"/>
        <w:rPr>
          <w:sz w:val="20"/>
          <w:szCs w:val="20"/>
          <w:color w:val="auto"/>
        </w:rPr>
      </w:pPr>
      <w:r>
        <w:rPr>
          <w:rFonts w:ascii="Arial" w:cs="Arial" w:eastAsia="Arial" w:hAnsi="Arial"/>
          <w:sz w:val="16"/>
          <w:szCs w:val="16"/>
          <w:color w:val="auto"/>
        </w:rPr>
        <w:t xml:space="preserve">Section 3.08. </w:t>
      </w:r>
      <w:r>
        <w:rPr>
          <w:rFonts w:ascii="Arial" w:cs="Arial" w:eastAsia="Arial" w:hAnsi="Arial"/>
          <w:sz w:val="16"/>
          <w:szCs w:val="16"/>
          <w:i w:val="1"/>
          <w:iCs w:val="1"/>
          <w:color w:val="auto"/>
        </w:rPr>
        <w:t>Informal Action by the Board of Directors</w:t>
      </w:r>
      <w:r>
        <w:rPr>
          <w:rFonts w:ascii="Arial" w:cs="Arial" w:eastAsia="Arial" w:hAnsi="Arial"/>
          <w:sz w:val="16"/>
          <w:szCs w:val="16"/>
          <w:color w:val="auto"/>
        </w:rPr>
        <w:t>. Any action required or permitted to be taken at a meeting of the Board of Directors may be taken without a meeting if, prior or subsequent to the action, a consent or consents thereto by all of the Directors in office is filed with the Secretary.</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3.09. </w:t>
      </w:r>
      <w:r>
        <w:rPr>
          <w:rFonts w:ascii="Arial" w:cs="Arial" w:eastAsia="Arial" w:hAnsi="Arial"/>
          <w:sz w:val="18"/>
          <w:szCs w:val="18"/>
          <w:i w:val="1"/>
          <w:iCs w:val="1"/>
          <w:color w:val="auto"/>
        </w:rPr>
        <w:t>Committees</w:t>
      </w:r>
      <w:r>
        <w:rPr>
          <w:rFonts w:ascii="Arial" w:cs="Arial" w:eastAsia="Arial" w:hAnsi="Arial"/>
          <w:sz w:val="18"/>
          <w:szCs w:val="18"/>
          <w:color w:val="auto"/>
        </w:rPr>
        <w:t>.</w:t>
      </w:r>
    </w:p>
    <w:p>
      <w:pPr>
        <w:spacing w:after="0" w:line="225" w:lineRule="exact"/>
        <w:rPr>
          <w:sz w:val="20"/>
          <w:szCs w:val="20"/>
          <w:color w:val="auto"/>
        </w:rPr>
      </w:pPr>
    </w:p>
    <w:p>
      <w:pPr>
        <w:ind w:firstLine="464"/>
        <w:spacing w:after="0" w:line="259" w:lineRule="auto"/>
        <w:tabs>
          <w:tab w:leader="none" w:pos="701" w:val="left"/>
        </w:tabs>
        <w:numPr>
          <w:ilvl w:val="0"/>
          <w:numId w:val="28"/>
        </w:numPr>
        <w:rPr>
          <w:rFonts w:ascii="Arial" w:cs="Arial" w:eastAsia="Arial" w:hAnsi="Arial"/>
          <w:sz w:val="18"/>
          <w:szCs w:val="18"/>
          <w:color w:val="auto"/>
        </w:rPr>
      </w:pPr>
      <w:r>
        <w:rPr>
          <w:rFonts w:ascii="Arial" w:cs="Arial" w:eastAsia="Arial" w:hAnsi="Arial"/>
          <w:sz w:val="18"/>
          <w:szCs w:val="18"/>
          <w:color w:val="auto"/>
        </w:rPr>
        <w:t>Establishment and Powers. The Board of Directors of the Corporation may, by resolution adopted by a majority of the Directors in office, establish one or more committees to consist of one or more Directors of the Corporation. Any committee, to the extent provided in the applicable resolution of the Board of Directors or in the By-Laws, shall have and may exercise all of the powers and authority of the Board of Directors, except that a committee shall not have any power or authority as to the following:</w:t>
      </w:r>
    </w:p>
    <w:p>
      <w:pPr>
        <w:spacing w:after="0" w:line="78" w:lineRule="exact"/>
        <w:rPr>
          <w:rFonts w:ascii="Arial" w:cs="Arial" w:eastAsia="Arial" w:hAnsi="Arial"/>
          <w:sz w:val="18"/>
          <w:szCs w:val="18"/>
          <w:color w:val="auto"/>
        </w:rPr>
      </w:pPr>
    </w:p>
    <w:p>
      <w:pPr>
        <w:ind w:left="1120" w:hanging="217"/>
        <w:spacing w:after="0"/>
        <w:tabs>
          <w:tab w:leader="none" w:pos="11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submission to shareholders of any action requiring approval of shareholders under the Pennsylvania BCL.</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creation or filling of vacancies in the Board of Directors.</w:t>
      </w:r>
    </w:p>
    <w:p>
      <w:pPr>
        <w:spacing w:after="0" w:line="117" w:lineRule="exact"/>
        <w:rPr>
          <w:rFonts w:ascii="Arial" w:cs="Arial" w:eastAsia="Arial" w:hAnsi="Arial"/>
          <w:sz w:val="18"/>
          <w:szCs w:val="18"/>
          <w:color w:val="auto"/>
        </w:rPr>
      </w:pPr>
    </w:p>
    <w:p>
      <w:pPr>
        <w:ind w:left="1220" w:hanging="317"/>
        <w:spacing w:after="0"/>
        <w:tabs>
          <w:tab w:leader="none" w:pos="12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adoption, amendment or repeal of the By-Laws.</w:t>
      </w:r>
    </w:p>
    <w:p>
      <w:pPr>
        <w:spacing w:after="0" w:line="117" w:lineRule="exact"/>
        <w:rPr>
          <w:rFonts w:ascii="Arial" w:cs="Arial" w:eastAsia="Arial" w:hAnsi="Arial"/>
          <w:sz w:val="18"/>
          <w:szCs w:val="18"/>
          <w:color w:val="auto"/>
        </w:rPr>
      </w:pPr>
    </w:p>
    <w:p>
      <w:pPr>
        <w:ind w:left="1200" w:hanging="297"/>
        <w:spacing w:after="0"/>
        <w:tabs>
          <w:tab w:leader="none" w:pos="1200" w:val="left"/>
        </w:tabs>
        <w:numPr>
          <w:ilvl w:val="1"/>
          <w:numId w:val="28"/>
        </w:numPr>
        <w:rPr>
          <w:rFonts w:ascii="Arial" w:cs="Arial" w:eastAsia="Arial" w:hAnsi="Arial"/>
          <w:sz w:val="17"/>
          <w:szCs w:val="17"/>
          <w:color w:val="auto"/>
        </w:rPr>
      </w:pPr>
      <w:r>
        <w:rPr>
          <w:rFonts w:ascii="Arial" w:cs="Arial" w:eastAsia="Arial" w:hAnsi="Arial"/>
          <w:sz w:val="17"/>
          <w:szCs w:val="17"/>
          <w:color w:val="auto"/>
        </w:rPr>
        <w:t>The amendment or repeal of any resolution of the Board of Directors that by its terms is amendable or repealable only by the Board of</w:t>
      </w:r>
    </w:p>
    <w:p>
      <w:pPr>
        <w:spacing w:after="0" w:line="34" w:lineRule="exact"/>
        <w:rPr>
          <w:rFonts w:ascii="Arial" w:cs="Arial" w:eastAsia="Arial" w:hAnsi="Arial"/>
          <w:sz w:val="17"/>
          <w:szCs w:val="17"/>
          <w:color w:val="auto"/>
        </w:rPr>
      </w:pPr>
    </w:p>
    <w:p>
      <w:pPr>
        <w:ind w:left="460"/>
        <w:spacing w:after="0"/>
        <w:rPr>
          <w:rFonts w:ascii="Arial" w:cs="Arial" w:eastAsia="Arial" w:hAnsi="Arial"/>
          <w:sz w:val="17"/>
          <w:szCs w:val="17"/>
          <w:color w:val="auto"/>
        </w:rPr>
      </w:pPr>
      <w:r>
        <w:rPr>
          <w:rFonts w:ascii="Arial" w:cs="Arial" w:eastAsia="Arial" w:hAnsi="Arial"/>
          <w:sz w:val="18"/>
          <w:szCs w:val="18"/>
          <w:color w:val="auto"/>
        </w:rPr>
        <w:t>Directors.</w:t>
      </w:r>
    </w:p>
    <w:p>
      <w:pPr>
        <w:spacing w:after="0" w:line="102" w:lineRule="exact"/>
        <w:rPr>
          <w:rFonts w:ascii="Arial" w:cs="Arial" w:eastAsia="Arial" w:hAnsi="Arial"/>
          <w:sz w:val="17"/>
          <w:szCs w:val="17"/>
          <w:color w:val="auto"/>
        </w:rPr>
      </w:pPr>
    </w:p>
    <w:p>
      <w:pPr>
        <w:ind w:left="460" w:right="200" w:firstLine="443"/>
        <w:spacing w:after="0" w:line="277" w:lineRule="auto"/>
        <w:tabs>
          <w:tab w:leader="none" w:pos="1153" w:val="left"/>
        </w:tabs>
        <w:numPr>
          <w:ilvl w:val="1"/>
          <w:numId w:val="28"/>
        </w:numPr>
        <w:rPr>
          <w:rFonts w:ascii="Arial" w:cs="Arial" w:eastAsia="Arial" w:hAnsi="Arial"/>
          <w:sz w:val="18"/>
          <w:szCs w:val="18"/>
          <w:color w:val="auto"/>
        </w:rPr>
      </w:pPr>
      <w:r>
        <w:rPr>
          <w:rFonts w:ascii="Arial" w:cs="Arial" w:eastAsia="Arial" w:hAnsi="Arial"/>
          <w:sz w:val="18"/>
          <w:szCs w:val="18"/>
          <w:color w:val="auto"/>
        </w:rPr>
        <w:t>Action on matters committed by the Articles of Incorporation, the By-Laws or resolution of the Board of Directors to another committee of the Board of Directors.</w:t>
      </w:r>
    </w:p>
    <w:p>
      <w:pPr>
        <w:spacing w:after="0" w:line="170" w:lineRule="exact"/>
        <w:rPr>
          <w:rFonts w:ascii="Arial" w:cs="Arial" w:eastAsia="Arial" w:hAnsi="Arial"/>
          <w:sz w:val="18"/>
          <w:szCs w:val="18"/>
          <w:color w:val="auto"/>
        </w:rPr>
      </w:pPr>
    </w:p>
    <w:p>
      <w:pPr>
        <w:ind w:right="180" w:firstLine="464"/>
        <w:spacing w:after="0" w:line="276" w:lineRule="auto"/>
        <w:tabs>
          <w:tab w:leader="none" w:pos="711" w:val="left"/>
        </w:tabs>
        <w:numPr>
          <w:ilvl w:val="0"/>
          <w:numId w:val="28"/>
        </w:numPr>
        <w:rPr>
          <w:rFonts w:ascii="Arial" w:cs="Arial" w:eastAsia="Arial" w:hAnsi="Arial"/>
          <w:sz w:val="17"/>
          <w:szCs w:val="17"/>
          <w:color w:val="auto"/>
        </w:rPr>
      </w:pPr>
      <w:r>
        <w:rPr>
          <w:rFonts w:ascii="Arial" w:cs="Arial" w:eastAsia="Arial" w:hAnsi="Arial"/>
          <w:sz w:val="17"/>
          <w:szCs w:val="17"/>
          <w:color w:val="auto"/>
        </w:rPr>
        <w:t>Alternate Members. The Board of Directors may designate one or more Directors otherwise eligible to serve on a committee of the Board as alternate members of any committee who may replace any absent or disqualified member at any meeting of the committee or for the purpose of any written action by the committee. In the absence or disqualification of a member and alternate member or members of a committee, the member or members thereof present at any meeting and not disqualified from voting, whether or not such member or members constitute a quorum, may unanimously appoint another Director to act at the meeting in the place of the absent or disqualified member.</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274" w:right="279" w:bottom="1440" w:gutter="0" w:footer="0" w:header="0"/>
        </w:sectPr>
      </w:pPr>
    </w:p>
    <w:bookmarkStart w:id="71" w:name="page72"/>
    <w:bookmarkEnd w:id="71"/>
    <w:p>
      <w:pPr>
        <w:ind w:left="700" w:hanging="236"/>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 Each committee of the Board of Directors shall serve at the pleasure of the Board of Directors.</w:t>
      </w:r>
    </w:p>
    <w:p>
      <w:pPr>
        <w:spacing w:after="0" w:line="221" w:lineRule="exact"/>
        <w:rPr>
          <w:rFonts w:ascii="Arial" w:cs="Arial" w:eastAsia="Arial" w:hAnsi="Arial"/>
          <w:sz w:val="18"/>
          <w:szCs w:val="18"/>
          <w:color w:val="auto"/>
        </w:rPr>
      </w:pPr>
    </w:p>
    <w:p>
      <w:pPr>
        <w:ind w:right="60" w:firstLine="464"/>
        <w:spacing w:after="0" w:line="258" w:lineRule="auto"/>
        <w:tabs>
          <w:tab w:leader="none" w:pos="711" w:val="left"/>
        </w:tabs>
        <w:numPr>
          <w:ilvl w:val="0"/>
          <w:numId w:val="29"/>
        </w:numPr>
        <w:rPr>
          <w:rFonts w:ascii="Arial" w:cs="Arial" w:eastAsia="Arial" w:hAnsi="Arial"/>
          <w:sz w:val="18"/>
          <w:szCs w:val="18"/>
          <w:color w:val="auto"/>
        </w:rPr>
      </w:pPr>
      <w:r>
        <w:rPr>
          <w:rFonts w:ascii="Arial" w:cs="Arial" w:eastAsia="Arial" w:hAnsi="Arial"/>
          <w:sz w:val="18"/>
          <w:szCs w:val="18"/>
          <w:color w:val="auto"/>
        </w:rPr>
        <w:t>Status of Committee Action. The term “</w:t>
      </w:r>
      <w:r>
        <w:rPr>
          <w:rFonts w:ascii="Arial" w:cs="Arial" w:eastAsia="Arial" w:hAnsi="Arial"/>
          <w:sz w:val="18"/>
          <w:szCs w:val="18"/>
          <w:b w:val="1"/>
          <w:bCs w:val="1"/>
          <w:color w:val="auto"/>
        </w:rPr>
        <w:t>Board of Directors</w:t>
      </w:r>
      <w:r>
        <w:rPr>
          <w:rFonts w:ascii="Arial" w:cs="Arial" w:eastAsia="Arial" w:hAnsi="Arial"/>
          <w:sz w:val="18"/>
          <w:szCs w:val="18"/>
          <w:color w:val="auto"/>
        </w:rPr>
        <w:t>” or “</w:t>
      </w:r>
      <w:r>
        <w:rPr>
          <w:rFonts w:ascii="Arial" w:cs="Arial" w:eastAsia="Arial" w:hAnsi="Arial"/>
          <w:sz w:val="18"/>
          <w:szCs w:val="18"/>
          <w:b w:val="1"/>
          <w:bCs w:val="1"/>
          <w:color w:val="auto"/>
        </w:rPr>
        <w:t>Board</w:t>
      </w:r>
      <w:r>
        <w:rPr>
          <w:rFonts w:ascii="Arial" w:cs="Arial" w:eastAsia="Arial" w:hAnsi="Arial"/>
          <w:sz w:val="18"/>
          <w:szCs w:val="18"/>
          <w:color w:val="auto"/>
        </w:rPr>
        <w:t>”, when used in any provision of these By-Laws relating to the organization or procedures of or the manner of taking action by the Board of Directors, shall be construed to include and refer to any committee of the Board of Directors. Any provision of these By-Laws relating or referring to action to be taken by the Board of Directors or the procedure required therefor shall be satisfied by the taking of corresponding action by a committee of the Board of Directors to the extent authority to take the action has been delegated to the committee in accordance with this Section.</w:t>
      </w:r>
    </w:p>
    <w:p>
      <w:pPr>
        <w:spacing w:after="0" w:line="188"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 xml:space="preserve">Section 3.10. </w:t>
      </w:r>
      <w:r>
        <w:rPr>
          <w:rFonts w:ascii="Arial" w:cs="Arial" w:eastAsia="Arial" w:hAnsi="Arial"/>
          <w:sz w:val="17"/>
          <w:szCs w:val="17"/>
          <w:i w:val="1"/>
          <w:iCs w:val="1"/>
          <w:color w:val="auto"/>
        </w:rPr>
        <w:t>Nomination</w:t>
      </w:r>
      <w:r>
        <w:rPr>
          <w:rFonts w:ascii="Arial" w:cs="Arial" w:eastAsia="Arial" w:hAnsi="Arial"/>
          <w:sz w:val="17"/>
          <w:szCs w:val="17"/>
          <w:color w:val="auto"/>
        </w:rPr>
        <w:t>. Nominations for the election of Directors may be made only (A) by the Board of Directors or (B) by any shareholder of record entitled to vote in the election of Directors generally at the record date of the meeting and also on the date of the meeting at which Directors are to be elected. However, any shareholder entitled to vote in the election of Directors generally may nominate one or more persons for election as Directors at a meeting only if written notice of such shareholder’s intention to make such nomination or nominations has been delivered personally to, or been mailed to and received by the Corporation at, the principal executive offices of the Corporation, addressed to the attention of the Secretary, (a) with respect to an election to be held at an annual meeting that is called for a date that is within 30 days before or after the anniversary date of the immediately preceding annual meeting of shareholders, not less than 90 days nor more than 120 days prior to such anniversary date, and (b) with respect either to an election to be held at an annual meeting that is called for a date that is not within 30 days before or after the anniversary date of the immediately preceding annual meeting, or to a special meeting of shareholders called for the purpose of electing Directors, not later than the close of business on the tenth day following the day on which notice of the date of the meeting was mailed or public disclosure of the date of the meeting was made, whichever occurs first. Each such notice shall set forth: (i) the name and address of the shareholder intending to make the nomination and of the person or persons to be nominated; (ii) a representation that the shareholder is a holder of record of shares of the Corporation entitled to vote at such meeting and intends to appear in person or by proxy at the meeting to nominate the person or persons specified in the notice; (iii) a description of all arrangements or understandings between the shareholder and each nominee and any other person or persons (naming such person or persons) pursuant to which the nomination or nominations are to be made by the shareholder; (iv) such other information regarding each nominee proposed by such shareholder as would have been required to be included in a proxy statement filed pursuant to the proxy rules of the Securities and Exchange</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72" w:name="page73"/>
    <w:bookmarkEnd w:id="72"/>
    <w:p>
      <w:pPr>
        <w:ind w:right="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Commission had the nominee been nominated by the Board of Directors; and (v) the written consent of each nominee to serve as a Director of the Corporation if so elected. The presiding officer of the meeting may, in his or her sole discretion, declare invalid or refuse to acknowledge any nomination not made in compliance with the foregoing procedure.</w:t>
      </w: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4</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O</w:t>
      </w:r>
      <w:r>
        <w:rPr>
          <w:rFonts w:ascii="Arial" w:cs="Arial" w:eastAsia="Arial" w:hAnsi="Arial"/>
          <w:sz w:val="15"/>
          <w:szCs w:val="15"/>
          <w:color w:val="auto"/>
        </w:rPr>
        <w:t>FFICERS</w:t>
      </w:r>
    </w:p>
    <w:p>
      <w:pPr>
        <w:spacing w:after="0" w:line="21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i w:val="1"/>
          <w:iCs w:val="1"/>
          <w:color w:val="auto"/>
        </w:rPr>
        <w:t>Election and Office</w:t>
      </w:r>
      <w:r>
        <w:rPr>
          <w:rFonts w:ascii="Arial" w:cs="Arial" w:eastAsia="Arial" w:hAnsi="Arial"/>
          <w:sz w:val="18"/>
          <w:szCs w:val="18"/>
          <w:color w:val="auto"/>
        </w:rPr>
        <w:t>. The Corporation shall have a Chairman of the Board, a Chief Executive Officer, a President, a Secretary and a Treasurer who, subject to Article SIXTH of the Articles of Incorporation, shall be elected by the Board of Directors. Subject to Article SIXTH of the Articles of Incorporation, the Board of Directors may create the positions of, define the powers and duties of and elect as additional officers one or more Vice Chairmen, one or more Vice Presidents, and one or more other officers or assistant officers. Any number of offices may be held by the same person. The Chairman of the Board must be a Director of the Corporation.</w:t>
      </w:r>
    </w:p>
    <w:p>
      <w:pPr>
        <w:spacing w:after="0" w:line="188"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Section 4.02</w:t>
      </w:r>
      <w:r>
        <w:rPr>
          <w:rFonts w:ascii="Arial" w:cs="Arial" w:eastAsia="Arial" w:hAnsi="Arial"/>
          <w:sz w:val="16"/>
          <w:szCs w:val="16"/>
          <w:i w:val="1"/>
          <w:iCs w:val="1"/>
          <w:color w:val="auto"/>
        </w:rPr>
        <w:t>. Term.</w:t>
      </w:r>
      <w:r>
        <w:rPr>
          <w:rFonts w:ascii="Arial" w:cs="Arial" w:eastAsia="Arial" w:hAnsi="Arial"/>
          <w:sz w:val="16"/>
          <w:szCs w:val="16"/>
          <w:color w:val="auto"/>
        </w:rPr>
        <w:t xml:space="preserve"> Each officer of the Corporation shall hold office until his successor is selected and qualified or until his earlier death, resignation or removal. Subject to Article SIXTH of the Articles of Incorporation, any officer may be removed by a vote of a majority of the Directors then in office. The terms of the Chairman of the Board and the Chief Executive Officer are fixed pursuant to Article SIXTH of the Articles of Incorporation.</w:t>
      </w:r>
    </w:p>
    <w:p>
      <w:pPr>
        <w:spacing w:after="0" w:line="14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Section 4.03</w:t>
      </w:r>
      <w:r>
        <w:rPr>
          <w:rFonts w:ascii="Arial" w:cs="Arial" w:eastAsia="Arial" w:hAnsi="Arial"/>
          <w:sz w:val="18"/>
          <w:szCs w:val="18"/>
          <w:i w:val="1"/>
          <w:iCs w:val="1"/>
          <w:color w:val="auto"/>
        </w:rPr>
        <w:t>. Powers and Duties of the Chairman of the Board.</w:t>
      </w:r>
      <w:r>
        <w:rPr>
          <w:rFonts w:ascii="Arial" w:cs="Arial" w:eastAsia="Arial" w:hAnsi="Arial"/>
          <w:sz w:val="18"/>
          <w:szCs w:val="18"/>
          <w:color w:val="auto"/>
        </w:rPr>
        <w:t xml:space="preserve"> The Chairman of the Board shall have such powers and shall perform such duties as are provided in Article SIXTH of the Articles of Incorporation.</w:t>
      </w:r>
    </w:p>
    <w:p>
      <w:pPr>
        <w:spacing w:after="0" w:line="170"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i w:val="1"/>
          <w:iCs w:val="1"/>
          <w:color w:val="auto"/>
        </w:rPr>
        <w:t>Powers and Duties of the Chief Executive Officer</w:t>
      </w:r>
      <w:r>
        <w:rPr>
          <w:rFonts w:ascii="Arial" w:cs="Arial" w:eastAsia="Arial" w:hAnsi="Arial"/>
          <w:sz w:val="18"/>
          <w:szCs w:val="18"/>
          <w:color w:val="auto"/>
        </w:rPr>
        <w:t>. The Chief Executive Officer shall have such powers and shall perform such duties as are provided in Article SIXTH of the Articles of Incorporation.</w:t>
      </w:r>
    </w:p>
    <w:p>
      <w:pPr>
        <w:spacing w:after="0" w:line="170"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 xml:space="preserve">Section 4.05 </w:t>
      </w:r>
      <w:r>
        <w:rPr>
          <w:rFonts w:ascii="Arial" w:cs="Arial" w:eastAsia="Arial" w:hAnsi="Arial"/>
          <w:sz w:val="18"/>
          <w:szCs w:val="18"/>
          <w:i w:val="1"/>
          <w:iCs w:val="1"/>
          <w:color w:val="auto"/>
        </w:rPr>
        <w:t>Powers and Duties of the President.</w:t>
      </w:r>
      <w:r>
        <w:rPr>
          <w:rFonts w:ascii="Arial" w:cs="Arial" w:eastAsia="Arial" w:hAnsi="Arial"/>
          <w:sz w:val="18"/>
          <w:szCs w:val="18"/>
          <w:color w:val="auto"/>
        </w:rPr>
        <w:t xml:space="preserve"> The President shall have such powers and shall perform such duties as may, subject to Article SIXTH of the Articles of Incorporation, from time to time be assigned to the President by the Board of Directors.</w:t>
      </w:r>
    </w:p>
    <w:p>
      <w:pPr>
        <w:spacing w:after="0" w:line="17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Section 4.06. </w:t>
      </w:r>
      <w:r>
        <w:rPr>
          <w:rFonts w:ascii="Arial" w:cs="Arial" w:eastAsia="Arial" w:hAnsi="Arial"/>
          <w:sz w:val="18"/>
          <w:szCs w:val="18"/>
          <w:i w:val="1"/>
          <w:iCs w:val="1"/>
          <w:color w:val="auto"/>
        </w:rPr>
        <w:t>Powers and Duties of the Secretary</w:t>
      </w:r>
      <w:r>
        <w:rPr>
          <w:rFonts w:ascii="Arial" w:cs="Arial" w:eastAsia="Arial" w:hAnsi="Arial"/>
          <w:sz w:val="18"/>
          <w:szCs w:val="18"/>
          <w:color w:val="auto"/>
        </w:rPr>
        <w:t>. Unless otherwise determined by the Board of Directors, the Secretary shall be responsible for the keeping of the minutes of all meetings of the shareholders, the Board of Directors, and all committees of the Board, in books provided for that purpose, and for the giving and serving of all notices for the Corporation. The Secretary shall perform all other duties ordinarily incident to the office of Secretary and shall have such other powers and perform such other duties as may be assigned to the Secretary by the Board of Directors. The minute books of the Corporation may be held by a person other than the Secretary.</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74" w:right="259" w:bottom="1440" w:gutter="0" w:footer="0" w:header="0"/>
        </w:sectPr>
      </w:pPr>
    </w:p>
    <w:bookmarkStart w:id="73" w:name="page74"/>
    <w:bookmarkEnd w:id="73"/>
    <w:p>
      <w:pPr>
        <w:ind w:firstLine="456"/>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4.07. </w:t>
      </w:r>
      <w:r>
        <w:rPr>
          <w:rFonts w:ascii="Arial" w:cs="Arial" w:eastAsia="Arial" w:hAnsi="Arial"/>
          <w:sz w:val="18"/>
          <w:szCs w:val="18"/>
          <w:i w:val="1"/>
          <w:iCs w:val="1"/>
          <w:color w:val="auto"/>
        </w:rPr>
        <w:t>Powers and Duties of the Treasurer</w:t>
      </w:r>
      <w:r>
        <w:rPr>
          <w:rFonts w:ascii="Arial" w:cs="Arial" w:eastAsia="Arial" w:hAnsi="Arial"/>
          <w:sz w:val="18"/>
          <w:szCs w:val="18"/>
          <w:color w:val="auto"/>
        </w:rPr>
        <w:t>. Unless otherwise determined by the Board of Directors, the Treasurer shall have charge of all the funds and securities of the Corporation. When necessary or proper, unless otherwise determined by the Board of Directors, the Treasurer shall endorse for collection on behalf of the Corporation checks, notes and other obligations, and shall deposit the same to the credit of the Corporation to such banks or depositories as the Board of Directors may designate and may sign all receipts and vouchers for payments made to the Corporation. The Treasurer shall be responsible for the regular entry in books of the Corporation to be kept for such purpose of a full and accurate account of all funds and securities received and paid by the Treasurer on account of the Corporation. Whenever required by the Board of Directors, the Treasurer shall render a statement of the financial condition of the Corporation. The Treasurer shall have such other powers and shall perform the duties as may be assigned to such officer from time to time by the Board of Directors. The Treasurer shall give such bond, if any, for the faithful performance of the duties of such office as shall be required by the Board of Directors.</w:t>
      </w:r>
    </w:p>
    <w:p>
      <w:pPr>
        <w:spacing w:after="0" w:line="197" w:lineRule="exact"/>
        <w:rPr>
          <w:sz w:val="20"/>
          <w:szCs w:val="20"/>
          <w:color w:val="auto"/>
        </w:rPr>
      </w:pPr>
    </w:p>
    <w:p>
      <w:pPr>
        <w:ind w:right="180" w:firstLine="456"/>
        <w:spacing w:after="0" w:line="288" w:lineRule="auto"/>
        <w:rPr>
          <w:sz w:val="20"/>
          <w:szCs w:val="20"/>
          <w:color w:val="auto"/>
        </w:rPr>
      </w:pPr>
      <w:r>
        <w:rPr>
          <w:rFonts w:ascii="Arial" w:cs="Arial" w:eastAsia="Arial" w:hAnsi="Arial"/>
          <w:sz w:val="16"/>
          <w:szCs w:val="16"/>
          <w:color w:val="auto"/>
        </w:rPr>
        <w:t xml:space="preserve">Section 4.08. </w:t>
      </w:r>
      <w:r>
        <w:rPr>
          <w:rFonts w:ascii="Arial" w:cs="Arial" w:eastAsia="Arial" w:hAnsi="Arial"/>
          <w:sz w:val="16"/>
          <w:szCs w:val="16"/>
          <w:i w:val="1"/>
          <w:iCs w:val="1"/>
          <w:color w:val="auto"/>
        </w:rPr>
        <w:t>Rank and Duties of Vice Chairmen, Vice Presidents and Assistant Officers</w:t>
      </w:r>
      <w:r>
        <w:rPr>
          <w:rFonts w:ascii="Arial" w:cs="Arial" w:eastAsia="Arial" w:hAnsi="Arial"/>
          <w:sz w:val="16"/>
          <w:szCs w:val="16"/>
          <w:color w:val="auto"/>
        </w:rPr>
        <w:t>. Vice Chairmen, Executive Vice Presidents, Senior Vice Presidents, Vice Presidents and assistant officers shall have such rank as may be designated by the Board of Directors, provided that Vice Chairmen and Executive Vice Presidents shall serve as superior officers to Senior Vice Presidents and Senior Vice Presidents shall serve as superior officers to Vice Presidents. Vice Chairmen, Executive Vice Presidents, Senior Vice Presidents and Vice Presidents may be designated by the Board of Directors as having responsibility for a specific area of the Corporation’s affairs, in which event such Vice Chairmen, Executive Vice Presidents, Senior Vice Presidents or Vice Presidents shall be superior to the other Vice Chairmen, Executive Vice Presidents, Senior Vice Presidents or Vice Presidents, respectively, in relation to matters within his or her area. The President shall be the superior officer of the Vice Chairmen, Executive Vice Presidents, Senior Vice Presidents, Vice Presidents and all other officer positions, unless the Board of Directors provides otherwise. The Treasurer and Secretary shall be the superior officers of the Assistant Treasurers and Assistant Secretaries, respectively. Vice Chairmen, Executive Vice Presidents, Senior Vice Presidents and assistant officers shall have such duties as may be assigned to them by the Board of Directors or the President.</w:t>
      </w:r>
    </w:p>
    <w:p>
      <w:pPr>
        <w:spacing w:after="0" w:line="169"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Section 4.09</w:t>
      </w:r>
      <w:r>
        <w:rPr>
          <w:rFonts w:ascii="Arial" w:cs="Arial" w:eastAsia="Arial" w:hAnsi="Arial"/>
          <w:sz w:val="18"/>
          <w:szCs w:val="18"/>
          <w:i w:val="1"/>
          <w:iCs w:val="1"/>
          <w:color w:val="auto"/>
        </w:rPr>
        <w:t>. Vacancies.</w:t>
      </w:r>
      <w:r>
        <w:rPr>
          <w:rFonts w:ascii="Arial" w:cs="Arial" w:eastAsia="Arial" w:hAnsi="Arial"/>
          <w:sz w:val="18"/>
          <w:szCs w:val="18"/>
          <w:color w:val="auto"/>
        </w:rPr>
        <w:t xml:space="preserve"> Subject to Article SIXTH of the Articles of Incorporation, the Board of Directors shall have the power to fill any vacancies in any office occurring for any reason.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74" w:right="259" w:bottom="1440" w:gutter="0" w:footer="0" w:header="0"/>
        </w:sectPr>
      </w:pPr>
    </w:p>
    <w:bookmarkStart w:id="74" w:name="page75"/>
    <w:bookmarkEnd w:id="74"/>
    <w:p>
      <w:pPr>
        <w:ind w:right="6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4.10. </w:t>
      </w:r>
      <w:r>
        <w:rPr>
          <w:rFonts w:ascii="Arial" w:cs="Arial" w:eastAsia="Arial" w:hAnsi="Arial"/>
          <w:sz w:val="18"/>
          <w:szCs w:val="18"/>
          <w:i w:val="1"/>
          <w:iCs w:val="1"/>
          <w:color w:val="auto"/>
        </w:rPr>
        <w:t>Delegation of Office</w:t>
      </w:r>
      <w:r>
        <w:rPr>
          <w:rFonts w:ascii="Arial" w:cs="Arial" w:eastAsia="Arial" w:hAnsi="Arial"/>
          <w:sz w:val="18"/>
          <w:szCs w:val="18"/>
          <w:color w:val="auto"/>
        </w:rPr>
        <w:t>. Subject to Article SIXTH of the Articles of Incorporation, the Board of Directors may delegate the powers or duties of any officer of the Corporation to any other person from time to time.</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5</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APITAL</w:t>
      </w:r>
      <w:r>
        <w:rPr>
          <w:rFonts w:ascii="Arial" w:cs="Arial" w:eastAsia="Arial" w:hAnsi="Arial"/>
          <w:sz w:val="18"/>
          <w:szCs w:val="18"/>
          <w:color w:val="auto"/>
        </w:rPr>
        <w:t xml:space="preserve"> S</w:t>
      </w:r>
      <w:r>
        <w:rPr>
          <w:rFonts w:ascii="Arial" w:cs="Arial" w:eastAsia="Arial" w:hAnsi="Arial"/>
          <w:sz w:val="15"/>
          <w:szCs w:val="15"/>
          <w:color w:val="auto"/>
        </w:rPr>
        <w:t>TOCK</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i w:val="1"/>
          <w:iCs w:val="1"/>
          <w:color w:val="auto"/>
        </w:rPr>
        <w:t>Share Certificates</w:t>
      </w:r>
      <w:r>
        <w:rPr>
          <w:rFonts w:ascii="Arial" w:cs="Arial" w:eastAsia="Arial" w:hAnsi="Arial"/>
          <w:sz w:val="18"/>
          <w:szCs w:val="18"/>
          <w:color w:val="auto"/>
        </w:rPr>
        <w:t>.</w:t>
      </w:r>
    </w:p>
    <w:p>
      <w:pPr>
        <w:spacing w:after="0" w:line="225" w:lineRule="exact"/>
        <w:rPr>
          <w:sz w:val="20"/>
          <w:szCs w:val="20"/>
          <w:color w:val="auto"/>
        </w:rPr>
      </w:pPr>
    </w:p>
    <w:p>
      <w:pPr>
        <w:ind w:firstLine="464"/>
        <w:spacing w:after="0" w:line="273" w:lineRule="auto"/>
        <w:tabs>
          <w:tab w:leader="none" w:pos="701" w:val="left"/>
        </w:tabs>
        <w:numPr>
          <w:ilvl w:val="0"/>
          <w:numId w:val="30"/>
        </w:numPr>
        <w:rPr>
          <w:rFonts w:ascii="Arial" w:cs="Arial" w:eastAsia="Arial" w:hAnsi="Arial"/>
          <w:sz w:val="17"/>
          <w:szCs w:val="17"/>
          <w:color w:val="auto"/>
        </w:rPr>
      </w:pPr>
      <w:r>
        <w:rPr>
          <w:rFonts w:ascii="Arial" w:cs="Arial" w:eastAsia="Arial" w:hAnsi="Arial"/>
          <w:sz w:val="17"/>
          <w:szCs w:val="17"/>
          <w:color w:val="auto"/>
        </w:rPr>
        <w:t>Execution. Unless otherwise provided by the Board of Directors, every share certificate shall be signed by two officers and sealed with the corporate seal, which may be a facsimile, engraved or printed, but where such certificate is signed by a transfer agent or a registrar, the signature of any corporate officer upon such certificate may be a facsimile, engraved or printed. In case any officer who has signed, or whose facsimile signature has been placed upon, any share certificate shall have ceased to be such officer because of death, resignation or otherwise, before the certificate is issued, it may be issued with the same effect as if the officer had not ceased to be such at the date of its issue. The provisions of this Section shall be subject to any inconsistent or contrary agreement at the time between the Corporation and any transfer agent or registrar.</w:t>
      </w:r>
    </w:p>
    <w:p>
      <w:pPr>
        <w:spacing w:after="0" w:line="178" w:lineRule="exact"/>
        <w:rPr>
          <w:rFonts w:ascii="Arial" w:cs="Arial" w:eastAsia="Arial" w:hAnsi="Arial"/>
          <w:sz w:val="17"/>
          <w:szCs w:val="17"/>
          <w:color w:val="auto"/>
        </w:rPr>
      </w:pPr>
    </w:p>
    <w:p>
      <w:pPr>
        <w:ind w:firstLine="464"/>
        <w:spacing w:after="0" w:line="255" w:lineRule="auto"/>
        <w:tabs>
          <w:tab w:leader="none" w:pos="711"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Designations, Voting Rights, Preferences, Limitations and Special Rights. To the extent the Corporation is authorized to issue shares of more than one class or series, every certificate shall set forth upon the face or back of the certificate (or shall state on the face or back of the certificate that the Corporation will furnish to any shareholder upon request and without charge) a full or summary statement of the designations, voting rights, preferences, limitations and special rights of the shares of each class or series authorized to be issued so far as they have been fixed and determined and the authority of the Board of Directors to fix and determine the designations, voting rights, preferences, limitations and special rights of the classes and series of shares of the Corporation.</w:t>
      </w:r>
    </w:p>
    <w:p>
      <w:pPr>
        <w:spacing w:after="0" w:line="193" w:lineRule="exact"/>
        <w:rPr>
          <w:rFonts w:ascii="Arial" w:cs="Arial" w:eastAsia="Arial" w:hAnsi="Arial"/>
          <w:sz w:val="18"/>
          <w:szCs w:val="18"/>
          <w:color w:val="auto"/>
        </w:rPr>
      </w:pPr>
    </w:p>
    <w:p>
      <w:pPr>
        <w:jc w:val="both"/>
        <w:ind w:right="260" w:firstLine="464"/>
        <w:spacing w:after="0" w:line="264" w:lineRule="auto"/>
        <w:tabs>
          <w:tab w:leader="none" w:pos="701" w:val="left"/>
        </w:tabs>
        <w:numPr>
          <w:ilvl w:val="0"/>
          <w:numId w:val="30"/>
        </w:numPr>
        <w:rPr>
          <w:rFonts w:ascii="Arial" w:cs="Arial" w:eastAsia="Arial" w:hAnsi="Arial"/>
          <w:sz w:val="18"/>
          <w:szCs w:val="18"/>
          <w:color w:val="auto"/>
        </w:rPr>
      </w:pPr>
      <w:r>
        <w:rPr>
          <w:rFonts w:ascii="Arial" w:cs="Arial" w:eastAsia="Arial" w:hAnsi="Arial"/>
          <w:sz w:val="18"/>
          <w:szCs w:val="18"/>
          <w:color w:val="auto"/>
        </w:rPr>
        <w:t>Fractional Shares. Except as otherwise determined by the Board of Directors, shares or certificates therefor may be issued as fractional shares for shares held by any dividend reinvestment plan or employee benefit plan created or approved by the Corporation’s Board of Directors, but not by any other person.</w:t>
      </w:r>
    </w:p>
    <w:p>
      <w:pPr>
        <w:spacing w:after="0" w:line="181"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i w:val="1"/>
          <w:iCs w:val="1"/>
          <w:color w:val="auto"/>
        </w:rPr>
        <w:t>Transfer of Shares</w:t>
      </w:r>
      <w:r>
        <w:rPr>
          <w:rFonts w:ascii="Arial" w:cs="Arial" w:eastAsia="Arial" w:hAnsi="Arial"/>
          <w:sz w:val="18"/>
          <w:szCs w:val="18"/>
          <w:color w:val="auto"/>
        </w:rPr>
        <w:t>. Transfer of shares shall be made on the books of the Corporation as required by law. A transfer of shares represented by a share certificate shall be made only upon surrender of the share certificate, duly endorsed or with duly executed stock powers attached and otherwise in proper form for transfer, which certificate shall be canceled at the time of the transfer.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75" w:name="page76"/>
    <w:bookmarkEnd w:id="75"/>
    <w:p>
      <w:pPr>
        <w:ind w:left="4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5.03. </w:t>
      </w:r>
      <w:r>
        <w:rPr>
          <w:rFonts w:ascii="Arial" w:cs="Arial" w:eastAsia="Arial" w:hAnsi="Arial"/>
          <w:sz w:val="18"/>
          <w:szCs w:val="18"/>
          <w:i w:val="1"/>
          <w:iCs w:val="1"/>
          <w:color w:val="auto"/>
        </w:rPr>
        <w:t>Determination of Shareholders of Record</w:t>
      </w:r>
      <w:r>
        <w:rPr>
          <w:rFonts w:ascii="Arial" w:cs="Arial" w:eastAsia="Arial" w:hAnsi="Arial"/>
          <w:sz w:val="18"/>
          <w:szCs w:val="18"/>
          <w:color w:val="auto"/>
        </w:rPr>
        <w:t>.</w:t>
      </w:r>
    </w:p>
    <w:p>
      <w:pPr>
        <w:spacing w:after="0" w:line="225" w:lineRule="exact"/>
        <w:rPr>
          <w:sz w:val="20"/>
          <w:szCs w:val="20"/>
          <w:color w:val="auto"/>
        </w:rPr>
      </w:pPr>
    </w:p>
    <w:p>
      <w:pPr>
        <w:ind w:left="-60" w:right="140" w:firstLine="464"/>
        <w:spacing w:after="0" w:line="273" w:lineRule="auto"/>
        <w:tabs>
          <w:tab w:leader="none" w:pos="641" w:val="left"/>
        </w:tabs>
        <w:numPr>
          <w:ilvl w:val="0"/>
          <w:numId w:val="31"/>
        </w:numPr>
        <w:rPr>
          <w:rFonts w:ascii="Arial" w:cs="Arial" w:eastAsia="Arial" w:hAnsi="Arial"/>
          <w:sz w:val="17"/>
          <w:szCs w:val="17"/>
          <w:color w:val="auto"/>
        </w:rPr>
      </w:pPr>
      <w:r>
        <w:rPr>
          <w:rFonts w:ascii="Arial" w:cs="Arial" w:eastAsia="Arial" w:hAnsi="Arial"/>
          <w:sz w:val="17"/>
          <w:szCs w:val="17"/>
          <w:color w:val="auto"/>
        </w:rPr>
        <w:t>Fixing Record Date for Purposes of Meetings. The Board of Directors of the Corporation may fix a time prior to the date of any meeting of shareholders as a record date for the determination of the shareholders entitled to notice of, or to vote at, the meeting, which time, except in the case of an adjourned meeting, shall be not more than 90 days prior to the date of the meeting of shareholders. Only shareholders of record on the date fixed shall be so entitled notwithstanding any transfer of shares on the books of the Corporation after any record date fixed as provided in this subsection. When a determination of shareholders of record has been made as provided in this Section 5.03 for purposes of a meeting, the determination shall apply to any adjournment thereof unless the Board of Directors fixes a new record date for the adjourned meeting.</w:t>
      </w:r>
    </w:p>
    <w:p>
      <w:pPr>
        <w:spacing w:after="0" w:line="178" w:lineRule="exact"/>
        <w:rPr>
          <w:rFonts w:ascii="Arial" w:cs="Arial" w:eastAsia="Arial" w:hAnsi="Arial"/>
          <w:sz w:val="17"/>
          <w:szCs w:val="17"/>
          <w:color w:val="auto"/>
        </w:rPr>
      </w:pPr>
    </w:p>
    <w:p>
      <w:pPr>
        <w:ind w:left="-60" w:right="40" w:firstLine="464"/>
        <w:spacing w:after="0" w:line="259" w:lineRule="auto"/>
        <w:tabs>
          <w:tab w:leader="none" w:pos="651" w:val="left"/>
        </w:tabs>
        <w:numPr>
          <w:ilvl w:val="0"/>
          <w:numId w:val="31"/>
        </w:numPr>
        <w:rPr>
          <w:rFonts w:ascii="Arial" w:cs="Arial" w:eastAsia="Arial" w:hAnsi="Arial"/>
          <w:sz w:val="18"/>
          <w:szCs w:val="18"/>
          <w:color w:val="auto"/>
        </w:rPr>
      </w:pPr>
      <w:r>
        <w:rPr>
          <w:rFonts w:ascii="Arial" w:cs="Arial" w:eastAsia="Arial" w:hAnsi="Arial"/>
          <w:sz w:val="18"/>
          <w:szCs w:val="18"/>
          <w:color w:val="auto"/>
        </w:rPr>
        <w:t>Fixing Record Date for Purpose of Distributions. The Board of Directors of the Corporation may fix a time prior to the date of payment of a distribution as a record date for the determination of the shareholders entitled to be paid the distribution, which time shall be not more than 90 days prior to the date of payment. Only shareholders of record on the date fixed shall be so entitled notwithstanding any transfer of shares on the books of the Corporation after any record date fixed as provided in this subsection.</w:t>
      </w:r>
    </w:p>
    <w:p>
      <w:pPr>
        <w:spacing w:after="0" w:line="186" w:lineRule="exact"/>
        <w:rPr>
          <w:rFonts w:ascii="Arial" w:cs="Arial" w:eastAsia="Arial" w:hAnsi="Arial"/>
          <w:sz w:val="18"/>
          <w:szCs w:val="18"/>
          <w:color w:val="auto"/>
        </w:rPr>
      </w:pPr>
    </w:p>
    <w:p>
      <w:pPr>
        <w:ind w:left="-60" w:firstLine="464"/>
        <w:spacing w:after="0" w:line="264" w:lineRule="auto"/>
        <w:tabs>
          <w:tab w:leader="none" w:pos="641" w:val="left"/>
        </w:tabs>
        <w:numPr>
          <w:ilvl w:val="0"/>
          <w:numId w:val="31"/>
        </w:numPr>
        <w:rPr>
          <w:rFonts w:ascii="Arial" w:cs="Arial" w:eastAsia="Arial" w:hAnsi="Arial"/>
          <w:sz w:val="18"/>
          <w:szCs w:val="18"/>
          <w:color w:val="auto"/>
        </w:rPr>
      </w:pPr>
      <w:r>
        <w:rPr>
          <w:rFonts w:ascii="Arial" w:cs="Arial" w:eastAsia="Arial" w:hAnsi="Arial"/>
          <w:sz w:val="18"/>
          <w:szCs w:val="18"/>
          <w:color w:val="auto"/>
        </w:rPr>
        <w:t>Fixing Record Date for Other Purposes. The Board of Directors of the Corporation may fix a time prior to an event or action as a record date for the determination of shareholders with respect to an event or action other than a meeting of shareholders or payment of a distribution, which time shall be not more than 90 days prior to the date of the event or action.</w:t>
      </w:r>
    </w:p>
    <w:p>
      <w:pPr>
        <w:spacing w:after="0" w:line="181" w:lineRule="exact"/>
        <w:rPr>
          <w:rFonts w:ascii="Arial" w:cs="Arial" w:eastAsia="Arial" w:hAnsi="Arial"/>
          <w:sz w:val="18"/>
          <w:szCs w:val="18"/>
          <w:color w:val="auto"/>
        </w:rPr>
      </w:pPr>
    </w:p>
    <w:p>
      <w:pPr>
        <w:ind w:left="660" w:hanging="256"/>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Determination when No Record Date Fixed. If a record date is not fixed:</w:t>
      </w:r>
    </w:p>
    <w:p>
      <w:pPr>
        <w:spacing w:after="0" w:line="117" w:lineRule="exact"/>
        <w:rPr>
          <w:rFonts w:ascii="Arial" w:cs="Arial" w:eastAsia="Arial" w:hAnsi="Arial"/>
          <w:sz w:val="18"/>
          <w:szCs w:val="18"/>
          <w:color w:val="auto"/>
        </w:rPr>
      </w:pPr>
    </w:p>
    <w:p>
      <w:pPr>
        <w:jc w:val="both"/>
        <w:ind w:left="400" w:right="200" w:firstLine="443"/>
        <w:spacing w:after="0" w:line="264" w:lineRule="auto"/>
        <w:tabs>
          <w:tab w:leader="none" w:pos="1053" w:val="left"/>
        </w:tabs>
        <w:numPr>
          <w:ilvl w:val="1"/>
          <w:numId w:val="31"/>
        </w:numPr>
        <w:rPr>
          <w:rFonts w:ascii="Arial" w:cs="Arial" w:eastAsia="Arial" w:hAnsi="Arial"/>
          <w:sz w:val="18"/>
          <w:szCs w:val="18"/>
          <w:color w:val="auto"/>
        </w:rPr>
      </w:pPr>
      <w:r>
        <w:rPr>
          <w:rFonts w:ascii="Arial" w:cs="Arial" w:eastAsia="Arial" w:hAnsi="Arial"/>
          <w:sz w:val="18"/>
          <w:szCs w:val="18"/>
          <w:color w:val="auto"/>
        </w:rPr>
        <w:t>The record date for determining shareholders entitled to notice of or to vote at a meeting of shareholders shall be at the close of business on the day next preceding the day on which notice is given or, if notice is waived, at the close of business on the day immediately preceding the day on which the meeting is held.</w:t>
      </w:r>
    </w:p>
    <w:p>
      <w:pPr>
        <w:spacing w:after="0" w:line="73" w:lineRule="exact"/>
        <w:rPr>
          <w:rFonts w:ascii="Arial" w:cs="Arial" w:eastAsia="Arial" w:hAnsi="Arial"/>
          <w:sz w:val="18"/>
          <w:szCs w:val="18"/>
          <w:color w:val="auto"/>
        </w:rPr>
      </w:pPr>
    </w:p>
    <w:p>
      <w:pPr>
        <w:ind w:left="400" w:right="600" w:firstLine="443"/>
        <w:spacing w:after="0" w:line="277" w:lineRule="auto"/>
        <w:tabs>
          <w:tab w:leader="none" w:pos="1103" w:val="left"/>
        </w:tabs>
        <w:numPr>
          <w:ilvl w:val="1"/>
          <w:numId w:val="31"/>
        </w:numPr>
        <w:rPr>
          <w:rFonts w:ascii="Arial" w:cs="Arial" w:eastAsia="Arial" w:hAnsi="Arial"/>
          <w:sz w:val="18"/>
          <w:szCs w:val="18"/>
          <w:color w:val="auto"/>
        </w:rPr>
      </w:pPr>
      <w:r>
        <w:rPr>
          <w:rFonts w:ascii="Arial" w:cs="Arial" w:eastAsia="Arial" w:hAnsi="Arial"/>
          <w:sz w:val="18"/>
          <w:szCs w:val="18"/>
          <w:color w:val="auto"/>
        </w:rPr>
        <w:t>The record date for determining shareholders for any other purpose shall be at the close of business on the day on which the Board of Directors adopts the resolution relating thereto.</w:t>
      </w:r>
    </w:p>
    <w:p>
      <w:pPr>
        <w:spacing w:after="0" w:line="170" w:lineRule="exact"/>
        <w:rPr>
          <w:rFonts w:ascii="Arial" w:cs="Arial" w:eastAsia="Arial" w:hAnsi="Arial"/>
          <w:sz w:val="18"/>
          <w:szCs w:val="18"/>
          <w:color w:val="auto"/>
        </w:rPr>
      </w:pPr>
    </w:p>
    <w:p>
      <w:pPr>
        <w:ind w:left="-60" w:right="240" w:firstLine="464"/>
        <w:spacing w:after="0" w:line="264" w:lineRule="auto"/>
        <w:tabs>
          <w:tab w:leader="none" w:pos="641" w:val="left"/>
        </w:tabs>
        <w:numPr>
          <w:ilvl w:val="0"/>
          <w:numId w:val="31"/>
        </w:numPr>
        <w:rPr>
          <w:rFonts w:ascii="Arial" w:cs="Arial" w:eastAsia="Arial" w:hAnsi="Arial"/>
          <w:sz w:val="18"/>
          <w:szCs w:val="18"/>
          <w:color w:val="auto"/>
        </w:rPr>
      </w:pPr>
      <w:r>
        <w:rPr>
          <w:rFonts w:ascii="Arial" w:cs="Arial" w:eastAsia="Arial" w:hAnsi="Arial"/>
          <w:sz w:val="18"/>
          <w:szCs w:val="18"/>
          <w:color w:val="auto"/>
        </w:rPr>
        <w:t>Certification by Nominee. The Board of Directors may adopt a procedure whereby a shareholder of the Corporation may certify in writing to the Corporation that all or a portion of the shares registered in the name of the shareholder are held for the account of a specified person or persons. The resolution of the Board of Directors may set forth:</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00"/>
          </w:cols>
          <w:pgMar w:left="300" w:top="274" w:right="299" w:bottom="1440" w:gutter="0" w:footer="0" w:header="0"/>
        </w:sectPr>
      </w:pPr>
    </w:p>
    <w:bookmarkStart w:id="76" w:name="page77"/>
    <w:bookmarkEnd w:id="76"/>
    <w:p>
      <w:pPr>
        <w:ind w:left="1120" w:hanging="217"/>
        <w:spacing w:after="0"/>
        <w:tabs>
          <w:tab w:leader="none" w:pos="1120" w:val="left"/>
        </w:tabs>
        <w:numPr>
          <w:ilvl w:val="0"/>
          <w:numId w:val="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classification of shareholder who may certify;</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purpose or purposes for which the certification may be made;</w:t>
      </w:r>
    </w:p>
    <w:p>
      <w:pPr>
        <w:spacing w:after="0" w:line="117" w:lineRule="exact"/>
        <w:rPr>
          <w:rFonts w:ascii="Arial" w:cs="Arial" w:eastAsia="Arial" w:hAnsi="Arial"/>
          <w:sz w:val="18"/>
          <w:szCs w:val="18"/>
          <w:color w:val="auto"/>
        </w:rPr>
      </w:pPr>
    </w:p>
    <w:p>
      <w:pPr>
        <w:ind w:left="1220" w:hanging="317"/>
        <w:spacing w:after="0"/>
        <w:tabs>
          <w:tab w:leader="none" w:pos="12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form of certification and information to be contained therein;</w:t>
      </w:r>
    </w:p>
    <w:p>
      <w:pPr>
        <w:spacing w:after="0" w:line="117" w:lineRule="exact"/>
        <w:rPr>
          <w:rFonts w:ascii="Arial" w:cs="Arial" w:eastAsia="Arial" w:hAnsi="Arial"/>
          <w:sz w:val="18"/>
          <w:szCs w:val="18"/>
          <w:color w:val="auto"/>
        </w:rPr>
      </w:pPr>
    </w:p>
    <w:p>
      <w:pPr>
        <w:ind w:left="460" w:right="560" w:firstLine="443"/>
        <w:spacing w:after="0" w:line="277" w:lineRule="auto"/>
        <w:tabs>
          <w:tab w:leader="none" w:pos="1203"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the certification is with respect to a record date, the time after the record date within which the certification must be received by the Corporation; and</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such other provisions with respect to the procedure as are deemed necessary or desirable.</w:t>
      </w:r>
    </w:p>
    <w:p>
      <w:pPr>
        <w:spacing w:after="0" w:line="225" w:lineRule="exact"/>
        <w:rPr>
          <w:sz w:val="20"/>
          <w:szCs w:val="20"/>
          <w:color w:val="auto"/>
        </w:rPr>
      </w:pPr>
    </w:p>
    <w:p>
      <w:pPr>
        <w:ind w:right="400" w:firstLine="456"/>
        <w:spacing w:after="0" w:line="342" w:lineRule="auto"/>
        <w:rPr>
          <w:sz w:val="20"/>
          <w:szCs w:val="20"/>
          <w:color w:val="auto"/>
        </w:rPr>
      </w:pPr>
      <w:r>
        <w:rPr>
          <w:rFonts w:ascii="Arial" w:cs="Arial" w:eastAsia="Arial" w:hAnsi="Arial"/>
          <w:sz w:val="16"/>
          <w:szCs w:val="16"/>
          <w:color w:val="auto"/>
        </w:rPr>
        <w:t>Upon receipt by the Corporation of a certification complying with the procedure, the persons specified in the certification shall be deemed, for the purposes set forth in the certification, to be the holders of record of the number of shares specified in place of the shareholder making the certification.</w:t>
      </w:r>
    </w:p>
    <w:p>
      <w:pPr>
        <w:spacing w:after="0" w:line="124"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color w:val="auto"/>
        </w:rPr>
        <w:t xml:space="preserve">Section 5.04. </w:t>
      </w:r>
      <w:r>
        <w:rPr>
          <w:rFonts w:ascii="Arial" w:cs="Arial" w:eastAsia="Arial" w:hAnsi="Arial"/>
          <w:sz w:val="16"/>
          <w:szCs w:val="16"/>
          <w:i w:val="1"/>
          <w:iCs w:val="1"/>
          <w:color w:val="auto"/>
        </w:rPr>
        <w:t>Lost Share Certificates</w:t>
      </w:r>
      <w:r>
        <w:rPr>
          <w:rFonts w:ascii="Arial" w:cs="Arial" w:eastAsia="Arial" w:hAnsi="Arial"/>
          <w:sz w:val="16"/>
          <w:szCs w:val="16"/>
          <w:color w:val="auto"/>
        </w:rPr>
        <w:t xml:space="preserve">. Unless waived in whole or in part by the Board of Directors or any of the Chairman, any Vice Chairman, the President, any Senior Vice President, Secretary or Treasurer, unless the Board of Directors prohibits such waiver by such officer, any person requesting the issuance of a new certificate in lieu of an alleged lost, destroyed, mislaid or wrongfully taken certificate shall (a) give to the Corporation his or her bond of indemnity with an acceptable surety, and (b) satisfy such other requirements as may be imposed by the Corporation. Thereupon, a new share certificate shall be issued to the registered owner or his or her assigns in lieu of the alleged lost, destroyed, mislaid or wrongfully taken certificate;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request therefor and issuance thereof have been made before the Corporation has notice that such shares have been acquired by a bona fide purchaser.</w:t>
      </w:r>
    </w:p>
    <w:p>
      <w:pPr>
        <w:spacing w:after="0" w:line="2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6</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w:t>
      </w:r>
      <w:r>
        <w:rPr>
          <w:rFonts w:ascii="Arial" w:cs="Arial" w:eastAsia="Arial" w:hAnsi="Arial"/>
          <w:sz w:val="15"/>
          <w:szCs w:val="15"/>
          <w:color w:val="auto"/>
        </w:rPr>
        <w:t>OTICES</w:t>
      </w:r>
      <w:r>
        <w:rPr>
          <w:rFonts w:ascii="Arial" w:cs="Arial" w:eastAsia="Arial" w:hAnsi="Arial"/>
          <w:sz w:val="18"/>
          <w:szCs w:val="18"/>
          <w:color w:val="auto"/>
        </w:rPr>
        <w:t>; C</w:t>
      </w:r>
      <w:r>
        <w:rPr>
          <w:rFonts w:ascii="Arial" w:cs="Arial" w:eastAsia="Arial" w:hAnsi="Arial"/>
          <w:sz w:val="15"/>
          <w:szCs w:val="15"/>
          <w:color w:val="auto"/>
        </w:rPr>
        <w:t>OMPUTING</w:t>
      </w:r>
      <w:r>
        <w:rPr>
          <w:rFonts w:ascii="Arial" w:cs="Arial" w:eastAsia="Arial" w:hAnsi="Arial"/>
          <w:sz w:val="18"/>
          <w:szCs w:val="18"/>
          <w:color w:val="auto"/>
        </w:rPr>
        <w:t xml:space="preserve"> T</w:t>
      </w:r>
      <w:r>
        <w:rPr>
          <w:rFonts w:ascii="Arial" w:cs="Arial" w:eastAsia="Arial" w:hAnsi="Arial"/>
          <w:sz w:val="15"/>
          <w:szCs w:val="15"/>
          <w:color w:val="auto"/>
        </w:rPr>
        <w:t>IME</w:t>
      </w:r>
      <w:r>
        <w:rPr>
          <w:rFonts w:ascii="Arial" w:cs="Arial" w:eastAsia="Arial" w:hAnsi="Arial"/>
          <w:sz w:val="18"/>
          <w:szCs w:val="18"/>
          <w:color w:val="auto"/>
        </w:rPr>
        <w:t xml:space="preserve"> P</w:t>
      </w:r>
      <w:r>
        <w:rPr>
          <w:rFonts w:ascii="Arial" w:cs="Arial" w:eastAsia="Arial" w:hAnsi="Arial"/>
          <w:sz w:val="15"/>
          <w:szCs w:val="15"/>
          <w:color w:val="auto"/>
        </w:rPr>
        <w:t>ERIODS</w:t>
      </w:r>
    </w:p>
    <w:p>
      <w:pPr>
        <w:spacing w:after="0" w:line="21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 xml:space="preserve">Section 6.01. </w:t>
      </w:r>
      <w:r>
        <w:rPr>
          <w:rFonts w:ascii="Arial" w:cs="Arial" w:eastAsia="Arial" w:hAnsi="Arial"/>
          <w:sz w:val="17"/>
          <w:szCs w:val="17"/>
          <w:i w:val="1"/>
          <w:iCs w:val="1"/>
          <w:color w:val="auto"/>
        </w:rPr>
        <w:t>Contents of Notice</w:t>
      </w:r>
      <w:r>
        <w:rPr>
          <w:rFonts w:ascii="Arial" w:cs="Arial" w:eastAsia="Arial" w:hAnsi="Arial"/>
          <w:sz w:val="17"/>
          <w:szCs w:val="17"/>
          <w:color w:val="auto"/>
        </w:rPr>
        <w:t>. Whenever any notice of a meeting of the Board of Directors or of shareholders is required to be given pursuant to these By-Laws or the Articles of Incorporation of the Corporation, as the same may be amended from time to time, or otherwise, the notice shall specify the geographic location, if any, date and time of the meeting; in the case of a special meeting of shareholders or where otherwise required by law or the By-Laws, the general nature of the business to be transacted at such meeting; and any other information required by law.</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274" w:right="279" w:bottom="1440" w:gutter="0" w:footer="0" w:header="0"/>
        </w:sectPr>
      </w:pPr>
    </w:p>
    <w:bookmarkStart w:id="77" w:name="page78"/>
    <w:bookmarkEnd w:id="77"/>
    <w:p>
      <w:pPr>
        <w:ind w:firstLine="456"/>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6.02. </w:t>
      </w:r>
      <w:r>
        <w:rPr>
          <w:rFonts w:ascii="Arial" w:cs="Arial" w:eastAsia="Arial" w:hAnsi="Arial"/>
          <w:sz w:val="18"/>
          <w:szCs w:val="18"/>
          <w:i w:val="1"/>
          <w:iCs w:val="1"/>
          <w:color w:val="auto"/>
        </w:rPr>
        <w:t>Method of Notice</w:t>
      </w:r>
      <w:r>
        <w:rPr>
          <w:rFonts w:ascii="Arial" w:cs="Arial" w:eastAsia="Arial" w:hAnsi="Arial"/>
          <w:sz w:val="18"/>
          <w:szCs w:val="18"/>
          <w:color w:val="auto"/>
        </w:rPr>
        <w:t>. Any notice required to be given to any person under the provisions of the Articles of Incorporation or these By-Laws shall be given to the person either personally or by sending a copy thereof (i) by first class or express mail, postage prepaid, or courier service, charges prepaid, to such person’s postal address appearing on the books of the Corporation, or, in the case of a Director, supplied by such Director to the Corporation for the purpose of notice or (ii) by facsimile transmission, e-mail or other electronic communication to such person’s facsimile number or address for e-mail or other electronic communication supplied by such person to the Corporation for purposes of notice. Notice delivered pursuant to clause (i) of the preceding sentence shall be deemed to have been given to the person entitled thereto when deposited in the United States mail or with a courier service for delivery to that person, and notice pursuant to clause (ii) of the preceding sentence shall be deemed to have been given to the person entitled thereto when sent. Except as otherwise provided in these By-Laws, or as otherwise directed by the Board of Directors, notices of meetings may be given by, or at the direction of, the Secretary.</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i w:val="1"/>
          <w:iCs w:val="1"/>
          <w:color w:val="auto"/>
        </w:rPr>
        <w:t>Computing Time Periods</w:t>
      </w:r>
      <w:r>
        <w:rPr>
          <w:rFonts w:ascii="Arial" w:cs="Arial" w:eastAsia="Arial" w:hAnsi="Arial"/>
          <w:sz w:val="18"/>
          <w:szCs w:val="18"/>
          <w:color w:val="auto"/>
        </w:rPr>
        <w:t>.</w:t>
      </w:r>
    </w:p>
    <w:p>
      <w:pPr>
        <w:spacing w:after="0" w:line="225" w:lineRule="exact"/>
        <w:rPr>
          <w:sz w:val="20"/>
          <w:szCs w:val="20"/>
          <w:color w:val="auto"/>
        </w:rPr>
      </w:pPr>
    </w:p>
    <w:p>
      <w:pPr>
        <w:ind w:right="120" w:firstLine="464"/>
        <w:spacing w:after="0" w:line="279" w:lineRule="auto"/>
        <w:tabs>
          <w:tab w:leader="none" w:pos="701" w:val="left"/>
        </w:tabs>
        <w:numPr>
          <w:ilvl w:val="0"/>
          <w:numId w:val="33"/>
        </w:numPr>
        <w:rPr>
          <w:rFonts w:ascii="Arial" w:cs="Arial" w:eastAsia="Arial" w:hAnsi="Arial"/>
          <w:sz w:val="17"/>
          <w:szCs w:val="17"/>
          <w:color w:val="auto"/>
        </w:rPr>
      </w:pPr>
      <w:r>
        <w:rPr>
          <w:rFonts w:ascii="Arial" w:cs="Arial" w:eastAsia="Arial" w:hAnsi="Arial"/>
          <w:sz w:val="17"/>
          <w:szCs w:val="17"/>
          <w:color w:val="auto"/>
        </w:rPr>
        <w:t xml:space="preserve">Days to be Counted. In computing the number of days for purposes of these By-Laws, all days shall be counted, including Saturdays, Sundays and any Holiday; </w:t>
      </w:r>
      <w:r>
        <w:rPr>
          <w:rFonts w:ascii="Arial" w:cs="Arial" w:eastAsia="Arial" w:hAnsi="Arial"/>
          <w:sz w:val="17"/>
          <w:szCs w:val="17"/>
          <w:i w:val="1"/>
          <w:iCs w:val="1"/>
          <w:color w:val="auto"/>
        </w:rPr>
        <w:t>provided, however</w:t>
      </w:r>
      <w:r>
        <w:rPr>
          <w:rFonts w:ascii="Arial" w:cs="Arial" w:eastAsia="Arial" w:hAnsi="Arial"/>
          <w:sz w:val="17"/>
          <w:szCs w:val="17"/>
          <w:color w:val="auto"/>
        </w:rPr>
        <w:t>, that if the final day of any time period falls on a Saturday, Sunday or Holiday, then the final day shall be deemed to be the next day which is not a Saturday, Sunday or Holiday. In computing the number of days for the purpose of giving notice of any meeting, the date upon which the notice is given shall be counted but the day set for the meeting shall not be counted.</w:t>
      </w:r>
    </w:p>
    <w:p>
      <w:pPr>
        <w:spacing w:after="0" w:line="171" w:lineRule="exact"/>
        <w:rPr>
          <w:rFonts w:ascii="Arial" w:cs="Arial" w:eastAsia="Arial" w:hAnsi="Arial"/>
          <w:sz w:val="17"/>
          <w:szCs w:val="17"/>
          <w:color w:val="auto"/>
        </w:rPr>
      </w:pPr>
    </w:p>
    <w:p>
      <w:pPr>
        <w:ind w:right="380" w:firstLine="464"/>
        <w:spacing w:after="0" w:line="308" w:lineRule="auto"/>
        <w:tabs>
          <w:tab w:leader="none" w:pos="711" w:val="left"/>
        </w:tabs>
        <w:numPr>
          <w:ilvl w:val="0"/>
          <w:numId w:val="33"/>
        </w:numPr>
        <w:rPr>
          <w:rFonts w:ascii="Arial" w:cs="Arial" w:eastAsia="Arial" w:hAnsi="Arial"/>
          <w:sz w:val="17"/>
          <w:szCs w:val="17"/>
          <w:color w:val="auto"/>
        </w:rPr>
      </w:pPr>
      <w:r>
        <w:rPr>
          <w:rFonts w:ascii="Arial" w:cs="Arial" w:eastAsia="Arial" w:hAnsi="Arial"/>
          <w:sz w:val="17"/>
          <w:szCs w:val="17"/>
          <w:color w:val="auto"/>
        </w:rPr>
        <w:t>One Day Notice. In any case where only one day’s notice is being given, notice must be given at least 24 hours in advance of the date and time specified for the meeting in question by delivery in person or by telephone, telex, telecopier or similar means of communication.</w:t>
      </w:r>
    </w:p>
    <w:p>
      <w:pPr>
        <w:spacing w:after="0" w:line="14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 xml:space="preserve">Section 6.04. </w:t>
      </w:r>
      <w:r>
        <w:rPr>
          <w:rFonts w:ascii="Arial" w:cs="Arial" w:eastAsia="Arial" w:hAnsi="Arial"/>
          <w:sz w:val="17"/>
          <w:szCs w:val="17"/>
          <w:i w:val="1"/>
          <w:iCs w:val="1"/>
          <w:color w:val="auto"/>
        </w:rPr>
        <w:t>Waiver of Notice</w:t>
      </w:r>
      <w:r>
        <w:rPr>
          <w:rFonts w:ascii="Arial" w:cs="Arial" w:eastAsia="Arial" w:hAnsi="Arial"/>
          <w:sz w:val="17"/>
          <w:szCs w:val="17"/>
          <w:color w:val="auto"/>
        </w:rPr>
        <w:t>. Whenever any notice is required to be given under the provisions of the Pennsylvania BCL or other applicable law or the Articles of Incorporation or these By-Laws, a waiver thereof in writing, signed by the person or persons entitled to the notice, whether before or after the time stated therein, shall be deemed equivalent to the giving of the notice. Except as otherwise required by law or the next sentence, neither the business to be transacted at, nor the purpose of, a meeting need be specified in the waiver of notice of the meeting. In the case of a special meeting of shareholders, the waiver of notice shall specify the general nature of the business to be transacted. Attendance of a person at any meeting shall constitute a waiver of notice of the meeting except where a person attends a meeting for the express purpose of objecting, at the beginning of the meeting, to the transaction of any business because the meeting was not lawfully called or convened.</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274" w:right="279" w:bottom="1440" w:gutter="0" w:footer="0" w:header="0"/>
        </w:sectPr>
      </w:pPr>
    </w:p>
    <w:bookmarkStart w:id="78" w:name="page79"/>
    <w:bookmarkEnd w:id="78"/>
    <w:p>
      <w:pPr>
        <w:ind w:right="240" w:firstLine="456"/>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6.05. </w:t>
      </w:r>
      <w:r>
        <w:rPr>
          <w:rFonts w:ascii="Arial" w:cs="Arial" w:eastAsia="Arial" w:hAnsi="Arial"/>
          <w:sz w:val="17"/>
          <w:szCs w:val="17"/>
          <w:i w:val="1"/>
          <w:iCs w:val="1"/>
          <w:color w:val="auto"/>
        </w:rPr>
        <w:t>Modification of Proposal Contained in Notice</w:t>
      </w:r>
      <w:r>
        <w:rPr>
          <w:rFonts w:ascii="Arial" w:cs="Arial" w:eastAsia="Arial" w:hAnsi="Arial"/>
          <w:sz w:val="17"/>
          <w:szCs w:val="17"/>
          <w:color w:val="auto"/>
        </w:rPr>
        <w:t>. Whenever the language of a proposed resolution is included in a written notice of a meeting required to be given under the provisions of the Pennsylvania BCL or the Articles of Incorporation or these By-Laws, the meeting considering the resolution may without further notice adopt it with such clarifying or other amendments as do not enlarge its original purpose.</w:t>
      </w:r>
    </w:p>
    <w:p>
      <w:pPr>
        <w:spacing w:after="0" w:line="16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 xml:space="preserve">Section 6.06. </w:t>
      </w:r>
      <w:r>
        <w:rPr>
          <w:rFonts w:ascii="Arial" w:cs="Arial" w:eastAsia="Arial" w:hAnsi="Arial"/>
          <w:sz w:val="18"/>
          <w:szCs w:val="18"/>
          <w:i w:val="1"/>
          <w:iCs w:val="1"/>
          <w:color w:val="auto"/>
        </w:rPr>
        <w:t>Bulk Mail</w:t>
      </w:r>
      <w:r>
        <w:rPr>
          <w:rFonts w:ascii="Arial" w:cs="Arial" w:eastAsia="Arial" w:hAnsi="Arial"/>
          <w:sz w:val="18"/>
          <w:szCs w:val="18"/>
          <w:color w:val="auto"/>
        </w:rPr>
        <w:t>. Notice of any regular or special meeting of the shareholders, or any other notice required by the Pennsylvania BCL or by the Articles of Incorporation or these By-Laws to be given to all shareholders or to all holders of a class or a series of shares, may be given by any class of post-paid mail if the notice is deposited in the United States mail at least 20 days prior to the day named for the meeting or any corporate or shareholder action specified in the notice.</w:t>
      </w:r>
    </w:p>
    <w:p>
      <w:pPr>
        <w:spacing w:after="0" w:line="18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 xml:space="preserve">Section 6.07. </w:t>
      </w:r>
      <w:r>
        <w:rPr>
          <w:rFonts w:ascii="Arial" w:cs="Arial" w:eastAsia="Arial" w:hAnsi="Arial"/>
          <w:sz w:val="16"/>
          <w:szCs w:val="16"/>
          <w:i w:val="1"/>
          <w:iCs w:val="1"/>
          <w:color w:val="auto"/>
        </w:rPr>
        <w:t>Shareholders Without Forwarding Addresses</w:t>
      </w:r>
      <w:r>
        <w:rPr>
          <w:rFonts w:ascii="Arial" w:cs="Arial" w:eastAsia="Arial" w:hAnsi="Arial"/>
          <w:sz w:val="16"/>
          <w:szCs w:val="16"/>
          <w:color w:val="auto"/>
        </w:rPr>
        <w:t>. Notice or other communications need not be sent to any shareholder with whom the Corporation has been unable to communicate for more than 24 consecutive months because communications to the shareholder have been returned unclaimed or the shareholder has otherwise failed to provide the Corporation with a current address. Whenever the shareholder provides the Corporation with a current address, the corporation shall commence sending notices and other communications to the shareholder in the same manner as to other shareholders.</w:t>
      </w: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7</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I</w:t>
      </w:r>
      <w:r>
        <w:rPr>
          <w:rFonts w:ascii="Arial" w:cs="Arial" w:eastAsia="Arial" w:hAnsi="Arial"/>
          <w:sz w:val="15"/>
          <w:szCs w:val="15"/>
          <w:color w:val="auto"/>
        </w:rPr>
        <w:t>NDEMNIFICATION OF</w:t>
      </w:r>
      <w:r>
        <w:rPr>
          <w:rFonts w:ascii="Arial" w:cs="Arial" w:eastAsia="Arial" w:hAnsi="Arial"/>
          <w:sz w:val="18"/>
          <w:szCs w:val="18"/>
          <w:color w:val="auto"/>
        </w:rPr>
        <w:t xml:space="preserve"> D</w:t>
      </w:r>
      <w:r>
        <w:rPr>
          <w:rFonts w:ascii="Arial" w:cs="Arial" w:eastAsia="Arial" w:hAnsi="Arial"/>
          <w:sz w:val="15"/>
          <w:szCs w:val="15"/>
          <w:color w:val="auto"/>
        </w:rPr>
        <w:t>IRECTORS</w:t>
      </w:r>
      <w:r>
        <w:rPr>
          <w:rFonts w:ascii="Arial" w:cs="Arial" w:eastAsia="Arial" w:hAnsi="Arial"/>
          <w:sz w:val="18"/>
          <w:szCs w:val="18"/>
          <w:color w:val="auto"/>
        </w:rPr>
        <w:t>, O</w:t>
      </w:r>
      <w:r>
        <w:rPr>
          <w:rFonts w:ascii="Arial" w:cs="Arial" w:eastAsia="Arial" w:hAnsi="Arial"/>
          <w:sz w:val="15"/>
          <w:szCs w:val="15"/>
          <w:color w:val="auto"/>
        </w:rPr>
        <w:t>FFICERS AND</w:t>
      </w:r>
      <w:r>
        <w:rPr>
          <w:rFonts w:ascii="Arial" w:cs="Arial" w:eastAsia="Arial" w:hAnsi="Arial"/>
          <w:sz w:val="18"/>
          <w:szCs w:val="18"/>
          <w:color w:val="auto"/>
        </w:rPr>
        <w:t xml:space="preserve"> O</w:t>
      </w:r>
      <w:r>
        <w:rPr>
          <w:rFonts w:ascii="Arial" w:cs="Arial" w:eastAsia="Arial" w:hAnsi="Arial"/>
          <w:sz w:val="15"/>
          <w:szCs w:val="15"/>
          <w:color w:val="auto"/>
        </w:rPr>
        <w:t>THER</w:t>
      </w:r>
      <w:r>
        <w:rPr>
          <w:rFonts w:ascii="Arial" w:cs="Arial" w:eastAsia="Arial" w:hAnsi="Arial"/>
          <w:sz w:val="18"/>
          <w:szCs w:val="18"/>
          <w:color w:val="auto"/>
        </w:rPr>
        <w:t xml:space="preserve"> P</w:t>
      </w:r>
      <w:r>
        <w:rPr>
          <w:rFonts w:ascii="Arial" w:cs="Arial" w:eastAsia="Arial" w:hAnsi="Arial"/>
          <w:sz w:val="15"/>
          <w:szCs w:val="15"/>
          <w:color w:val="auto"/>
        </w:rPr>
        <w:t>ERSONS</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i w:val="1"/>
          <w:iCs w:val="1"/>
          <w:color w:val="auto"/>
        </w:rPr>
        <w:t>Indemnification and Insurance</w:t>
      </w:r>
      <w:r>
        <w:rPr>
          <w:rFonts w:ascii="Arial" w:cs="Arial" w:eastAsia="Arial" w:hAnsi="Arial"/>
          <w:sz w:val="18"/>
          <w:szCs w:val="18"/>
          <w:color w:val="auto"/>
        </w:rPr>
        <w:t>.</w:t>
      </w:r>
    </w:p>
    <w:p>
      <w:pPr>
        <w:spacing w:after="0" w:line="117" w:lineRule="exact"/>
        <w:rPr>
          <w:sz w:val="20"/>
          <w:szCs w:val="20"/>
          <w:color w:val="auto"/>
        </w:rPr>
      </w:pPr>
    </w:p>
    <w:p>
      <w:pPr>
        <w:ind w:left="700" w:hanging="236"/>
        <w:spacing w:after="0"/>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Indemnification of Directors and Officers.</w:t>
      </w:r>
    </w:p>
    <w:p>
      <w:pPr>
        <w:spacing w:after="0" w:line="117" w:lineRule="exact"/>
        <w:rPr>
          <w:rFonts w:ascii="Arial" w:cs="Arial" w:eastAsia="Arial" w:hAnsi="Arial"/>
          <w:sz w:val="18"/>
          <w:szCs w:val="18"/>
          <w:color w:val="auto"/>
        </w:rPr>
      </w:pPr>
    </w:p>
    <w:p>
      <w:pPr>
        <w:ind w:left="460" w:firstLine="443"/>
        <w:spacing w:after="0" w:line="291" w:lineRule="auto"/>
        <w:tabs>
          <w:tab w:leader="none" w:pos="1113" w:val="left"/>
        </w:tabs>
        <w:numPr>
          <w:ilvl w:val="1"/>
          <w:numId w:val="34"/>
        </w:numPr>
        <w:rPr>
          <w:rFonts w:ascii="Arial" w:cs="Arial" w:eastAsia="Arial" w:hAnsi="Arial"/>
          <w:sz w:val="16"/>
          <w:szCs w:val="16"/>
          <w:color w:val="auto"/>
        </w:rPr>
      </w:pPr>
      <w:r>
        <w:rPr>
          <w:rFonts w:ascii="Arial" w:cs="Arial" w:eastAsia="Arial" w:hAnsi="Arial"/>
          <w:sz w:val="16"/>
          <w:szCs w:val="16"/>
          <w:color w:val="auto"/>
        </w:rPr>
        <w:t>Each Indemnitee (as defined below) shall be indemnified and held harmless by the Corporation to the fullest extent permitted by Pennsylvania law against all expense, liability and loss (including without limitation attorneys fees, judgments, fines, taxes, penalties, and amounts paid or to be paid in settlement) reasonably incurred or suffered by the Indemnitee in connection with any Proceeding (as defined below) arising out of or related to Indemnitee’s service at any time in a Covered Capacity. No indemnification pursuant to this Section shall be made, however: (A) in any case where the act or failure to act giving rise to the claim for indemnification is determined by a court to have constituted wilful misconduct or recklessness; or (B) in connection with a Proceeding (or part thereof) initiated by an Indemnitee (except in connection with a Proceeding to enforce a right to indemnification or advancement of expenses under this Article 7), unless the Proceeding (or part thereof) was authorized by the Board of Directors.</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274" w:right="279" w:bottom="1440" w:gutter="0" w:footer="0" w:header="0"/>
        </w:sectPr>
      </w:pPr>
    </w:p>
    <w:bookmarkStart w:id="79" w:name="page80"/>
    <w:bookmarkEnd w:id="79"/>
    <w:p>
      <w:pPr>
        <w:ind w:left="440" w:firstLine="443"/>
        <w:spacing w:after="0" w:line="293" w:lineRule="auto"/>
        <w:tabs>
          <w:tab w:leader="none" w:pos="1143" w:val="left"/>
        </w:tabs>
        <w:numPr>
          <w:ilvl w:val="1"/>
          <w:numId w:val="3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right to indemnification provided in this Section shall include the right to have the expenses incurred by the Indemnitee in participating in any Proceeding paid by the Corporation in advance of the final disposition of the Proceeding arising out of or related to Indemnitee’s service at any time in a Covered Capacity automatically and without any action or approval required by the Board of Directors;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Pennsylvania law continues so to require, the payment of such expenses incurred by the Indemnitee in advance of the final disposition of a Proceeding shall be made only upon delivery to the Corporation of an undertaking, by or on behalf of the Indemnitee, to repay all amounts so advanced without interest if it shall ultimately be determined that the Indemnitee is not entitled to be indemnified under this Section or otherwise.</w:t>
      </w:r>
    </w:p>
    <w:p>
      <w:pPr>
        <w:spacing w:after="0" w:line="52" w:lineRule="exact"/>
        <w:rPr>
          <w:rFonts w:ascii="Arial" w:cs="Arial" w:eastAsia="Arial" w:hAnsi="Arial"/>
          <w:sz w:val="16"/>
          <w:szCs w:val="16"/>
          <w:color w:val="auto"/>
        </w:rPr>
      </w:pPr>
    </w:p>
    <w:p>
      <w:pPr>
        <w:ind w:left="440" w:right="100" w:firstLine="443"/>
        <w:spacing w:after="0" w:line="290" w:lineRule="auto"/>
        <w:tabs>
          <w:tab w:leader="none" w:pos="1193" w:val="left"/>
        </w:tabs>
        <w:numPr>
          <w:ilvl w:val="1"/>
          <w:numId w:val="35"/>
        </w:numPr>
        <w:rPr>
          <w:rFonts w:ascii="Arial" w:cs="Arial" w:eastAsia="Arial" w:hAnsi="Arial"/>
          <w:sz w:val="16"/>
          <w:szCs w:val="16"/>
          <w:color w:val="auto"/>
        </w:rPr>
      </w:pPr>
      <w:r>
        <w:rPr>
          <w:rFonts w:ascii="Arial" w:cs="Arial" w:eastAsia="Arial" w:hAnsi="Arial"/>
          <w:sz w:val="16"/>
          <w:szCs w:val="16"/>
          <w:color w:val="auto"/>
        </w:rPr>
        <w:t>For purposes of this Article, (A) “</w:t>
      </w:r>
      <w:r>
        <w:rPr>
          <w:rFonts w:ascii="Arial" w:cs="Arial" w:eastAsia="Arial" w:hAnsi="Arial"/>
          <w:sz w:val="16"/>
          <w:szCs w:val="16"/>
          <w:b w:val="1"/>
          <w:bCs w:val="1"/>
          <w:color w:val="auto"/>
        </w:rPr>
        <w:t>Indemnitee</w:t>
      </w:r>
      <w:r>
        <w:rPr>
          <w:rFonts w:ascii="Arial" w:cs="Arial" w:eastAsia="Arial" w:hAnsi="Arial"/>
          <w:sz w:val="16"/>
          <w:szCs w:val="16"/>
          <w:color w:val="auto"/>
        </w:rPr>
        <w:t>” shall mean each Director and each officer of the Corporation (including Directors and officers who have ceased serving in any such capacity) who was or is a party to, or is threatened to be made a party to, or is a witness or other participant in, any Proceeding, by reason of the fact that he or she is or was a Director or officer of the Corporation or is or was serving in any capacity at the request or for the benefit of the Corporation as a director, officer, employee, agent, partner, or fiduciary of, or in any other capacity for, another corporation or any limited liability company, partnership, joint venture, trust, employee benefit plan, or other entity; (B) “</w:t>
      </w:r>
      <w:r>
        <w:rPr>
          <w:rFonts w:ascii="Arial" w:cs="Arial" w:eastAsia="Arial" w:hAnsi="Arial"/>
          <w:sz w:val="16"/>
          <w:szCs w:val="16"/>
          <w:b w:val="1"/>
          <w:bCs w:val="1"/>
          <w:color w:val="auto"/>
        </w:rPr>
        <w:t>Proceeding</w:t>
      </w:r>
      <w:r>
        <w:rPr>
          <w:rFonts w:ascii="Arial" w:cs="Arial" w:eastAsia="Arial" w:hAnsi="Arial"/>
          <w:sz w:val="16"/>
          <w:szCs w:val="16"/>
          <w:color w:val="auto"/>
        </w:rPr>
        <w:t>” shall mean any threatened, pending or completed action, suit, claim, counterclaim, cross claim, arbitration, alternate dispute resolution mechanism, investigation, inquiry, administrative hearing or any other actual, threatened or completed proceeding, whether civil, criminal, administrative or investigative, including any appeal therefrom, and whether instituted by or on behalf of the Corporation or any other party; and (C) service as a Director or officer of the Corporation or in any other capacity of the type referred to in clause (A) of this paragraph shall be deemed service in a “</w:t>
      </w:r>
      <w:r>
        <w:rPr>
          <w:rFonts w:ascii="Arial" w:cs="Arial" w:eastAsia="Arial" w:hAnsi="Arial"/>
          <w:sz w:val="16"/>
          <w:szCs w:val="16"/>
          <w:b w:val="1"/>
          <w:bCs w:val="1"/>
          <w:color w:val="auto"/>
        </w:rPr>
        <w:t>Covered Capacity</w:t>
      </w:r>
      <w:r>
        <w:rPr>
          <w:rFonts w:ascii="Arial" w:cs="Arial" w:eastAsia="Arial" w:hAnsi="Arial"/>
          <w:sz w:val="16"/>
          <w:szCs w:val="16"/>
          <w:color w:val="auto"/>
        </w:rPr>
        <w:t>”.</w:t>
      </w:r>
    </w:p>
    <w:p>
      <w:pPr>
        <w:spacing w:after="0" w:line="55" w:lineRule="exact"/>
        <w:rPr>
          <w:rFonts w:ascii="Arial" w:cs="Arial" w:eastAsia="Arial" w:hAnsi="Arial"/>
          <w:sz w:val="16"/>
          <w:szCs w:val="16"/>
          <w:color w:val="auto"/>
        </w:rPr>
      </w:pPr>
    </w:p>
    <w:p>
      <w:pPr>
        <w:ind w:left="440" w:right="300" w:firstLine="443"/>
        <w:spacing w:after="0" w:line="277" w:lineRule="auto"/>
        <w:tabs>
          <w:tab w:leader="none" w:pos="1183"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provisions of this Article shall inure to the benefit of and be enforceable by an Indemnitee’s heirs, executors, administrators and legal representatives.</w:t>
      </w:r>
    </w:p>
    <w:p>
      <w:pPr>
        <w:spacing w:after="0" w:line="170" w:lineRule="exact"/>
        <w:rPr>
          <w:rFonts w:ascii="Arial" w:cs="Arial" w:eastAsia="Arial" w:hAnsi="Arial"/>
          <w:sz w:val="18"/>
          <w:szCs w:val="18"/>
          <w:color w:val="auto"/>
        </w:rPr>
      </w:pPr>
    </w:p>
    <w:p>
      <w:pPr>
        <w:ind w:left="-20" w:right="140" w:firstLine="464"/>
        <w:spacing w:after="0" w:line="264" w:lineRule="auto"/>
        <w:tabs>
          <w:tab w:leader="none" w:pos="691"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Indemnification of Employees and Other Persons. The Corporation may, by action of its Board of Directors and to the extent provided in such action, indemnify employees and other persons, and provide for advancement of expenses to such persons in the manner set forth in (a)(ii), above, as though they were Indemnitees, except that, if Pennsylvania law continues to so require, to the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60" w:top="274" w:right="239" w:bottom="1440" w:gutter="0" w:footer="0" w:header="0"/>
        </w:sectPr>
      </w:pPr>
    </w:p>
    <w:bookmarkStart w:id="80" w:name="page81"/>
    <w:bookmarkEnd w:id="80"/>
    <w:p>
      <w:pPr>
        <w:ind w:right="22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extent that an employee or agent of the Corporation has been successful on the merits or otherwise in defense of any Proceeding or in defense of any claim, issue or matter therein, the Corporation shall indemnify such person against expenses (including attorneys’ fees) actually and reasonably incurred by such person in connection therewith. Directors and officers of entities that have merged into, or have been consolidated with, or have been liquidated into, the Corporation shall not be Indemnitees with respect to Proceedings involving any action or failure to act of such Director or officer prior to the date of such merger, consolidation or liquidation, but such persons may be indemnified by the Board of Directors pursuant to the first sentence of this Section 7.02(b).</w:t>
      </w:r>
    </w:p>
    <w:p>
      <w:pPr>
        <w:spacing w:after="0" w:line="158" w:lineRule="exact"/>
        <w:rPr>
          <w:sz w:val="20"/>
          <w:szCs w:val="20"/>
          <w:color w:val="auto"/>
        </w:rPr>
      </w:pPr>
    </w:p>
    <w:p>
      <w:pPr>
        <w:ind w:right="340" w:firstLine="464"/>
        <w:spacing w:after="0" w:line="264" w:lineRule="auto"/>
        <w:tabs>
          <w:tab w:leader="none" w:pos="701" w:val="left"/>
        </w:tabs>
        <w:numPr>
          <w:ilvl w:val="0"/>
          <w:numId w:val="37"/>
        </w:numPr>
        <w:rPr>
          <w:rFonts w:ascii="Arial" w:cs="Arial" w:eastAsia="Arial" w:hAnsi="Arial"/>
          <w:sz w:val="18"/>
          <w:szCs w:val="18"/>
          <w:color w:val="auto"/>
        </w:rPr>
      </w:pPr>
      <w:r>
        <w:rPr>
          <w:rFonts w:ascii="Arial" w:cs="Arial" w:eastAsia="Arial" w:hAnsi="Arial"/>
          <w:sz w:val="18"/>
          <w:szCs w:val="18"/>
          <w:color w:val="auto"/>
        </w:rPr>
        <w:t>Non-Exclusivity of Rights. The rights to indemnification and to the advancement of expenses provided in or pursuant to this Article shall not be exclusive of any other rights that any person may have or hereafter acquire under any statute, provision of the Articles of Incorporation or By-Laws, agreement, vote of shareholders or Directors, or otherwise.</w:t>
      </w:r>
    </w:p>
    <w:p>
      <w:pPr>
        <w:spacing w:after="0" w:line="181" w:lineRule="exact"/>
        <w:rPr>
          <w:rFonts w:ascii="Arial" w:cs="Arial" w:eastAsia="Arial" w:hAnsi="Arial"/>
          <w:sz w:val="18"/>
          <w:szCs w:val="18"/>
          <w:color w:val="auto"/>
        </w:rPr>
      </w:pPr>
    </w:p>
    <w:p>
      <w:pPr>
        <w:ind w:right="60" w:firstLine="464"/>
        <w:spacing w:after="0" w:line="259" w:lineRule="auto"/>
        <w:tabs>
          <w:tab w:leader="none" w:pos="711"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Insurance. The Corporation may purchase and maintain insurance, at its expense, for the benefit of any person on behalf of whom insurance is permitted to be purchased by Pennsylvania law against any expense, liability or loss, whether or not the Corporation would have the power to indemnify such person under Pennsylvania or other law. The Corporation may also purchase and maintain insurance to insure its indemnification obligations whether arising hereunder or otherwise.</w:t>
      </w:r>
    </w:p>
    <w:p>
      <w:pPr>
        <w:spacing w:after="0" w:line="186" w:lineRule="exact"/>
        <w:rPr>
          <w:rFonts w:ascii="Arial" w:cs="Arial" w:eastAsia="Arial" w:hAnsi="Arial"/>
          <w:sz w:val="18"/>
          <w:szCs w:val="18"/>
          <w:color w:val="auto"/>
        </w:rPr>
      </w:pPr>
    </w:p>
    <w:p>
      <w:pPr>
        <w:jc w:val="both"/>
        <w:ind w:right="320" w:firstLine="464"/>
        <w:spacing w:after="0" w:line="264" w:lineRule="auto"/>
        <w:tabs>
          <w:tab w:leader="none" w:pos="701" w:val="left"/>
        </w:tabs>
        <w:numPr>
          <w:ilvl w:val="0"/>
          <w:numId w:val="37"/>
        </w:numPr>
        <w:rPr>
          <w:rFonts w:ascii="Arial" w:cs="Arial" w:eastAsia="Arial" w:hAnsi="Arial"/>
          <w:sz w:val="18"/>
          <w:szCs w:val="18"/>
          <w:color w:val="auto"/>
        </w:rPr>
      </w:pPr>
      <w:r>
        <w:rPr>
          <w:rFonts w:ascii="Arial" w:cs="Arial" w:eastAsia="Arial" w:hAnsi="Arial"/>
          <w:sz w:val="18"/>
          <w:szCs w:val="18"/>
          <w:color w:val="auto"/>
        </w:rPr>
        <w:t>Fund For Payment of Expenses. The Corporation may create a fund of any nature, which may, but need not be, under the control of a trustee, or otherwise may secure in any manner its indemnification obligations, whether arising hereunder, under the Articles of Incorporation, by agreement, vote of shareholders or Directors, or otherwise.</w:t>
      </w:r>
    </w:p>
    <w:p>
      <w:pPr>
        <w:spacing w:after="0" w:line="18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 xml:space="preserve">Section 7.02. </w:t>
      </w:r>
      <w:r>
        <w:rPr>
          <w:rFonts w:ascii="Arial" w:cs="Arial" w:eastAsia="Arial" w:hAnsi="Arial"/>
          <w:sz w:val="17"/>
          <w:szCs w:val="17"/>
          <w:i w:val="1"/>
          <w:iCs w:val="1"/>
          <w:color w:val="auto"/>
        </w:rPr>
        <w:t>Amendment</w:t>
      </w:r>
      <w:r>
        <w:rPr>
          <w:rFonts w:ascii="Arial" w:cs="Arial" w:eastAsia="Arial" w:hAnsi="Arial"/>
          <w:sz w:val="17"/>
          <w:szCs w:val="17"/>
          <w:color w:val="auto"/>
        </w:rPr>
        <w:t xml:space="preserve">. The provisions of this Article 7 shall constitute a contract between the Corporation and each of its Directors and officers which may be modified as to any Indemnitee only with that person’s consent or as specifically provided in this Section. Notwithstanding any other provision of these By-Laws relating to their amendment generally, any repeal or amendment of this Article 7 which is adverse to any Indemnitee shall apply to such Indemnitee only on a prospective basis, and shall not reduce or limit the rights of an Indemnitee to indemnification or to the advancement of expenses with respect to any action or failure to act occurring prior to the time of such repeal or amendment. Notwithstanding any other provision of these By-Laws, no repeal or amendment of these By-Laws shall affect any or all of this Article so as either to reduce or limit indemnification or the advancement of expenses in any manner unless adopted by (a) the unanimous vote of the Directors of the Corporation then serving, or (b) the affirmative vote of shareholders entitled to cast at least eighty percent (80%) of the votes that all shareholders are entitled to cast in the election of Directors;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such amendment shall have retroactive effect inconsistent with the preceding sentence.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4" w:right="239" w:bottom="1440" w:gutter="0" w:footer="0" w:header="0"/>
        </w:sectPr>
      </w:pPr>
    </w:p>
    <w:bookmarkStart w:id="81" w:name="page82"/>
    <w:bookmarkEnd w:id="81"/>
    <w:p>
      <w:pPr>
        <w:ind w:firstLine="456"/>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7.03. </w:t>
      </w:r>
      <w:r>
        <w:rPr>
          <w:rFonts w:ascii="Arial" w:cs="Arial" w:eastAsia="Arial" w:hAnsi="Arial"/>
          <w:sz w:val="16"/>
          <w:szCs w:val="16"/>
          <w:i w:val="1"/>
          <w:iCs w:val="1"/>
          <w:color w:val="auto"/>
        </w:rPr>
        <w:t>Changes in Pennsylvania Law</w:t>
      </w:r>
      <w:r>
        <w:rPr>
          <w:rFonts w:ascii="Arial" w:cs="Arial" w:eastAsia="Arial" w:hAnsi="Arial"/>
          <w:sz w:val="16"/>
          <w:szCs w:val="16"/>
          <w:color w:val="auto"/>
        </w:rPr>
        <w:t xml:space="preserve">. References in this Article to Pennsylvania law or to any provision thereof shall be to such law, as it existed on the date this Article was adopted or as such law thereafter may be changed;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any change which: (a) limits the indemnification rights or the rights to advancement of expenses which the Corporation may provide, the rights to indemnification and to the advancement of expenses provided in this Article shall continue as theretofore to the extent permitted by law; and (b) permits the Corporation, without the requirement of any further action by shareholders or Directors, to provide broader indemnification rights or rights to the advancement of expenses than the Corporation was permitted to provide prior to such change, then the rights to indemnification and the advancement of expenses shall be so broadened to the extent permitted by law.</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8</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w:t>
      </w:r>
      <w:r>
        <w:rPr>
          <w:rFonts w:ascii="Arial" w:cs="Arial" w:eastAsia="Arial" w:hAnsi="Arial"/>
          <w:sz w:val="15"/>
          <w:szCs w:val="15"/>
          <w:color w:val="auto"/>
        </w:rPr>
        <w:t>ISCAL</w:t>
      </w:r>
      <w:r>
        <w:rPr>
          <w:rFonts w:ascii="Arial" w:cs="Arial" w:eastAsia="Arial" w:hAnsi="Arial"/>
          <w:sz w:val="18"/>
          <w:szCs w:val="18"/>
          <w:color w:val="auto"/>
        </w:rPr>
        <w:t xml:space="preserve"> Y</w:t>
      </w:r>
      <w:r>
        <w:rPr>
          <w:rFonts w:ascii="Arial" w:cs="Arial" w:eastAsia="Arial" w:hAnsi="Arial"/>
          <w:sz w:val="15"/>
          <w:szCs w:val="15"/>
          <w:color w:val="auto"/>
        </w:rPr>
        <w:t>EAR</w:t>
      </w:r>
    </w:p>
    <w:p>
      <w:pPr>
        <w:spacing w:after="0" w:line="211"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i w:val="1"/>
          <w:iCs w:val="1"/>
          <w:color w:val="auto"/>
        </w:rPr>
        <w:t>Determination of Fiscal Year</w:t>
      </w:r>
      <w:r>
        <w:rPr>
          <w:rFonts w:ascii="Arial" w:cs="Arial" w:eastAsia="Arial" w:hAnsi="Arial"/>
          <w:sz w:val="18"/>
          <w:szCs w:val="18"/>
          <w:color w:val="auto"/>
        </w:rPr>
        <w:t>. Determination of Fiscal Year. The Board of Directors shall have the power by resolution to fix the fiscal year of the Corporation. If the Board of Directors shall fail to do so, the Chief Executive Officer shall fix the fiscal year.</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9</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w:t>
      </w:r>
      <w:r>
        <w:rPr>
          <w:rFonts w:ascii="Arial" w:cs="Arial" w:eastAsia="Arial" w:hAnsi="Arial"/>
          <w:sz w:val="15"/>
          <w:szCs w:val="15"/>
          <w:color w:val="auto"/>
        </w:rPr>
        <w:t>RTICLES</w:t>
      </w:r>
      <w:r>
        <w:rPr>
          <w:rFonts w:ascii="Arial" w:cs="Arial" w:eastAsia="Arial" w:hAnsi="Arial"/>
          <w:sz w:val="18"/>
          <w:szCs w:val="18"/>
          <w:color w:val="auto"/>
        </w:rPr>
        <w:t xml:space="preserve"> O</w:t>
      </w:r>
      <w:r>
        <w:rPr>
          <w:rFonts w:ascii="Arial" w:cs="Arial" w:eastAsia="Arial" w:hAnsi="Arial"/>
          <w:sz w:val="15"/>
          <w:szCs w:val="15"/>
          <w:color w:val="auto"/>
        </w:rPr>
        <w:t>F</w:t>
      </w:r>
      <w:r>
        <w:rPr>
          <w:rFonts w:ascii="Arial" w:cs="Arial" w:eastAsia="Arial" w:hAnsi="Arial"/>
          <w:sz w:val="18"/>
          <w:szCs w:val="18"/>
          <w:color w:val="auto"/>
        </w:rPr>
        <w:t xml:space="preserve"> I</w:t>
      </w:r>
      <w:r>
        <w:rPr>
          <w:rFonts w:ascii="Arial" w:cs="Arial" w:eastAsia="Arial" w:hAnsi="Arial"/>
          <w:sz w:val="15"/>
          <w:szCs w:val="15"/>
          <w:color w:val="auto"/>
        </w:rPr>
        <w:t>NCORPORATION</w:t>
      </w:r>
    </w:p>
    <w:p>
      <w:pPr>
        <w:spacing w:after="0" w:line="211"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i w:val="1"/>
          <w:iCs w:val="1"/>
          <w:color w:val="auto"/>
        </w:rPr>
        <w:t>Inconsistent Provisions</w:t>
      </w:r>
      <w:r>
        <w:rPr>
          <w:rFonts w:ascii="Arial" w:cs="Arial" w:eastAsia="Arial" w:hAnsi="Arial"/>
          <w:sz w:val="18"/>
          <w:szCs w:val="18"/>
          <w:color w:val="auto"/>
        </w:rPr>
        <w:t>. In the event of any conflict between the provisions of these By-Laws and the provisions of the Articles of Incorporation, including, but not limited to, Article SIXTH of the Articles of Incorporation, the provisions of the Articles of Incorporation shall govern and control.</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10</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w:t>
      </w:r>
      <w:r>
        <w:rPr>
          <w:rFonts w:ascii="Arial" w:cs="Arial" w:eastAsia="Arial" w:hAnsi="Arial"/>
          <w:sz w:val="15"/>
          <w:szCs w:val="15"/>
          <w:color w:val="auto"/>
        </w:rPr>
        <w:t>MENDMENTS</w:t>
      </w:r>
    </w:p>
    <w:p>
      <w:pPr>
        <w:spacing w:after="0" w:line="211"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Section 10.01</w:t>
      </w:r>
      <w:r>
        <w:rPr>
          <w:rFonts w:ascii="Arial" w:cs="Arial" w:eastAsia="Arial" w:hAnsi="Arial"/>
          <w:sz w:val="18"/>
          <w:szCs w:val="18"/>
          <w:i w:val="1"/>
          <w:iCs w:val="1"/>
          <w:color w:val="auto"/>
        </w:rPr>
        <w:t>. Amendments.</w:t>
      </w:r>
      <w:r>
        <w:rPr>
          <w:rFonts w:ascii="Arial" w:cs="Arial" w:eastAsia="Arial" w:hAnsi="Arial"/>
          <w:sz w:val="18"/>
          <w:szCs w:val="18"/>
          <w:color w:val="auto"/>
        </w:rPr>
        <w:t xml:space="preserve"> Except as otherwise provided in these By-Laws or in the Articles of Incorporation, including Article SIXTH, Article SEVENTH and Article TENTH of the Articles of Incorporation:</w:t>
      </w:r>
    </w:p>
    <w:p>
      <w:pPr>
        <w:spacing w:after="0" w:line="170" w:lineRule="exact"/>
        <w:rPr>
          <w:sz w:val="20"/>
          <w:szCs w:val="20"/>
          <w:color w:val="auto"/>
        </w:rPr>
      </w:pPr>
    </w:p>
    <w:p>
      <w:pPr>
        <w:ind w:right="240" w:firstLine="464"/>
        <w:spacing w:after="0" w:line="277" w:lineRule="auto"/>
        <w:tabs>
          <w:tab w:leader="none" w:pos="701" w:val="left"/>
        </w:tabs>
        <w:numPr>
          <w:ilvl w:val="0"/>
          <w:numId w:val="38"/>
        </w:numPr>
        <w:rPr>
          <w:rFonts w:ascii="Arial" w:cs="Arial" w:eastAsia="Arial" w:hAnsi="Arial"/>
          <w:sz w:val="18"/>
          <w:szCs w:val="18"/>
          <w:color w:val="auto"/>
        </w:rPr>
      </w:pPr>
      <w:r>
        <w:rPr>
          <w:rFonts w:ascii="Arial" w:cs="Arial" w:eastAsia="Arial" w:hAnsi="Arial"/>
          <w:sz w:val="18"/>
          <w:szCs w:val="18"/>
          <w:color w:val="auto"/>
        </w:rPr>
        <w:t>Shareholders. The shareholders entitled to vote thereon shall have the power to alter, amend or repeal these By-Laws, by the vote of a majority of the votes cast at a duly organized meeting of shareholders by the holders of shares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4" w:right="239" w:bottom="1440" w:gutter="0" w:footer="0" w:header="0"/>
        </w:sectPr>
      </w:pPr>
    </w:p>
    <w:bookmarkStart w:id="82" w:name="page83"/>
    <w:bookmarkEnd w:id="82"/>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entitled to vote thereon, at any regular or special meeting, duly convened after notice to the shareholders of such purpose. In the case of a meeting of shareholders to amend or repeal these By-Laws, written notice shall be given to each shareholder that the purpose, or one of the purposes, of the meeting is to consider the adoption, amendment or repeal of the By-Laws.</w:t>
      </w:r>
    </w:p>
    <w:p>
      <w:pPr>
        <w:spacing w:after="0" w:line="181" w:lineRule="exact"/>
        <w:rPr>
          <w:sz w:val="20"/>
          <w:szCs w:val="20"/>
          <w:color w:val="auto"/>
        </w:rPr>
      </w:pPr>
    </w:p>
    <w:p>
      <w:pPr>
        <w:jc w:val="both"/>
        <w:ind w:firstLine="464"/>
        <w:spacing w:after="0" w:line="259" w:lineRule="auto"/>
        <w:tabs>
          <w:tab w:leader="none" w:pos="711"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Board of Directors. The Board of Directors (but not a committee thereof) shall have the power to alter, amend and repeal these By-Laws, regardless of whether the shareholders have previously adopted the By-Law being amended or repealed, subject to the power of the shareholders to change such action;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the Board of Directors shall not have the power to amend these By-Laws on any subject that is expressly committed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shareholders by the express terms hereof, by the Pennsylvania BCL or otherwise.</w:t>
      </w: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11</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w:t>
      </w:r>
      <w:r>
        <w:rPr>
          <w:rFonts w:ascii="Arial" w:cs="Arial" w:eastAsia="Arial" w:hAnsi="Arial"/>
          <w:sz w:val="15"/>
          <w:szCs w:val="15"/>
          <w:color w:val="auto"/>
        </w:rPr>
        <w:t>NTERPRETATION OF</w:t>
      </w:r>
      <w:r>
        <w:rPr>
          <w:rFonts w:ascii="Arial" w:cs="Arial" w:eastAsia="Arial" w:hAnsi="Arial"/>
          <w:sz w:val="18"/>
          <w:szCs w:val="18"/>
          <w:color w:val="auto"/>
        </w:rPr>
        <w:t xml:space="preserve"> B</w:t>
      </w:r>
      <w:r>
        <w:rPr>
          <w:rFonts w:ascii="Arial" w:cs="Arial" w:eastAsia="Arial" w:hAnsi="Arial"/>
          <w:sz w:val="15"/>
          <w:szCs w:val="15"/>
          <w:color w:val="auto"/>
        </w:rPr>
        <w:t>Y</w:t>
      </w:r>
      <w:r>
        <w:rPr>
          <w:rFonts w:ascii="Arial" w:cs="Arial" w:eastAsia="Arial" w:hAnsi="Arial"/>
          <w:sz w:val="18"/>
          <w:szCs w:val="18"/>
          <w:color w:val="auto"/>
        </w:rPr>
        <w:t>-L</w:t>
      </w:r>
      <w:r>
        <w:rPr>
          <w:rFonts w:ascii="Arial" w:cs="Arial" w:eastAsia="Arial" w:hAnsi="Arial"/>
          <w:sz w:val="15"/>
          <w:szCs w:val="15"/>
          <w:color w:val="auto"/>
        </w:rPr>
        <w:t>AWS</w:t>
      </w:r>
      <w:r>
        <w:rPr>
          <w:rFonts w:ascii="Arial" w:cs="Arial" w:eastAsia="Arial" w:hAnsi="Arial"/>
          <w:sz w:val="18"/>
          <w:szCs w:val="18"/>
          <w:color w:val="auto"/>
        </w:rPr>
        <w:t>; S</w:t>
      </w:r>
      <w:r>
        <w:rPr>
          <w:rFonts w:ascii="Arial" w:cs="Arial" w:eastAsia="Arial" w:hAnsi="Arial"/>
          <w:sz w:val="15"/>
          <w:szCs w:val="15"/>
          <w:color w:val="auto"/>
        </w:rPr>
        <w:t>EPARABILITY</w:t>
      </w:r>
    </w:p>
    <w:p>
      <w:pPr>
        <w:spacing w:after="0" w:line="211"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 xml:space="preserve">Section 11.01. </w:t>
      </w:r>
      <w:r>
        <w:rPr>
          <w:rFonts w:ascii="Arial" w:cs="Arial" w:eastAsia="Arial" w:hAnsi="Arial"/>
          <w:sz w:val="18"/>
          <w:szCs w:val="18"/>
          <w:i w:val="1"/>
          <w:iCs w:val="1"/>
          <w:color w:val="auto"/>
        </w:rPr>
        <w:t>Interpretation</w:t>
      </w:r>
      <w:r>
        <w:rPr>
          <w:rFonts w:ascii="Arial" w:cs="Arial" w:eastAsia="Arial" w:hAnsi="Arial"/>
          <w:sz w:val="18"/>
          <w:szCs w:val="18"/>
          <w:color w:val="auto"/>
        </w:rPr>
        <w:t>. All words, terms and provisions of these By-Laws shall be interpreted and defined by and in accordance with the Pennsylvania BCL.</w:t>
      </w:r>
    </w:p>
    <w:p>
      <w:pPr>
        <w:spacing w:after="0" w:line="170" w:lineRule="exact"/>
        <w:rPr>
          <w:sz w:val="20"/>
          <w:szCs w:val="20"/>
          <w:color w:val="auto"/>
        </w:rPr>
      </w:pPr>
    </w:p>
    <w:p>
      <w:pPr>
        <w:ind w:right="160" w:firstLine="456"/>
        <w:spacing w:after="0" w:line="342" w:lineRule="auto"/>
        <w:rPr>
          <w:sz w:val="20"/>
          <w:szCs w:val="20"/>
          <w:color w:val="auto"/>
        </w:rPr>
      </w:pPr>
      <w:r>
        <w:rPr>
          <w:rFonts w:ascii="Arial" w:cs="Arial" w:eastAsia="Arial" w:hAnsi="Arial"/>
          <w:sz w:val="16"/>
          <w:szCs w:val="16"/>
          <w:color w:val="auto"/>
        </w:rPr>
        <w:t xml:space="preserve">Section 11.02. </w:t>
      </w:r>
      <w:r>
        <w:rPr>
          <w:rFonts w:ascii="Arial" w:cs="Arial" w:eastAsia="Arial" w:hAnsi="Arial"/>
          <w:sz w:val="16"/>
          <w:szCs w:val="16"/>
          <w:i w:val="1"/>
          <w:iCs w:val="1"/>
          <w:color w:val="auto"/>
        </w:rPr>
        <w:t>Separability</w:t>
      </w:r>
      <w:r>
        <w:rPr>
          <w:rFonts w:ascii="Arial" w:cs="Arial" w:eastAsia="Arial" w:hAnsi="Arial"/>
          <w:sz w:val="16"/>
          <w:szCs w:val="16"/>
          <w:color w:val="auto"/>
        </w:rPr>
        <w:t>. The provisions of these By-Laws are independent of and separable from each other, and no provision shall be affected or rendered invalid or unenforceable by virtue of the fact that for any reason any other or others of them may be invalid or unenforceable in whole or in part.</w:t>
      </w:r>
    </w:p>
    <w:p>
      <w:pPr>
        <w:spacing w:after="0" w:line="2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12</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D</w:t>
      </w:r>
      <w:r>
        <w:rPr>
          <w:rFonts w:ascii="Arial" w:cs="Arial" w:eastAsia="Arial" w:hAnsi="Arial"/>
          <w:sz w:val="15"/>
          <w:szCs w:val="15"/>
          <w:color w:val="auto"/>
        </w:rPr>
        <w:t>ETERMINATIONS BY THE</w:t>
      </w:r>
      <w:r>
        <w:rPr>
          <w:rFonts w:ascii="Arial" w:cs="Arial" w:eastAsia="Arial" w:hAnsi="Arial"/>
          <w:sz w:val="18"/>
          <w:szCs w:val="18"/>
          <w:color w:val="auto"/>
        </w:rPr>
        <w:t xml:space="preserve"> B</w:t>
      </w:r>
      <w:r>
        <w:rPr>
          <w:rFonts w:ascii="Arial" w:cs="Arial" w:eastAsia="Arial" w:hAnsi="Arial"/>
          <w:sz w:val="15"/>
          <w:szCs w:val="15"/>
          <w:color w:val="auto"/>
        </w:rPr>
        <w:t>OARD</w:t>
      </w:r>
    </w:p>
    <w:p>
      <w:pPr>
        <w:spacing w:after="0" w:line="21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 xml:space="preserve">Section 12.01. </w:t>
      </w:r>
      <w:r>
        <w:rPr>
          <w:rFonts w:ascii="Arial" w:cs="Arial" w:eastAsia="Arial" w:hAnsi="Arial"/>
          <w:sz w:val="18"/>
          <w:szCs w:val="18"/>
          <w:i w:val="1"/>
          <w:iCs w:val="1"/>
          <w:color w:val="auto"/>
        </w:rPr>
        <w:t>Effect of Board Determinations</w:t>
      </w:r>
      <w:r>
        <w:rPr>
          <w:rFonts w:ascii="Arial" w:cs="Arial" w:eastAsia="Arial" w:hAnsi="Arial"/>
          <w:sz w:val="18"/>
          <w:szCs w:val="18"/>
          <w:color w:val="auto"/>
        </w:rPr>
        <w:t>. Any determination involving interpretation or application of these By-Laws made in good faith by the Board of Directors shall be final, binding and conclusive on all parties in interest.</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60"/>
          </w:cols>
          <w:pgMar w:left="240" w:top="274" w:right="29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4.1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FOURTH SUPPLEMENTAL INDENTURE</w:t>
      </w:r>
    </w:p>
    <w:p>
      <w:pPr>
        <w:spacing w:after="0" w:line="225"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color w:val="auto"/>
        </w:rPr>
        <w:t>FOURTH SUPPLEMENTAL INDENTURE dated as of October 1, 2015 (this “</w:t>
      </w:r>
      <w:r>
        <w:rPr>
          <w:rFonts w:ascii="Arial" w:cs="Arial" w:eastAsia="Arial" w:hAnsi="Arial"/>
          <w:sz w:val="18"/>
          <w:szCs w:val="18"/>
          <w:b w:val="1"/>
          <w:bCs w:val="1"/>
          <w:color w:val="auto"/>
        </w:rPr>
        <w:t>Supplemental Indenture</w:t>
      </w:r>
      <w:r>
        <w:rPr>
          <w:rFonts w:ascii="Arial" w:cs="Arial" w:eastAsia="Arial" w:hAnsi="Arial"/>
          <w:sz w:val="18"/>
          <w:szCs w:val="18"/>
          <w:color w:val="auto"/>
        </w:rPr>
        <w:t>”), among Comcast Corporation, a Pennsylvania corporation (the “</w:t>
      </w:r>
      <w:r>
        <w:rPr>
          <w:rFonts w:ascii="Arial" w:cs="Arial" w:eastAsia="Arial" w:hAnsi="Arial"/>
          <w:sz w:val="18"/>
          <w:szCs w:val="18"/>
          <w:b w:val="1"/>
          <w:bCs w:val="1"/>
          <w:color w:val="auto"/>
        </w:rPr>
        <w:t>Company</w:t>
      </w:r>
      <w:r>
        <w:rPr>
          <w:rFonts w:ascii="Arial" w:cs="Arial" w:eastAsia="Arial" w:hAnsi="Arial"/>
          <w:sz w:val="18"/>
          <w:szCs w:val="18"/>
          <w:color w:val="auto"/>
        </w:rPr>
        <w:t>”), Comcast Cable Communications, LLC (f/k/a Comcast Cable Communications, Inc.), a Delaware limited liability company (“</w:t>
      </w:r>
      <w:r>
        <w:rPr>
          <w:rFonts w:ascii="Arial" w:cs="Arial" w:eastAsia="Arial" w:hAnsi="Arial"/>
          <w:sz w:val="18"/>
          <w:szCs w:val="18"/>
          <w:b w:val="1"/>
          <w:bCs w:val="1"/>
          <w:color w:val="auto"/>
        </w:rPr>
        <w:t>Comcast Cable</w:t>
      </w:r>
      <w:r>
        <w:rPr>
          <w:rFonts w:ascii="Arial" w:cs="Arial" w:eastAsia="Arial" w:hAnsi="Arial"/>
          <w:sz w:val="18"/>
          <w:szCs w:val="18"/>
          <w:color w:val="auto"/>
        </w:rPr>
        <w:t>”), NBCUniversal Media, LLC, a Delaware limited liability company (together with Comcast Cable, the “</w:t>
      </w:r>
      <w:r>
        <w:rPr>
          <w:rFonts w:ascii="Arial" w:cs="Arial" w:eastAsia="Arial" w:hAnsi="Arial"/>
          <w:sz w:val="18"/>
          <w:szCs w:val="18"/>
          <w:b w:val="1"/>
          <w:bCs w:val="1"/>
          <w:color w:val="auto"/>
        </w:rPr>
        <w:t>Guarantors</w:t>
      </w:r>
      <w:r>
        <w:rPr>
          <w:rFonts w:ascii="Arial" w:cs="Arial" w:eastAsia="Arial" w:hAnsi="Arial"/>
          <w:sz w:val="18"/>
          <w:szCs w:val="18"/>
          <w:color w:val="auto"/>
        </w:rPr>
        <w:t>”), and The Bank of New York Mellon (f/k/a The Bank of New York), as trustee (the “</w:t>
      </w:r>
      <w:r>
        <w:rPr>
          <w:rFonts w:ascii="Arial" w:cs="Arial" w:eastAsia="Arial" w:hAnsi="Arial"/>
          <w:sz w:val="18"/>
          <w:szCs w:val="18"/>
          <w:b w:val="1"/>
          <w:bCs w:val="1"/>
          <w:color w:val="auto"/>
        </w:rPr>
        <w:t>Trustee</w:t>
      </w:r>
      <w:r>
        <w:rPr>
          <w:rFonts w:ascii="Arial" w:cs="Arial" w:eastAsia="Arial" w:hAnsi="Arial"/>
          <w:sz w:val="18"/>
          <w:szCs w:val="18"/>
          <w:color w:val="auto"/>
        </w:rPr>
        <w:t>”).</w:t>
      </w:r>
    </w:p>
    <w:p>
      <w:pPr>
        <w:spacing w:after="0" w:line="184"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WHEREAS, the Company is the issuer under the Indenture, dated as of January 7, 2003, as supplemented by a First Supplemental Indenture, dated as of March 25, 2003, a Second Supplemental Indenture, dated as of August 31, 2009 and a Third Supplemental Indenture, dated as of March 27, 2013 (collectively, the “</w:t>
      </w:r>
      <w:r>
        <w:rPr>
          <w:rFonts w:ascii="Arial" w:cs="Arial" w:eastAsia="Arial" w:hAnsi="Arial"/>
          <w:sz w:val="16"/>
          <w:szCs w:val="16"/>
          <w:b w:val="1"/>
          <w:bCs w:val="1"/>
          <w:color w:val="auto"/>
        </w:rPr>
        <w:t>Original Indenture</w:t>
      </w:r>
      <w:r>
        <w:rPr>
          <w:rFonts w:ascii="Arial" w:cs="Arial" w:eastAsia="Arial" w:hAnsi="Arial"/>
          <w:sz w:val="16"/>
          <w:szCs w:val="16"/>
          <w:color w:val="auto"/>
        </w:rPr>
        <w:t>” and, together with this Supplemental Indenture, the “</w:t>
      </w:r>
      <w:r>
        <w:rPr>
          <w:rFonts w:ascii="Arial" w:cs="Arial" w:eastAsia="Arial" w:hAnsi="Arial"/>
          <w:sz w:val="16"/>
          <w:szCs w:val="16"/>
          <w:b w:val="1"/>
          <w:bCs w:val="1"/>
          <w:color w:val="auto"/>
        </w:rPr>
        <w:t>Indenture</w:t>
      </w:r>
      <w:r>
        <w:rPr>
          <w:rFonts w:ascii="Arial" w:cs="Arial" w:eastAsia="Arial" w:hAnsi="Arial"/>
          <w:sz w:val="16"/>
          <w:szCs w:val="16"/>
          <w:color w:val="auto"/>
        </w:rPr>
        <w:t>”), pursuant to which the Company issued, and the Trustee authenticated and delivered certain securities which are, as of the date hereof, outstanding (the “</w:t>
      </w:r>
      <w:r>
        <w:rPr>
          <w:rFonts w:ascii="Arial" w:cs="Arial" w:eastAsia="Arial" w:hAnsi="Arial"/>
          <w:sz w:val="16"/>
          <w:szCs w:val="16"/>
          <w:b w:val="1"/>
          <w:bCs w:val="1"/>
          <w:color w:val="auto"/>
        </w:rPr>
        <w:t>Outstanding Securities</w:t>
      </w:r>
      <w:r>
        <w:rPr>
          <w:rFonts w:ascii="Arial" w:cs="Arial" w:eastAsia="Arial" w:hAnsi="Arial"/>
          <w:sz w:val="16"/>
          <w:szCs w:val="16"/>
          <w:color w:val="auto"/>
        </w:rPr>
        <w:t>”) and pursuant to which the Company may issue securities in the future (the “</w:t>
      </w:r>
      <w:r>
        <w:rPr>
          <w:rFonts w:ascii="Arial" w:cs="Arial" w:eastAsia="Arial" w:hAnsi="Arial"/>
          <w:sz w:val="16"/>
          <w:szCs w:val="16"/>
          <w:b w:val="1"/>
          <w:bCs w:val="1"/>
          <w:color w:val="auto"/>
        </w:rPr>
        <w:t>New Securities</w:t>
      </w:r>
      <w:r>
        <w:rPr>
          <w:rFonts w:ascii="Arial" w:cs="Arial" w:eastAsia="Arial" w:hAnsi="Arial"/>
          <w:sz w:val="16"/>
          <w:szCs w:val="16"/>
          <w:color w:val="auto"/>
        </w:rPr>
        <w:t>” and, together with the Outstanding Securities, the “</w:t>
      </w:r>
      <w:r>
        <w:rPr>
          <w:rFonts w:ascii="Arial" w:cs="Arial" w:eastAsia="Arial" w:hAnsi="Arial"/>
          <w:sz w:val="16"/>
          <w:szCs w:val="16"/>
          <w:b w:val="1"/>
          <w:bCs w:val="1"/>
          <w:color w:val="auto"/>
        </w:rPr>
        <w:t>Securities</w:t>
      </w:r>
      <w:r>
        <w:rPr>
          <w:rFonts w:ascii="Arial" w:cs="Arial" w:eastAsia="Arial" w:hAnsi="Arial"/>
          <w:sz w:val="16"/>
          <w:szCs w:val="16"/>
          <w:color w:val="auto"/>
        </w:rPr>
        <w:t>”);</w:t>
      </w:r>
    </w:p>
    <w:p>
      <w:pPr>
        <w:spacing w:after="0" w:line="158"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WHEREAS, the Guarantors identified above along with Comcast Cable Holdings, LLC, a Delaware limited liability company, Comcast MO Group, LLC (f/k/a Comcast MO Group, Inc.), a Delaware limited liability company, and Comcast MO of Delaware, LLC (f/k/a Comcast MO of Delaware, Inc.), a Delaware limited liability company (collectively, the “</w:t>
      </w:r>
      <w:r>
        <w:rPr>
          <w:rFonts w:ascii="Arial" w:cs="Arial" w:eastAsia="Arial" w:hAnsi="Arial"/>
          <w:sz w:val="16"/>
          <w:szCs w:val="16"/>
          <w:b w:val="1"/>
          <w:bCs w:val="1"/>
          <w:color w:val="auto"/>
        </w:rPr>
        <w:t>Non-Surviving Guarantors</w:t>
      </w:r>
      <w:r>
        <w:rPr>
          <w:rFonts w:ascii="Arial" w:cs="Arial" w:eastAsia="Arial" w:hAnsi="Arial"/>
          <w:sz w:val="16"/>
          <w:szCs w:val="16"/>
          <w:color w:val="auto"/>
        </w:rPr>
        <w:t>”), irrevocably, fully and unconditionally guaranteed, jointly and severally, on an unsecured basis, the full and punctual payment (whether at maturity, upon redemption, or otherwise) of the principal and interest on, and all other amounts payable under, each Security, and the full and punctual payment of all other amounts payable by the Company under the Original Indenture;</w:t>
      </w:r>
    </w:p>
    <w:p>
      <w:pPr>
        <w:spacing w:after="0" w:line="158"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WHEREAS, as of the date hereof, the Non-Surviving Guarantors have merged with and into Comcast Cable, with Comcast Cable as the surviving entity;</w:t>
      </w:r>
    </w:p>
    <w:p>
      <w:pPr>
        <w:spacing w:after="0" w:line="170"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WHEREAS, the Company and the Guarantors have requested that the Trustee execute and deliver this Supplemental Indenture to reflect the merger of the Non-Surviving Guarantors with and into Comcast Cable, and all requirements necessary to make this Supplemental Indenture a valid instrument in accordance with its terms, and the execution and delivery of this Supplemental Indenture have been duly authorized in all respects; and</w:t>
      </w:r>
    </w:p>
    <w:p>
      <w:pPr>
        <w:spacing w:after="0" w:line="16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WHEREAS, pursuant to Section 7.01(g) of the Indenture, the Company and the Trustee may, without consent of the Holders, when so authorized by the Board of Directors of the Company, enter into a supplement to the Indenture to make any change that does not adversely affect the rights of any Holder, and the Board of Directors of the Company has determined that the changes to the Indenture effected by this Supplemental Indenture do not adversely affect the rights of any Holder.</w:t>
      </w:r>
    </w:p>
    <w:p>
      <w:pPr>
        <w:sectPr>
          <w:pgSz w:w="11900" w:h="16838" w:orient="portrait"/>
          <w:cols w:equalWidth="0" w:num="1">
            <w:col w:w="11420"/>
          </w:cols>
          <w:pgMar w:left="240" w:top="121" w:right="239" w:bottom="1440" w:gutter="0" w:footer="0" w:header="0"/>
        </w:sectPr>
      </w:pPr>
    </w:p>
    <w:bookmarkStart w:id="84" w:name="page85"/>
    <w:bookmarkEnd w:id="84"/>
    <w:p>
      <w:pPr>
        <w:ind w:right="12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NOW, THEREFORE, the Company, the Guarantors and the Trustee do hereby supplement and amend the Original Indenture pursuant to Section 7.01 without notice to or consent of any Holder as follows:</w:t>
      </w: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1</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D</w:t>
      </w:r>
      <w:r>
        <w:rPr>
          <w:rFonts w:ascii="Arial" w:cs="Arial" w:eastAsia="Arial" w:hAnsi="Arial"/>
          <w:sz w:val="15"/>
          <w:szCs w:val="15"/>
          <w:color w:val="auto"/>
        </w:rPr>
        <w:t>EFINITIONS</w:t>
      </w:r>
    </w:p>
    <w:p>
      <w:pPr>
        <w:spacing w:after="0" w:line="21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i w:val="1"/>
          <w:iCs w:val="1"/>
          <w:color w:val="auto"/>
        </w:rPr>
        <w:t>Definitions</w:t>
      </w:r>
      <w:r>
        <w:rPr>
          <w:rFonts w:ascii="Arial" w:cs="Arial" w:eastAsia="Arial" w:hAnsi="Arial"/>
          <w:sz w:val="18"/>
          <w:szCs w:val="18"/>
          <w:color w:val="auto"/>
        </w:rPr>
        <w:t>. Capitalized terms that are defined in the preamble or the recitals hereto shall have such meanings throughout this Supplemental Indenture. Capitalized terms used but not defined in this Supplemental Indenture have the meanings assigned thereto in the Original Indenture. The meanings assigned to all defined terms used in this Supplemental Indenture shall be equally applicable to both the singular and plural forms of such defined terms.</w:t>
      </w: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2</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A</w:t>
      </w:r>
      <w:r>
        <w:rPr>
          <w:rFonts w:ascii="Arial" w:cs="Arial" w:eastAsia="Arial" w:hAnsi="Arial"/>
          <w:sz w:val="15"/>
          <w:szCs w:val="15"/>
          <w:color w:val="auto"/>
        </w:rPr>
        <w:t>MENDMENTS</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i w:val="1"/>
          <w:iCs w:val="1"/>
          <w:color w:val="auto"/>
        </w:rPr>
        <w:t>Amendment</w:t>
      </w:r>
      <w:r>
        <w:rPr>
          <w:rFonts w:ascii="Arial" w:cs="Arial" w:eastAsia="Arial" w:hAnsi="Arial"/>
          <w:sz w:val="18"/>
          <w:szCs w:val="18"/>
          <w:color w:val="auto"/>
        </w:rPr>
        <w:t>. The Original Indenture is hereby amended as follows:</w:t>
      </w:r>
    </w:p>
    <w:p>
      <w:pPr>
        <w:spacing w:after="0" w:line="113" w:lineRule="exact"/>
        <w:rPr>
          <w:sz w:val="20"/>
          <w:szCs w:val="20"/>
          <w:color w:val="auto"/>
        </w:rPr>
      </w:pPr>
    </w:p>
    <w:p>
      <w:pPr>
        <w:ind w:left="460" w:right="60" w:firstLine="43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Cable Guarantor</w:t>
      </w:r>
      <w:r>
        <w:rPr>
          <w:rFonts w:ascii="Arial" w:cs="Arial" w:eastAsia="Arial" w:hAnsi="Arial"/>
          <w:sz w:val="18"/>
          <w:szCs w:val="18"/>
          <w:color w:val="auto"/>
        </w:rPr>
        <w:t>” means each of Comcast Cable Communications, LLC and NBCUniversal Media, LLC, in each case excluding such entity’s Subsidiaries and unless and until such Cable Guarantor is released from its Cable Guarantee pursuant to this Indenture.</w:t>
      </w:r>
    </w:p>
    <w:p>
      <w:pPr>
        <w:spacing w:after="0" w:line="2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3</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M</w:t>
      </w:r>
      <w:r>
        <w:rPr>
          <w:rFonts w:ascii="Arial" w:cs="Arial" w:eastAsia="Arial" w:hAnsi="Arial"/>
          <w:sz w:val="15"/>
          <w:szCs w:val="15"/>
          <w:color w:val="auto"/>
        </w:rPr>
        <w:t>ISCELLANEOUS</w:t>
      </w:r>
    </w:p>
    <w:p>
      <w:pPr>
        <w:spacing w:after="0" w:line="21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i w:val="1"/>
          <w:iCs w:val="1"/>
          <w:color w:val="auto"/>
        </w:rPr>
        <w:t>Date and Time of Effectiveness</w:t>
      </w:r>
      <w:r>
        <w:rPr>
          <w:rFonts w:ascii="Arial" w:cs="Arial" w:eastAsia="Arial" w:hAnsi="Arial"/>
          <w:sz w:val="18"/>
          <w:szCs w:val="18"/>
          <w:color w:val="auto"/>
        </w:rPr>
        <w:t>. This Supplemental Indenture shall become a legally effective and binding instrument at and as of the date hereof.</w:t>
      </w:r>
    </w:p>
    <w:p>
      <w:pPr>
        <w:spacing w:after="0" w:line="17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i w:val="1"/>
          <w:iCs w:val="1"/>
          <w:color w:val="auto"/>
        </w:rPr>
        <w:t>Supplemental Indenture Incorporated Into Indenture</w:t>
      </w:r>
      <w:r>
        <w:rPr>
          <w:rFonts w:ascii="Arial" w:cs="Arial" w:eastAsia="Arial" w:hAnsi="Arial"/>
          <w:sz w:val="18"/>
          <w:szCs w:val="18"/>
          <w:color w:val="auto"/>
        </w:rPr>
        <w:t>. The terms and conditions of this Supplemental Indenture shall be deemed to be part of the Indenture for all purposes relating to the Securities. The Original Indenture is hereby incorporated by reference herein and the Original Indenture, as supplemented by this Supplemental Indenture, is in all respects adopted, ratified and confirmed.</w:t>
      </w:r>
    </w:p>
    <w:p>
      <w:pPr>
        <w:spacing w:after="0" w:line="181"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i w:val="1"/>
          <w:iCs w:val="1"/>
          <w:color w:val="auto"/>
        </w:rPr>
        <w:t>Outstanding Securities Deemed Conformed</w:t>
      </w:r>
      <w:r>
        <w:rPr>
          <w:rFonts w:ascii="Arial" w:cs="Arial" w:eastAsia="Arial" w:hAnsi="Arial"/>
          <w:sz w:val="18"/>
          <w:szCs w:val="18"/>
          <w:color w:val="auto"/>
        </w:rPr>
        <w:t>. As of the date hereof, the provisions of the Outstanding Securities shall be deemed to be conformed, without the necessity for any reissuance or exchange of such Outstanding Security or any other action on the part of the holders of Outstanding Securities, the Company or the Trustee, so as to reflect this Supplemental Indenture.</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sectPr>
      </w:pPr>
    </w:p>
    <w:bookmarkStart w:id="85" w:name="page86"/>
    <w:bookmarkEnd w:id="85"/>
    <w:p>
      <w:pPr>
        <w:ind w:right="44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3.04. </w:t>
      </w:r>
      <w:r>
        <w:rPr>
          <w:rFonts w:ascii="Arial" w:cs="Arial" w:eastAsia="Arial" w:hAnsi="Arial"/>
          <w:sz w:val="18"/>
          <w:szCs w:val="18"/>
          <w:i w:val="1"/>
          <w:iCs w:val="1"/>
          <w:color w:val="auto"/>
        </w:rPr>
        <w:t>Separability</w:t>
      </w:r>
      <w:r>
        <w:rPr>
          <w:rFonts w:ascii="Arial" w:cs="Arial" w:eastAsia="Arial" w:hAnsi="Arial"/>
          <w:sz w:val="18"/>
          <w:szCs w:val="18"/>
          <w:color w:val="auto"/>
        </w:rPr>
        <w:t>. In case any provision in this Supplemental Indenture, or in the Indenture, shall be invalid, illegal or unenforceable, the validity, legality and enforceability of the remaining provisions shall not in any way be affected or impaired thereby, it being intended that all of the provisions hereof shall be enforceable to the full extent permitted by law.</w:t>
      </w:r>
    </w:p>
    <w:p>
      <w:pPr>
        <w:spacing w:after="0" w:line="181"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i w:val="1"/>
          <w:iCs w:val="1"/>
          <w:color w:val="auto"/>
        </w:rPr>
        <w:t>Benefits of Supplemental Indenture</w:t>
      </w:r>
      <w:r>
        <w:rPr>
          <w:rFonts w:ascii="Arial" w:cs="Arial" w:eastAsia="Arial" w:hAnsi="Arial"/>
          <w:sz w:val="18"/>
          <w:szCs w:val="18"/>
          <w:color w:val="auto"/>
        </w:rPr>
        <w:t>. Nothing in this Supplemental Indenture, expressed or implied, shall give or be construed to give to any person, firm or corporation, other than the parties hereto and the holders of Securities, any benefit or any legal or equitable right, remedy or claim under this Supplemental Indenture or the Indenture.</w:t>
      </w:r>
    </w:p>
    <w:p>
      <w:pPr>
        <w:spacing w:after="0" w:line="181"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 xml:space="preserve">Section 3.06. </w:t>
      </w:r>
      <w:r>
        <w:rPr>
          <w:rFonts w:ascii="Arial" w:cs="Arial" w:eastAsia="Arial" w:hAnsi="Arial"/>
          <w:sz w:val="18"/>
          <w:szCs w:val="18"/>
          <w:i w:val="1"/>
          <w:iCs w:val="1"/>
          <w:color w:val="auto"/>
        </w:rPr>
        <w:t>Successors</w:t>
      </w:r>
      <w:r>
        <w:rPr>
          <w:rFonts w:ascii="Arial" w:cs="Arial" w:eastAsia="Arial" w:hAnsi="Arial"/>
          <w:sz w:val="18"/>
          <w:szCs w:val="18"/>
          <w:color w:val="auto"/>
        </w:rPr>
        <w:t>. Subject to Section 13.09 of the Original Indenture, all agreements of the Company, the Guarantors and the Trustee in this Supplemental Indenture and in the Indenture shall bind their respective successors.</w:t>
      </w:r>
    </w:p>
    <w:p>
      <w:pPr>
        <w:spacing w:after="0" w:line="166" w:lineRule="exact"/>
        <w:rPr>
          <w:sz w:val="20"/>
          <w:szCs w:val="20"/>
          <w:color w:val="auto"/>
        </w:rPr>
      </w:pPr>
    </w:p>
    <w:p>
      <w:pPr>
        <w:ind w:right="80" w:firstLine="456"/>
        <w:spacing w:after="0" w:line="282" w:lineRule="auto"/>
        <w:rPr>
          <w:sz w:val="20"/>
          <w:szCs w:val="20"/>
          <w:color w:val="auto"/>
        </w:rPr>
      </w:pPr>
      <w:r>
        <w:rPr>
          <w:rFonts w:ascii="Arial" w:cs="Arial" w:eastAsia="Arial" w:hAnsi="Arial"/>
          <w:sz w:val="18"/>
          <w:szCs w:val="18"/>
          <w:color w:val="auto"/>
        </w:rPr>
        <w:t xml:space="preserve">Section 3.07. </w:t>
      </w:r>
      <w:r>
        <w:rPr>
          <w:rFonts w:ascii="Arial" w:cs="Arial" w:eastAsia="Arial" w:hAnsi="Arial"/>
          <w:sz w:val="18"/>
          <w:szCs w:val="18"/>
          <w:b w:val="1"/>
          <w:bCs w:val="1"/>
          <w:i w:val="1"/>
          <w:iCs w:val="1"/>
          <w:color w:val="auto"/>
        </w:rPr>
        <w:t>New York Law to Govern.</w:t>
      </w:r>
      <w:r>
        <w:rPr>
          <w:rFonts w:ascii="Arial" w:cs="Arial" w:eastAsia="Arial" w:hAnsi="Arial"/>
          <w:sz w:val="18"/>
          <w:szCs w:val="18"/>
          <w:color w:val="auto"/>
        </w:rPr>
        <w:t xml:space="preserve"> </w:t>
      </w:r>
      <w:r>
        <w:rPr>
          <w:rFonts w:ascii="Arial" w:cs="Arial" w:eastAsia="Arial" w:hAnsi="Arial"/>
          <w:sz w:val="18"/>
          <w:szCs w:val="18"/>
          <w:b w:val="1"/>
          <w:bCs w:val="1"/>
          <w:color w:val="auto"/>
        </w:rPr>
        <w:t>This Supplemental Indenture shall be deemed to be a contract under the laws of the State of New York,</w:t>
      </w:r>
      <w:r>
        <w:rPr>
          <w:rFonts w:ascii="Arial" w:cs="Arial" w:eastAsia="Arial" w:hAnsi="Arial"/>
          <w:sz w:val="18"/>
          <w:szCs w:val="18"/>
          <w:color w:val="auto"/>
        </w:rPr>
        <w:t xml:space="preserve"> </w:t>
      </w:r>
      <w:r>
        <w:rPr>
          <w:rFonts w:ascii="Arial" w:cs="Arial" w:eastAsia="Arial" w:hAnsi="Arial"/>
          <w:sz w:val="18"/>
          <w:szCs w:val="18"/>
          <w:b w:val="1"/>
          <w:bCs w:val="1"/>
          <w:color w:val="auto"/>
        </w:rPr>
        <w:t>and for all purposes shall be construed in accordance with the laws of such State.</w:t>
      </w:r>
    </w:p>
    <w:p>
      <w:pPr>
        <w:spacing w:after="0" w:line="166"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 xml:space="preserve">Section 3.08. </w:t>
      </w:r>
      <w:r>
        <w:rPr>
          <w:rFonts w:ascii="Arial" w:cs="Arial" w:eastAsia="Arial" w:hAnsi="Arial"/>
          <w:sz w:val="18"/>
          <w:szCs w:val="18"/>
          <w:i w:val="1"/>
          <w:iCs w:val="1"/>
          <w:color w:val="auto"/>
        </w:rPr>
        <w:t>Counterparts</w:t>
      </w:r>
      <w:r>
        <w:rPr>
          <w:rFonts w:ascii="Arial" w:cs="Arial" w:eastAsia="Arial" w:hAnsi="Arial"/>
          <w:sz w:val="18"/>
          <w:szCs w:val="18"/>
          <w:color w:val="auto"/>
        </w:rPr>
        <w:t>. This Supplemental Indenture may be executed in any number of counterparts, each of which shall be an original; but such counterparts shall together constitute but one and the same instrument.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Section 3.09. </w:t>
      </w:r>
      <w:r>
        <w:rPr>
          <w:rFonts w:ascii="Arial" w:cs="Arial" w:eastAsia="Arial" w:hAnsi="Arial"/>
          <w:sz w:val="17"/>
          <w:szCs w:val="17"/>
          <w:i w:val="1"/>
          <w:iCs w:val="1"/>
          <w:color w:val="auto"/>
        </w:rPr>
        <w:t>Effect of Headings</w:t>
      </w:r>
      <w:r>
        <w:rPr>
          <w:rFonts w:ascii="Arial" w:cs="Arial" w:eastAsia="Arial" w:hAnsi="Arial"/>
          <w:sz w:val="17"/>
          <w:szCs w:val="17"/>
          <w:color w:val="auto"/>
        </w:rPr>
        <w:t>. The Article and Section headings herein are for convenience only and shall not affect the construction hereof.</w:t>
      </w:r>
    </w:p>
    <w:p>
      <w:pPr>
        <w:spacing w:after="0" w:line="23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i w:val="1"/>
          <w:iCs w:val="1"/>
          <w:color w:val="auto"/>
        </w:rPr>
        <w:t>Trustee</w:t>
      </w:r>
      <w:r>
        <w:rPr>
          <w:rFonts w:ascii="Arial" w:cs="Arial" w:eastAsia="Arial" w:hAnsi="Arial"/>
          <w:sz w:val="18"/>
          <w:szCs w:val="18"/>
          <w:color w:val="auto"/>
        </w:rPr>
        <w:t>. The Trustee makes no representations as to the validity or sufficiency of this Supplemental Indenture. The recitals and statements herein are deemed to be those of the Company and the Guarantors and not of the Trustee.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74" w:right="279" w:bottom="1440" w:gutter="0" w:footer="0" w:header="0"/>
        </w:sectPr>
      </w:pPr>
    </w:p>
    <w:bookmarkStart w:id="86" w:name="page87"/>
    <w:bookmarkEnd w:id="86"/>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each of the parties has caused this Supplemental Indenture to be duly executed, all as of the first date written above.</w:t>
      </w:r>
    </w:p>
    <w:p>
      <w:pPr>
        <w:spacing w:after="0" w:line="27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William E. Dordelman</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William E. Dordelman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Senior Vice President &amp; Treasurer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[CORPORATE SEAL]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14605</wp:posOffset>
            </wp:positionV>
            <wp:extent cx="269303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24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CABLE COMMUNICATIONS,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William E. Dordelman</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William E. Dordelman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Senior Vice President &amp; Treasurer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[CORPORATE SEAL]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14605</wp:posOffset>
            </wp:positionV>
            <wp:extent cx="269303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24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NBCUNIVERSAL MEDIA,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William E. Dordelman</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William E. Dordelman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Senior Vice President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[CORPORATE SEAL]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14605</wp:posOffset>
            </wp:positionV>
            <wp:extent cx="269303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[Signature Page – Supplemental Indenture]</w:t>
      </w:r>
    </w:p>
    <w:p>
      <w:pPr>
        <w:sectPr>
          <w:pgSz w:w="11900" w:h="16838" w:orient="portrait"/>
          <w:cols w:equalWidth="0" w:num="1">
            <w:col w:w="10800"/>
          </w:cols>
          <w:pgMar w:left="240" w:top="274" w:right="859" w:bottom="1440" w:gutter="0" w:footer="0" w:header="0"/>
        </w:sectPr>
      </w:pPr>
    </w:p>
    <w:bookmarkStart w:id="87" w:name="page88"/>
    <w:bookmarkEnd w:id="87"/>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BANK OF NEW YORK MELLON, as Trustee</w:t>
      </w:r>
    </w:p>
    <w:p>
      <w:pPr>
        <w:spacing w:after="0" w:line="23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Laurence J. O’Brien</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Laurence J. O’Brien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71843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[Signature Page – Supplemental Indenture]</w:t>
      </w:r>
    </w:p>
    <w:p>
      <w:pPr>
        <w:sectPr>
          <w:pgSz w:w="11900" w:h="16838" w:orient="portrait"/>
          <w:cols w:equalWidth="0" w:num="1">
            <w:col w:w="9460"/>
          </w:cols>
          <w:pgMar w:left="1440" w:top="274" w:right="99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4.2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SUPPLEMENTAL INDENTURE</w:t>
      </w:r>
    </w:p>
    <w:p>
      <w:pPr>
        <w:spacing w:after="0" w:line="225" w:lineRule="exact"/>
        <w:rPr>
          <w:sz w:val="20"/>
          <w:szCs w:val="20"/>
          <w:color w:val="auto"/>
        </w:rPr>
      </w:pPr>
    </w:p>
    <w:p>
      <w:pPr>
        <w:jc w:val="both"/>
        <w:ind w:right="300" w:firstLine="456"/>
        <w:spacing w:after="0" w:line="261" w:lineRule="auto"/>
        <w:rPr>
          <w:sz w:val="20"/>
          <w:szCs w:val="20"/>
          <w:color w:val="auto"/>
        </w:rPr>
      </w:pPr>
      <w:r>
        <w:rPr>
          <w:rFonts w:ascii="Arial" w:cs="Arial" w:eastAsia="Arial" w:hAnsi="Arial"/>
          <w:sz w:val="18"/>
          <w:szCs w:val="18"/>
          <w:color w:val="auto"/>
        </w:rPr>
        <w:t>SECOND SUPPLEMENTAL INDENTURE dated as of October 1, 2015 (this “</w:t>
      </w:r>
      <w:r>
        <w:rPr>
          <w:rFonts w:ascii="Arial" w:cs="Arial" w:eastAsia="Arial" w:hAnsi="Arial"/>
          <w:sz w:val="18"/>
          <w:szCs w:val="18"/>
          <w:b w:val="1"/>
          <w:bCs w:val="1"/>
          <w:color w:val="auto"/>
        </w:rPr>
        <w:t>Supplemental Indenture</w:t>
      </w:r>
      <w:r>
        <w:rPr>
          <w:rFonts w:ascii="Arial" w:cs="Arial" w:eastAsia="Arial" w:hAnsi="Arial"/>
          <w:sz w:val="18"/>
          <w:szCs w:val="18"/>
          <w:color w:val="auto"/>
        </w:rPr>
        <w:t>”), among NBCUniversal Media, LLC, a Delaware limited liability company (the “</w:t>
      </w:r>
      <w:r>
        <w:rPr>
          <w:rFonts w:ascii="Arial" w:cs="Arial" w:eastAsia="Arial" w:hAnsi="Arial"/>
          <w:sz w:val="18"/>
          <w:szCs w:val="18"/>
          <w:b w:val="1"/>
          <w:bCs w:val="1"/>
          <w:color w:val="auto"/>
        </w:rPr>
        <w:t>Issuer</w:t>
      </w:r>
      <w:r>
        <w:rPr>
          <w:rFonts w:ascii="Arial" w:cs="Arial" w:eastAsia="Arial" w:hAnsi="Arial"/>
          <w:sz w:val="18"/>
          <w:szCs w:val="18"/>
          <w:color w:val="auto"/>
        </w:rPr>
        <w:t>”), Comcast Corporation, a Pennsylvania corporation (“</w:t>
      </w:r>
      <w:r>
        <w:rPr>
          <w:rFonts w:ascii="Arial" w:cs="Arial" w:eastAsia="Arial" w:hAnsi="Arial"/>
          <w:sz w:val="18"/>
          <w:szCs w:val="18"/>
          <w:b w:val="1"/>
          <w:bCs w:val="1"/>
          <w:color w:val="auto"/>
        </w:rPr>
        <w:t>Parent</w:t>
      </w:r>
      <w:r>
        <w:rPr>
          <w:rFonts w:ascii="Arial" w:cs="Arial" w:eastAsia="Arial" w:hAnsi="Arial"/>
          <w:sz w:val="18"/>
          <w:szCs w:val="18"/>
          <w:color w:val="auto"/>
        </w:rPr>
        <w:t>”), Comcast Cable Communications, LLC (f/k/a Comcast Cable Communications, Inc.), a Delaware limited liability company (“</w:t>
      </w:r>
      <w:r>
        <w:rPr>
          <w:rFonts w:ascii="Arial" w:cs="Arial" w:eastAsia="Arial" w:hAnsi="Arial"/>
          <w:sz w:val="18"/>
          <w:szCs w:val="18"/>
          <w:b w:val="1"/>
          <w:bCs w:val="1"/>
          <w:color w:val="auto"/>
        </w:rPr>
        <w:t>Comcast Cable</w:t>
      </w:r>
      <w:r>
        <w:rPr>
          <w:rFonts w:ascii="Arial" w:cs="Arial" w:eastAsia="Arial" w:hAnsi="Arial"/>
          <w:sz w:val="18"/>
          <w:szCs w:val="18"/>
          <w:color w:val="auto"/>
        </w:rPr>
        <w:t>” and, together with Parent, the “</w:t>
      </w:r>
      <w:r>
        <w:rPr>
          <w:rFonts w:ascii="Arial" w:cs="Arial" w:eastAsia="Arial" w:hAnsi="Arial"/>
          <w:sz w:val="18"/>
          <w:szCs w:val="18"/>
          <w:b w:val="1"/>
          <w:bCs w:val="1"/>
          <w:color w:val="auto"/>
        </w:rPr>
        <w:t>Guarantors</w:t>
      </w:r>
      <w:r>
        <w:rPr>
          <w:rFonts w:ascii="Arial" w:cs="Arial" w:eastAsia="Arial" w:hAnsi="Arial"/>
          <w:sz w:val="18"/>
          <w:szCs w:val="18"/>
          <w:color w:val="auto"/>
        </w:rPr>
        <w:t>”), and The Bank of New York Mellon, as trustee (the “</w:t>
      </w:r>
      <w:r>
        <w:rPr>
          <w:rFonts w:ascii="Arial" w:cs="Arial" w:eastAsia="Arial" w:hAnsi="Arial"/>
          <w:sz w:val="18"/>
          <w:szCs w:val="18"/>
          <w:b w:val="1"/>
          <w:bCs w:val="1"/>
          <w:color w:val="auto"/>
        </w:rPr>
        <w:t>Trustee</w:t>
      </w:r>
      <w:r>
        <w:rPr>
          <w:rFonts w:ascii="Arial" w:cs="Arial" w:eastAsia="Arial" w:hAnsi="Arial"/>
          <w:sz w:val="18"/>
          <w:szCs w:val="18"/>
          <w:color w:val="auto"/>
        </w:rPr>
        <w:t>”).</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WHEREAS, the Issuer is the issuer under the Indenture, dated as of April 30, 2010, as supplemented by a First Supplemental Indenture (the “</w:t>
      </w:r>
      <w:r>
        <w:rPr>
          <w:rFonts w:ascii="Arial" w:cs="Arial" w:eastAsia="Arial" w:hAnsi="Arial"/>
          <w:sz w:val="16"/>
          <w:szCs w:val="16"/>
          <w:b w:val="1"/>
          <w:bCs w:val="1"/>
          <w:color w:val="auto"/>
        </w:rPr>
        <w:t>First</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Supplemental Indenture</w:t>
      </w:r>
      <w:r>
        <w:rPr>
          <w:rFonts w:ascii="Arial" w:cs="Arial" w:eastAsia="Arial" w:hAnsi="Arial"/>
          <w:sz w:val="17"/>
          <w:szCs w:val="17"/>
          <w:color w:val="auto"/>
        </w:rPr>
        <w:t>”), dated as of March 27, 2013, (collectively, the “</w:t>
      </w:r>
      <w:r>
        <w:rPr>
          <w:rFonts w:ascii="Arial" w:cs="Arial" w:eastAsia="Arial" w:hAnsi="Arial"/>
          <w:sz w:val="17"/>
          <w:szCs w:val="17"/>
          <w:b w:val="1"/>
          <w:bCs w:val="1"/>
          <w:color w:val="auto"/>
        </w:rPr>
        <w:t>Original Indenture</w:t>
      </w:r>
      <w:r>
        <w:rPr>
          <w:rFonts w:ascii="Arial" w:cs="Arial" w:eastAsia="Arial" w:hAnsi="Arial"/>
          <w:sz w:val="17"/>
          <w:szCs w:val="17"/>
          <w:color w:val="auto"/>
        </w:rPr>
        <w:t>” and, together with this Supplemental Indenture,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Indenture</w:t>
      </w:r>
      <w:r>
        <w:rPr>
          <w:rFonts w:ascii="Arial" w:cs="Arial" w:eastAsia="Arial" w:hAnsi="Arial"/>
          <w:sz w:val="16"/>
          <w:szCs w:val="16"/>
          <w:color w:val="auto"/>
        </w:rPr>
        <w:t>”), pursuant to which the Issuer issued, and the Trustee authenticated and delivered certain securities which are, as of the date hereof, outstanding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w:t>
      </w:r>
      <w:r>
        <w:rPr>
          <w:rFonts w:ascii="Arial" w:cs="Arial" w:eastAsia="Arial" w:hAnsi="Arial"/>
          <w:sz w:val="16"/>
          <w:szCs w:val="16"/>
          <w:b w:val="1"/>
          <w:bCs w:val="1"/>
          <w:color w:val="auto"/>
        </w:rPr>
        <w:t>Outstanding Securities</w:t>
      </w:r>
      <w:r>
        <w:rPr>
          <w:rFonts w:ascii="Arial" w:cs="Arial" w:eastAsia="Arial" w:hAnsi="Arial"/>
          <w:sz w:val="16"/>
          <w:szCs w:val="16"/>
          <w:color w:val="auto"/>
        </w:rPr>
        <w:t>”) and pursuant to which the Issuer may issue securities in the future (the “</w:t>
      </w:r>
      <w:r>
        <w:rPr>
          <w:rFonts w:ascii="Arial" w:cs="Arial" w:eastAsia="Arial" w:hAnsi="Arial"/>
          <w:sz w:val="16"/>
          <w:szCs w:val="16"/>
          <w:b w:val="1"/>
          <w:bCs w:val="1"/>
          <w:color w:val="auto"/>
        </w:rPr>
        <w:t>New Securities</w:t>
      </w:r>
      <w:r>
        <w:rPr>
          <w:rFonts w:ascii="Arial" w:cs="Arial" w:eastAsia="Arial" w:hAnsi="Arial"/>
          <w:sz w:val="16"/>
          <w:szCs w:val="16"/>
          <w:color w:val="auto"/>
        </w:rPr>
        <w:t>” and, together with the Outstanding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Securities, the “</w:t>
      </w:r>
      <w:r>
        <w:rPr>
          <w:rFonts w:ascii="Arial" w:cs="Arial" w:eastAsia="Arial" w:hAnsi="Arial"/>
          <w:sz w:val="18"/>
          <w:szCs w:val="18"/>
          <w:b w:val="1"/>
          <w:bCs w:val="1"/>
          <w:color w:val="auto"/>
        </w:rPr>
        <w:t>Securities</w:t>
      </w:r>
      <w:r>
        <w:rPr>
          <w:rFonts w:ascii="Arial" w:cs="Arial" w:eastAsia="Arial" w:hAnsi="Arial"/>
          <w:sz w:val="18"/>
          <w:szCs w:val="18"/>
          <w:color w:val="auto"/>
        </w:rPr>
        <w:t>”);</w:t>
      </w:r>
    </w:p>
    <w:p>
      <w:pPr>
        <w:spacing w:after="0" w:line="211"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WHEREAS, the Guarantors identified above along with Comcast Cable Holdings, LLC, a Delaware limited liability company, Comcast MO Group, LLC (f/k/a Comcast MO Group, Inc.), a Delaware limited liability company, and Comcast MO of Delaware, LLC (f/k/a Comcast MO of Delaware, Inc.), a Delaware limited liability company (collectively, the “</w:t>
      </w:r>
      <w:r>
        <w:rPr>
          <w:rFonts w:ascii="Arial" w:cs="Arial" w:eastAsia="Arial" w:hAnsi="Arial"/>
          <w:sz w:val="16"/>
          <w:szCs w:val="16"/>
          <w:b w:val="1"/>
          <w:bCs w:val="1"/>
          <w:color w:val="auto"/>
        </w:rPr>
        <w:t>Non-Surviving Guarantors</w:t>
      </w:r>
      <w:r>
        <w:rPr>
          <w:rFonts w:ascii="Arial" w:cs="Arial" w:eastAsia="Arial" w:hAnsi="Arial"/>
          <w:sz w:val="16"/>
          <w:szCs w:val="16"/>
          <w:color w:val="auto"/>
        </w:rPr>
        <w:t>”), irrevocably, fully and unconditionally guaranteed, jointly and severally, on an unsecured basis, the full and punctual payment (whether at maturity, upon redemption, or otherwise) of the principal and interest on, and all other amounts payable under, each Security, and the full and punctual payment of all other amounts payable by the Issuer under the Original Indenture;</w:t>
      </w:r>
    </w:p>
    <w:p>
      <w:pPr>
        <w:spacing w:after="0" w:line="158"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WHEREAS, as of the date hereof, the Non-Surviving Guarantors have merged with and into Comcast Cable, with Comcast Cable as the surviving entity;</w:t>
      </w:r>
    </w:p>
    <w:p>
      <w:pPr>
        <w:spacing w:after="0" w:line="170"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WHEREAS, the Issuer and the Guarantors have requested that the Trustee execute and deliver this Supplemental Indenture to reflect the merger of the Non-Surviving Guarantors with and into Comcast Cable, and all requirements necessary to make this Supplemental Indenture a valid instrument in accordance with its terms, and the execution and delivery of this Supplemental Indenture have been duly authorized in all respects; and</w:t>
      </w:r>
    </w:p>
    <w:p>
      <w:pPr>
        <w:spacing w:after="0" w:line="166"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WHEREAS, pursuant to Section 7.01(k) of the Indenture, the Issuer and the Trustee may, without consent of the Holders, when so authorized by the Board of Directors of the Issuer, enter into a supplement to the Indenture to make any change that does not adversely affect the rights of any Holder in any material respect, and the Board of Directors of the Issuer has determined that the changes to the Indenture effected by this Supplemental Indenture do not adversely affect the rights of any Holder in any material respect.</w:t>
      </w:r>
    </w:p>
    <w:p>
      <w:pPr>
        <w:sectPr>
          <w:pgSz w:w="11900" w:h="16838" w:orient="portrait"/>
          <w:cols w:equalWidth="0" w:num="1">
            <w:col w:w="11420"/>
          </w:cols>
          <w:pgMar w:left="240" w:top="121" w:right="239" w:bottom="1440" w:gutter="0" w:footer="0" w:header="0"/>
        </w:sectPr>
      </w:pPr>
    </w:p>
    <w:bookmarkStart w:id="89" w:name="page90"/>
    <w:bookmarkEnd w:id="89"/>
    <w:p>
      <w:pPr>
        <w:ind w:right="38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NOW, THEREFORE, the Issuer, the Guarantors and the Trustee do hereby supplement and amend the Original Indenture pursuant to Section 7.01 without notice to or consent of any Holder as follows:</w:t>
      </w: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1</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D</w:t>
      </w:r>
      <w:r>
        <w:rPr>
          <w:rFonts w:ascii="Arial" w:cs="Arial" w:eastAsia="Arial" w:hAnsi="Arial"/>
          <w:sz w:val="15"/>
          <w:szCs w:val="15"/>
          <w:color w:val="auto"/>
        </w:rPr>
        <w:t>EFINITIONS</w:t>
      </w:r>
    </w:p>
    <w:p>
      <w:pPr>
        <w:spacing w:after="0" w:line="21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i w:val="1"/>
          <w:iCs w:val="1"/>
          <w:color w:val="auto"/>
        </w:rPr>
        <w:t>Definitions</w:t>
      </w:r>
      <w:r>
        <w:rPr>
          <w:rFonts w:ascii="Arial" w:cs="Arial" w:eastAsia="Arial" w:hAnsi="Arial"/>
          <w:sz w:val="18"/>
          <w:szCs w:val="18"/>
          <w:color w:val="auto"/>
        </w:rPr>
        <w:t>. Capitalized terms that are defined in the preamble or the recitals hereto shall have such meanings throughout this Supplemental Indenture. Capitalized terms used but not defined in this Supplemental Indenture have the meanings assigned thereto in the Original Indenture. The meanings assigned to all defined terms used in this Supplemental Indenture shall be equally applicable to both the singular and plural forms of such defined terms.</w:t>
      </w: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2</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A</w:t>
      </w:r>
      <w:r>
        <w:rPr>
          <w:rFonts w:ascii="Arial" w:cs="Arial" w:eastAsia="Arial" w:hAnsi="Arial"/>
          <w:sz w:val="15"/>
          <w:szCs w:val="15"/>
          <w:color w:val="auto"/>
        </w:rPr>
        <w:t>MENDMENTS</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i w:val="1"/>
          <w:iCs w:val="1"/>
          <w:color w:val="auto"/>
        </w:rPr>
        <w:t>Amendment</w:t>
      </w:r>
      <w:r>
        <w:rPr>
          <w:rFonts w:ascii="Arial" w:cs="Arial" w:eastAsia="Arial" w:hAnsi="Arial"/>
          <w:sz w:val="18"/>
          <w:szCs w:val="18"/>
          <w:color w:val="auto"/>
        </w:rPr>
        <w:t>. The Original Indenture is hereby amended as follows:</w:t>
      </w:r>
    </w:p>
    <w:p>
      <w:pPr>
        <w:spacing w:after="0" w:line="113" w:lineRule="exact"/>
        <w:rPr>
          <w:sz w:val="20"/>
          <w:szCs w:val="20"/>
          <w:color w:val="auto"/>
        </w:rPr>
      </w:pPr>
    </w:p>
    <w:p>
      <w:pPr>
        <w:ind w:left="460" w:right="60" w:firstLine="43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Guarantor</w:t>
      </w:r>
      <w:r>
        <w:rPr>
          <w:rFonts w:ascii="Arial" w:cs="Arial" w:eastAsia="Arial" w:hAnsi="Arial"/>
          <w:sz w:val="18"/>
          <w:szCs w:val="18"/>
          <w:color w:val="auto"/>
        </w:rPr>
        <w:t>” means each of Parent and Comcast Cable Communications, LLC, in each case excluding such entity’s Subsidiaries and unless and until such Guarantor is released from its Guarantee pursuant to this Indenture.</w:t>
      </w:r>
    </w:p>
    <w:p>
      <w:pPr>
        <w:spacing w:after="0" w:line="2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3</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M</w:t>
      </w:r>
      <w:r>
        <w:rPr>
          <w:rFonts w:ascii="Arial" w:cs="Arial" w:eastAsia="Arial" w:hAnsi="Arial"/>
          <w:sz w:val="15"/>
          <w:szCs w:val="15"/>
          <w:color w:val="auto"/>
        </w:rPr>
        <w:t>ISCELLANEOUS</w:t>
      </w:r>
    </w:p>
    <w:p>
      <w:pPr>
        <w:spacing w:after="0" w:line="21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i w:val="1"/>
          <w:iCs w:val="1"/>
          <w:color w:val="auto"/>
        </w:rPr>
        <w:t>Date and Time of Effectiveness</w:t>
      </w:r>
      <w:r>
        <w:rPr>
          <w:rFonts w:ascii="Arial" w:cs="Arial" w:eastAsia="Arial" w:hAnsi="Arial"/>
          <w:sz w:val="18"/>
          <w:szCs w:val="18"/>
          <w:color w:val="auto"/>
        </w:rPr>
        <w:t>. This Supplemental Indenture shall become a legally effective and binding instrument at and as of the date hereof.</w:t>
      </w:r>
    </w:p>
    <w:p>
      <w:pPr>
        <w:spacing w:after="0" w:line="17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i w:val="1"/>
          <w:iCs w:val="1"/>
          <w:color w:val="auto"/>
        </w:rPr>
        <w:t>Supplemental Indenture Incorporated Into Indenture</w:t>
      </w:r>
      <w:r>
        <w:rPr>
          <w:rFonts w:ascii="Arial" w:cs="Arial" w:eastAsia="Arial" w:hAnsi="Arial"/>
          <w:sz w:val="18"/>
          <w:szCs w:val="18"/>
          <w:color w:val="auto"/>
        </w:rPr>
        <w:t>. The terms and conditions of this Supplemental Indenture shall be deemed to be part of the Indenture for all purposes relating to the Securities. The Original Indenture is hereby incorporated by reference herein and the Original Indenture, as supplemented by this Supplemental Indenture, is in all respects adopted, ratified and confirmed.</w:t>
      </w:r>
    </w:p>
    <w:p>
      <w:pPr>
        <w:spacing w:after="0" w:line="181"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i w:val="1"/>
          <w:iCs w:val="1"/>
          <w:color w:val="auto"/>
        </w:rPr>
        <w:t>Outstanding Securities Deemed Conformed</w:t>
      </w:r>
      <w:r>
        <w:rPr>
          <w:rFonts w:ascii="Arial" w:cs="Arial" w:eastAsia="Arial" w:hAnsi="Arial"/>
          <w:sz w:val="18"/>
          <w:szCs w:val="18"/>
          <w:color w:val="auto"/>
        </w:rPr>
        <w:t>. As of the date hereof, the provisions of the Outstanding Securities shall be deemed to be conformed, without the necessity for any reissuance or exchange of such Outstanding Security or any other action on the part of the holders of Outstanding Securities, the Issuer or the Trustee, so as to reflect this Supplemental Indenture.</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sectPr>
      </w:pPr>
    </w:p>
    <w:bookmarkStart w:id="90" w:name="page91"/>
    <w:bookmarkEnd w:id="90"/>
    <w:p>
      <w:pPr>
        <w:ind w:right="44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3.04. </w:t>
      </w:r>
      <w:r>
        <w:rPr>
          <w:rFonts w:ascii="Arial" w:cs="Arial" w:eastAsia="Arial" w:hAnsi="Arial"/>
          <w:sz w:val="18"/>
          <w:szCs w:val="18"/>
          <w:i w:val="1"/>
          <w:iCs w:val="1"/>
          <w:color w:val="auto"/>
        </w:rPr>
        <w:t>Separability</w:t>
      </w:r>
      <w:r>
        <w:rPr>
          <w:rFonts w:ascii="Arial" w:cs="Arial" w:eastAsia="Arial" w:hAnsi="Arial"/>
          <w:sz w:val="18"/>
          <w:szCs w:val="18"/>
          <w:color w:val="auto"/>
        </w:rPr>
        <w:t>. In case any provision in this Supplemental Indenture, or in the Indenture, shall be invalid, illegal or unenforceable, the validity, legality and enforceability of the remaining provisions shall not in any way be affected or impaired thereby, it being intended that all of the provisions hereof shall be enforceable to the full extent permitted by law.</w:t>
      </w:r>
    </w:p>
    <w:p>
      <w:pPr>
        <w:spacing w:after="0" w:line="181"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i w:val="1"/>
          <w:iCs w:val="1"/>
          <w:color w:val="auto"/>
        </w:rPr>
        <w:t>Benefits of Supplemental Indenture</w:t>
      </w:r>
      <w:r>
        <w:rPr>
          <w:rFonts w:ascii="Arial" w:cs="Arial" w:eastAsia="Arial" w:hAnsi="Arial"/>
          <w:sz w:val="18"/>
          <w:szCs w:val="18"/>
          <w:color w:val="auto"/>
        </w:rPr>
        <w:t>. Nothing in this Supplemental Indenture, expressed or implied, shall give or be construed to give to any person, firm or corporation, other than the parties hereto and the holders of Securities, any benefit or any legal or equitable right, remedy or claim under this Supplemental Indenture or the Indenture.</w:t>
      </w:r>
    </w:p>
    <w:p>
      <w:pPr>
        <w:spacing w:after="0" w:line="181"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 xml:space="preserve">Section 3.06. </w:t>
      </w:r>
      <w:r>
        <w:rPr>
          <w:rFonts w:ascii="Arial" w:cs="Arial" w:eastAsia="Arial" w:hAnsi="Arial"/>
          <w:sz w:val="18"/>
          <w:szCs w:val="18"/>
          <w:i w:val="1"/>
          <w:iCs w:val="1"/>
          <w:color w:val="auto"/>
        </w:rPr>
        <w:t>Successors</w:t>
      </w:r>
      <w:r>
        <w:rPr>
          <w:rFonts w:ascii="Arial" w:cs="Arial" w:eastAsia="Arial" w:hAnsi="Arial"/>
          <w:sz w:val="18"/>
          <w:szCs w:val="18"/>
          <w:color w:val="auto"/>
        </w:rPr>
        <w:t>. Subject to Section 2.09 of the First Supplemental Indenture, all agreements of the Issuer, the Guarantors and the Trustee in this Supplemental Indenture and in the Indenture shall bind their respective successors.</w:t>
      </w:r>
    </w:p>
    <w:p>
      <w:pPr>
        <w:spacing w:after="0" w:line="166" w:lineRule="exact"/>
        <w:rPr>
          <w:sz w:val="20"/>
          <w:szCs w:val="20"/>
          <w:color w:val="auto"/>
        </w:rPr>
      </w:pPr>
    </w:p>
    <w:p>
      <w:pPr>
        <w:ind w:right="80" w:firstLine="456"/>
        <w:spacing w:after="0" w:line="282" w:lineRule="auto"/>
        <w:rPr>
          <w:sz w:val="20"/>
          <w:szCs w:val="20"/>
          <w:color w:val="auto"/>
        </w:rPr>
      </w:pPr>
      <w:r>
        <w:rPr>
          <w:rFonts w:ascii="Arial" w:cs="Arial" w:eastAsia="Arial" w:hAnsi="Arial"/>
          <w:sz w:val="18"/>
          <w:szCs w:val="18"/>
          <w:color w:val="auto"/>
        </w:rPr>
        <w:t xml:space="preserve">Section 3.07. </w:t>
      </w:r>
      <w:r>
        <w:rPr>
          <w:rFonts w:ascii="Arial" w:cs="Arial" w:eastAsia="Arial" w:hAnsi="Arial"/>
          <w:sz w:val="18"/>
          <w:szCs w:val="18"/>
          <w:b w:val="1"/>
          <w:bCs w:val="1"/>
          <w:i w:val="1"/>
          <w:iCs w:val="1"/>
          <w:color w:val="auto"/>
        </w:rPr>
        <w:t>New York Law to Govern</w:t>
      </w:r>
      <w:r>
        <w:rPr>
          <w:rFonts w:ascii="Arial" w:cs="Arial" w:eastAsia="Arial" w:hAnsi="Arial"/>
          <w:sz w:val="18"/>
          <w:szCs w:val="18"/>
          <w:color w:val="auto"/>
        </w:rPr>
        <w:t xml:space="preserve">. </w:t>
      </w:r>
      <w:r>
        <w:rPr>
          <w:rFonts w:ascii="Arial" w:cs="Arial" w:eastAsia="Arial" w:hAnsi="Arial"/>
          <w:sz w:val="18"/>
          <w:szCs w:val="18"/>
          <w:b w:val="1"/>
          <w:bCs w:val="1"/>
          <w:color w:val="auto"/>
        </w:rPr>
        <w:t>This Supplemental Indenture shall be deemed to be a contract under the laws of the State of New York,</w:t>
      </w:r>
      <w:r>
        <w:rPr>
          <w:rFonts w:ascii="Arial" w:cs="Arial" w:eastAsia="Arial" w:hAnsi="Arial"/>
          <w:sz w:val="18"/>
          <w:szCs w:val="18"/>
          <w:color w:val="auto"/>
        </w:rPr>
        <w:t xml:space="preserve"> </w:t>
      </w:r>
      <w:r>
        <w:rPr>
          <w:rFonts w:ascii="Arial" w:cs="Arial" w:eastAsia="Arial" w:hAnsi="Arial"/>
          <w:sz w:val="18"/>
          <w:szCs w:val="18"/>
          <w:b w:val="1"/>
          <w:bCs w:val="1"/>
          <w:color w:val="auto"/>
        </w:rPr>
        <w:t>and for all purposes shall be construed in accordance with the laws of such State.</w:t>
      </w:r>
    </w:p>
    <w:p>
      <w:pPr>
        <w:spacing w:after="0" w:line="166"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 xml:space="preserve">Section 3.08. </w:t>
      </w:r>
      <w:r>
        <w:rPr>
          <w:rFonts w:ascii="Arial" w:cs="Arial" w:eastAsia="Arial" w:hAnsi="Arial"/>
          <w:sz w:val="18"/>
          <w:szCs w:val="18"/>
          <w:i w:val="1"/>
          <w:iCs w:val="1"/>
          <w:color w:val="auto"/>
        </w:rPr>
        <w:t>Counterparts</w:t>
      </w:r>
      <w:r>
        <w:rPr>
          <w:rFonts w:ascii="Arial" w:cs="Arial" w:eastAsia="Arial" w:hAnsi="Arial"/>
          <w:sz w:val="18"/>
          <w:szCs w:val="18"/>
          <w:color w:val="auto"/>
        </w:rPr>
        <w:t>. This Supplemental Indenture may be executed in any number of counterparts, each of which shall be an original; but such counterparts shall together constitute but one and the same instrument.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Section 3.09. </w:t>
      </w:r>
      <w:r>
        <w:rPr>
          <w:rFonts w:ascii="Arial" w:cs="Arial" w:eastAsia="Arial" w:hAnsi="Arial"/>
          <w:sz w:val="17"/>
          <w:szCs w:val="17"/>
          <w:i w:val="1"/>
          <w:iCs w:val="1"/>
          <w:color w:val="auto"/>
        </w:rPr>
        <w:t>Effect of Headings</w:t>
      </w:r>
      <w:r>
        <w:rPr>
          <w:rFonts w:ascii="Arial" w:cs="Arial" w:eastAsia="Arial" w:hAnsi="Arial"/>
          <w:sz w:val="17"/>
          <w:szCs w:val="17"/>
          <w:color w:val="auto"/>
        </w:rPr>
        <w:t>. The Article and Section headings herein are for convenience only and shall not affect the construction hereof.</w:t>
      </w:r>
    </w:p>
    <w:p>
      <w:pPr>
        <w:spacing w:after="0" w:line="23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i w:val="1"/>
          <w:iCs w:val="1"/>
          <w:color w:val="auto"/>
        </w:rPr>
        <w:t>Trustee</w:t>
      </w:r>
      <w:r>
        <w:rPr>
          <w:rFonts w:ascii="Arial" w:cs="Arial" w:eastAsia="Arial" w:hAnsi="Arial"/>
          <w:sz w:val="18"/>
          <w:szCs w:val="18"/>
          <w:color w:val="auto"/>
        </w:rPr>
        <w:t>. The Trustee makes no representations as to the validity or sufficiency of this Supplemental Indenture. The recitals and statements herein are deemed to be those of the Issuer and the Guarantors and not of the Trustee.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74" w:right="279" w:bottom="1440" w:gutter="0" w:footer="0" w:header="0"/>
        </w:sectPr>
      </w:pPr>
    </w:p>
    <w:bookmarkStart w:id="91" w:name="page92"/>
    <w:bookmarkEnd w:id="91"/>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each of the parties has caused this Supplemental Indenture to be duly executed, all as of the first date written above.</w:t>
      </w:r>
    </w:p>
    <w:p>
      <w:pPr>
        <w:spacing w:after="0" w:line="27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NBCUNIVERSAL MEDIA,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William E. Dordelman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tabs>
          <w:tab w:leader="none" w:pos="78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William E. Dordelman</w:t>
      </w:r>
    </w:p>
    <w:p>
      <w:pPr>
        <w:spacing w:after="0" w:line="23" w:lineRule="exact"/>
        <w:rPr>
          <w:sz w:val="20"/>
          <w:szCs w:val="20"/>
          <w:color w:val="auto"/>
        </w:rPr>
      </w:pPr>
    </w:p>
    <w:p>
      <w:pPr>
        <w:ind w:left="7180"/>
        <w:spacing w:after="0"/>
        <w:tabs>
          <w:tab w:leader="none" w:pos="7800" w:val="left"/>
        </w:tabs>
        <w:rPr>
          <w:sz w:val="20"/>
          <w:szCs w:val="20"/>
          <w:color w:val="auto"/>
        </w:rPr>
      </w:pPr>
      <w:r>
        <w:rPr>
          <w:rFonts w:ascii="Arial" w:cs="Arial" w:eastAsia="Arial" w:hAnsi="Arial"/>
          <w:sz w:val="18"/>
          <w:szCs w:val="18"/>
          <w:color w:val="auto"/>
        </w:rPr>
        <w:t>Title:</w:t>
        <w:tab/>
        <w:t>Senior Vice President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[CORPORATE SEAL]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5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William E. Dordelman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tabs>
          <w:tab w:leader="none" w:pos="78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William E. Dordelman</w:t>
      </w:r>
    </w:p>
    <w:p>
      <w:pPr>
        <w:spacing w:after="0" w:line="23" w:lineRule="exact"/>
        <w:rPr>
          <w:sz w:val="20"/>
          <w:szCs w:val="20"/>
          <w:color w:val="auto"/>
        </w:rPr>
      </w:pPr>
    </w:p>
    <w:p>
      <w:pPr>
        <w:ind w:left="7180"/>
        <w:spacing w:after="0"/>
        <w:tabs>
          <w:tab w:leader="none" w:pos="7800" w:val="left"/>
        </w:tabs>
        <w:rPr>
          <w:sz w:val="20"/>
          <w:szCs w:val="20"/>
          <w:color w:val="auto"/>
        </w:rPr>
      </w:pPr>
      <w:r>
        <w:rPr>
          <w:rFonts w:ascii="Arial" w:cs="Arial" w:eastAsia="Arial" w:hAnsi="Arial"/>
          <w:sz w:val="18"/>
          <w:szCs w:val="18"/>
          <w:color w:val="auto"/>
        </w:rPr>
        <w:t>Title:</w:t>
        <w:tab/>
        <w:t>Senior Vice President &amp; Treasurer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[CORPORATE SEAL]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5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CABLE COMMUNICATIONS,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William E. Dordelman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tabs>
          <w:tab w:leader="none" w:pos="78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William E. Dordelman</w:t>
      </w:r>
    </w:p>
    <w:p>
      <w:pPr>
        <w:spacing w:after="0" w:line="23" w:lineRule="exact"/>
        <w:rPr>
          <w:sz w:val="20"/>
          <w:szCs w:val="20"/>
          <w:color w:val="auto"/>
        </w:rPr>
      </w:pPr>
    </w:p>
    <w:p>
      <w:pPr>
        <w:ind w:left="7180"/>
        <w:spacing w:after="0"/>
        <w:tabs>
          <w:tab w:leader="none" w:pos="7800" w:val="left"/>
        </w:tabs>
        <w:rPr>
          <w:sz w:val="20"/>
          <w:szCs w:val="20"/>
          <w:color w:val="auto"/>
        </w:rPr>
      </w:pPr>
      <w:r>
        <w:rPr>
          <w:rFonts w:ascii="Arial" w:cs="Arial" w:eastAsia="Arial" w:hAnsi="Arial"/>
          <w:sz w:val="18"/>
          <w:szCs w:val="18"/>
          <w:color w:val="auto"/>
        </w:rPr>
        <w:t>Title:</w:t>
        <w:tab/>
        <w:t>Senior Vice President &amp; Treasurer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[CORPORATE SEAL]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[Signature Page – Supplemental Indenture]</w:t>
      </w:r>
    </w:p>
    <w:p>
      <w:pPr>
        <w:sectPr>
          <w:pgSz w:w="11900" w:h="16838" w:orient="portrait"/>
          <w:cols w:equalWidth="0" w:num="1">
            <w:col w:w="10800"/>
          </w:cols>
          <w:pgMar w:left="240" w:top="274" w:right="859" w:bottom="1440" w:gutter="0" w:footer="0" w:header="0"/>
        </w:sectPr>
      </w:pPr>
    </w:p>
    <w:bookmarkStart w:id="92" w:name="page93"/>
    <w:bookmarkEnd w:id="92"/>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BANK OF NEW YORK MELLON, as Trustee</w:t>
      </w:r>
    </w:p>
    <w:p>
      <w:pPr>
        <w:spacing w:after="0" w:line="23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Laurence J. O’Brien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Laurence J. O’Brien</w:t>
      </w:r>
    </w:p>
    <w:p>
      <w:pPr>
        <w:spacing w:after="0" w:line="23"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Title:</w:t>
        <w:tab/>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[Signature Page – Supplemental Indenture]</w:t>
      </w:r>
    </w:p>
    <w:p>
      <w:pPr>
        <w:sectPr>
          <w:pgSz w:w="11900" w:h="16838" w:orient="portrait"/>
          <w:cols w:equalWidth="0" w:num="1">
            <w:col w:w="9460"/>
          </w:cols>
          <w:pgMar w:left="1440" w:top="274" w:right="99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EMPLOYMENT AGREEMENT</w:t>
      </w:r>
    </w:p>
    <w:p>
      <w:pPr>
        <w:spacing w:after="0" w:line="229"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This EMPLOYMENT AGREEMENT (the “Agreement”) is entered into as of the 23rd day of October, 2015, between COMCAST CORPORATION, a Pennsylvania corporation (together with its subsidiaries, the “Company”), and DAVID L. COHEN (“Employee”).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BACKGROUND</w:t>
      </w:r>
    </w:p>
    <w:p>
      <w:pPr>
        <w:spacing w:after="0" w:line="229"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Employee desires to have Employee’s employment relationship with the Company be governed by the terms and conditions of this Agreement, which include material benefits favorable to Employee. In return for such material benefits, Employee is agreeing to the terms and conditions contained in this Agreement, which include material obligations on Employee.</w:t>
      </w:r>
    </w:p>
    <w:p>
      <w:pPr>
        <w:spacing w:after="0" w:line="393"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Intending to be legally bound, the Company and Employee agree as follows:</w:t>
      </w:r>
    </w:p>
    <w:p>
      <w:pPr>
        <w:spacing w:after="0" w:line="225" w:lineRule="exact"/>
        <w:rPr>
          <w:sz w:val="20"/>
          <w:szCs w:val="20"/>
          <w:color w:val="auto"/>
        </w:rPr>
      </w:pPr>
    </w:p>
    <w:p>
      <w:pPr>
        <w:ind w:left="640" w:hanging="176"/>
        <w:spacing w:after="0"/>
        <w:tabs>
          <w:tab w:leader="none" w:pos="640" w:val="left"/>
        </w:tabs>
        <w:numPr>
          <w:ilvl w:val="1"/>
          <w:numId w:val="40"/>
        </w:numPr>
        <w:rPr>
          <w:rFonts w:ascii="Arial" w:cs="Arial" w:eastAsia="Arial" w:hAnsi="Arial"/>
          <w:sz w:val="18"/>
          <w:szCs w:val="18"/>
          <w:color w:val="auto"/>
        </w:rPr>
      </w:pPr>
      <w:r>
        <w:rPr>
          <w:rFonts w:ascii="Arial" w:cs="Arial" w:eastAsia="Arial" w:hAnsi="Arial"/>
          <w:sz w:val="18"/>
          <w:szCs w:val="18"/>
          <w:u w:val="single" w:color="auto"/>
          <w:color w:val="auto"/>
        </w:rPr>
        <w:t>Position and Duties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60" w:firstLine="921"/>
        <w:spacing w:after="0" w:line="286" w:lineRule="auto"/>
        <w:tabs>
          <w:tab w:leader="none" w:pos="1158" w:val="left"/>
        </w:tabs>
        <w:numPr>
          <w:ilvl w:val="2"/>
          <w:numId w:val="40"/>
        </w:numPr>
        <w:rPr>
          <w:rFonts w:ascii="Arial" w:cs="Arial" w:eastAsia="Arial" w:hAnsi="Arial"/>
          <w:sz w:val="17"/>
          <w:szCs w:val="17"/>
          <w:color w:val="auto"/>
        </w:rPr>
      </w:pPr>
      <w:r>
        <w:rPr>
          <w:rFonts w:ascii="Arial" w:cs="Arial" w:eastAsia="Arial" w:hAnsi="Arial"/>
          <w:sz w:val="17"/>
          <w:szCs w:val="17"/>
          <w:color w:val="auto"/>
        </w:rPr>
        <w:t>Employee shall continue to serve and the Company shall continue to employ Employee in the position set forth on Schedule 1. Employee shall report directly to the Company’s Chief Executive Officer (currently Brian L. Roberts), in Philadelphia, Pennsylvania. The duties of Employee from time to time hereunder will be those assigned by the Company commensurate with Employee’s education, skills and experience.</w:t>
      </w:r>
    </w:p>
    <w:p>
      <w:pPr>
        <w:spacing w:after="0" w:line="165" w:lineRule="exact"/>
        <w:rPr>
          <w:rFonts w:ascii="Arial" w:cs="Arial" w:eastAsia="Arial" w:hAnsi="Arial"/>
          <w:sz w:val="17"/>
          <w:szCs w:val="17"/>
          <w:color w:val="auto"/>
        </w:rPr>
      </w:pPr>
    </w:p>
    <w:p>
      <w:pPr>
        <w:jc w:val="both"/>
        <w:ind w:right="20" w:firstLine="921"/>
        <w:spacing w:after="0" w:line="279" w:lineRule="auto"/>
        <w:tabs>
          <w:tab w:leader="none" w:pos="1168" w:val="left"/>
        </w:tabs>
        <w:numPr>
          <w:ilvl w:val="2"/>
          <w:numId w:val="40"/>
        </w:numPr>
        <w:rPr>
          <w:rFonts w:ascii="Arial" w:cs="Arial" w:eastAsia="Arial" w:hAnsi="Arial"/>
          <w:sz w:val="17"/>
          <w:szCs w:val="17"/>
          <w:color w:val="auto"/>
        </w:rPr>
      </w:pPr>
      <w:r>
        <w:rPr>
          <w:rFonts w:ascii="Arial" w:cs="Arial" w:eastAsia="Arial" w:hAnsi="Arial"/>
          <w:sz w:val="17"/>
          <w:szCs w:val="17"/>
          <w:color w:val="auto"/>
        </w:rPr>
        <w:t>Employee shall work full-time and devote Employee’s reasonable best efforts to the business of the Company in a manner that will further the interests of the Company. Without the prior written consent of the Company, Employee shall not, directly or indirectly, work for or otherwise provide services to or on behalf of any person or entity, other than the Company. Notwithstanding the foregoing, Employee may engage in non-compensatory civic and charitable activities with the consent of the Company, which consent shall not be unreasonably withheld or delayed.</w:t>
      </w:r>
    </w:p>
    <w:p>
      <w:pPr>
        <w:spacing w:after="0" w:line="171" w:lineRule="exact"/>
        <w:rPr>
          <w:rFonts w:ascii="Arial" w:cs="Arial" w:eastAsia="Arial" w:hAnsi="Arial"/>
          <w:sz w:val="17"/>
          <w:szCs w:val="17"/>
          <w:color w:val="auto"/>
        </w:rPr>
      </w:pPr>
    </w:p>
    <w:p>
      <w:pPr>
        <w:ind w:left="1160" w:hanging="239"/>
        <w:spacing w:after="0"/>
        <w:tabs>
          <w:tab w:leader="none" w:pos="1160" w:val="left"/>
        </w:tabs>
        <w:numPr>
          <w:ilvl w:val="2"/>
          <w:numId w:val="40"/>
        </w:numPr>
        <w:rPr>
          <w:rFonts w:ascii="Arial" w:cs="Arial" w:eastAsia="Arial" w:hAnsi="Arial"/>
          <w:sz w:val="17"/>
          <w:szCs w:val="17"/>
          <w:color w:val="auto"/>
        </w:rPr>
      </w:pPr>
      <w:r>
        <w:rPr>
          <w:rFonts w:ascii="Arial" w:cs="Arial" w:eastAsia="Arial" w:hAnsi="Arial"/>
          <w:sz w:val="17"/>
          <w:szCs w:val="17"/>
          <w:color w:val="auto"/>
        </w:rPr>
        <w:t>Employee shall comply with all policies of the Company applicable to Employee, including the Employee Handbook and the Code of</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Conduct.</w:t>
      </w:r>
    </w:p>
    <w:p>
      <w:pPr>
        <w:spacing w:after="0" w:line="210" w:lineRule="exact"/>
        <w:rPr>
          <w:rFonts w:ascii="Arial" w:cs="Arial" w:eastAsia="Arial" w:hAnsi="Arial"/>
          <w:sz w:val="17"/>
          <w:szCs w:val="17"/>
          <w:color w:val="auto"/>
        </w:rPr>
      </w:pPr>
    </w:p>
    <w:p>
      <w:pPr>
        <w:ind w:left="640" w:hanging="176"/>
        <w:spacing w:after="0"/>
        <w:tabs>
          <w:tab w:leader="none" w:pos="640" w:val="left"/>
        </w:tabs>
        <w:numPr>
          <w:ilvl w:val="1"/>
          <w:numId w:val="40"/>
        </w:numPr>
        <w:rPr>
          <w:rFonts w:ascii="Arial" w:cs="Arial" w:eastAsia="Arial" w:hAnsi="Arial"/>
          <w:sz w:val="16"/>
          <w:szCs w:val="16"/>
          <w:color w:val="auto"/>
        </w:rPr>
      </w:pPr>
      <w:r>
        <w:rPr>
          <w:rFonts w:ascii="Arial" w:cs="Arial" w:eastAsia="Arial" w:hAnsi="Arial"/>
          <w:sz w:val="16"/>
          <w:szCs w:val="16"/>
          <w:u w:val="single" w:color="auto"/>
          <w:color w:val="auto"/>
        </w:rPr>
        <w:t>Term</w:t>
      </w:r>
      <w:r>
        <w:rPr>
          <w:rFonts w:ascii="Arial" w:cs="Arial" w:eastAsia="Arial" w:hAnsi="Arial"/>
          <w:sz w:val="16"/>
          <w:szCs w:val="16"/>
          <w:color w:val="auto"/>
        </w:rPr>
        <w:t>. The term of this Agreement (the “Term”) shall be from the date first-above written (the “Commencement Date”) through the first to occur of:</w:t>
      </w:r>
    </w:p>
    <w:p>
      <w:pPr>
        <w:spacing w:after="0" w:line="46" w:lineRule="exact"/>
        <w:rPr>
          <w:rFonts w:ascii="Arial" w:cs="Arial" w:eastAsia="Arial" w:hAnsi="Arial"/>
          <w:sz w:val="16"/>
          <w:szCs w:val="16"/>
          <w:color w:val="auto"/>
        </w:rPr>
      </w:pPr>
    </w:p>
    <w:p>
      <w:pPr>
        <w:ind w:right="60" w:firstLine="8"/>
        <w:spacing w:after="0" w:line="302" w:lineRule="auto"/>
        <w:tabs>
          <w:tab w:leader="none" w:pos="245"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date Employee’s employment is terminated in accordance with Paragraph 6; or (b) December 31, 2020 (the date specified in subparagraph (b) above is referred to as the “Regular End Date”). Notwithstanding the end of the Term, the Company’s obligations to make any payments expressly set forth herein to be made after the Term, and the parties’ rights and obligations contained in Paragraphs 8, 9 and 10, shall be enforceable after the end of the Term.</w:t>
      </w:r>
    </w:p>
    <w:p>
      <w:pPr>
        <w:sectPr>
          <w:pgSz w:w="11900" w:h="16838" w:orient="portrait"/>
          <w:cols w:equalWidth="0" w:num="1">
            <w:col w:w="11420"/>
          </w:cols>
          <w:pgMar w:left="240" w:top="121" w:right="239" w:bottom="1440" w:gutter="0" w:footer="0" w:header="0"/>
        </w:sectPr>
      </w:pPr>
    </w:p>
    <w:bookmarkStart w:id="94" w:name="page95"/>
    <w:bookmarkEnd w:id="94"/>
    <w:p>
      <w:pPr>
        <w:ind w:left="620" w:hanging="176"/>
        <w:spacing w:after="0"/>
        <w:tabs>
          <w:tab w:leader="none" w:pos="62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Compensation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0" w:firstLine="921"/>
        <w:spacing w:after="0" w:line="297" w:lineRule="auto"/>
        <w:tabs>
          <w:tab w:leader="none" w:pos="1137" w:val="left"/>
        </w:tabs>
        <w:numPr>
          <w:ilvl w:val="1"/>
          <w:numId w:val="42"/>
        </w:numPr>
        <w:rPr>
          <w:rFonts w:ascii="Arial" w:cs="Arial" w:eastAsia="Arial" w:hAnsi="Arial"/>
          <w:sz w:val="16"/>
          <w:szCs w:val="16"/>
          <w:color w:val="auto"/>
        </w:rPr>
      </w:pPr>
      <w:r>
        <w:rPr>
          <w:rFonts w:ascii="Arial" w:cs="Arial" w:eastAsia="Arial" w:hAnsi="Arial"/>
          <w:sz w:val="16"/>
          <w:szCs w:val="16"/>
          <w:u w:val="single" w:color="auto"/>
          <w:color w:val="auto"/>
        </w:rPr>
        <w:t>Base Salary</w:t>
      </w:r>
      <w:r>
        <w:rPr>
          <w:rFonts w:ascii="Arial" w:cs="Arial" w:eastAsia="Arial" w:hAnsi="Arial"/>
          <w:sz w:val="16"/>
          <w:szCs w:val="16"/>
          <w:color w:val="auto"/>
        </w:rPr>
        <w:t>. Employee’s base salary (“Base Salary”) from the Commencement Date through February 29, 2016 shall be at the annual rate set forth on Schedule 1. Employee shall thereafter be entitled to participate in any salary increase program offered during the Term, on a basis consistent with that applicable to other employees at Employee’s level, taking into account Employee’s position, duties and performance. Base Salary shall not be reduced other than as part of a salary reduction program effected on a basis consistent with that applicable to other employees at Employee’s level. Base Salary, less normal deductions, shall be paid to Employee in accordance with the Company’s payroll practices in effect from time to time.</w:t>
      </w:r>
    </w:p>
    <w:p>
      <w:pPr>
        <w:spacing w:after="0" w:line="158" w:lineRule="exact"/>
        <w:rPr>
          <w:rFonts w:ascii="Arial" w:cs="Arial" w:eastAsia="Arial" w:hAnsi="Arial"/>
          <w:sz w:val="16"/>
          <w:szCs w:val="16"/>
          <w:color w:val="auto"/>
        </w:rPr>
      </w:pPr>
    </w:p>
    <w:p>
      <w:pPr>
        <w:ind w:left="1160" w:hanging="259"/>
        <w:spacing w:after="0"/>
        <w:tabs>
          <w:tab w:leader="none" w:pos="1160" w:val="left"/>
        </w:tabs>
        <w:numPr>
          <w:ilvl w:val="1"/>
          <w:numId w:val="42"/>
        </w:numPr>
        <w:rPr>
          <w:rFonts w:ascii="Arial" w:cs="Arial" w:eastAsia="Arial" w:hAnsi="Arial"/>
          <w:sz w:val="18"/>
          <w:szCs w:val="18"/>
          <w:color w:val="auto"/>
        </w:rPr>
      </w:pPr>
      <w:r>
        <w:rPr>
          <w:rFonts w:ascii="Arial" w:cs="Arial" w:eastAsia="Arial" w:hAnsi="Arial"/>
          <w:sz w:val="18"/>
          <w:szCs w:val="18"/>
          <w:u w:val="single" w:color="auto"/>
          <w:color w:val="auto"/>
        </w:rPr>
        <w:t>Restricted Stock and Stock Option Grants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0" w:right="460" w:firstLine="1492"/>
        <w:spacing w:after="0" w:line="264" w:lineRule="auto"/>
        <w:tabs>
          <w:tab w:leader="none" w:pos="1678" w:val="left"/>
        </w:tabs>
        <w:numPr>
          <w:ilvl w:val="2"/>
          <w:numId w:val="42"/>
        </w:numPr>
        <w:rPr>
          <w:rFonts w:ascii="Arial" w:cs="Arial" w:eastAsia="Arial" w:hAnsi="Arial"/>
          <w:sz w:val="18"/>
          <w:szCs w:val="18"/>
          <w:color w:val="auto"/>
        </w:rPr>
      </w:pPr>
      <w:r>
        <w:rPr>
          <w:rFonts w:ascii="Arial" w:cs="Arial" w:eastAsia="Arial" w:hAnsi="Arial"/>
          <w:sz w:val="18"/>
          <w:szCs w:val="18"/>
          <w:color w:val="auto"/>
        </w:rPr>
        <w:t>As soon as practicable after the later of the Commencement Date and the date on which this Agreement has been fully executed, Employee shall receive a grant of restricted stock units under the Company’s Restricted Stock Plan for the number of shares of the Company’s Class A Common Stock set forth on Schedule 1. Such units shall vest as set forth on Schedule 1.</w:t>
      </w:r>
    </w:p>
    <w:p>
      <w:pPr>
        <w:spacing w:after="0" w:line="181" w:lineRule="exact"/>
        <w:rPr>
          <w:rFonts w:ascii="Arial" w:cs="Arial" w:eastAsia="Arial" w:hAnsi="Arial"/>
          <w:sz w:val="18"/>
          <w:szCs w:val="18"/>
          <w:color w:val="auto"/>
        </w:rPr>
      </w:pPr>
    </w:p>
    <w:p>
      <w:pPr>
        <w:ind w:left="-20" w:right="580" w:firstLine="1492"/>
        <w:spacing w:after="0" w:line="286" w:lineRule="auto"/>
        <w:tabs>
          <w:tab w:leader="none" w:pos="1728" w:val="left"/>
        </w:tabs>
        <w:numPr>
          <w:ilvl w:val="2"/>
          <w:numId w:val="42"/>
        </w:numPr>
        <w:rPr>
          <w:rFonts w:ascii="Arial" w:cs="Arial" w:eastAsia="Arial" w:hAnsi="Arial"/>
          <w:sz w:val="17"/>
          <w:szCs w:val="17"/>
          <w:color w:val="auto"/>
        </w:rPr>
      </w:pPr>
      <w:r>
        <w:rPr>
          <w:rFonts w:ascii="Arial" w:cs="Arial" w:eastAsia="Arial" w:hAnsi="Arial"/>
          <w:sz w:val="17"/>
          <w:szCs w:val="17"/>
          <w:color w:val="auto"/>
        </w:rPr>
        <w:t>Continuing in 2016, Employee shall be entitled to participate in any annual (or other) broad-based grant programs under the Company’s Restricted Stock Plan and/or Stock Option Plan (or any successor equity-based compensation plan or plans) on a basis consistent with that applicable to other employees at Employee’s level, taking into account Employee’s position, duties and performance.</w:t>
      </w:r>
    </w:p>
    <w:p>
      <w:pPr>
        <w:spacing w:after="0" w:line="165" w:lineRule="exact"/>
        <w:rPr>
          <w:rFonts w:ascii="Arial" w:cs="Arial" w:eastAsia="Arial" w:hAnsi="Arial"/>
          <w:sz w:val="17"/>
          <w:szCs w:val="17"/>
          <w:color w:val="auto"/>
        </w:rPr>
      </w:pPr>
    </w:p>
    <w:p>
      <w:pPr>
        <w:ind w:left="1140" w:hanging="239"/>
        <w:spacing w:after="0"/>
        <w:tabs>
          <w:tab w:leader="none" w:pos="1140" w:val="left"/>
        </w:tabs>
        <w:numPr>
          <w:ilvl w:val="1"/>
          <w:numId w:val="42"/>
        </w:numPr>
        <w:rPr>
          <w:rFonts w:ascii="Arial" w:cs="Arial" w:eastAsia="Arial" w:hAnsi="Arial"/>
          <w:sz w:val="18"/>
          <w:szCs w:val="18"/>
          <w:color w:val="auto"/>
        </w:rPr>
      </w:pPr>
      <w:r>
        <w:rPr>
          <w:rFonts w:ascii="Arial" w:cs="Arial" w:eastAsia="Arial" w:hAnsi="Arial"/>
          <w:sz w:val="18"/>
          <w:szCs w:val="18"/>
          <w:u w:val="single" w:color="auto"/>
          <w:color w:val="auto"/>
        </w:rPr>
        <w:t>Cash Bonuses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0" w:right="60" w:firstLine="1492"/>
        <w:spacing w:after="0" w:line="286" w:lineRule="auto"/>
        <w:tabs>
          <w:tab w:leader="none" w:pos="1678" w:val="left"/>
        </w:tabs>
        <w:numPr>
          <w:ilvl w:val="2"/>
          <w:numId w:val="42"/>
        </w:numPr>
        <w:rPr>
          <w:rFonts w:ascii="Arial" w:cs="Arial" w:eastAsia="Arial" w:hAnsi="Arial"/>
          <w:sz w:val="17"/>
          <w:szCs w:val="17"/>
          <w:color w:val="auto"/>
        </w:rPr>
      </w:pPr>
      <w:r>
        <w:rPr>
          <w:rFonts w:ascii="Arial" w:cs="Arial" w:eastAsia="Arial" w:hAnsi="Arial"/>
          <w:sz w:val="17"/>
          <w:szCs w:val="17"/>
          <w:color w:val="auto"/>
        </w:rPr>
        <w:t>Employee shall be entitled to continue to participate in the Company’s Cash Bonus Plan as set forth on Schedule 1 for 2015 and 2016. Employee’s participation in such Plan will be pursuant to the terms and conditions thereof. The performance goals applicable to such cash bonus will be consistent with those applicable to other employees at Employee’s level, taking into account Employee’s position and duties.</w:t>
      </w:r>
    </w:p>
    <w:p>
      <w:pPr>
        <w:spacing w:after="0" w:line="165" w:lineRule="exact"/>
        <w:rPr>
          <w:rFonts w:ascii="Arial" w:cs="Arial" w:eastAsia="Arial" w:hAnsi="Arial"/>
          <w:sz w:val="17"/>
          <w:szCs w:val="17"/>
          <w:color w:val="auto"/>
        </w:rPr>
      </w:pPr>
    </w:p>
    <w:p>
      <w:pPr>
        <w:ind w:left="-20" w:right="60" w:firstLine="1492"/>
        <w:spacing w:after="0" w:line="259" w:lineRule="auto"/>
        <w:tabs>
          <w:tab w:leader="none" w:pos="1728" w:val="left"/>
        </w:tabs>
        <w:numPr>
          <w:ilvl w:val="2"/>
          <w:numId w:val="42"/>
        </w:numPr>
        <w:rPr>
          <w:rFonts w:ascii="Arial" w:cs="Arial" w:eastAsia="Arial" w:hAnsi="Arial"/>
          <w:sz w:val="18"/>
          <w:szCs w:val="18"/>
          <w:color w:val="auto"/>
        </w:rPr>
      </w:pPr>
      <w:r>
        <w:rPr>
          <w:rFonts w:ascii="Arial" w:cs="Arial" w:eastAsia="Arial" w:hAnsi="Arial"/>
          <w:sz w:val="18"/>
          <w:szCs w:val="18"/>
          <w:color w:val="auto"/>
        </w:rPr>
        <w:t>Employee shall be entitled to continued participation in the Company’s Cash Bonus Plan (or any successor performance-based cash incentive compensation plan) with respect to each subsequent calendar year (or portion thereof) in the Term on a basis consistent with that applicable to other employees at Employee’s level, taking into account Employee’s position, duties and performance, provided that in no event will the percentage of eligible earnings target bonus potential thereunder be less than that set forth on Schedule 1.</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60" w:top="274" w:right="239" w:bottom="1440" w:gutter="0" w:footer="0" w:header="0"/>
        </w:sectPr>
      </w:pPr>
    </w:p>
    <w:bookmarkStart w:id="95" w:name="page96"/>
    <w:bookmarkEnd w:id="95"/>
    <w:p>
      <w:pPr>
        <w:ind w:left="716" w:hanging="259"/>
        <w:spacing w:after="0"/>
        <w:tabs>
          <w:tab w:leader="none" w:pos="716"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Deferred Compensation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64" w:right="480" w:firstLine="1492"/>
        <w:spacing w:after="0" w:line="277" w:lineRule="auto"/>
        <w:tabs>
          <w:tab w:leader="none" w:pos="1234" w:val="left"/>
        </w:tabs>
        <w:numPr>
          <w:ilvl w:val="1"/>
          <w:numId w:val="43"/>
        </w:numPr>
        <w:rPr>
          <w:rFonts w:ascii="Arial" w:cs="Arial" w:eastAsia="Arial" w:hAnsi="Arial"/>
          <w:sz w:val="18"/>
          <w:szCs w:val="18"/>
          <w:color w:val="auto"/>
        </w:rPr>
      </w:pPr>
      <w:r>
        <w:rPr>
          <w:rFonts w:ascii="Arial" w:cs="Arial" w:eastAsia="Arial" w:hAnsi="Arial"/>
          <w:sz w:val="18"/>
          <w:szCs w:val="18"/>
          <w:color w:val="auto"/>
        </w:rPr>
        <w:t>Employee shall be entitled to participate in the Company’s deferred compensation plans and programs on the same terms as the Company’s other senior executive officers.</w:t>
      </w:r>
    </w:p>
    <w:p>
      <w:pPr>
        <w:spacing w:after="0" w:line="170" w:lineRule="exact"/>
        <w:rPr>
          <w:rFonts w:ascii="Arial" w:cs="Arial" w:eastAsia="Arial" w:hAnsi="Arial"/>
          <w:sz w:val="18"/>
          <w:szCs w:val="18"/>
          <w:color w:val="auto"/>
        </w:rPr>
      </w:pPr>
    </w:p>
    <w:p>
      <w:pPr>
        <w:ind w:left="-464" w:firstLine="1492"/>
        <w:spacing w:after="0" w:line="264" w:lineRule="auto"/>
        <w:tabs>
          <w:tab w:leader="none" w:pos="1284" w:val="left"/>
        </w:tabs>
        <w:numPr>
          <w:ilvl w:val="1"/>
          <w:numId w:val="43"/>
        </w:numPr>
        <w:rPr>
          <w:rFonts w:ascii="Arial" w:cs="Arial" w:eastAsia="Arial" w:hAnsi="Arial"/>
          <w:sz w:val="18"/>
          <w:szCs w:val="18"/>
          <w:color w:val="auto"/>
        </w:rPr>
      </w:pPr>
      <w:r>
        <w:rPr>
          <w:rFonts w:ascii="Arial" w:cs="Arial" w:eastAsia="Arial" w:hAnsi="Arial"/>
          <w:sz w:val="18"/>
          <w:szCs w:val="18"/>
          <w:color w:val="auto"/>
        </w:rPr>
        <w:t>In addition, the Company shall credit to Employee’s account under, and pursuant to the terms and conditions of, the Company’s 2005 Deferred Compensation Plan (or any successor plan), (A) as of January 1, 2016, $1,276,281, and (B) as of January 1 of each of the following calendar years, the following amounts:</w:t>
      </w:r>
    </w:p>
    <w:p>
      <w:pPr>
        <w:spacing w:after="0" w:line="204" w:lineRule="exact"/>
        <w:rPr>
          <w:sz w:val="20"/>
          <w:szCs w:val="20"/>
          <w:color w:val="auto"/>
        </w:rPr>
      </w:pPr>
    </w:p>
    <w:tbl>
      <w:tblPr>
        <w:tblLayout w:type="fixed"/>
        <w:tblInd w:w="1376" w:type="dxa"/>
        <w:tblCellMar>
          <w:top w:w="0" w:type="dxa"/>
          <w:left w:w="0" w:type="dxa"/>
          <w:bottom w:w="0" w:type="dxa"/>
          <w:right w:w="0" w:type="dxa"/>
        </w:tblCellMar>
      </w:tblPr>
      <w:tr>
        <w:trPr>
          <w:trHeight w:val="167"/>
        </w:trPr>
        <w:tc>
          <w:tcPr>
            <w:tcW w:w="3600" w:type="dxa"/>
            <w:vAlign w:val="bottom"/>
          </w:tcPr>
          <w:p>
            <w:pPr>
              <w:spacing w:after="0"/>
              <w:rPr>
                <w:sz w:val="20"/>
                <w:szCs w:val="20"/>
                <w:color w:val="auto"/>
              </w:rPr>
            </w:pPr>
            <w:r>
              <w:rPr>
                <w:rFonts w:ascii="Arial" w:cs="Arial" w:eastAsia="Arial" w:hAnsi="Arial"/>
                <w:sz w:val="14"/>
                <w:szCs w:val="14"/>
                <w:color w:val="auto"/>
              </w:rPr>
              <w:t>Year</w:t>
            </w:r>
          </w:p>
        </w:tc>
        <w:tc>
          <w:tcPr>
            <w:tcW w:w="4160" w:type="dxa"/>
            <w:vAlign w:val="bottom"/>
          </w:tcPr>
          <w:p>
            <w:pPr>
              <w:jc w:val="center"/>
              <w:ind w:left="3034"/>
              <w:spacing w:after="0"/>
              <w:rPr>
                <w:sz w:val="20"/>
                <w:szCs w:val="20"/>
                <w:color w:val="auto"/>
              </w:rPr>
            </w:pPr>
            <w:r>
              <w:rPr>
                <w:rFonts w:ascii="Arial" w:cs="Arial" w:eastAsia="Arial" w:hAnsi="Arial"/>
                <w:sz w:val="14"/>
                <w:szCs w:val="14"/>
                <w:color w:val="auto"/>
                <w:w w:val="99"/>
              </w:rPr>
              <w:t>Amount</w:t>
            </w: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4160" w:type="dxa"/>
            <w:vAlign w:val="bottom"/>
            <w:shd w:val="clear" w:color="auto" w:fill="CCEEFF"/>
          </w:tcPr>
          <w:p>
            <w:pPr>
              <w:jc w:val="center"/>
              <w:ind w:left="3054"/>
              <w:spacing w:after="0"/>
              <w:rPr>
                <w:sz w:val="20"/>
                <w:szCs w:val="20"/>
                <w:color w:val="auto"/>
              </w:rPr>
            </w:pPr>
            <w:r>
              <w:rPr>
                <w:rFonts w:ascii="Arial" w:cs="Arial" w:eastAsia="Arial" w:hAnsi="Arial"/>
                <w:sz w:val="18"/>
                <w:szCs w:val="18"/>
                <w:color w:val="auto"/>
                <w:w w:val="90"/>
              </w:rPr>
              <w:t>$1,340,095</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2018</w:t>
            </w:r>
          </w:p>
        </w:tc>
        <w:tc>
          <w:tcPr>
            <w:tcW w:w="4160" w:type="dxa"/>
            <w:vAlign w:val="bottom"/>
          </w:tcPr>
          <w:p>
            <w:pPr>
              <w:jc w:val="center"/>
              <w:ind w:left="3054"/>
              <w:spacing w:after="0"/>
              <w:rPr>
                <w:sz w:val="20"/>
                <w:szCs w:val="20"/>
                <w:color w:val="auto"/>
              </w:rPr>
            </w:pPr>
            <w:r>
              <w:rPr>
                <w:rFonts w:ascii="Arial" w:cs="Arial" w:eastAsia="Arial" w:hAnsi="Arial"/>
                <w:sz w:val="18"/>
                <w:szCs w:val="18"/>
                <w:color w:val="auto"/>
                <w:w w:val="90"/>
              </w:rPr>
              <w:t>$1,407,099</w:t>
            </w: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4160" w:type="dxa"/>
            <w:vAlign w:val="bottom"/>
            <w:shd w:val="clear" w:color="auto" w:fill="CCEEFF"/>
          </w:tcPr>
          <w:p>
            <w:pPr>
              <w:jc w:val="center"/>
              <w:ind w:left="3054"/>
              <w:spacing w:after="0"/>
              <w:rPr>
                <w:sz w:val="20"/>
                <w:szCs w:val="20"/>
                <w:color w:val="auto"/>
              </w:rPr>
            </w:pPr>
            <w:r>
              <w:rPr>
                <w:rFonts w:ascii="Arial" w:cs="Arial" w:eastAsia="Arial" w:hAnsi="Arial"/>
                <w:sz w:val="18"/>
                <w:szCs w:val="18"/>
                <w:color w:val="auto"/>
                <w:w w:val="90"/>
              </w:rPr>
              <w:t>$1,477,454</w:t>
            </w:r>
          </w:p>
        </w:tc>
      </w:t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2020</w:t>
            </w:r>
          </w:p>
        </w:tc>
        <w:tc>
          <w:tcPr>
            <w:tcW w:w="4160" w:type="dxa"/>
            <w:vAlign w:val="bottom"/>
          </w:tcPr>
          <w:p>
            <w:pPr>
              <w:jc w:val="center"/>
              <w:ind w:left="3054"/>
              <w:spacing w:after="0"/>
              <w:rPr>
                <w:sz w:val="20"/>
                <w:szCs w:val="20"/>
                <w:color w:val="auto"/>
              </w:rPr>
            </w:pPr>
            <w:r>
              <w:rPr>
                <w:rFonts w:ascii="Arial" w:cs="Arial" w:eastAsia="Arial" w:hAnsi="Arial"/>
                <w:sz w:val="18"/>
                <w:szCs w:val="18"/>
                <w:color w:val="auto"/>
                <w:w w:val="90"/>
              </w:rPr>
              <w:t>$1,551,327</w:t>
            </w:r>
          </w:p>
        </w:tc>
      </w:tr>
    </w:tbl>
    <w:p>
      <w:pPr>
        <w:spacing w:after="0" w:line="187" w:lineRule="exact"/>
        <w:rPr>
          <w:sz w:val="20"/>
          <w:szCs w:val="20"/>
          <w:color w:val="auto"/>
        </w:rPr>
      </w:pPr>
    </w:p>
    <w:p>
      <w:pPr>
        <w:ind w:left="-464" w:firstLine="464"/>
        <w:spacing w:after="0" w:line="271" w:lineRule="auto"/>
        <w:tabs>
          <w:tab w:leader="none" w:pos="172" w:val="left"/>
        </w:tabs>
        <w:numPr>
          <w:ilvl w:val="0"/>
          <w:numId w:val="44"/>
        </w:numPr>
        <w:rPr>
          <w:rFonts w:ascii="Arial" w:cs="Arial" w:eastAsia="Arial" w:hAnsi="Arial"/>
          <w:sz w:val="17"/>
          <w:szCs w:val="17"/>
          <w:color w:val="auto"/>
        </w:rPr>
      </w:pPr>
      <w:r>
        <w:rPr>
          <w:rFonts w:ascii="Arial" w:cs="Arial" w:eastAsia="Arial" w:hAnsi="Arial"/>
          <w:sz w:val="17"/>
          <w:szCs w:val="17"/>
          <w:u w:val="single" w:color="auto"/>
          <w:color w:val="auto"/>
        </w:rPr>
        <w:t>Benefit Plans and Programs</w:t>
      </w:r>
      <w:r>
        <w:rPr>
          <w:rFonts w:ascii="Arial" w:cs="Arial" w:eastAsia="Arial" w:hAnsi="Arial"/>
          <w:sz w:val="17"/>
          <w:szCs w:val="17"/>
          <w:color w:val="auto"/>
        </w:rPr>
        <w:t>. Employee shall be entitled to: (a) participate in the Company’s health and welfare and other employee benefit plans and programs (including group insurance programs, vacation benefits on terms (including cost) as are consistent with those made available to other employees at Employee’s level, taking into account Employee’s position and duties, in accordance with the terms of such plans and programs; and (b) applicable directors and officers liability insurance and indemnification and advancement of expenses provisions relating to claims made by third parties against Employee in Employee’s role as a director, officer or employee) (collectively, “Benefit Plans”). Nothing in this Agreement shall limit the Company’s right to modify or discontinue any Benefit Plans at any time, provided no such action may adversely affect any vested rights of Employee thereunder. The provisions of this Paragraph 4 shall not apply to compensation and benefit plans and programs specifically addressed in this Agreement, in which case the applicable terms of this Agreement shall control.</w:t>
      </w:r>
    </w:p>
    <w:p>
      <w:pPr>
        <w:spacing w:after="0" w:line="178" w:lineRule="exact"/>
        <w:rPr>
          <w:rFonts w:ascii="Arial" w:cs="Arial" w:eastAsia="Arial" w:hAnsi="Arial"/>
          <w:sz w:val="17"/>
          <w:szCs w:val="17"/>
          <w:color w:val="auto"/>
        </w:rPr>
      </w:pPr>
    </w:p>
    <w:p>
      <w:pPr>
        <w:ind w:left="-464" w:right="140" w:firstLine="464"/>
        <w:spacing w:after="0" w:line="286" w:lineRule="auto"/>
        <w:tabs>
          <w:tab w:leader="none" w:pos="172" w:val="left"/>
        </w:tabs>
        <w:numPr>
          <w:ilvl w:val="0"/>
          <w:numId w:val="44"/>
        </w:numPr>
        <w:rPr>
          <w:rFonts w:ascii="Arial" w:cs="Arial" w:eastAsia="Arial" w:hAnsi="Arial"/>
          <w:sz w:val="17"/>
          <w:szCs w:val="17"/>
          <w:color w:val="auto"/>
        </w:rPr>
      </w:pPr>
      <w:r>
        <w:rPr>
          <w:rFonts w:ascii="Arial" w:cs="Arial" w:eastAsia="Arial" w:hAnsi="Arial"/>
          <w:sz w:val="17"/>
          <w:szCs w:val="17"/>
          <w:u w:val="single" w:color="auto"/>
          <w:color w:val="auto"/>
        </w:rPr>
        <w:t>Business Expenses</w:t>
      </w:r>
      <w:r>
        <w:rPr>
          <w:rFonts w:ascii="Arial" w:cs="Arial" w:eastAsia="Arial" w:hAnsi="Arial"/>
          <w:sz w:val="17"/>
          <w:szCs w:val="17"/>
          <w:color w:val="auto"/>
        </w:rPr>
        <w:t>. The Company shall pay or reimburse Employee for reasonable travel, lodging, meals, entertainment and other reasonable expenses incurred by Employee in connection with the performance of Employee’s duties hereunder, upon presentation of receipts therefor submitted to the Company on a timely basis and in accordance with the Company’s policies and practices in effect from time to time.</w:t>
      </w:r>
    </w:p>
    <w:p>
      <w:pPr>
        <w:spacing w:after="0" w:line="165" w:lineRule="exact"/>
        <w:rPr>
          <w:rFonts w:ascii="Arial" w:cs="Arial" w:eastAsia="Arial" w:hAnsi="Arial"/>
          <w:sz w:val="17"/>
          <w:szCs w:val="17"/>
          <w:color w:val="auto"/>
        </w:rPr>
      </w:pPr>
    </w:p>
    <w:p>
      <w:pPr>
        <w:ind w:left="-464" w:right="220" w:firstLine="464"/>
        <w:spacing w:after="0" w:line="312" w:lineRule="auto"/>
        <w:tabs>
          <w:tab w:leader="none" w:pos="172"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t>Termination</w:t>
      </w:r>
      <w:r>
        <w:rPr>
          <w:rFonts w:ascii="Arial" w:cs="Arial" w:eastAsia="Arial" w:hAnsi="Arial"/>
          <w:sz w:val="16"/>
          <w:szCs w:val="16"/>
          <w:color w:val="auto"/>
        </w:rPr>
        <w:t>. Employee’s employment, and the Company’s obligations under this Agreement (excluding any obligations the Company may have under Paragraph 7, any other obligations expressly set forth herein as surviving termination of employment, and any obligations with respect to any vested rights of Employee under any compensation or benefit plans or programs), shall or may be terminated, in the circumstances set forth below.</w:t>
      </w:r>
    </w:p>
    <w:p>
      <w:pPr>
        <w:spacing w:after="0" w:line="147" w:lineRule="exact"/>
        <w:rPr>
          <w:sz w:val="20"/>
          <w:szCs w:val="20"/>
          <w:color w:val="auto"/>
        </w:rPr>
      </w:pPr>
    </w:p>
    <w:p>
      <w:pPr>
        <w:ind w:left="5196" w:right="3300" w:hanging="4739"/>
        <w:spacing w:after="0" w:line="449" w:lineRule="auto"/>
        <w:tabs>
          <w:tab w:leader="none" w:pos="692"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Death</w:t>
      </w:r>
      <w:r>
        <w:rPr>
          <w:rFonts w:ascii="Arial" w:cs="Arial" w:eastAsia="Arial" w:hAnsi="Arial"/>
          <w:sz w:val="18"/>
          <w:szCs w:val="18"/>
          <w:color w:val="auto"/>
        </w:rPr>
        <w:t>. Employee’s employment shall terminate automatically in the event of Employee’s death. 3</w:t>
      </w:r>
    </w:p>
    <w:p>
      <w:pPr>
        <w:sectPr>
          <w:pgSz w:w="11900" w:h="16838" w:orient="portrait"/>
          <w:cols w:equalWidth="0" w:num="1">
            <w:col w:w="10896"/>
          </w:cols>
          <w:pgMar w:left="704" w:top="274" w:right="299" w:bottom="1440" w:gutter="0" w:footer="0" w:header="0"/>
        </w:sectPr>
      </w:pPr>
    </w:p>
    <w:bookmarkStart w:id="96" w:name="page97"/>
    <w:bookmarkEnd w:id="96"/>
    <w:p>
      <w:pPr>
        <w:ind w:left="-60" w:right="20" w:firstLine="921"/>
        <w:spacing w:after="0" w:line="259" w:lineRule="auto"/>
        <w:tabs>
          <w:tab w:leader="none" w:pos="1108" w:val="left"/>
        </w:tabs>
        <w:numPr>
          <w:ilvl w:val="1"/>
          <w:numId w:val="4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Disability</w:t>
      </w:r>
      <w:r>
        <w:rPr>
          <w:rFonts w:ascii="Arial" w:cs="Arial" w:eastAsia="Arial" w:hAnsi="Arial"/>
          <w:sz w:val="18"/>
          <w:szCs w:val="18"/>
          <w:color w:val="auto"/>
        </w:rPr>
        <w:t>. The Company may terminate Employee’s employment in accordance with the provisions of applicable law, in the event Employee becomes substantially unable to perform Employee’s duties hereunder due to partial or total disability or incapacity resulting from a mental or physical illness, injury or other health-related cause (“Disability”) for a period of twelve (12) consecutive months or for a cumulative period of fifty-two (52) weeks in any two (2) calendar year period.</w:t>
      </w:r>
    </w:p>
    <w:p>
      <w:pPr>
        <w:spacing w:after="0" w:line="186" w:lineRule="exact"/>
        <w:rPr>
          <w:rFonts w:ascii="Arial" w:cs="Arial" w:eastAsia="Arial" w:hAnsi="Arial"/>
          <w:sz w:val="18"/>
          <w:szCs w:val="18"/>
          <w:color w:val="auto"/>
        </w:rPr>
      </w:pPr>
    </w:p>
    <w:p>
      <w:pPr>
        <w:ind w:left="1100" w:hanging="239"/>
        <w:spacing w:after="0"/>
        <w:tabs>
          <w:tab w:leader="none" w:pos="1100" w:val="left"/>
        </w:tabs>
        <w:numPr>
          <w:ilvl w:val="1"/>
          <w:numId w:val="46"/>
        </w:numPr>
        <w:rPr>
          <w:rFonts w:ascii="Arial" w:cs="Arial" w:eastAsia="Arial" w:hAnsi="Arial"/>
          <w:sz w:val="18"/>
          <w:szCs w:val="18"/>
          <w:color w:val="auto"/>
        </w:rPr>
      </w:pPr>
      <w:r>
        <w:rPr>
          <w:rFonts w:ascii="Arial" w:cs="Arial" w:eastAsia="Arial" w:hAnsi="Arial"/>
          <w:sz w:val="18"/>
          <w:szCs w:val="18"/>
          <w:u w:val="single" w:color="auto"/>
          <w:color w:val="auto"/>
        </w:rPr>
        <w:t>Termination With Cause by the Company or Termination Without Good Reason by Employee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0" w:firstLine="1492"/>
        <w:spacing w:after="0" w:line="255" w:lineRule="auto"/>
        <w:tabs>
          <w:tab w:leader="none" w:pos="1638" w:val="left"/>
        </w:tabs>
        <w:numPr>
          <w:ilvl w:val="2"/>
          <w:numId w:val="46"/>
        </w:numPr>
        <w:rPr>
          <w:rFonts w:ascii="Arial" w:cs="Arial" w:eastAsia="Arial" w:hAnsi="Arial"/>
          <w:sz w:val="18"/>
          <w:szCs w:val="18"/>
          <w:color w:val="auto"/>
        </w:rPr>
      </w:pPr>
      <w:r>
        <w:rPr>
          <w:rFonts w:ascii="Arial" w:cs="Arial" w:eastAsia="Arial" w:hAnsi="Arial"/>
          <w:sz w:val="18"/>
          <w:szCs w:val="18"/>
          <w:color w:val="auto"/>
        </w:rPr>
        <w:t>The Company may terminate Employee’s employment upon written notice following its determination that Employee has committed any of the following acts (“Termination With Cause”): conviction of a felony or a crime involving moral turpitude; fraud; embezzlement or other misappropriation of funds; material misrepresentation with respect to the Company; substantial and/or repeated failure to perform duties; gross negligence or willful misconduct in the performance of duties; material violation of the Employee Handbook, the Code of Conduct or any other written Company policy; or material breach of this Agreement (which, as to the last two items, if capable of being cured (as determined by the Company), shall remain uncured following ten (10) business days after written notice thereof).</w:t>
      </w:r>
    </w:p>
    <w:p>
      <w:pPr>
        <w:spacing w:after="0" w:line="193" w:lineRule="exact"/>
        <w:rPr>
          <w:rFonts w:ascii="Arial" w:cs="Arial" w:eastAsia="Arial" w:hAnsi="Arial"/>
          <w:sz w:val="18"/>
          <w:szCs w:val="18"/>
          <w:color w:val="auto"/>
        </w:rPr>
      </w:pPr>
    </w:p>
    <w:p>
      <w:pPr>
        <w:ind w:left="-60" w:right="340" w:firstLine="1492"/>
        <w:spacing w:after="0" w:line="277" w:lineRule="auto"/>
        <w:tabs>
          <w:tab w:leader="none" w:pos="1688" w:val="left"/>
        </w:tabs>
        <w:numPr>
          <w:ilvl w:val="2"/>
          <w:numId w:val="46"/>
        </w:numPr>
        <w:rPr>
          <w:rFonts w:ascii="Arial" w:cs="Arial" w:eastAsia="Arial" w:hAnsi="Arial"/>
          <w:sz w:val="18"/>
          <w:szCs w:val="18"/>
          <w:color w:val="auto"/>
        </w:rPr>
      </w:pPr>
      <w:r>
        <w:rPr>
          <w:rFonts w:ascii="Arial" w:cs="Arial" w:eastAsia="Arial" w:hAnsi="Arial"/>
          <w:sz w:val="18"/>
          <w:szCs w:val="18"/>
          <w:color w:val="auto"/>
        </w:rPr>
        <w:t>Employee may terminate Employee’s employment at any time upon twenty (20) business days prior written notice without Good Reason (as such item is defined in subparagraph (d)(ii) below) (“Termination Without Good Reason”).</w:t>
      </w:r>
    </w:p>
    <w:p>
      <w:pPr>
        <w:spacing w:after="0" w:line="170" w:lineRule="exact"/>
        <w:rPr>
          <w:rFonts w:ascii="Arial" w:cs="Arial" w:eastAsia="Arial" w:hAnsi="Arial"/>
          <w:sz w:val="18"/>
          <w:szCs w:val="18"/>
          <w:color w:val="auto"/>
        </w:rPr>
      </w:pPr>
    </w:p>
    <w:p>
      <w:pPr>
        <w:ind w:left="1120" w:hanging="259"/>
        <w:spacing w:after="0"/>
        <w:tabs>
          <w:tab w:leader="none" w:pos="1120" w:val="left"/>
        </w:tabs>
        <w:numPr>
          <w:ilvl w:val="1"/>
          <w:numId w:val="46"/>
        </w:numPr>
        <w:rPr>
          <w:rFonts w:ascii="Arial" w:cs="Arial" w:eastAsia="Arial" w:hAnsi="Arial"/>
          <w:sz w:val="18"/>
          <w:szCs w:val="18"/>
          <w:color w:val="auto"/>
        </w:rPr>
      </w:pPr>
      <w:r>
        <w:rPr>
          <w:rFonts w:ascii="Arial" w:cs="Arial" w:eastAsia="Arial" w:hAnsi="Arial"/>
          <w:sz w:val="18"/>
          <w:szCs w:val="18"/>
          <w:u w:val="single" w:color="auto"/>
          <w:color w:val="auto"/>
        </w:rPr>
        <w:t>Termination Without Cause by the Company or Termination With Good Reason by Employee.</w:t>
      </w:r>
    </w:p>
    <w:p>
      <w:pPr>
        <w:spacing w:after="0" w:line="225" w:lineRule="exact"/>
        <w:rPr>
          <w:rFonts w:ascii="Arial" w:cs="Arial" w:eastAsia="Arial" w:hAnsi="Arial"/>
          <w:sz w:val="18"/>
          <w:szCs w:val="18"/>
          <w:color w:val="auto"/>
        </w:rPr>
      </w:pPr>
    </w:p>
    <w:p>
      <w:pPr>
        <w:ind w:left="-60" w:right="60" w:firstLine="1492"/>
        <w:spacing w:after="0" w:line="277" w:lineRule="auto"/>
        <w:tabs>
          <w:tab w:leader="none" w:pos="1638" w:val="left"/>
        </w:tabs>
        <w:numPr>
          <w:ilvl w:val="2"/>
          <w:numId w:val="46"/>
        </w:numPr>
        <w:rPr>
          <w:rFonts w:ascii="Arial" w:cs="Arial" w:eastAsia="Arial" w:hAnsi="Arial"/>
          <w:sz w:val="18"/>
          <w:szCs w:val="18"/>
          <w:color w:val="auto"/>
        </w:rPr>
      </w:pPr>
      <w:r>
        <w:rPr>
          <w:rFonts w:ascii="Arial" w:cs="Arial" w:eastAsia="Arial" w:hAnsi="Arial"/>
          <w:sz w:val="18"/>
          <w:szCs w:val="18"/>
          <w:color w:val="auto"/>
        </w:rPr>
        <w:t>The Company may terminate Employee’s employment at any time for any reason (or for no reason) upon ten (10) business days prior written notice (“Termination Without Cause”).</w:t>
      </w:r>
    </w:p>
    <w:p>
      <w:pPr>
        <w:spacing w:after="0" w:line="170" w:lineRule="exact"/>
        <w:rPr>
          <w:rFonts w:ascii="Arial" w:cs="Arial" w:eastAsia="Arial" w:hAnsi="Arial"/>
          <w:sz w:val="18"/>
          <w:szCs w:val="18"/>
          <w:color w:val="auto"/>
        </w:rPr>
      </w:pPr>
    </w:p>
    <w:p>
      <w:pPr>
        <w:ind w:left="-60" w:right="80" w:firstLine="1492"/>
        <w:spacing w:after="0" w:line="302" w:lineRule="auto"/>
        <w:tabs>
          <w:tab w:leader="none" w:pos="1688" w:val="left"/>
        </w:tabs>
        <w:numPr>
          <w:ilvl w:val="2"/>
          <w:numId w:val="46"/>
        </w:numPr>
        <w:rPr>
          <w:rFonts w:ascii="Arial" w:cs="Arial" w:eastAsia="Arial" w:hAnsi="Arial"/>
          <w:sz w:val="16"/>
          <w:szCs w:val="16"/>
          <w:color w:val="auto"/>
        </w:rPr>
      </w:pPr>
      <w:r>
        <w:rPr>
          <w:rFonts w:ascii="Arial" w:cs="Arial" w:eastAsia="Arial" w:hAnsi="Arial"/>
          <w:sz w:val="16"/>
          <w:szCs w:val="16"/>
          <w:color w:val="auto"/>
        </w:rPr>
        <w:t>Employee may terminate Employee’s employment as a result of any of the following acts of the Company (“Termination With Good Reason”) upon ten (10) business days prior written notice, provided Employee has provided Company such written notice within sixty (60) days of the occurrence thereof: a substantial demotion in Employee’s position; or material breach of this Agreement (which, as to either such item, if capable of being cured (as determined by the Company), shall remain uncured following ten (10) business days after written notice thereof) (“Good Reason”).</w:t>
      </w:r>
    </w:p>
    <w:p>
      <w:pPr>
        <w:spacing w:after="0" w:line="154" w:lineRule="exact"/>
        <w:rPr>
          <w:rFonts w:ascii="Arial" w:cs="Arial" w:eastAsia="Arial" w:hAnsi="Arial"/>
          <w:sz w:val="16"/>
          <w:szCs w:val="16"/>
          <w:color w:val="auto"/>
        </w:rPr>
      </w:pPr>
    </w:p>
    <w:p>
      <w:pPr>
        <w:ind w:left="-60" w:right="20" w:firstLine="464"/>
        <w:spacing w:after="0" w:line="277" w:lineRule="auto"/>
        <w:tabs>
          <w:tab w:leader="none" w:pos="576"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Payments and Other Entitlements As a Result of Termination</w:t>
      </w:r>
      <w:r>
        <w:rPr>
          <w:rFonts w:ascii="Arial" w:cs="Arial" w:eastAsia="Arial" w:hAnsi="Arial"/>
          <w:sz w:val="18"/>
          <w:szCs w:val="18"/>
          <w:color w:val="auto"/>
        </w:rPr>
        <w:t>. Employee’s sole entitlements as a result of a termination under Paragraph 6 shall be as set forth below.</w:t>
      </w:r>
    </w:p>
    <w:p>
      <w:pPr>
        <w:spacing w:after="0" w:line="170" w:lineRule="exact"/>
        <w:rPr>
          <w:rFonts w:ascii="Arial" w:cs="Arial" w:eastAsia="Arial" w:hAnsi="Arial"/>
          <w:sz w:val="18"/>
          <w:szCs w:val="18"/>
          <w:color w:val="auto"/>
        </w:rPr>
      </w:pPr>
    </w:p>
    <w:p>
      <w:pPr>
        <w:ind w:left="-60" w:right="140" w:firstLine="921"/>
        <w:spacing w:after="0" w:line="312" w:lineRule="auto"/>
        <w:tabs>
          <w:tab w:leader="none" w:pos="1097" w:val="left"/>
        </w:tabs>
        <w:numPr>
          <w:ilvl w:val="1"/>
          <w:numId w:val="47"/>
        </w:numPr>
        <w:rPr>
          <w:rFonts w:ascii="Arial" w:cs="Arial" w:eastAsia="Arial" w:hAnsi="Arial"/>
          <w:sz w:val="16"/>
          <w:szCs w:val="16"/>
          <w:color w:val="auto"/>
        </w:rPr>
      </w:pPr>
      <w:r>
        <w:rPr>
          <w:rFonts w:ascii="Arial" w:cs="Arial" w:eastAsia="Arial" w:hAnsi="Arial"/>
          <w:sz w:val="16"/>
          <w:szCs w:val="16"/>
          <w:u w:val="single" w:color="auto"/>
          <w:color w:val="auto"/>
        </w:rPr>
        <w:t>Death or Disability</w:t>
      </w:r>
      <w:r>
        <w:rPr>
          <w:rFonts w:ascii="Arial" w:cs="Arial" w:eastAsia="Arial" w:hAnsi="Arial"/>
          <w:sz w:val="16"/>
          <w:szCs w:val="16"/>
          <w:color w:val="auto"/>
        </w:rPr>
        <w:t>. Following termination due to death or Disability, Employee (or Employee’s estate, as applicable) shall be entitled to payment of Employee’s then-current Base Salary through the date of termination and for a period of three (3) months thereafter (payable in accordance with the Company’s regular payroll practices), amounts accrued or payable under any Benefit Plans (payable at such times as provided therein), any accrued but</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20"/>
          </w:cols>
          <w:pgMar w:left="300" w:top="274" w:right="279" w:bottom="1440" w:gutter="0" w:footer="0" w:header="0"/>
        </w:sectPr>
      </w:pPr>
    </w:p>
    <w:bookmarkStart w:id="97" w:name="page98"/>
    <w:bookmarkEnd w:id="97"/>
    <w:p>
      <w:pPr>
        <w:ind w:right="8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unused vacation time, any amounts payable for any unreimbursed business expenses, any amount that otherwise would have been payable in the current year on account of the prior year’s Cash Bonus Plan grant, an amount on account of the current year’s Cash Bonus Plan grant (pro-rated through the date of termination, and assuming achievement of performance goals at 100%) (in the case of each of the last two amounts, payable at such time as otherwise applicable absent such death or Disability), and any rights under any applicable provisions of any other compensation or benefit program or plan or grants thereunder. Except as otherwise provided herein, any amounts payable to Employee (or Employee’s estate, as applicable) pursuant to this subparagraph</w:t>
      </w:r>
    </w:p>
    <w:p>
      <w:pPr>
        <w:spacing w:after="0" w:line="1" w:lineRule="exact"/>
        <w:rPr>
          <w:sz w:val="20"/>
          <w:szCs w:val="20"/>
          <w:color w:val="auto"/>
        </w:rPr>
      </w:pPr>
    </w:p>
    <w:p>
      <w:pPr>
        <w:ind w:left="260" w:hanging="252"/>
        <w:spacing w:after="0"/>
        <w:tabs>
          <w:tab w:leader="none" w:pos="2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shall be paid no later than the 90</w:t>
      </w:r>
      <w:r>
        <w:rPr>
          <w:rFonts w:ascii="Arial" w:cs="Arial" w:eastAsia="Arial" w:hAnsi="Arial"/>
          <w:sz w:val="15"/>
          <w:szCs w:val="15"/>
          <w:color w:val="auto"/>
        </w:rPr>
        <w:t>th</w:t>
      </w:r>
      <w:r>
        <w:rPr>
          <w:rFonts w:ascii="Arial" w:cs="Arial" w:eastAsia="Arial" w:hAnsi="Arial"/>
          <w:sz w:val="18"/>
          <w:szCs w:val="18"/>
          <w:color w:val="auto"/>
        </w:rPr>
        <w:t xml:space="preserve"> day following the date of termination.</w:t>
      </w:r>
    </w:p>
    <w:p>
      <w:pPr>
        <w:spacing w:after="0" w:line="212" w:lineRule="exact"/>
        <w:rPr>
          <w:rFonts w:ascii="Arial" w:cs="Arial" w:eastAsia="Arial" w:hAnsi="Arial"/>
          <w:sz w:val="18"/>
          <w:szCs w:val="18"/>
          <w:color w:val="auto"/>
        </w:rPr>
      </w:pPr>
    </w:p>
    <w:p>
      <w:pPr>
        <w:ind w:firstLine="921"/>
        <w:spacing w:after="0" w:line="272" w:lineRule="auto"/>
        <w:tabs>
          <w:tab w:leader="none" w:pos="1168" w:val="left"/>
        </w:tabs>
        <w:numPr>
          <w:ilvl w:val="1"/>
          <w:numId w:val="48"/>
        </w:numPr>
        <w:rPr>
          <w:rFonts w:ascii="Arial" w:cs="Arial" w:eastAsia="Arial" w:hAnsi="Arial"/>
          <w:sz w:val="17"/>
          <w:szCs w:val="17"/>
          <w:color w:val="auto"/>
        </w:rPr>
      </w:pPr>
      <w:r>
        <w:rPr>
          <w:rFonts w:ascii="Arial" w:cs="Arial" w:eastAsia="Arial" w:hAnsi="Arial"/>
          <w:sz w:val="17"/>
          <w:szCs w:val="17"/>
          <w:u w:val="single" w:color="auto"/>
          <w:color w:val="auto"/>
        </w:rPr>
        <w:t>Termination With Cause by the Company or Termination Without Good Reason by Employee</w:t>
      </w:r>
      <w:r>
        <w:rPr>
          <w:rFonts w:ascii="Arial" w:cs="Arial" w:eastAsia="Arial" w:hAnsi="Arial"/>
          <w:sz w:val="17"/>
          <w:szCs w:val="17"/>
          <w:color w:val="auto"/>
        </w:rPr>
        <w:t>. If Employee’s employment terminates as a result of a Termination With Cause or Termination Without Good Reason, Employee shall be entitled only to payment of Employee’s then-current Base Salary through the date of termination (payable in accordance with the Company’s regular payroll practices), amounts accrued or payable under any Benefit Plans (payable at such times as provided therein), any accrued but unused vacation time, any amounts payable for any unreimbursed business expenses, and any amount that otherwise would have been payable in the current year on account of the prior year’s Cash Bonus Plan grant (payable at such time as otherwise applicable absent such termination). Except as otherwise provided herein, any amounts payable to Employee pursuant to this subparagraph (b) shall be paid no later than the 90</w:t>
      </w:r>
      <w:r>
        <w:rPr>
          <w:rFonts w:ascii="Arial" w:cs="Arial" w:eastAsia="Arial" w:hAnsi="Arial"/>
          <w:sz w:val="14"/>
          <w:szCs w:val="14"/>
          <w:color w:val="auto"/>
        </w:rPr>
        <w:t>th</w:t>
      </w:r>
      <w:r>
        <w:rPr>
          <w:rFonts w:ascii="Arial" w:cs="Arial" w:eastAsia="Arial" w:hAnsi="Arial"/>
          <w:sz w:val="17"/>
          <w:szCs w:val="17"/>
          <w:color w:val="auto"/>
        </w:rPr>
        <w:t xml:space="preserve"> day following the date of termination.</w:t>
      </w:r>
    </w:p>
    <w:p>
      <w:pPr>
        <w:spacing w:after="0" w:line="177" w:lineRule="exact"/>
        <w:rPr>
          <w:rFonts w:ascii="Arial" w:cs="Arial" w:eastAsia="Arial" w:hAnsi="Arial"/>
          <w:sz w:val="17"/>
          <w:szCs w:val="17"/>
          <w:color w:val="auto"/>
        </w:rPr>
      </w:pPr>
    </w:p>
    <w:p>
      <w:pPr>
        <w:ind w:right="20" w:firstLine="921"/>
        <w:spacing w:after="0" w:line="255" w:lineRule="auto"/>
        <w:tabs>
          <w:tab w:leader="none" w:pos="1157" w:val="left"/>
        </w:tabs>
        <w:numPr>
          <w:ilvl w:val="1"/>
          <w:numId w:val="48"/>
        </w:numPr>
        <w:rPr>
          <w:rFonts w:ascii="Arial" w:cs="Arial" w:eastAsia="Arial" w:hAnsi="Arial"/>
          <w:sz w:val="18"/>
          <w:szCs w:val="18"/>
          <w:color w:val="auto"/>
        </w:rPr>
      </w:pPr>
      <w:r>
        <w:rPr>
          <w:rFonts w:ascii="Arial" w:cs="Arial" w:eastAsia="Arial" w:hAnsi="Arial"/>
          <w:sz w:val="18"/>
          <w:szCs w:val="18"/>
          <w:u w:val="single" w:color="auto"/>
          <w:color w:val="auto"/>
        </w:rPr>
        <w:t>Termination Without Cause by the Company or Termination With Good Reason by Employee</w:t>
      </w:r>
      <w:r>
        <w:rPr>
          <w:rFonts w:ascii="Arial" w:cs="Arial" w:eastAsia="Arial" w:hAnsi="Arial"/>
          <w:sz w:val="18"/>
          <w:szCs w:val="18"/>
          <w:color w:val="auto"/>
        </w:rPr>
        <w:t>. If Employee’s employment is terminated as a result of a Termination Without Cause or Termination With Good Reason, and subject to Employee’s entering into an agreement containing a release by Employee of the Company with respect to all matters relating to Employee’s employment and the termination thereof (other than rights under this Agreement which by their express terms continue following termination of employment and any vested rights under any compensation or benefit plan or program) within thirty (30) days following the date of termination, in a form and containing terms as the Company customarily requires of terminated employees receiving salary continuation payments:</w:t>
      </w:r>
    </w:p>
    <w:p>
      <w:pPr>
        <w:spacing w:after="0" w:line="193" w:lineRule="exact"/>
        <w:rPr>
          <w:rFonts w:ascii="Arial" w:cs="Arial" w:eastAsia="Arial" w:hAnsi="Arial"/>
          <w:sz w:val="18"/>
          <w:szCs w:val="18"/>
          <w:color w:val="auto"/>
        </w:rPr>
      </w:pPr>
    </w:p>
    <w:p>
      <w:pPr>
        <w:ind w:right="140" w:firstLine="1492"/>
        <w:spacing w:after="0" w:line="285" w:lineRule="auto"/>
        <w:tabs>
          <w:tab w:leader="none" w:pos="1698" w:val="left"/>
        </w:tabs>
        <w:numPr>
          <w:ilvl w:val="2"/>
          <w:numId w:val="48"/>
        </w:numPr>
        <w:rPr>
          <w:rFonts w:ascii="Arial" w:cs="Arial" w:eastAsia="Arial" w:hAnsi="Arial"/>
          <w:sz w:val="16"/>
          <w:szCs w:val="16"/>
          <w:color w:val="auto"/>
        </w:rPr>
      </w:pPr>
      <w:r>
        <w:rPr>
          <w:rFonts w:ascii="Arial" w:cs="Arial" w:eastAsia="Arial" w:hAnsi="Arial"/>
          <w:sz w:val="16"/>
          <w:szCs w:val="16"/>
          <w:color w:val="auto"/>
        </w:rPr>
        <w:t>Provided Employee is alive at the time of payment or receipt thereof, Employee shall be entitled to: (A) receive Employee’s then-current Base Salary in accordance with the Company’s regular payroll practices; and (B) participate in the Company’s health and welfare benefit plans and programs at the same cost to Employee as is applicable to active employees; in each case for the period of time set forth on Schedule 1 following the date of termination. Employee’s rights under the Consolidated Omnibus Budget Reconciliation Act of 1986, as amended (“COBRA”) shall run concurrently with Employee’s participation during such period of time. To the extent the provision of health and welfare benefits to Employee pursuant to subparagraph</w:t>
      </w:r>
    </w:p>
    <w:p>
      <w:pPr>
        <w:spacing w:after="0" w:line="2" w:lineRule="exact"/>
        <w:rPr>
          <w:rFonts w:ascii="Arial" w:cs="Arial" w:eastAsia="Arial" w:hAnsi="Arial"/>
          <w:sz w:val="16"/>
          <w:szCs w:val="16"/>
          <w:color w:val="auto"/>
        </w:rPr>
      </w:pPr>
    </w:p>
    <w:p>
      <w:pPr>
        <w:spacing w:after="0" w:line="271" w:lineRule="auto"/>
        <w:rPr>
          <w:rFonts w:ascii="Arial" w:cs="Arial" w:eastAsia="Arial" w:hAnsi="Arial"/>
          <w:sz w:val="16"/>
          <w:szCs w:val="16"/>
          <w:color w:val="auto"/>
        </w:rPr>
      </w:pPr>
      <w:r>
        <w:rPr>
          <w:rFonts w:ascii="Arial" w:cs="Arial" w:eastAsia="Arial" w:hAnsi="Arial"/>
          <w:sz w:val="17"/>
          <w:szCs w:val="17"/>
          <w:color w:val="auto"/>
        </w:rPr>
        <w:t>(B) above constitutes a “deferral of compensation” within the meaning of Section 409A of the Internal Revenue Code (the “Code”), and its implementing regulations and guidance, the provision of such benefits shall be subject to the terms and conditions of subparagraph 13(a). Subject to subparagraph 13(c), the payments and benefits described in this subparagraph (i) will begin to be paid or provided as soon as administratively practicable after the release described in subparagraph (c) above becomes irrevocable, provided that if the 30-day period described in such subparagraph begins in one taxable year and ends in the following taxable year, such payments or benefits shall not commence until the following taxable year.</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98" w:name="page99"/>
    <w:bookmarkEnd w:id="98"/>
    <w:p>
      <w:pPr>
        <w:ind w:left="-40" w:right="20" w:firstLine="1492"/>
        <w:spacing w:after="0" w:line="272" w:lineRule="auto"/>
        <w:tabs>
          <w:tab w:leader="none" w:pos="1708" w:val="left"/>
        </w:tabs>
        <w:numPr>
          <w:ilvl w:val="1"/>
          <w:numId w:val="4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Employee shall also receive payment of Employee’s then-current Base Salary through the date of termination (payable in accordance with the Company’s regular payroll practices); amounts accrued or payable under any Benefit Plans (payable at such times as provided therein); any accrued but unused vacation time; any amounts payable for any unreimbursed business expenses; and any amount that otherwise would have been payable in the current year on account of the prior year’s Cash Bonus Plan grant, payable at such time as otherwise applicable absent such termination, provided that if the 30-day period described in subparagraph (c) above begins in one taxable year and ends in the following taxable year, such amount shall be paid no earlier than in the following taxable year). Except as otherwise provided herein, any amounts payable to Employee pursuant to this subparagraph (ii) shall be paid no later than the 90</w:t>
      </w:r>
      <w:r>
        <w:rPr>
          <w:rFonts w:ascii="Arial" w:cs="Arial" w:eastAsia="Arial" w:hAnsi="Arial"/>
          <w:sz w:val="14"/>
          <w:szCs w:val="14"/>
          <w:color w:val="auto"/>
        </w:rPr>
        <w:t>th</w:t>
      </w:r>
      <w:r>
        <w:rPr>
          <w:rFonts w:ascii="Arial" w:cs="Arial" w:eastAsia="Arial" w:hAnsi="Arial"/>
          <w:sz w:val="17"/>
          <w:szCs w:val="17"/>
          <w:color w:val="auto"/>
        </w:rPr>
        <w:t xml:space="preserve"> day following the date of termination.</w:t>
      </w:r>
    </w:p>
    <w:p>
      <w:pPr>
        <w:spacing w:after="0" w:line="177" w:lineRule="exact"/>
        <w:rPr>
          <w:rFonts w:ascii="Arial" w:cs="Arial" w:eastAsia="Arial" w:hAnsi="Arial"/>
          <w:sz w:val="17"/>
          <w:szCs w:val="17"/>
          <w:color w:val="auto"/>
        </w:rPr>
      </w:pPr>
    </w:p>
    <w:p>
      <w:pPr>
        <w:ind w:left="-40" w:right="40" w:firstLine="1492"/>
        <w:spacing w:after="0" w:line="293" w:lineRule="auto"/>
        <w:tabs>
          <w:tab w:leader="none" w:pos="1758" w:val="left"/>
        </w:tabs>
        <w:numPr>
          <w:ilvl w:val="1"/>
          <w:numId w:val="49"/>
        </w:numPr>
        <w:rPr>
          <w:rFonts w:ascii="Arial" w:cs="Arial" w:eastAsia="Arial" w:hAnsi="Arial"/>
          <w:sz w:val="16"/>
          <w:szCs w:val="16"/>
          <w:color w:val="auto"/>
        </w:rPr>
      </w:pPr>
      <w:r>
        <w:rPr>
          <w:rFonts w:ascii="Arial" w:cs="Arial" w:eastAsia="Arial" w:hAnsi="Arial"/>
          <w:sz w:val="16"/>
          <w:szCs w:val="16"/>
          <w:color w:val="auto"/>
        </w:rPr>
        <w:t>Employee shall be obligated to seek reasonable other employment during the period in which Employee receives salary continuation payments under subparagraph (i) above, and the Company may request reasonable periodic written reports evidencing Employee’s efforts to obtain such employment. Such salary continuation payments shall be subject to reduction in the amount of any salary, bonus, vested equity or other compensation earned or received by Employee for services through employment or self-employment during or on account of the period of time of salary continuation. Employee shall provide the Company with prompt written notice of any such employment and amounts. The Company’s obligation to continue health and welfare benefits shall cease upon Employee’s eligibility for health and welfare benefits from any subsequent employer.</w:t>
      </w:r>
    </w:p>
    <w:p>
      <w:pPr>
        <w:spacing w:after="0" w:line="164" w:lineRule="exact"/>
        <w:rPr>
          <w:rFonts w:ascii="Arial" w:cs="Arial" w:eastAsia="Arial" w:hAnsi="Arial"/>
          <w:sz w:val="16"/>
          <w:szCs w:val="16"/>
          <w:color w:val="auto"/>
        </w:rPr>
      </w:pPr>
    </w:p>
    <w:p>
      <w:pPr>
        <w:ind w:left="-40" w:right="340" w:firstLine="1492"/>
        <w:spacing w:after="0" w:line="259" w:lineRule="auto"/>
        <w:tabs>
          <w:tab w:leader="none" w:pos="1748" w:val="left"/>
        </w:tabs>
        <w:numPr>
          <w:ilvl w:val="1"/>
          <w:numId w:val="49"/>
        </w:numPr>
        <w:rPr>
          <w:rFonts w:ascii="Arial" w:cs="Arial" w:eastAsia="Arial" w:hAnsi="Arial"/>
          <w:sz w:val="18"/>
          <w:szCs w:val="18"/>
          <w:color w:val="auto"/>
        </w:rPr>
      </w:pPr>
      <w:r>
        <w:rPr>
          <w:rFonts w:ascii="Arial" w:cs="Arial" w:eastAsia="Arial" w:hAnsi="Arial"/>
          <w:sz w:val="18"/>
          <w:szCs w:val="18"/>
          <w:color w:val="auto"/>
        </w:rPr>
        <w:t>Provided Employee is alive at the time of payment, Employee shall be entitled to receive payment on account of: (A) the current year’s Cash Bonus Plan grant, without proration; and (B) the following year’s Cash Bonus Plan grant, pro-rated based on the number of full months of employment in the year of termination; in each case, assuming achievement of performance goals at 100% (payable at such times as otherwise applicable absent such termination).</w:t>
      </w:r>
    </w:p>
    <w:p>
      <w:pPr>
        <w:spacing w:after="0" w:line="186" w:lineRule="exact"/>
        <w:rPr>
          <w:rFonts w:ascii="Arial" w:cs="Arial" w:eastAsia="Arial" w:hAnsi="Arial"/>
          <w:sz w:val="18"/>
          <w:szCs w:val="18"/>
          <w:color w:val="auto"/>
        </w:rPr>
      </w:pPr>
    </w:p>
    <w:p>
      <w:pPr>
        <w:ind w:left="-40" w:firstLine="1492"/>
        <w:spacing w:after="0" w:line="312" w:lineRule="auto"/>
        <w:tabs>
          <w:tab w:leader="none" w:pos="1698" w:val="left"/>
        </w:tabs>
        <w:numPr>
          <w:ilvl w:val="1"/>
          <w:numId w:val="49"/>
        </w:numPr>
        <w:rPr>
          <w:rFonts w:ascii="Arial" w:cs="Arial" w:eastAsia="Arial" w:hAnsi="Arial"/>
          <w:sz w:val="16"/>
          <w:szCs w:val="16"/>
          <w:color w:val="auto"/>
        </w:rPr>
      </w:pPr>
      <w:r>
        <w:rPr>
          <w:rFonts w:ascii="Arial" w:cs="Arial" w:eastAsia="Arial" w:hAnsi="Arial"/>
          <w:sz w:val="16"/>
          <w:szCs w:val="16"/>
          <w:color w:val="auto"/>
        </w:rPr>
        <w:t>Provided Employee is alive at the time of vesting, Employee shall have the right to continued vesting of Stock Option Plan and Restricted Stock Plan grants through the period of time set forth on Schedule 1, as if there had been no termination of employment. Provided Employee is alive at the time of exercise, Employee shall have the right to exercise any vested Stock Option Plan grants through the period of time set forth on Schedule 1.</w:t>
      </w:r>
    </w:p>
    <w:p>
      <w:pPr>
        <w:spacing w:after="0" w:line="146" w:lineRule="exact"/>
        <w:rPr>
          <w:rFonts w:ascii="Arial" w:cs="Arial" w:eastAsia="Arial" w:hAnsi="Arial"/>
          <w:sz w:val="16"/>
          <w:szCs w:val="16"/>
          <w:color w:val="auto"/>
        </w:rPr>
      </w:pPr>
    </w:p>
    <w:p>
      <w:pPr>
        <w:ind w:left="-40" w:right="440" w:firstLine="464"/>
        <w:spacing w:after="0" w:line="257" w:lineRule="auto"/>
        <w:tabs>
          <w:tab w:leader="none" w:pos="596"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Non-Solicitation; Non-Competition; Confidentiality</w:t>
      </w:r>
      <w:r>
        <w:rPr>
          <w:rFonts w:ascii="Arial" w:cs="Arial" w:eastAsia="Arial" w:hAnsi="Arial"/>
          <w:sz w:val="18"/>
          <w:szCs w:val="18"/>
          <w:color w:val="auto"/>
        </w:rPr>
        <w:t>. Employee acknowledges and agrees that: Employee’s skills, experience, knowledge and reputation are of special, unique and extraordinary value to the Company; Employee is and will continue to be privy to confidential and proprietary information, processes and know-how of the Company, the confidentiality of which has significant value to the Company and its future success; and the restrictions on Employee’s activities as set forth below are necessary to protect the value of the goodwill and other tangible and intangible assets of the Company. Based upon the foregoing, Employee agrees as follows: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80" w:top="274" w:right="259" w:bottom="1440" w:gutter="0" w:footer="0" w:header="0"/>
        </w:sectPr>
      </w:pPr>
    </w:p>
    <w:bookmarkStart w:id="99" w:name="page100"/>
    <w:bookmarkEnd w:id="99"/>
    <w:p>
      <w:pPr>
        <w:ind w:left="-8" w:right="500" w:firstLine="921"/>
        <w:spacing w:after="0" w:line="291" w:lineRule="auto"/>
        <w:tabs>
          <w:tab w:leader="none" w:pos="1150" w:val="left"/>
        </w:tabs>
        <w:numPr>
          <w:ilvl w:val="1"/>
          <w:numId w:val="5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While employed by the Company (whether during the Term or thereafter), and for a period of one year after termination of Employee’s employment for any reason (whether during the Term or thereafter), Employee shall not, directly or indirectly: (i) hire any employee of the Company;</w:t>
      </w:r>
    </w:p>
    <w:p>
      <w:pPr>
        <w:ind w:left="-8" w:right="280" w:firstLine="8"/>
        <w:spacing w:after="0" w:line="255" w:lineRule="auto"/>
        <w:tabs>
          <w:tab w:leader="none" w:pos="257" w:val="left"/>
        </w:tabs>
        <w:numPr>
          <w:ilvl w:val="0"/>
          <w:numId w:val="52"/>
        </w:numPr>
        <w:rPr>
          <w:rFonts w:ascii="Arial" w:cs="Arial" w:eastAsia="Arial" w:hAnsi="Arial"/>
          <w:sz w:val="18"/>
          <w:szCs w:val="18"/>
          <w:color w:val="auto"/>
        </w:rPr>
      </w:pPr>
      <w:r>
        <w:rPr>
          <w:rFonts w:ascii="Arial" w:cs="Arial" w:eastAsia="Arial" w:hAnsi="Arial"/>
          <w:sz w:val="18"/>
          <w:szCs w:val="18"/>
          <w:color w:val="auto"/>
        </w:rPr>
        <w:t>solicit, induce, encourage or attempt to influence any employee, customer, consultant, independent contractor, service provider or supplier of the Company to cease to do business or terminate the employment or other relationship with the Company; or (iii) assist any other person or entity in doing or performing any of the acts that Employee is prohibited from doing under subparagraphs (i) or (ii) above.</w:t>
      </w:r>
    </w:p>
    <w:p>
      <w:pPr>
        <w:spacing w:after="0" w:line="190" w:lineRule="exact"/>
        <w:rPr>
          <w:rFonts w:ascii="Arial" w:cs="Arial" w:eastAsia="Arial" w:hAnsi="Arial"/>
          <w:sz w:val="18"/>
          <w:szCs w:val="18"/>
          <w:color w:val="auto"/>
        </w:rPr>
      </w:pPr>
    </w:p>
    <w:p>
      <w:pPr>
        <w:ind w:left="-8" w:right="40" w:firstLine="921"/>
        <w:spacing w:after="0" w:line="253" w:lineRule="auto"/>
        <w:tabs>
          <w:tab w:leader="none" w:pos="1160" w:val="left"/>
        </w:tabs>
        <w:numPr>
          <w:ilvl w:val="1"/>
          <w:numId w:val="52"/>
        </w:numPr>
        <w:rPr>
          <w:rFonts w:ascii="Arial" w:cs="Arial" w:eastAsia="Arial" w:hAnsi="Arial"/>
          <w:sz w:val="18"/>
          <w:szCs w:val="18"/>
          <w:color w:val="auto"/>
        </w:rPr>
      </w:pPr>
      <w:r>
        <w:rPr>
          <w:rFonts w:ascii="Arial" w:cs="Arial" w:eastAsia="Arial" w:hAnsi="Arial"/>
          <w:sz w:val="18"/>
          <w:szCs w:val="18"/>
          <w:color w:val="auto"/>
        </w:rPr>
        <w:t>(i) WHILE EMPLOYED BY THE COMPANY (WHETHER DURING THE TERM OR THEREAFTER), AND FOR A PERIOD OF ONE YEAR AFTER A TERMINATION WITHOUT GOOD REASON BY EMPLOYEE OR A TERMINATION WITH CAUSE BY THE COMPANY, IN EITHER CASE OCCURRING PRIOR TO THE REGULAR END DATE, EMPLOYEE SHALL NOT, DIRECTLY OR INDIRECTLY, ENGAGE OR BE FINANCIALLY INTERESTED IN (AS AN AGENT, CONSULTANT, DIRECTOR, EMPLOYEE, INDEPENDENT CONTRACTOR, OFFICER, OWNER, PARTNER, MEMBER, PRINCIPAL OR OTHERWISE), ANY ACTIVITIES FOR A COMPETITIVE BUSINESS. A COMPETITIVE BUSINESS MEANS A BUSINESS (WHETHER CONDUCTED BY AN INDIVIDUAL OR ENTITY, INCLUDING EMPLOYEE IN SELF-EMPLOYMENT) THAT IS ENGAGED IN COMPETITION, DIRECTLY OR INDIRECTLY THROUGH ANY ENTITY CONTROLLING, CONTROLLED BY OR UNDER COMMON CONTROL WITH SUCH BUSINESS, WITH ANY OF THE BUSINESS ACTIVITIES CARRIED ON BY THE COMPANY OR BEING PLANNED BY THE COMPANY WITH EMPLOYEE’S PARTICIPATION.</w:t>
      </w:r>
    </w:p>
    <w:p>
      <w:pPr>
        <w:spacing w:after="0" w:line="197" w:lineRule="exact"/>
        <w:rPr>
          <w:rFonts w:ascii="Arial" w:cs="Arial" w:eastAsia="Arial" w:hAnsi="Arial"/>
          <w:sz w:val="18"/>
          <w:szCs w:val="18"/>
          <w:color w:val="auto"/>
        </w:rPr>
      </w:pPr>
    </w:p>
    <w:p>
      <w:pPr>
        <w:ind w:left="-8" w:right="140" w:firstLine="1492"/>
        <w:spacing w:after="0" w:line="264" w:lineRule="auto"/>
        <w:tabs>
          <w:tab w:leader="none" w:pos="1740" w:val="left"/>
        </w:tabs>
        <w:numPr>
          <w:ilvl w:val="2"/>
          <w:numId w:val="52"/>
        </w:numPr>
        <w:rPr>
          <w:rFonts w:ascii="Arial" w:cs="Arial" w:eastAsia="Arial" w:hAnsi="Arial"/>
          <w:sz w:val="18"/>
          <w:szCs w:val="18"/>
          <w:color w:val="auto"/>
        </w:rPr>
      </w:pPr>
      <w:r>
        <w:rPr>
          <w:rFonts w:ascii="Arial" w:cs="Arial" w:eastAsia="Arial" w:hAnsi="Arial"/>
          <w:sz w:val="18"/>
          <w:szCs w:val="18"/>
          <w:color w:val="auto"/>
        </w:rPr>
        <w:t>TO APPROPRIATELY TAKE ACCOUNT OF THE HIGHLY COMPETITIVE NATURE OF THE COMPANY’S BUSINESSES, THE PARTIES AGREE THAT ANY BUSINESS ENGAGED IN ANY OF THE ACTIVITIES SET FORTH ON SCHEDULE 2 SHALL BE DEEMED TO BE A COMPETITIVE BUSINESS UNDER SUBPARAGRAPH (i) ABOVE.</w:t>
      </w:r>
    </w:p>
    <w:p>
      <w:pPr>
        <w:spacing w:after="0" w:line="181" w:lineRule="exact"/>
        <w:rPr>
          <w:rFonts w:ascii="Arial" w:cs="Arial" w:eastAsia="Arial" w:hAnsi="Arial"/>
          <w:sz w:val="18"/>
          <w:szCs w:val="18"/>
          <w:color w:val="auto"/>
        </w:rPr>
      </w:pPr>
    </w:p>
    <w:p>
      <w:pPr>
        <w:ind w:left="-8" w:firstLine="1492"/>
        <w:spacing w:after="0" w:line="264" w:lineRule="auto"/>
        <w:tabs>
          <w:tab w:leader="none" w:pos="1790" w:val="left"/>
        </w:tabs>
        <w:numPr>
          <w:ilvl w:val="2"/>
          <w:numId w:val="52"/>
        </w:numPr>
        <w:rPr>
          <w:rFonts w:ascii="Arial" w:cs="Arial" w:eastAsia="Arial" w:hAnsi="Arial"/>
          <w:sz w:val="18"/>
          <w:szCs w:val="18"/>
          <w:color w:val="auto"/>
        </w:rPr>
      </w:pPr>
      <w:r>
        <w:rPr>
          <w:rFonts w:ascii="Arial" w:cs="Arial" w:eastAsia="Arial" w:hAnsi="Arial"/>
          <w:sz w:val="18"/>
          <w:szCs w:val="18"/>
          <w:color w:val="auto"/>
        </w:rPr>
        <w:t>THIS RESTRICTION SHALL APPLY IN ANY GEOGRAPHIC AREA IN THE WORLD IN WHICH THE COMPANY CARRIES ON BUSINESS ACTIVITIES. EMPLOYEE AGREES THAT NOT SPECIFYING A MORE LIMITED GEOGRAPHIC AREA IS REASONABLE IN LIGHT OF THE BROAD GEOGRAPHIC SCOPE OF THE ACTIVITIES CARRIED ON BY THE COMPANY IN THE WORLD.</w:t>
      </w:r>
    </w:p>
    <w:p>
      <w:pPr>
        <w:spacing w:after="0" w:line="181" w:lineRule="exact"/>
        <w:rPr>
          <w:rFonts w:ascii="Arial" w:cs="Arial" w:eastAsia="Arial" w:hAnsi="Arial"/>
          <w:sz w:val="18"/>
          <w:szCs w:val="18"/>
          <w:color w:val="auto"/>
        </w:rPr>
      </w:pPr>
    </w:p>
    <w:p>
      <w:pPr>
        <w:ind w:left="-8" w:right="100" w:firstLine="1492"/>
        <w:spacing w:after="0" w:line="264" w:lineRule="auto"/>
        <w:tabs>
          <w:tab w:leader="none" w:pos="1780" w:val="left"/>
        </w:tabs>
        <w:numPr>
          <w:ilvl w:val="2"/>
          <w:numId w:val="52"/>
        </w:numPr>
        <w:rPr>
          <w:rFonts w:ascii="Arial" w:cs="Arial" w:eastAsia="Arial" w:hAnsi="Arial"/>
          <w:sz w:val="18"/>
          <w:szCs w:val="18"/>
          <w:color w:val="auto"/>
        </w:rPr>
      </w:pPr>
      <w:r>
        <w:rPr>
          <w:rFonts w:ascii="Arial" w:cs="Arial" w:eastAsia="Arial" w:hAnsi="Arial"/>
          <w:sz w:val="18"/>
          <w:szCs w:val="18"/>
          <w:color w:val="auto"/>
        </w:rPr>
        <w:t>For purposes of clarification of their intent, the parties agree that subparagraph (i) above restricts Employee from working on the account, or otherwise for the benefit, of a Competitive Business as a result of Employee’s working as an employee, consultant or in any other capacity for an entity that provides consulting, advisory, lobbying or similar services to other businesses.</w:t>
      </w:r>
    </w:p>
    <w:p>
      <w:pPr>
        <w:spacing w:after="0" w:line="181" w:lineRule="exact"/>
        <w:rPr>
          <w:rFonts w:ascii="Arial" w:cs="Arial" w:eastAsia="Arial" w:hAnsi="Arial"/>
          <w:sz w:val="18"/>
          <w:szCs w:val="18"/>
          <w:color w:val="auto"/>
        </w:rPr>
      </w:pPr>
    </w:p>
    <w:p>
      <w:pPr>
        <w:ind w:left="-8" w:firstLine="1492"/>
        <w:spacing w:after="0" w:line="342" w:lineRule="auto"/>
        <w:tabs>
          <w:tab w:leader="none" w:pos="1730" w:val="left"/>
        </w:tabs>
        <w:numPr>
          <w:ilvl w:val="2"/>
          <w:numId w:val="52"/>
        </w:numPr>
        <w:rPr>
          <w:rFonts w:ascii="Arial" w:cs="Arial" w:eastAsia="Arial" w:hAnsi="Arial"/>
          <w:sz w:val="16"/>
          <w:szCs w:val="16"/>
          <w:color w:val="auto"/>
        </w:rPr>
      </w:pPr>
      <w:r>
        <w:rPr>
          <w:rFonts w:ascii="Arial" w:cs="Arial" w:eastAsia="Arial" w:hAnsi="Arial"/>
          <w:sz w:val="16"/>
          <w:szCs w:val="16"/>
          <w:color w:val="auto"/>
        </w:rPr>
        <w:t>Nothing herein shall prevent Employee from owning for investment up to one percent (1%) of any class of equity security of an entity whose securities are traded on a national securities exchange or market. Further, nothing herein shall prevent Employee from engaging in the practice of law.</w:t>
      </w:r>
    </w:p>
    <w:p>
      <w:pPr>
        <w:spacing w:after="0" w:line="5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92"/>
          </w:cols>
          <w:pgMar w:left="248" w:top="274" w:right="259" w:bottom="1440" w:gutter="0" w:footer="0" w:header="0"/>
        </w:sectPr>
      </w:pPr>
    </w:p>
    <w:bookmarkStart w:id="100" w:name="page101"/>
    <w:bookmarkEnd w:id="100"/>
    <w:p>
      <w:pPr>
        <w:ind w:left="-20" w:right="40" w:firstLine="921"/>
        <w:spacing w:after="0" w:line="276" w:lineRule="auto"/>
        <w:tabs>
          <w:tab w:leader="none" w:pos="1138" w:val="left"/>
        </w:tabs>
        <w:numPr>
          <w:ilvl w:val="0"/>
          <w:numId w:val="5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EMPLOYEE TERMINATES EMPLOYMENT WITHOUT GOOD REASON AT ANY TIME FOLLOWING THE REGULAR END DATE, THEN PROVIDED THE COMPANY SO ELECTS BY WRITTEN NOTICE TO EMPLOYEE GIVEN WITHIN TEN (10) BUSINESS DAYS OF SUCH TERMINATION: (i) THE PROVISIONS OF SUBPARAGRAPH (b) ABOVE SHALL APPLY TO EMPLOYEE FOR A ONE-YEAR PERIOD FOLLOWING SUCH TERMINATION; AND (ii) THE COMPANY SHALL PROVIDE TO EMPLOYEE: (A) DURING SUCH ONE YEAR PERIOD, THE PAYMENTS AND BENEFITS DESCRIBED IN SUBPARAGRAPH 7(c)(i) AND (B) THE PAYMENTS DESCRIBED IN SUBPARAGRAPH 7(c)(iv).</w:t>
      </w:r>
    </w:p>
    <w:p>
      <w:pPr>
        <w:spacing w:after="0" w:line="172" w:lineRule="exact"/>
        <w:rPr>
          <w:rFonts w:ascii="Arial" w:cs="Arial" w:eastAsia="Arial" w:hAnsi="Arial"/>
          <w:sz w:val="17"/>
          <w:szCs w:val="17"/>
          <w:color w:val="auto"/>
        </w:rPr>
      </w:pPr>
    </w:p>
    <w:p>
      <w:pPr>
        <w:ind w:left="-20" w:right="40" w:firstLine="921"/>
        <w:spacing w:after="0" w:line="285" w:lineRule="auto"/>
        <w:tabs>
          <w:tab w:leader="none" w:pos="1148" w:val="left"/>
        </w:tabs>
        <w:numPr>
          <w:ilvl w:val="0"/>
          <w:numId w:val="53"/>
        </w:numPr>
        <w:rPr>
          <w:rFonts w:ascii="Arial" w:cs="Arial" w:eastAsia="Arial" w:hAnsi="Arial"/>
          <w:sz w:val="16"/>
          <w:szCs w:val="16"/>
          <w:color w:val="auto"/>
        </w:rPr>
      </w:pPr>
      <w:r>
        <w:rPr>
          <w:rFonts w:ascii="Arial" w:cs="Arial" w:eastAsia="Arial" w:hAnsi="Arial"/>
          <w:sz w:val="16"/>
          <w:szCs w:val="16"/>
          <w:color w:val="auto"/>
        </w:rPr>
        <w:t>During the Term and at all times thereafter, Employee shall not, directly or indirectly, use for Employee’s personal benefit, or disclose to or use for the direct or indirect benefit of anyone other than the Company (except as may be required within the scope of Employee’s duties hereunder), any secret or confidential information, knowledge or data of the Company or any of its employees, officers, directors or agents (“Confidential Information”). Confidential Information includes, but is not limited to: the terms and conditions of this Agreement; sales, marketing and other business methods; policies, plans, procedures, strategies and techniques; research and development projects and results; software and firmware; trade secrets, know-how, processes and other intellectual property; information on or relating to past, present or prospective employees or suppliers; and information on or relating to past, present or prospective customers, including customer lists. Notwithstanding the foregoing, Confidential Information does not include information that: (i) is generally available to the public; or (ii) is available to Employee on a nonconfidential basis from a source other than the Company, provided such source is not bound by a confidentiality agreement with the Company or otherwise prohibited from transmitting such information to Employee by a contractual, legal or fiduciary obligation. Employee agrees that Confidential Information is the exclusive property of the Company, and agrees that, immediately upon Employee’s termination of employment for any reason (including after the Term), Employee shall deliver to the Company all correspondence, documents, books, records, lists and other materials containing Confidential Information that are within Employee’s possession or control, regardless of the medium in which such materials are maintained, and Employee shall retain no copies thereof in any medium. Without limiting the generality of the foregoing, Employee agrees neither to prepare, participate in or assist in the preparation of any article, book, speech or other writing or communication relating to the past, present or future business, operations, personnel or prospects of the Company, nor to encourage or assist others to do any of the foregoing, without the prior written consent of the Company (which may be withheld in the Company’s sole discretion). Nothing herein shall prevent Employee from: (A) complying with a valid subpoena or other legal requirement for disclosure of Confidential Information, provided that Employee shall use good faith efforts to notify the Company promptly and in advance of disclosure if Employee believes Employee is under a legal requirement to disclose Confidential Information otherwise protected from disclosure under this subparagraph; or (B) disclosing the terms and conditions of this Agreement to Employee’s spouse or tax, accounting, financial or legal advisors, or as necessary to enforce this Agreement.</w:t>
      </w:r>
    </w:p>
    <w:p>
      <w:pPr>
        <w:spacing w:after="0" w:line="386" w:lineRule="exact"/>
        <w:rPr>
          <w:rFonts w:ascii="Arial" w:cs="Arial" w:eastAsia="Arial" w:hAnsi="Arial"/>
          <w:sz w:val="16"/>
          <w:szCs w:val="16"/>
          <w:color w:val="auto"/>
        </w:rPr>
      </w:pPr>
    </w:p>
    <w:p>
      <w:pPr>
        <w:ind w:left="-20" w:firstLine="921"/>
        <w:spacing w:after="0" w:line="264" w:lineRule="auto"/>
        <w:tabs>
          <w:tab w:leader="none" w:pos="1138" w:val="left"/>
        </w:tabs>
        <w:numPr>
          <w:ilvl w:val="0"/>
          <w:numId w:val="53"/>
        </w:numPr>
        <w:rPr>
          <w:rFonts w:ascii="Arial" w:cs="Arial" w:eastAsia="Arial" w:hAnsi="Arial"/>
          <w:sz w:val="18"/>
          <w:szCs w:val="18"/>
          <w:color w:val="auto"/>
        </w:rPr>
      </w:pPr>
      <w:r>
        <w:rPr>
          <w:rFonts w:ascii="Arial" w:cs="Arial" w:eastAsia="Arial" w:hAnsi="Arial"/>
          <w:sz w:val="18"/>
          <w:szCs w:val="18"/>
          <w:color w:val="auto"/>
        </w:rPr>
        <w:t>Employee acknowledges that the restrictions contained in this Paragraph 8, in light of the nature of the businesses in which the Company is engaged and Employee’s position with the Company, are reasonable and necessary to protect the legitimate interests of the Company, and that any violation of these restrictions would result in irreparable injury to the Company. Employee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60" w:top="274" w:right="239" w:bottom="1440" w:gutter="0" w:footer="0" w:header="0"/>
        </w:sectPr>
      </w:pPr>
    </w:p>
    <w:bookmarkStart w:id="101" w:name="page102"/>
    <w:bookmarkEnd w:id="101"/>
    <w:p>
      <w:pPr>
        <w:ind w:right="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therefore agrees that: (i) in the event of Employee’s violation of any of these restrictions, the Company shall have the right to suspend or terminate any unaccrued payment obligations to Employee hereunder and/or Employee’s unaccrued rights under any compensation and benefit plans and programs hereunder or thereunder (including in each case any arising following termination of employment); and (ii) in the event of Employee’s violation or threatened violation of any of these restrictions, the Company shall be entitled to seek from any court of competent jurisdiction: (A) preliminary and permanent injunctive relief against Employee; (B) damages from Employee (including the Company’s reasonable legal fees and other costs and expenses); and (C) an equitable accounting of all compensation, commissions, earnings, profits and other benefits to Employee arising from such violation; all of which rights shall be cumulative and in addition to any other rights and remedies to which the Company may be entitled as set forth herein or as a matter of law.</w:t>
      </w:r>
    </w:p>
    <w:p>
      <w:pPr>
        <w:spacing w:after="0" w:line="167" w:lineRule="exact"/>
        <w:rPr>
          <w:sz w:val="20"/>
          <w:szCs w:val="20"/>
          <w:color w:val="auto"/>
        </w:rPr>
      </w:pPr>
    </w:p>
    <w:p>
      <w:pPr>
        <w:ind w:right="120" w:firstLine="921"/>
        <w:spacing w:after="0" w:line="257" w:lineRule="auto"/>
        <w:tabs>
          <w:tab w:leader="none" w:pos="1138" w:val="left"/>
        </w:tabs>
        <w:numPr>
          <w:ilvl w:val="2"/>
          <w:numId w:val="54"/>
        </w:numPr>
        <w:rPr>
          <w:rFonts w:ascii="Arial" w:cs="Arial" w:eastAsia="Arial" w:hAnsi="Arial"/>
          <w:sz w:val="18"/>
          <w:szCs w:val="18"/>
          <w:color w:val="auto"/>
        </w:rPr>
      </w:pPr>
      <w:r>
        <w:rPr>
          <w:rFonts w:ascii="Arial" w:cs="Arial" w:eastAsia="Arial" w:hAnsi="Arial"/>
          <w:sz w:val="18"/>
          <w:szCs w:val="18"/>
          <w:color w:val="auto"/>
        </w:rPr>
        <w:t>Employee agrees that if any part of the restrictions contained in this Paragraph 8, or the application thereof, is construed to be invalid or unenforceable, the remainder of such restrictions or the application thereof shall not be affected and the remaining restrictions shall have full force and effect without regard to the invalid or unenforceable portions. If any restriction is held to be unenforceable because of the area covered, the duration thereof or the scope thereof, Employee agrees that the court making such determination shall have the power to reduce the area and/or the duration, and/or limit the scope thereof, and the restriction shall then be enforceable in its reduced form.</w:t>
      </w:r>
    </w:p>
    <w:p>
      <w:pPr>
        <w:spacing w:after="0" w:line="188" w:lineRule="exact"/>
        <w:rPr>
          <w:rFonts w:ascii="Arial" w:cs="Arial" w:eastAsia="Arial" w:hAnsi="Arial"/>
          <w:sz w:val="18"/>
          <w:szCs w:val="18"/>
          <w:color w:val="auto"/>
        </w:rPr>
      </w:pPr>
    </w:p>
    <w:p>
      <w:pPr>
        <w:ind w:firstLine="921"/>
        <w:spacing w:after="0" w:line="277" w:lineRule="auto"/>
        <w:tabs>
          <w:tab w:leader="none" w:pos="1168" w:val="left"/>
        </w:tabs>
        <w:numPr>
          <w:ilvl w:val="2"/>
          <w:numId w:val="54"/>
        </w:numPr>
        <w:rPr>
          <w:rFonts w:ascii="Arial" w:cs="Arial" w:eastAsia="Arial" w:hAnsi="Arial"/>
          <w:sz w:val="18"/>
          <w:szCs w:val="18"/>
          <w:color w:val="auto"/>
        </w:rPr>
      </w:pPr>
      <w:r>
        <w:rPr>
          <w:rFonts w:ascii="Arial" w:cs="Arial" w:eastAsia="Arial" w:hAnsi="Arial"/>
          <w:sz w:val="18"/>
          <w:szCs w:val="18"/>
          <w:color w:val="auto"/>
        </w:rPr>
        <w:t>If Employee violates any such restrictions, the period of such violation (from the commencement of any such violation until such time as such violation shall be cured by Employee) shall not count toward or be included in any applicable restrictive period.</w:t>
      </w:r>
    </w:p>
    <w:p>
      <w:pPr>
        <w:spacing w:after="0" w:line="170" w:lineRule="exact"/>
        <w:rPr>
          <w:rFonts w:ascii="Arial" w:cs="Arial" w:eastAsia="Arial" w:hAnsi="Arial"/>
          <w:sz w:val="18"/>
          <w:szCs w:val="18"/>
          <w:color w:val="auto"/>
        </w:rPr>
      </w:pPr>
    </w:p>
    <w:p>
      <w:pPr>
        <w:ind w:right="460" w:firstLine="921"/>
        <w:spacing w:after="0" w:line="264" w:lineRule="auto"/>
        <w:tabs>
          <w:tab w:leader="none" w:pos="1168" w:val="left"/>
        </w:tabs>
        <w:numPr>
          <w:ilvl w:val="2"/>
          <w:numId w:val="54"/>
        </w:numPr>
        <w:rPr>
          <w:rFonts w:ascii="Arial" w:cs="Arial" w:eastAsia="Arial" w:hAnsi="Arial"/>
          <w:sz w:val="18"/>
          <w:szCs w:val="18"/>
          <w:color w:val="auto"/>
        </w:rPr>
      </w:pPr>
      <w:r>
        <w:rPr>
          <w:rFonts w:ascii="Arial" w:cs="Arial" w:eastAsia="Arial" w:hAnsi="Arial"/>
          <w:sz w:val="18"/>
          <w:szCs w:val="18"/>
          <w:color w:val="auto"/>
        </w:rPr>
        <w:t>Employee agrees that prior to accepting employment with any other person or entity at any time during the one-year period following termination of employment referred to in subparagraph (b)(i) or (c)(i) above, Employee will provide the prospective employer with written notice of the provisions of this Paragraph 8, with a copy of such notice provided simultaneously to the Company.</w:t>
      </w:r>
    </w:p>
    <w:p>
      <w:pPr>
        <w:spacing w:after="0" w:line="181" w:lineRule="exact"/>
        <w:rPr>
          <w:rFonts w:ascii="Arial" w:cs="Arial" w:eastAsia="Arial" w:hAnsi="Arial"/>
          <w:sz w:val="18"/>
          <w:szCs w:val="18"/>
          <w:color w:val="auto"/>
        </w:rPr>
      </w:pPr>
    </w:p>
    <w:p>
      <w:pPr>
        <w:ind w:left="640" w:hanging="176"/>
        <w:spacing w:after="0"/>
        <w:tabs>
          <w:tab w:leader="none" w:pos="640" w:val="left"/>
        </w:tabs>
        <w:numPr>
          <w:ilvl w:val="1"/>
          <w:numId w:val="55"/>
        </w:numPr>
        <w:rPr>
          <w:rFonts w:ascii="Arial" w:cs="Arial" w:eastAsia="Arial" w:hAnsi="Arial"/>
          <w:sz w:val="17"/>
          <w:szCs w:val="17"/>
          <w:color w:val="auto"/>
        </w:rPr>
      </w:pPr>
      <w:r>
        <w:rPr>
          <w:rFonts w:ascii="Arial" w:cs="Arial" w:eastAsia="Arial" w:hAnsi="Arial"/>
          <w:sz w:val="17"/>
          <w:szCs w:val="17"/>
          <w:u w:val="single" w:color="auto"/>
          <w:color w:val="auto"/>
        </w:rPr>
        <w:t>Non-Derogatory Statements</w:t>
      </w:r>
      <w:r>
        <w:rPr>
          <w:rFonts w:ascii="Arial" w:cs="Arial" w:eastAsia="Arial" w:hAnsi="Arial"/>
          <w:sz w:val="17"/>
          <w:szCs w:val="17"/>
          <w:color w:val="auto"/>
        </w:rPr>
        <w:t>. During the period of Employee’s employment (whether during the Term or thereafter), and for a period of three</w:t>
      </w:r>
    </w:p>
    <w:p>
      <w:pPr>
        <w:spacing w:after="0" w:line="34" w:lineRule="exact"/>
        <w:rPr>
          <w:rFonts w:ascii="Arial" w:cs="Arial" w:eastAsia="Arial" w:hAnsi="Arial"/>
          <w:sz w:val="17"/>
          <w:szCs w:val="17"/>
          <w:color w:val="auto"/>
        </w:rPr>
      </w:pPr>
    </w:p>
    <w:p>
      <w:pPr>
        <w:ind w:right="20" w:firstLine="8"/>
        <w:spacing w:after="0" w:line="253" w:lineRule="auto"/>
        <w:tabs>
          <w:tab w:leader="none" w:pos="255" w:val="left"/>
        </w:tabs>
        <w:numPr>
          <w:ilvl w:val="0"/>
          <w:numId w:val="56"/>
        </w:numPr>
        <w:rPr>
          <w:rFonts w:ascii="Arial" w:cs="Arial" w:eastAsia="Arial" w:hAnsi="Arial"/>
          <w:sz w:val="18"/>
          <w:szCs w:val="18"/>
          <w:color w:val="auto"/>
        </w:rPr>
      </w:pPr>
      <w:r>
        <w:rPr>
          <w:rFonts w:ascii="Arial" w:cs="Arial" w:eastAsia="Arial" w:hAnsi="Arial"/>
          <w:sz w:val="18"/>
          <w:szCs w:val="18"/>
          <w:color w:val="auto"/>
        </w:rPr>
        <w:t>years thereafter, neither party shall, directly or indirectly, engage in any communication with any person or entity, including: (a) any actual or potential employer of Employee; (b) any actual or potential employee, customer, consultant, independent contractor, investor, lender, service provider or supplier of the Company; or (c) any media outlet; which constitutes a derogatory or disparaging statement – orally, written or otherwise – against the other party or, in the case of the Company, any of its employees, officers or directors. The foregoing shall not be deemed to restrict either party’s obligation to testify truthfully in any proceeding or cooperate in any governmental investigation.</w:t>
      </w:r>
    </w:p>
    <w:p>
      <w:pPr>
        <w:spacing w:after="0" w:line="191" w:lineRule="exact"/>
        <w:rPr>
          <w:rFonts w:ascii="Arial" w:cs="Arial" w:eastAsia="Arial" w:hAnsi="Arial"/>
          <w:sz w:val="18"/>
          <w:szCs w:val="18"/>
          <w:color w:val="auto"/>
        </w:rPr>
      </w:pPr>
    </w:p>
    <w:p>
      <w:pPr>
        <w:ind w:left="740" w:hanging="276"/>
        <w:spacing w:after="0"/>
        <w:tabs>
          <w:tab w:leader="none" w:pos="740" w:val="left"/>
        </w:tabs>
        <w:numPr>
          <w:ilvl w:val="1"/>
          <w:numId w:val="56"/>
        </w:numPr>
        <w:rPr>
          <w:rFonts w:ascii="Arial" w:cs="Arial" w:eastAsia="Arial" w:hAnsi="Arial"/>
          <w:sz w:val="18"/>
          <w:szCs w:val="18"/>
          <w:color w:val="auto"/>
        </w:rPr>
      </w:pPr>
      <w:r>
        <w:rPr>
          <w:rFonts w:ascii="Arial" w:cs="Arial" w:eastAsia="Arial" w:hAnsi="Arial"/>
          <w:sz w:val="18"/>
          <w:szCs w:val="18"/>
          <w:u w:val="single" w:color="auto"/>
          <w:color w:val="auto"/>
        </w:rPr>
        <w:t>Company Property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right="120" w:firstLine="921"/>
        <w:spacing w:after="0" w:line="264" w:lineRule="auto"/>
        <w:tabs>
          <w:tab w:leader="none" w:pos="1158" w:val="left"/>
        </w:tabs>
        <w:numPr>
          <w:ilvl w:val="2"/>
          <w:numId w:val="56"/>
        </w:numPr>
        <w:rPr>
          <w:rFonts w:ascii="Arial" w:cs="Arial" w:eastAsia="Arial" w:hAnsi="Arial"/>
          <w:sz w:val="18"/>
          <w:szCs w:val="18"/>
          <w:color w:val="auto"/>
        </w:rPr>
      </w:pPr>
      <w:r>
        <w:rPr>
          <w:rFonts w:ascii="Arial" w:cs="Arial" w:eastAsia="Arial" w:hAnsi="Arial"/>
          <w:sz w:val="18"/>
          <w:szCs w:val="18"/>
          <w:color w:val="auto"/>
        </w:rPr>
        <w:t>To the extent any Company Intellectual Property (as defined in subparagraph (e) below) is not already owned by the Company as a matter of law or prior written assignment by Employee to the Company, Employee hereby assigns to the Company, and agrees to assign the Company in the future (to the extent required), all right, title and interest that Employee now has or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102" w:name="page103"/>
    <w:bookmarkEnd w:id="102"/>
    <w:p>
      <w:pPr>
        <w:ind w:right="6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acquires in the future in and to any and all Company Intellectual Property. Employee shall further cooperate with the Company in obtaining, protecting and enforcing its interests in Company Intellectual Property. Such cooperation shall be at the Company’s expense, and shall include, at the Company’s election, without limitation, signing all documents reasonably requested by the Company for patent, copyright and other Intellectual Property (as defined in subparagraph (e) below) applications and registrations, and individual assignments thereof, and providing other reasonably requested assistance. Employee’s obligation to assist the Company in obtaining, protecting and enforcing Company Intellectual Property rights shall continue following Employee’s employment with the Company, but the Company shall be obliged to compensate Employee at a then prevailing reasonable consulting rate for any time spent and any out-of-pocket expenses incurred at the Company’s request for providing such assistance. Such compensation shall be paid irrespective of, and is not contingent upon, the substance of any testimony Employee may give or provide while assisting the Company.</w:t>
      </w:r>
    </w:p>
    <w:p>
      <w:pPr>
        <w:spacing w:after="0" w:line="166" w:lineRule="exact"/>
        <w:rPr>
          <w:sz w:val="20"/>
          <w:szCs w:val="20"/>
          <w:color w:val="auto"/>
        </w:rPr>
      </w:pPr>
    </w:p>
    <w:p>
      <w:pPr>
        <w:ind w:right="120" w:firstLine="921"/>
        <w:spacing w:after="0" w:line="289" w:lineRule="auto"/>
        <w:tabs>
          <w:tab w:leader="none" w:pos="1168" w:val="left"/>
        </w:tabs>
        <w:numPr>
          <w:ilvl w:val="0"/>
          <w:numId w:val="57"/>
        </w:numPr>
        <w:rPr>
          <w:rFonts w:ascii="Arial" w:cs="Arial" w:eastAsia="Arial" w:hAnsi="Arial"/>
          <w:sz w:val="16"/>
          <w:szCs w:val="16"/>
          <w:color w:val="auto"/>
        </w:rPr>
      </w:pPr>
      <w:r>
        <w:rPr>
          <w:rFonts w:ascii="Arial" w:cs="Arial" w:eastAsia="Arial" w:hAnsi="Arial"/>
          <w:sz w:val="16"/>
          <w:szCs w:val="16"/>
          <w:color w:val="auto"/>
        </w:rPr>
        <w:t>Employee shall use reasonable efforts to promptly disclose to the Company, or any person(s) designated by the Company, all Intellectual Property that is created, conceived or reduced to practice by Employee, either alone or jointly with others, during the term of Employee’s employment with the Company, whether or not patentable or copyrightable or believed by Employee to be patentable or copyrightable, including without limitation any Intellectual Property (to be held in confidence by the Company) that qualifies fully as a nonassignable invention under Section 2870 of the California Labor Code (“Nonassignable IP”). If Employee contends that any such Intellectual Property qualifies as Nonassignable IP, Employee will promptly so notify the Company, and Employee agrees to cooperate fully with a review and verification process by the Company. In addition, Employee will promptly disclose to the Company (to be held in confidence) all patent applications filed by Employee or on his or her behalf within six months after termination of employment, and to cooperate fully with a review and determination by the Company as to whether such patent applications constitute or include Company Intellectual Property. Employee has reviewed the notification on Schedule 3 and agrees that Employee’s execution hereof acknowledges receipt of such notification.</w:t>
      </w:r>
    </w:p>
    <w:p>
      <w:pPr>
        <w:spacing w:after="0" w:line="166" w:lineRule="exact"/>
        <w:rPr>
          <w:rFonts w:ascii="Arial" w:cs="Arial" w:eastAsia="Arial" w:hAnsi="Arial"/>
          <w:sz w:val="16"/>
          <w:szCs w:val="16"/>
          <w:color w:val="auto"/>
        </w:rPr>
      </w:pPr>
    </w:p>
    <w:p>
      <w:pPr>
        <w:ind w:right="120" w:firstLine="921"/>
        <w:spacing w:after="0" w:line="255" w:lineRule="auto"/>
        <w:tabs>
          <w:tab w:leader="none" w:pos="1158"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 the event that the Company is unable for any reason whatsoever to secure Employee’s signature on any lawful and necessary document to apply for, execute or otherwise further prosecute or register any patent or copyright application or any other Company Intellectual Property application or registration, Employee hereby irrevocably designates and appoints the Company and its duly authorized officers and agents as Employee’s agents and attorneys-in-fact to act for and on Employee’s behalf and instead of Employee to execute and file such lawful and necessary documents and to do all other lawfully permitted acts to further prosecute, issue and/or register patents, copyrights and any other Company Intellectual Property rights with the same legal force and effect as if executed by Employee.</w:t>
      </w:r>
    </w:p>
    <w:p>
      <w:pPr>
        <w:spacing w:after="0" w:line="193" w:lineRule="exact"/>
        <w:rPr>
          <w:rFonts w:ascii="Arial" w:cs="Arial" w:eastAsia="Arial" w:hAnsi="Arial"/>
          <w:sz w:val="18"/>
          <w:szCs w:val="18"/>
          <w:color w:val="auto"/>
        </w:rPr>
      </w:pPr>
    </w:p>
    <w:p>
      <w:pPr>
        <w:ind w:firstLine="921"/>
        <w:spacing w:after="0" w:line="259" w:lineRule="auto"/>
        <w:tabs>
          <w:tab w:leader="none" w:pos="1168" w:val="left"/>
        </w:tabs>
        <w:numPr>
          <w:ilvl w:val="0"/>
          <w:numId w:val="57"/>
        </w:numPr>
        <w:rPr>
          <w:rFonts w:ascii="Arial" w:cs="Arial" w:eastAsia="Arial" w:hAnsi="Arial"/>
          <w:sz w:val="18"/>
          <w:szCs w:val="18"/>
          <w:color w:val="auto"/>
        </w:rPr>
      </w:pPr>
      <w:r>
        <w:rPr>
          <w:rFonts w:ascii="Arial" w:cs="Arial" w:eastAsia="Arial" w:hAnsi="Arial"/>
          <w:sz w:val="18"/>
          <w:szCs w:val="18"/>
          <w:color w:val="auto"/>
        </w:rPr>
        <w:t>To the extent any materials, including written, graphic or computer programmed materials, authored, prepared, contributed to or written by Employee, in whole or in part, during the term of employment by the Company and relating in whole or in part to the business, products, services, research or development of the Company qualify as “work made for hire,” as such term is defined and used in the copyright laws of the United States, then such materials shall be done by Employee as “work made for hire” under such law.</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4" w:right="259" w:bottom="1440" w:gutter="0" w:footer="0" w:header="0"/>
        </w:sectPr>
      </w:pPr>
    </w:p>
    <w:bookmarkStart w:id="103" w:name="page104"/>
    <w:bookmarkEnd w:id="103"/>
    <w:p>
      <w:pPr>
        <w:ind w:right="20" w:firstLine="921"/>
        <w:spacing w:after="0" w:line="285" w:lineRule="auto"/>
        <w:tabs>
          <w:tab w:leader="none" w:pos="1158" w:val="left"/>
        </w:tabs>
        <w:numPr>
          <w:ilvl w:val="2"/>
          <w:numId w:val="5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“Intellectual Property” means any and all ideas, inventions, formulae, know how, trade secrets, devices, designs, models, methods, techniques, processes, specifications, tooling, computer programs, software code, works of authorship, copyrighted and copyrightable works, mask works, trademarks and service marks, Internet domain names, technical and product information, patents and patent applications, and any other intellectual property rights or applications, throughout the world. “Company Intellectual Property” means any Intellectual Property created, fixed, conceived or reduced to practice, in whole or in part, by Employee, either alone or jointly with others, whether or not such Intellectual Property is patentable or copyrightable, either:</w:t>
      </w:r>
    </w:p>
    <w:p>
      <w:pPr>
        <w:spacing w:after="0" w:line="2" w:lineRule="exact"/>
        <w:rPr>
          <w:rFonts w:ascii="Arial" w:cs="Arial" w:eastAsia="Arial" w:hAnsi="Arial"/>
          <w:sz w:val="16"/>
          <w:szCs w:val="16"/>
          <w:color w:val="auto"/>
        </w:rPr>
      </w:pPr>
    </w:p>
    <w:p>
      <w:pPr>
        <w:jc w:val="both"/>
        <w:ind w:right="100" w:firstLine="8"/>
        <w:spacing w:after="0" w:line="255" w:lineRule="auto"/>
        <w:tabs>
          <w:tab w:leader="none" w:pos="215"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that relates to the Company’s current or planned businesses or is created, etc. in the performance of the Employee’s duties; (ii) that is created, etc. during working hours; or (iii) that is created, etc. using the Company’s information, facilities, equipment or other assets. “Company Intellectual Property” does not include Nonassignable IP.</w:t>
      </w:r>
    </w:p>
    <w:p>
      <w:pPr>
        <w:spacing w:after="0" w:line="190" w:lineRule="exact"/>
        <w:rPr>
          <w:rFonts w:ascii="Arial" w:cs="Arial" w:eastAsia="Arial" w:hAnsi="Arial"/>
          <w:sz w:val="18"/>
          <w:szCs w:val="18"/>
          <w:color w:val="auto"/>
        </w:rPr>
      </w:pPr>
    </w:p>
    <w:p>
      <w:pPr>
        <w:ind w:left="720" w:hanging="256"/>
        <w:spacing w:after="0"/>
        <w:tabs>
          <w:tab w:leader="none" w:pos="720" w:val="left"/>
        </w:tabs>
        <w:numPr>
          <w:ilvl w:val="1"/>
          <w:numId w:val="59"/>
        </w:numPr>
        <w:rPr>
          <w:rFonts w:ascii="Arial" w:cs="Arial" w:eastAsia="Arial" w:hAnsi="Arial"/>
          <w:sz w:val="18"/>
          <w:szCs w:val="18"/>
          <w:color w:val="auto"/>
        </w:rPr>
      </w:pPr>
      <w:r>
        <w:rPr>
          <w:rFonts w:ascii="Arial" w:cs="Arial" w:eastAsia="Arial" w:hAnsi="Arial"/>
          <w:sz w:val="18"/>
          <w:szCs w:val="18"/>
          <w:u w:val="single" w:color="auto"/>
          <w:color w:val="auto"/>
        </w:rPr>
        <w:t>Representations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160" w:hanging="239"/>
        <w:spacing w:after="0"/>
        <w:tabs>
          <w:tab w:leader="none" w:pos="1160" w:val="left"/>
        </w:tabs>
        <w:numPr>
          <w:ilvl w:val="2"/>
          <w:numId w:val="59"/>
        </w:numPr>
        <w:rPr>
          <w:rFonts w:ascii="Arial" w:cs="Arial" w:eastAsia="Arial" w:hAnsi="Arial"/>
          <w:sz w:val="18"/>
          <w:szCs w:val="18"/>
          <w:color w:val="auto"/>
        </w:rPr>
      </w:pPr>
      <w:r>
        <w:rPr>
          <w:rFonts w:ascii="Arial" w:cs="Arial" w:eastAsia="Arial" w:hAnsi="Arial"/>
          <w:sz w:val="18"/>
          <w:szCs w:val="18"/>
          <w:color w:val="auto"/>
        </w:rPr>
        <w:t>Employee represents that:</w:t>
      </w:r>
    </w:p>
    <w:p>
      <w:pPr>
        <w:spacing w:after="0" w:line="225" w:lineRule="exact"/>
        <w:rPr>
          <w:rFonts w:ascii="Arial" w:cs="Arial" w:eastAsia="Arial" w:hAnsi="Arial"/>
          <w:sz w:val="18"/>
          <w:szCs w:val="18"/>
          <w:color w:val="auto"/>
        </w:rPr>
      </w:pPr>
    </w:p>
    <w:p>
      <w:pPr>
        <w:ind w:left="1700" w:hanging="208"/>
        <w:spacing w:after="0"/>
        <w:tabs>
          <w:tab w:leader="none" w:pos="1700" w:val="left"/>
        </w:tabs>
        <w:numPr>
          <w:ilvl w:val="3"/>
          <w:numId w:val="59"/>
        </w:numPr>
        <w:rPr>
          <w:rFonts w:ascii="Arial" w:cs="Arial" w:eastAsia="Arial" w:hAnsi="Arial"/>
          <w:sz w:val="16"/>
          <w:szCs w:val="16"/>
          <w:color w:val="auto"/>
        </w:rPr>
      </w:pPr>
      <w:r>
        <w:rPr>
          <w:rFonts w:ascii="Arial" w:cs="Arial" w:eastAsia="Arial" w:hAnsi="Arial"/>
          <w:sz w:val="16"/>
          <w:szCs w:val="16"/>
          <w:color w:val="auto"/>
        </w:rPr>
        <w:t>Employee has had the opportunity to retain and consult with legal counsel and tax advisors of Employee’s choice regarding the terms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this Agreement.</w:t>
      </w:r>
    </w:p>
    <w:p>
      <w:pPr>
        <w:spacing w:after="0" w:line="210" w:lineRule="exact"/>
        <w:rPr>
          <w:rFonts w:ascii="Arial" w:cs="Arial" w:eastAsia="Arial" w:hAnsi="Arial"/>
          <w:sz w:val="16"/>
          <w:szCs w:val="16"/>
          <w:color w:val="auto"/>
        </w:rPr>
      </w:pPr>
    </w:p>
    <w:p>
      <w:pPr>
        <w:ind w:right="380" w:firstLine="1492"/>
        <w:spacing w:after="0" w:line="277" w:lineRule="auto"/>
        <w:tabs>
          <w:tab w:leader="none" w:pos="1748" w:val="left"/>
        </w:tabs>
        <w:numPr>
          <w:ilvl w:val="3"/>
          <w:numId w:val="59"/>
        </w:numPr>
        <w:rPr>
          <w:rFonts w:ascii="Arial" w:cs="Arial" w:eastAsia="Arial" w:hAnsi="Arial"/>
          <w:sz w:val="18"/>
          <w:szCs w:val="18"/>
          <w:color w:val="auto"/>
        </w:rPr>
      </w:pPr>
      <w:r>
        <w:rPr>
          <w:rFonts w:ascii="Arial" w:cs="Arial" w:eastAsia="Arial" w:hAnsi="Arial"/>
          <w:sz w:val="18"/>
          <w:szCs w:val="18"/>
          <w:color w:val="auto"/>
        </w:rPr>
        <w:t>Subject to bankruptcy and insolvency laws and general equitable principles, this Agreement is enforceable against Employee in accordance with its terms.</w:t>
      </w:r>
    </w:p>
    <w:p>
      <w:pPr>
        <w:spacing w:after="0" w:line="170" w:lineRule="exact"/>
        <w:rPr>
          <w:rFonts w:ascii="Arial" w:cs="Arial" w:eastAsia="Arial" w:hAnsi="Arial"/>
          <w:sz w:val="18"/>
          <w:szCs w:val="18"/>
          <w:color w:val="auto"/>
        </w:rPr>
      </w:pPr>
    </w:p>
    <w:p>
      <w:pPr>
        <w:ind w:firstLine="1492"/>
        <w:spacing w:after="0" w:line="264" w:lineRule="auto"/>
        <w:tabs>
          <w:tab w:leader="none" w:pos="1798" w:val="left"/>
        </w:tabs>
        <w:numPr>
          <w:ilvl w:val="3"/>
          <w:numId w:val="59"/>
        </w:numPr>
        <w:rPr>
          <w:rFonts w:ascii="Arial" w:cs="Arial" w:eastAsia="Arial" w:hAnsi="Arial"/>
          <w:sz w:val="18"/>
          <w:szCs w:val="18"/>
          <w:color w:val="auto"/>
        </w:rPr>
      </w:pPr>
      <w:r>
        <w:rPr>
          <w:rFonts w:ascii="Arial" w:cs="Arial" w:eastAsia="Arial" w:hAnsi="Arial"/>
          <w:sz w:val="18"/>
          <w:szCs w:val="18"/>
          <w:color w:val="auto"/>
        </w:rPr>
        <w:t>This Agreement, and the performance of Employee’s obligations hereunder, do not conflict with, violate or give rise to any rights of other persons or entities under, any agreement, benefit plan or program, order, decree or judgment to which Employee is a party or by which Employee is bound.</w:t>
      </w:r>
    </w:p>
    <w:p>
      <w:pPr>
        <w:spacing w:after="0" w:line="181" w:lineRule="exact"/>
        <w:rPr>
          <w:rFonts w:ascii="Arial" w:cs="Arial" w:eastAsia="Arial" w:hAnsi="Arial"/>
          <w:sz w:val="18"/>
          <w:szCs w:val="18"/>
          <w:color w:val="auto"/>
        </w:rPr>
      </w:pPr>
    </w:p>
    <w:p>
      <w:pPr>
        <w:ind w:left="1180" w:hanging="259"/>
        <w:spacing w:after="0"/>
        <w:tabs>
          <w:tab w:leader="none" w:pos="1180" w:val="left"/>
        </w:tabs>
        <w:numPr>
          <w:ilvl w:val="2"/>
          <w:numId w:val="59"/>
        </w:numPr>
        <w:rPr>
          <w:rFonts w:ascii="Arial" w:cs="Arial" w:eastAsia="Arial" w:hAnsi="Arial"/>
          <w:sz w:val="18"/>
          <w:szCs w:val="18"/>
          <w:color w:val="auto"/>
        </w:rPr>
      </w:pPr>
      <w:r>
        <w:rPr>
          <w:rFonts w:ascii="Arial" w:cs="Arial" w:eastAsia="Arial" w:hAnsi="Arial"/>
          <w:sz w:val="18"/>
          <w:szCs w:val="18"/>
          <w:color w:val="auto"/>
        </w:rPr>
        <w:t>The Company represents that:</w:t>
      </w:r>
    </w:p>
    <w:p>
      <w:pPr>
        <w:spacing w:after="0" w:line="225" w:lineRule="exact"/>
        <w:rPr>
          <w:rFonts w:ascii="Arial" w:cs="Arial" w:eastAsia="Arial" w:hAnsi="Arial"/>
          <w:sz w:val="18"/>
          <w:szCs w:val="18"/>
          <w:color w:val="auto"/>
        </w:rPr>
      </w:pPr>
    </w:p>
    <w:p>
      <w:pPr>
        <w:ind w:right="200" w:firstLine="1492"/>
        <w:spacing w:after="0" w:line="277" w:lineRule="auto"/>
        <w:tabs>
          <w:tab w:leader="none" w:pos="1698" w:val="left"/>
        </w:tabs>
        <w:numPr>
          <w:ilvl w:val="3"/>
          <w:numId w:val="59"/>
        </w:numPr>
        <w:rPr>
          <w:rFonts w:ascii="Arial" w:cs="Arial" w:eastAsia="Arial" w:hAnsi="Arial"/>
          <w:sz w:val="18"/>
          <w:szCs w:val="18"/>
          <w:color w:val="auto"/>
        </w:rPr>
      </w:pPr>
      <w:r>
        <w:rPr>
          <w:rFonts w:ascii="Arial" w:cs="Arial" w:eastAsia="Arial" w:hAnsi="Arial"/>
          <w:sz w:val="18"/>
          <w:szCs w:val="18"/>
          <w:color w:val="auto"/>
        </w:rPr>
        <w:t>Subject to bankruptcy and insolvency laws and general equitable principles, this Agreement is enforceable against the Company in accordance with its terms.</w:t>
      </w:r>
    </w:p>
    <w:p>
      <w:pPr>
        <w:spacing w:after="0" w:line="170" w:lineRule="exact"/>
        <w:rPr>
          <w:rFonts w:ascii="Arial" w:cs="Arial" w:eastAsia="Arial" w:hAnsi="Arial"/>
          <w:sz w:val="18"/>
          <w:szCs w:val="18"/>
          <w:color w:val="auto"/>
        </w:rPr>
      </w:pPr>
    </w:p>
    <w:p>
      <w:pPr>
        <w:ind w:right="20" w:firstLine="1492"/>
        <w:spacing w:after="0" w:line="308" w:lineRule="auto"/>
        <w:tabs>
          <w:tab w:leader="none" w:pos="1748" w:val="left"/>
        </w:tabs>
        <w:numPr>
          <w:ilvl w:val="3"/>
          <w:numId w:val="59"/>
        </w:numPr>
        <w:rPr>
          <w:rFonts w:ascii="Arial" w:cs="Arial" w:eastAsia="Arial" w:hAnsi="Arial"/>
          <w:sz w:val="17"/>
          <w:szCs w:val="17"/>
          <w:color w:val="auto"/>
        </w:rPr>
      </w:pPr>
      <w:r>
        <w:rPr>
          <w:rFonts w:ascii="Arial" w:cs="Arial" w:eastAsia="Arial" w:hAnsi="Arial"/>
          <w:sz w:val="17"/>
          <w:szCs w:val="17"/>
          <w:color w:val="auto"/>
        </w:rPr>
        <w:t>This Agreement, and the performance of the Company’s obligations hereunder, do not conflict with, violate or give rise to any rights to other persons or entities under, any agreement, order, decree or judgment to which the Company is a party or by which it is bound.</w:t>
      </w:r>
    </w:p>
    <w:p>
      <w:pPr>
        <w:spacing w:after="0" w:line="146" w:lineRule="exact"/>
        <w:rPr>
          <w:rFonts w:ascii="Arial" w:cs="Arial" w:eastAsia="Arial" w:hAnsi="Arial"/>
          <w:sz w:val="17"/>
          <w:szCs w:val="17"/>
          <w:color w:val="auto"/>
        </w:rPr>
      </w:pPr>
    </w:p>
    <w:p>
      <w:pPr>
        <w:ind w:right="400" w:firstLine="464"/>
        <w:spacing w:after="0" w:line="264" w:lineRule="auto"/>
        <w:tabs>
          <w:tab w:leader="none" w:pos="726" w:val="left"/>
        </w:tabs>
        <w:numPr>
          <w:ilvl w:val="1"/>
          <w:numId w:val="59"/>
        </w:numPr>
        <w:rPr>
          <w:rFonts w:ascii="Arial" w:cs="Arial" w:eastAsia="Arial" w:hAnsi="Arial"/>
          <w:sz w:val="18"/>
          <w:szCs w:val="18"/>
          <w:color w:val="auto"/>
        </w:rPr>
      </w:pPr>
      <w:r>
        <w:rPr>
          <w:rFonts w:ascii="Arial" w:cs="Arial" w:eastAsia="Arial" w:hAnsi="Arial"/>
          <w:sz w:val="18"/>
          <w:szCs w:val="18"/>
          <w:u w:val="single" w:color="auto"/>
          <w:color w:val="auto"/>
        </w:rPr>
        <w:t>Withholding; Deductions</w:t>
      </w:r>
      <w:r>
        <w:rPr>
          <w:rFonts w:ascii="Arial" w:cs="Arial" w:eastAsia="Arial" w:hAnsi="Arial"/>
          <w:sz w:val="18"/>
          <w:szCs w:val="18"/>
          <w:color w:val="auto"/>
        </w:rPr>
        <w:t>. All compensation under this Agreement is subject to applicable tax withholding requirements and other deductions required by law. Employee agrees that the Company is entitled to deduct from monies payable and reimbursable to Employee hereunder all sums that Employee may owe the Company at any time.</w:t>
      </w:r>
    </w:p>
    <w:p>
      <w:pPr>
        <w:spacing w:after="0" w:line="181" w:lineRule="exact"/>
        <w:rPr>
          <w:rFonts w:ascii="Arial" w:cs="Arial" w:eastAsia="Arial" w:hAnsi="Arial"/>
          <w:sz w:val="18"/>
          <w:szCs w:val="18"/>
          <w:color w:val="auto"/>
        </w:rPr>
      </w:pPr>
    </w:p>
    <w:p>
      <w:pPr>
        <w:ind w:left="740" w:hanging="276"/>
        <w:spacing w:after="0"/>
        <w:tabs>
          <w:tab w:leader="none" w:pos="740" w:val="left"/>
        </w:tabs>
        <w:numPr>
          <w:ilvl w:val="1"/>
          <w:numId w:val="59"/>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00" w:firstLine="921"/>
        <w:spacing w:after="0" w:line="308" w:lineRule="auto"/>
        <w:tabs>
          <w:tab w:leader="none" w:pos="1158" w:val="left"/>
        </w:tabs>
        <w:numPr>
          <w:ilvl w:val="2"/>
          <w:numId w:val="59"/>
        </w:numPr>
        <w:rPr>
          <w:rFonts w:ascii="Arial" w:cs="Arial" w:eastAsia="Arial" w:hAnsi="Arial"/>
          <w:sz w:val="17"/>
          <w:szCs w:val="17"/>
          <w:color w:val="auto"/>
        </w:rPr>
      </w:pPr>
      <w:r>
        <w:rPr>
          <w:rFonts w:ascii="Arial" w:cs="Arial" w:eastAsia="Arial" w:hAnsi="Arial"/>
          <w:sz w:val="17"/>
          <w:szCs w:val="17"/>
          <w:color w:val="auto"/>
        </w:rPr>
        <w:t>Notwithstanding any other provision of this Agreement to the contrary or otherwise, except to the extent any expense, reimbursement or in-kind benefit provided to Employee does not constitute a “deferral of compensation” within the meaning of Section 409A of the Code,</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20"/>
          </w:cols>
          <w:pgMar w:left="240" w:top="274" w:right="339" w:bottom="1440" w:gutter="0" w:footer="0" w:header="0"/>
        </w:sectPr>
      </w:pPr>
    </w:p>
    <w:bookmarkStart w:id="104" w:name="page105"/>
    <w:bookmarkEnd w:id="104"/>
    <w:p>
      <w:pPr>
        <w:ind w:right="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its implementing regulations and guidance: (i) the amount of expenses eligible for reimbursement or in-kind benefits provided to Employee during any calendar year will not affect the amount of expenses eligible for reimbursement or in-kind benefits provided to Employee in any other calendar year; (ii) the reimbursements for expenses for which Employee is entitled to be reimbursed shall be made on or before the last day of the calendar year following the calendar year in which the applicable expense is incurred; and (iii) the right to payment or reimbursement or in-kind benefits hereunder may not be liquidated or exchanged for any other benefit.</w:t>
      </w:r>
    </w:p>
    <w:p>
      <w:pPr>
        <w:spacing w:after="0" w:line="188" w:lineRule="exact"/>
        <w:rPr>
          <w:sz w:val="20"/>
          <w:szCs w:val="20"/>
          <w:color w:val="auto"/>
        </w:rPr>
      </w:pPr>
    </w:p>
    <w:p>
      <w:pPr>
        <w:ind w:right="40" w:firstLine="921"/>
        <w:spacing w:after="0" w:line="277" w:lineRule="auto"/>
        <w:tabs>
          <w:tab w:leader="none" w:pos="1168" w:val="left"/>
        </w:tabs>
        <w:numPr>
          <w:ilvl w:val="1"/>
          <w:numId w:val="60"/>
        </w:numPr>
        <w:rPr>
          <w:rFonts w:ascii="Arial" w:cs="Arial" w:eastAsia="Arial" w:hAnsi="Arial"/>
          <w:sz w:val="18"/>
          <w:szCs w:val="18"/>
          <w:color w:val="auto"/>
        </w:rPr>
      </w:pPr>
      <w:r>
        <w:rPr>
          <w:rFonts w:ascii="Arial" w:cs="Arial" w:eastAsia="Arial" w:hAnsi="Arial"/>
          <w:sz w:val="18"/>
          <w:szCs w:val="18"/>
          <w:color w:val="auto"/>
        </w:rPr>
        <w:t>For purposes of the application of Treas.Reg.§1.409A-1(b)(4) (or any successor provision), each payment in a series of payments provided to Employee pursuant to this Agreement will be deemed a separate payment.</w:t>
      </w:r>
    </w:p>
    <w:p>
      <w:pPr>
        <w:spacing w:after="0" w:line="170" w:lineRule="exact"/>
        <w:rPr>
          <w:rFonts w:ascii="Arial" w:cs="Arial" w:eastAsia="Arial" w:hAnsi="Arial"/>
          <w:sz w:val="18"/>
          <w:szCs w:val="18"/>
          <w:color w:val="auto"/>
        </w:rPr>
      </w:pPr>
    </w:p>
    <w:p>
      <w:pPr>
        <w:ind w:firstLine="921"/>
        <w:spacing w:after="0" w:line="269" w:lineRule="auto"/>
        <w:tabs>
          <w:tab w:leader="none" w:pos="1158" w:val="left"/>
        </w:tabs>
        <w:numPr>
          <w:ilvl w:val="1"/>
          <w:numId w:val="60"/>
        </w:numPr>
        <w:rPr>
          <w:rFonts w:ascii="Arial" w:cs="Arial" w:eastAsia="Arial" w:hAnsi="Arial"/>
          <w:sz w:val="17"/>
          <w:szCs w:val="17"/>
          <w:color w:val="auto"/>
        </w:rPr>
      </w:pPr>
      <w:r>
        <w:rPr>
          <w:rFonts w:ascii="Arial" w:cs="Arial" w:eastAsia="Arial" w:hAnsi="Arial"/>
          <w:sz w:val="17"/>
          <w:szCs w:val="17"/>
          <w:color w:val="auto"/>
        </w:rPr>
        <w:t>Notwithstanding any other provision of this Agreement to the contrary or otherwise, any payment or benefit described in Paragraph 7 that represents a “deferral of compensation” within the meaning of Section 409A of the Code shall only be paid or provided to Employee upon his “separation from service” within the meaning of Treas.Reg.§1.409A-1(h) (or any successor regulation). To the extent compliance with the requirements of Treas.Reg.§1.409A-3(i)(2) (or any successor provision) is necessary to avoid the application of an additional tax under Section 409A of the Code to payments due to Employee upon or following his “separation from service,” then notwithstanding any other provision of this Agreement (or any otherwise applicable plan, policy, agreement or arrangement), any such payments that are otherwise due within six months following Employee’s “separation from service” will be deferred (without interest) and paid to Employee in a lump sum immediately following that six month period. In the event Employee dies during that six month period, the amounts deferred on account of Treas.Reg.§1.409A-3(i)(2) (or any successor provision) shall be paid to the personal representatives of the Employee’s estate within sixty (60) days following Employee’s death. This provision shall not be construed as preventing payments to Employee pursuant to Paragraph 7 in the first six months following Employee’s “separation from service” equal to an amount up to two (2) times the lesser of: (i) Employee’s annualized compensation for the year prior to the “separation from service;” and (ii) the maximum amount that may be taken into account under a qualified plan pursuant to section 401(a)(17) of the Code.</w:t>
      </w:r>
    </w:p>
    <w:p>
      <w:pPr>
        <w:spacing w:after="0" w:line="179" w:lineRule="exact"/>
        <w:rPr>
          <w:rFonts w:ascii="Arial" w:cs="Arial" w:eastAsia="Arial" w:hAnsi="Arial"/>
          <w:sz w:val="17"/>
          <w:szCs w:val="17"/>
          <w:color w:val="auto"/>
        </w:rPr>
      </w:pPr>
    </w:p>
    <w:p>
      <w:pPr>
        <w:ind w:right="60" w:firstLine="921"/>
        <w:spacing w:after="0" w:line="279" w:lineRule="auto"/>
        <w:tabs>
          <w:tab w:leader="none" w:pos="1168" w:val="left"/>
        </w:tabs>
        <w:numPr>
          <w:ilvl w:val="1"/>
          <w:numId w:val="60"/>
        </w:numPr>
        <w:rPr>
          <w:rFonts w:ascii="Arial" w:cs="Arial" w:eastAsia="Arial" w:hAnsi="Arial"/>
          <w:sz w:val="17"/>
          <w:szCs w:val="17"/>
          <w:color w:val="auto"/>
        </w:rPr>
      </w:pPr>
      <w:r>
        <w:rPr>
          <w:rFonts w:ascii="Arial" w:cs="Arial" w:eastAsia="Arial" w:hAnsi="Arial"/>
          <w:sz w:val="17"/>
          <w:szCs w:val="17"/>
          <w:color w:val="auto"/>
        </w:rPr>
        <w:t>Notwithstanding any other provision of this Agreement to the contrary or otherwise, all benefits or payments provided by the Company to Employee that would be deemed to constitute “nonqualified deferred compensation” within the meaning of Section 409A of the Code are intended to comply with Section 409A of the Code. Notwithstanding any other provision in this Agreement to the contrary or otherwise, distributions may only be made under this Agreement upon an event and in a manner permitted by Section 409A of the Code or an applicable exemption.</w:t>
      </w:r>
    </w:p>
    <w:p>
      <w:pPr>
        <w:spacing w:after="0" w:line="171" w:lineRule="exact"/>
        <w:rPr>
          <w:rFonts w:ascii="Arial" w:cs="Arial" w:eastAsia="Arial" w:hAnsi="Arial"/>
          <w:sz w:val="17"/>
          <w:szCs w:val="17"/>
          <w:color w:val="auto"/>
        </w:rPr>
      </w:pPr>
    </w:p>
    <w:p>
      <w:pPr>
        <w:ind w:left="740" w:hanging="276"/>
        <w:spacing w:after="0"/>
        <w:tabs>
          <w:tab w:leader="none" w:pos="740"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Successors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right="200" w:firstLine="921"/>
        <w:spacing w:after="0" w:line="259" w:lineRule="auto"/>
        <w:tabs>
          <w:tab w:leader="none" w:pos="1158" w:val="left"/>
        </w:tabs>
        <w:numPr>
          <w:ilvl w:val="1"/>
          <w:numId w:val="61"/>
        </w:numPr>
        <w:rPr>
          <w:rFonts w:ascii="Arial" w:cs="Arial" w:eastAsia="Arial" w:hAnsi="Arial"/>
          <w:sz w:val="18"/>
          <w:szCs w:val="18"/>
          <w:color w:val="auto"/>
        </w:rPr>
      </w:pPr>
      <w:r>
        <w:rPr>
          <w:rFonts w:ascii="Arial" w:cs="Arial" w:eastAsia="Arial" w:hAnsi="Arial"/>
          <w:sz w:val="18"/>
          <w:szCs w:val="18"/>
          <w:color w:val="auto"/>
        </w:rPr>
        <w:t>If Comcast Corporation merges into, or transfers all or substantially all of its assets to, or as part of a reorganization, restructuring or other transaction becomes a subsidiary of, another entity, such other entity shall be deemed to be the successor to Comcast Corporation hereunder, and the term “Company” as used herein shall mean such other entity (together with its subsidiaries) as is appropriate, and this Agreement shall continue in full force and effect.</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74" w:right="259" w:bottom="1440" w:gutter="0" w:footer="0" w:header="0"/>
        </w:sectPr>
      </w:pPr>
    </w:p>
    <w:bookmarkStart w:id="105" w:name="page106"/>
    <w:bookmarkEnd w:id="105"/>
    <w:p>
      <w:pPr>
        <w:ind w:left="-40" w:right="60" w:firstLine="921"/>
        <w:spacing w:after="0" w:line="276" w:lineRule="auto"/>
        <w:tabs>
          <w:tab w:leader="none" w:pos="1128" w:val="left"/>
        </w:tabs>
        <w:numPr>
          <w:ilvl w:val="1"/>
          <w:numId w:val="6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Comcast Corporation transfers part of its assets to another entity owned directly or indirectly by the shareholders of Comcast Corporation (or any substantial portion of them), or transfers stock or other interests in a subsidiary of Comcast Corporation directly or indirectly to the shareholders of Comcast Corporation (or any substantial portion of them), and Employee works for the portion of the Company or subsidiary so transferred, then the successor or continuing employer entity shall be deemed the successor to the Company hereunder, the term “Company” as used herein shall mean such entity (together with its subsidiaries) as is appropriate, and this Agreement shall continue in full force and effect.</w:t>
      </w:r>
    </w:p>
    <w:p>
      <w:pPr>
        <w:spacing w:after="0" w:line="168" w:lineRule="exact"/>
        <w:rPr>
          <w:rFonts w:ascii="Arial" w:cs="Arial" w:eastAsia="Arial" w:hAnsi="Arial"/>
          <w:sz w:val="17"/>
          <w:szCs w:val="17"/>
          <w:color w:val="auto"/>
        </w:rPr>
      </w:pPr>
    </w:p>
    <w:p>
      <w:pPr>
        <w:ind w:left="-40" w:right="140" w:firstLine="464"/>
        <w:spacing w:after="0" w:line="256" w:lineRule="auto"/>
        <w:tabs>
          <w:tab w:leader="none" w:pos="686" w:val="left"/>
        </w:tabs>
        <w:numPr>
          <w:ilvl w:val="0"/>
          <w:numId w:val="63"/>
        </w:numPr>
        <w:rPr>
          <w:rFonts w:ascii="Arial" w:cs="Arial" w:eastAsia="Arial" w:hAnsi="Arial"/>
          <w:sz w:val="18"/>
          <w:szCs w:val="18"/>
          <w:color w:val="auto"/>
        </w:rPr>
      </w:pPr>
      <w:r>
        <w:rPr>
          <w:rFonts w:ascii="Arial" w:cs="Arial" w:eastAsia="Arial" w:hAnsi="Arial"/>
          <w:sz w:val="18"/>
          <w:szCs w:val="18"/>
          <w:b w:val="1"/>
          <w:bCs w:val="1"/>
          <w:u w:val="single" w:color="auto"/>
          <w:color w:val="auto"/>
        </w:rPr>
        <w:t>WAIVER OF RIGHT TO TRIAL BY JURY</w:t>
      </w:r>
      <w:r>
        <w:rPr>
          <w:rFonts w:ascii="Arial" w:cs="Arial" w:eastAsia="Arial" w:hAnsi="Arial"/>
          <w:sz w:val="18"/>
          <w:szCs w:val="18"/>
          <w:b w:val="1"/>
          <w:bCs w:val="1"/>
          <w:color w:val="auto"/>
        </w:rPr>
        <w:t>. TO THE EXTENT PERMITTED BY APPLICABLE LAW, THE COMPANY AND EMPLOYEE HEREBY KNOWINGLY, VOLUNTARILY AND INTENTIONALLY WAIVE ANY RIGHT EITHER THEY OR THEIR HEIRS, EXECUTORS, ADMINISTRATORS, PERSONAL REPRESENTATIVES, SUCCESSORS OR ASSIGNS MAY HAVE TO A TRIAL BY JURY IN ANY LITIGATION BASED ON OR RELATING TO THIS AGREEMENT. BY WAIVING THE RIGHT TO A JURY TRIAL, NEITHER PARTY IS WAIVING A RIGHT TO SUE THE OTHER; RATHER, THE PARTIES ARE SIMPLY WAIVING THE RIGHT TO HAVE A JURY DECIDE THE CASE.</w:t>
      </w:r>
    </w:p>
    <w:p>
      <w:pPr>
        <w:spacing w:after="0" w:line="187" w:lineRule="exact"/>
        <w:rPr>
          <w:rFonts w:ascii="Arial" w:cs="Arial" w:eastAsia="Arial" w:hAnsi="Arial"/>
          <w:sz w:val="18"/>
          <w:szCs w:val="18"/>
          <w:color w:val="auto"/>
        </w:rPr>
      </w:pPr>
    </w:p>
    <w:p>
      <w:pPr>
        <w:ind w:left="-40" w:firstLine="464"/>
        <w:spacing w:after="0" w:line="256" w:lineRule="auto"/>
        <w:tabs>
          <w:tab w:leader="none" w:pos="686" w:val="left"/>
        </w:tabs>
        <w:numPr>
          <w:ilvl w:val="0"/>
          <w:numId w:val="63"/>
        </w:numPr>
        <w:rPr>
          <w:rFonts w:ascii="Arial" w:cs="Arial" w:eastAsia="Arial" w:hAnsi="Arial"/>
          <w:sz w:val="18"/>
          <w:szCs w:val="18"/>
          <w:color w:val="auto"/>
        </w:rPr>
      </w:pPr>
      <w:r>
        <w:rPr>
          <w:rFonts w:ascii="Arial" w:cs="Arial" w:eastAsia="Arial" w:hAnsi="Arial"/>
          <w:sz w:val="18"/>
          <w:szCs w:val="18"/>
          <w:b w:val="1"/>
          <w:bCs w:val="1"/>
          <w:u w:val="single" w:color="auto"/>
          <w:color w:val="auto"/>
        </w:rPr>
        <w:t>LIMITATION ON DAMAGES</w:t>
      </w:r>
      <w:r>
        <w:rPr>
          <w:rFonts w:ascii="Arial" w:cs="Arial" w:eastAsia="Arial" w:hAnsi="Arial"/>
          <w:sz w:val="18"/>
          <w:szCs w:val="18"/>
          <w:b w:val="1"/>
          <w:bCs w:val="1"/>
          <w:color w:val="auto"/>
        </w:rPr>
        <w:t>. EMPLOYEE AGREES THAT, UNLESS PROHIBITED BY APPLICABLE LAW, AND EXCEPT AS EXPRESSLY AVAILABLE IN AN APPLICABLE FEDERAL, STATE OR LOCAL STATUTE OR ORDINANCE, EMPLOYEE’S REMEDY FOR BREACH OF THIS AGREEMENT OR ANY OTHER CLAIM OR CAUSE OF ACTION ARISING OUT OF EMPLOYEE’S EMPLOYMENT SHALL BE LIMITED TO ACTUAL ECONOMIC DAMAGES, AND EMPLOYEE SHALL NOT BE PERMITTED TO MAKE ANY CLAIM FOR OR RECOVER PUNITIVE, EXEMPLARY, COMPENSATORY (OTHER THAN BASED ON ACTUAL ECONOMIC LOSS), EMOTIONAL DISTRESS, OR SPECIAL DAMAGES.</w:t>
      </w:r>
    </w:p>
    <w:p>
      <w:pPr>
        <w:spacing w:after="0" w:line="191" w:lineRule="exact"/>
        <w:rPr>
          <w:rFonts w:ascii="Arial" w:cs="Arial" w:eastAsia="Arial" w:hAnsi="Arial"/>
          <w:sz w:val="18"/>
          <w:szCs w:val="18"/>
          <w:color w:val="auto"/>
        </w:rPr>
      </w:pPr>
    </w:p>
    <w:p>
      <w:pPr>
        <w:ind w:left="-40" w:right="20" w:firstLine="464"/>
        <w:spacing w:after="0" w:line="271" w:lineRule="auto"/>
        <w:tabs>
          <w:tab w:leader="none" w:pos="686" w:val="left"/>
        </w:tabs>
        <w:numPr>
          <w:ilvl w:val="0"/>
          <w:numId w:val="63"/>
        </w:numPr>
        <w:rPr>
          <w:rFonts w:ascii="Arial" w:cs="Arial" w:eastAsia="Arial" w:hAnsi="Arial"/>
          <w:sz w:val="17"/>
          <w:szCs w:val="17"/>
          <w:color w:val="auto"/>
        </w:rPr>
      </w:pPr>
      <w:r>
        <w:rPr>
          <w:rFonts w:ascii="Arial" w:cs="Arial" w:eastAsia="Arial" w:hAnsi="Arial"/>
          <w:sz w:val="17"/>
          <w:szCs w:val="17"/>
          <w:u w:val="single" w:color="auto"/>
          <w:color w:val="auto"/>
        </w:rPr>
        <w:t>Jurisdiction; Costs</w:t>
      </w:r>
      <w:r>
        <w:rPr>
          <w:rFonts w:ascii="Arial" w:cs="Arial" w:eastAsia="Arial" w:hAnsi="Arial"/>
          <w:sz w:val="17"/>
          <w:szCs w:val="17"/>
          <w:color w:val="auto"/>
        </w:rPr>
        <w:t>. Litigation concerning this Agreement, if initiated by or on behalf of Employee, shall be brought only in a state court in Philadelphia County, Pennsylvania or federal court in the Eastern District of Pennsylvania, or, if initiated by the Company, in either such jurisdiction or (if different) in a jurisdiction in which Employee then resides or works. Employee consents to jurisdiction in any such jurisdiction, regardless of the location of Employee’s residence or place of business. Employee and the Company irrevocably waive any objection, including any objection to the laying of venue or based on the grounds of forum non conveniens, which Employee or the Company may now or hereafter have, to the bringing of any action or proceeding in any such jurisdiction. Employee and the Company acknowledge and agree that any service of legal process by mail constitutes proper legal service of process under applicable law in any such action or proceeding. In any such litigation, the prevailing party shall be entitled to reimbursement from the other party for all costs of defending or maintaining such action, including reasonable attorneys’ fees.</w:t>
      </w:r>
    </w:p>
    <w:p>
      <w:pPr>
        <w:spacing w:after="0" w:line="178" w:lineRule="exact"/>
        <w:rPr>
          <w:rFonts w:ascii="Arial" w:cs="Arial" w:eastAsia="Arial" w:hAnsi="Arial"/>
          <w:sz w:val="17"/>
          <w:szCs w:val="17"/>
          <w:color w:val="auto"/>
        </w:rPr>
      </w:pPr>
    </w:p>
    <w:p>
      <w:pPr>
        <w:ind w:left="-40" w:right="140" w:firstLine="464"/>
        <w:spacing w:after="0" w:line="277" w:lineRule="auto"/>
        <w:tabs>
          <w:tab w:leader="none" w:pos="686"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interpreted and enforced in accordance with the substantive law of the Commonwealth of Pennsylvania, without regard to any choice-of-law doctrines.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80" w:top="274" w:right="259" w:bottom="1440" w:gutter="0" w:footer="0" w:header="0"/>
        </w:sectPr>
      </w:pPr>
    </w:p>
    <w:bookmarkStart w:id="106" w:name="page107"/>
    <w:bookmarkEnd w:id="106"/>
    <w:p>
      <w:pPr>
        <w:jc w:val="both"/>
        <w:ind w:left="-40" w:right="540" w:firstLine="464"/>
        <w:spacing w:after="0" w:line="264" w:lineRule="auto"/>
        <w:tabs>
          <w:tab w:leader="none" w:pos="686"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Notices</w:t>
      </w:r>
      <w:r>
        <w:rPr>
          <w:rFonts w:ascii="Arial" w:cs="Arial" w:eastAsia="Arial" w:hAnsi="Arial"/>
          <w:sz w:val="18"/>
          <w:szCs w:val="18"/>
          <w:color w:val="auto"/>
        </w:rPr>
        <w:t>. All notices referred to in this Agreement shall be given in writing and shall be effective: (a) if given by fax, when transmitted to the number below (with an appropriate confirmation received); or (b) if given by registered or certified mail, when received at the address below (with an appropriate receipt received):</w:t>
      </w:r>
    </w:p>
    <w:p>
      <w:pPr>
        <w:spacing w:after="0" w:line="7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if to the Company:</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c/o Comcast Corporation</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Philadelphia, PA 19103</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Fax: (215) 286-7794; and</w:t>
      </w:r>
    </w:p>
    <w:p>
      <w:pPr>
        <w:spacing w:after="0" w:line="21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if to Employee:</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Employee’s residence address and e-mail address as most recently indicated in the Company’s records.</w:t>
      </w:r>
    </w:p>
    <w:p>
      <w:pPr>
        <w:spacing w:after="0" w:line="225" w:lineRule="exact"/>
        <w:rPr>
          <w:sz w:val="20"/>
          <w:szCs w:val="20"/>
          <w:color w:val="auto"/>
        </w:rPr>
      </w:pPr>
    </w:p>
    <w:p>
      <w:pPr>
        <w:ind w:left="-40" w:firstLine="464"/>
        <w:spacing w:after="0" w:line="257" w:lineRule="auto"/>
        <w:tabs>
          <w:tab w:leader="none" w:pos="686"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(including Schedules 1, 2 and 3 hereto) constitutes the entire agreement of the parties with respect to the subject matter hereof, and supersedes and replaces in its entirety the Employment Agreement dated as of February 22, 2011, as amended, between the parties, provided that any accrued rights and obligations of the parties thereunder as of the date hereof shall be unaffected by the execution of this Agreement. In the event of any conflict between the terms of this Agreement and the terms of any plans or policies of the Company (including the Employee Handbook), the terms of this Agreement shall control.</w:t>
      </w:r>
    </w:p>
    <w:p>
      <w:pPr>
        <w:spacing w:after="0" w:line="188" w:lineRule="exact"/>
        <w:rPr>
          <w:rFonts w:ascii="Arial" w:cs="Arial" w:eastAsia="Arial" w:hAnsi="Arial"/>
          <w:sz w:val="18"/>
          <w:szCs w:val="18"/>
          <w:color w:val="auto"/>
        </w:rPr>
      </w:pPr>
    </w:p>
    <w:p>
      <w:pPr>
        <w:ind w:left="-40" w:right="180" w:firstLine="464"/>
        <w:spacing w:after="0" w:line="264" w:lineRule="auto"/>
        <w:tabs>
          <w:tab w:leader="none" w:pos="686"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Invalidity or Unenforceability</w:t>
      </w:r>
      <w:r>
        <w:rPr>
          <w:rFonts w:ascii="Arial" w:cs="Arial" w:eastAsia="Arial" w:hAnsi="Arial"/>
          <w:sz w:val="18"/>
          <w:szCs w:val="18"/>
          <w:color w:val="auto"/>
        </w:rPr>
        <w:t>. If any term or provision of this Agreement is held to be invalid or unenforceable for any reason, such invalidity or unenforceability shall not affect any other term or provision hereof and this Agreement shall continue in full force and effect as if such invalid or unenforceable term or provision (to the extent of the invalidity or unenforceability) had not been contained herein.</w:t>
      </w:r>
    </w:p>
    <w:p>
      <w:pPr>
        <w:spacing w:after="0" w:line="181" w:lineRule="exact"/>
        <w:rPr>
          <w:rFonts w:ascii="Arial" w:cs="Arial" w:eastAsia="Arial" w:hAnsi="Arial"/>
          <w:sz w:val="18"/>
          <w:szCs w:val="18"/>
          <w:color w:val="auto"/>
        </w:rPr>
      </w:pPr>
    </w:p>
    <w:p>
      <w:pPr>
        <w:ind w:left="-40" w:right="60" w:firstLine="464"/>
        <w:spacing w:after="0" w:line="259" w:lineRule="auto"/>
        <w:tabs>
          <w:tab w:leader="none" w:pos="686"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Amendments and Waivers</w:t>
      </w:r>
      <w:r>
        <w:rPr>
          <w:rFonts w:ascii="Arial" w:cs="Arial" w:eastAsia="Arial" w:hAnsi="Arial"/>
          <w:sz w:val="18"/>
          <w:szCs w:val="18"/>
          <w:color w:val="auto"/>
        </w:rPr>
        <w:t>. No amendment or waiver of this Agreement or any provision hereof shall be binding upon the party against whom enforcement of such amendment or waiver is sought unless it is made in writing and signed by or on behalf of such party. The waiver by either party of a breach of any provision of this Agreement by the other party shall not operate or be construed as a waiver or a continuing waiver by that party of the same or any subsequent breach of any provision of this Agreement by the other party.</w:t>
      </w:r>
    </w:p>
    <w:p>
      <w:pPr>
        <w:spacing w:after="0" w:line="186" w:lineRule="exact"/>
        <w:rPr>
          <w:rFonts w:ascii="Arial" w:cs="Arial" w:eastAsia="Arial" w:hAnsi="Arial"/>
          <w:sz w:val="18"/>
          <w:szCs w:val="18"/>
          <w:color w:val="auto"/>
        </w:rPr>
      </w:pPr>
    </w:p>
    <w:p>
      <w:pPr>
        <w:ind w:left="-40" w:right="440" w:firstLine="464"/>
        <w:spacing w:after="0" w:line="264" w:lineRule="auto"/>
        <w:tabs>
          <w:tab w:leader="none" w:pos="686"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Binding Effect; No Assignment</w:t>
      </w:r>
      <w:r>
        <w:rPr>
          <w:rFonts w:ascii="Arial" w:cs="Arial" w:eastAsia="Arial" w:hAnsi="Arial"/>
          <w:sz w:val="18"/>
          <w:szCs w:val="18"/>
          <w:color w:val="auto"/>
        </w:rPr>
        <w:t>. This Agreement shall be binding on and inure to the benefit of the parties hereto and their respective heirs, executors, administrators, successors and assigns, except that (other than to effect the provisions of Paragraph 14) it may not be assigned by either party without the other party’s written consent.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40"/>
          </w:cols>
          <w:pgMar w:left="280" w:top="274" w:right="279" w:bottom="1440" w:gutter="0" w:footer="0" w:header="0"/>
        </w:sectPr>
      </w:pPr>
    </w:p>
    <w:bookmarkStart w:id="107" w:name="page108"/>
    <w:bookmarkEnd w:id="10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executed and delivered this Agreement as of the date first-above written.</w:t>
      </w:r>
    </w:p>
    <w:p>
      <w:pPr>
        <w:spacing w:after="0" w:line="27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ind w:left="5940"/>
        <w:spacing w:after="0"/>
        <w:tabs>
          <w:tab w:leader="none" w:pos="6380" w:val="left"/>
        </w:tabs>
        <w:rPr>
          <w:sz w:val="20"/>
          <w:szCs w:val="20"/>
          <w:color w:val="auto"/>
        </w:rPr>
      </w:pPr>
      <w:r>
        <w:rPr>
          <w:rFonts w:ascii="Arial" w:cs="Arial" w:eastAsia="Arial" w:hAnsi="Arial"/>
          <w:sz w:val="18"/>
          <w:szCs w:val="18"/>
          <w:color w:val="auto"/>
        </w:rPr>
        <w:t>By:</w:t>
        <w:tab/>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4060190</wp:posOffset>
            </wp:positionH>
            <wp:positionV relativeFrom="paragraph">
              <wp:posOffset>14605</wp:posOffset>
            </wp:positionV>
            <wp:extent cx="260731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232"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Date: 10/23/15</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EMPLOYEE:</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David L.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3768725</wp:posOffset>
            </wp:positionH>
            <wp:positionV relativeFrom="paragraph">
              <wp:posOffset>14605</wp:posOffset>
            </wp:positionV>
            <wp:extent cx="289877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David L. Cohen</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Date: 10/23/15</w:t>
      </w:r>
    </w:p>
    <w:p>
      <w:pPr>
        <w:spacing w:after="0" w:line="158"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9299"/>
          </w:cols>
          <w:pgMar w:left="1160" w:top="274" w:right="1440" w:bottom="1440" w:gutter="0" w:footer="0" w:header="0"/>
        </w:sectPr>
      </w:pPr>
    </w:p>
    <w:bookmarkStart w:id="108" w:name="page109"/>
    <w:bookmarkEnd w:id="108"/>
    <w:p>
      <w:pPr>
        <w:jc w:val="center"/>
        <w:ind w:right="-31"/>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1 TO EMPLOYMENT AGREEMENT WITH DAVID L. COHEN</w:t>
      </w:r>
    </w:p>
    <w:p>
      <w:pPr>
        <w:spacing w:after="0" w:line="252" w:lineRule="exact"/>
        <w:rPr>
          <w:sz w:val="20"/>
          <w:szCs w:val="20"/>
          <w:color w:val="auto"/>
        </w:rPr>
      </w:pPr>
    </w:p>
    <w:p>
      <w:pPr>
        <w:ind w:left="452" w:hanging="452"/>
        <w:spacing w:after="0"/>
        <w:tabs>
          <w:tab w:leader="none" w:pos="452" w:val="left"/>
        </w:tabs>
        <w:numPr>
          <w:ilvl w:val="0"/>
          <w:numId w:val="66"/>
        </w:numPr>
        <w:rPr>
          <w:rFonts w:ascii="Arial" w:cs="Arial" w:eastAsia="Arial" w:hAnsi="Arial"/>
          <w:sz w:val="18"/>
          <w:szCs w:val="18"/>
          <w:color w:val="auto"/>
        </w:rPr>
      </w:pPr>
      <w:r>
        <w:rPr>
          <w:rFonts w:ascii="Arial" w:cs="Arial" w:eastAsia="Arial" w:hAnsi="Arial"/>
          <w:sz w:val="18"/>
          <w:szCs w:val="18"/>
          <w:color w:val="auto"/>
        </w:rPr>
        <w:t>Position: Senior Executive Vice President, Comcast Corporation.</w:t>
      </w:r>
    </w:p>
    <w:p>
      <w:pPr>
        <w:spacing w:after="0" w:line="130" w:lineRule="exact"/>
        <w:rPr>
          <w:rFonts w:ascii="Arial" w:cs="Arial" w:eastAsia="Arial" w:hAnsi="Arial"/>
          <w:sz w:val="18"/>
          <w:szCs w:val="18"/>
          <w:color w:val="auto"/>
        </w:rPr>
      </w:pPr>
    </w:p>
    <w:p>
      <w:pPr>
        <w:ind w:left="452" w:hanging="452"/>
        <w:spacing w:after="0"/>
        <w:tabs>
          <w:tab w:leader="none" w:pos="452" w:val="left"/>
        </w:tabs>
        <w:numPr>
          <w:ilvl w:val="0"/>
          <w:numId w:val="66"/>
        </w:numPr>
        <w:rPr>
          <w:rFonts w:ascii="Arial" w:cs="Arial" w:eastAsia="Arial" w:hAnsi="Arial"/>
          <w:sz w:val="18"/>
          <w:szCs w:val="18"/>
          <w:color w:val="auto"/>
        </w:rPr>
      </w:pPr>
      <w:r>
        <w:rPr>
          <w:rFonts w:ascii="Arial" w:cs="Arial" w:eastAsia="Arial" w:hAnsi="Arial"/>
          <w:sz w:val="18"/>
          <w:szCs w:val="18"/>
          <w:color w:val="auto"/>
        </w:rPr>
        <w:t>Base Salary: $1,440,873.</w:t>
      </w:r>
    </w:p>
    <w:p>
      <w:pPr>
        <w:spacing w:after="0" w:line="130" w:lineRule="exact"/>
        <w:rPr>
          <w:rFonts w:ascii="Arial" w:cs="Arial" w:eastAsia="Arial" w:hAnsi="Arial"/>
          <w:sz w:val="18"/>
          <w:szCs w:val="18"/>
          <w:color w:val="auto"/>
        </w:rPr>
      </w:pPr>
    </w:p>
    <w:p>
      <w:pPr>
        <w:ind w:left="452" w:right="140" w:hanging="452"/>
        <w:spacing w:after="0" w:line="264" w:lineRule="auto"/>
        <w:tabs>
          <w:tab w:leader="none" w:pos="452"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Restricted Stock Amount and Vesting Schedule: units for shares having a market value of approximately $3,000,000; vesting: 15% on the thirteen-month anniversary of the date of grant, 15% on each of the second to fourth anniversaries of the date of grant, and 40% on the fifth anniversary of the date of grant.</w:t>
      </w:r>
    </w:p>
    <w:p>
      <w:pPr>
        <w:spacing w:after="0" w:line="86" w:lineRule="exact"/>
        <w:rPr>
          <w:rFonts w:ascii="Arial" w:cs="Arial" w:eastAsia="Arial" w:hAnsi="Arial"/>
          <w:sz w:val="18"/>
          <w:szCs w:val="18"/>
          <w:color w:val="auto"/>
        </w:rPr>
      </w:pPr>
    </w:p>
    <w:p>
      <w:pPr>
        <w:ind w:left="452" w:hanging="452"/>
        <w:spacing w:after="0" w:line="277" w:lineRule="auto"/>
        <w:tabs>
          <w:tab w:leader="none" w:pos="452" w:val="left"/>
        </w:tabs>
        <w:numPr>
          <w:ilvl w:val="0"/>
          <w:numId w:val="66"/>
        </w:numPr>
        <w:rPr>
          <w:rFonts w:ascii="Arial" w:cs="Arial" w:eastAsia="Arial" w:hAnsi="Arial"/>
          <w:sz w:val="18"/>
          <w:szCs w:val="18"/>
          <w:color w:val="auto"/>
        </w:rPr>
      </w:pPr>
      <w:r>
        <w:rPr>
          <w:rFonts w:ascii="Arial" w:cs="Arial" w:eastAsia="Arial" w:hAnsi="Arial"/>
          <w:sz w:val="18"/>
          <w:szCs w:val="18"/>
          <w:color w:val="auto"/>
        </w:rPr>
        <w:t>Cash Bonus. Target bonus potential under the Cash Bonus Plan: for 2015: 200%; and for 2016: 250%; in each case of eligible earnings (</w:t>
      </w:r>
      <w:r>
        <w:rPr>
          <w:rFonts w:ascii="Arial" w:cs="Arial" w:eastAsia="Arial" w:hAnsi="Arial"/>
          <w:sz w:val="18"/>
          <w:szCs w:val="18"/>
          <w:u w:val="single" w:color="auto"/>
          <w:color w:val="auto"/>
        </w:rPr>
        <w:t>i.e.</w:t>
      </w:r>
      <w:r>
        <w:rPr>
          <w:rFonts w:ascii="Arial" w:cs="Arial" w:eastAsia="Arial" w:hAnsi="Arial"/>
          <w:sz w:val="18"/>
          <w:szCs w:val="18"/>
          <w:color w:val="auto"/>
        </w:rPr>
        <w:t>, the amount of Base Salary actually paid and/or deferred in the applicable period).</w:t>
      </w:r>
    </w:p>
    <w:p>
      <w:pPr>
        <w:spacing w:after="0" w:line="75" w:lineRule="exact"/>
        <w:rPr>
          <w:rFonts w:ascii="Arial" w:cs="Arial" w:eastAsia="Arial" w:hAnsi="Arial"/>
          <w:sz w:val="18"/>
          <w:szCs w:val="18"/>
          <w:color w:val="auto"/>
        </w:rPr>
      </w:pPr>
    </w:p>
    <w:p>
      <w:pPr>
        <w:ind w:left="452" w:right="180" w:hanging="452"/>
        <w:spacing w:after="0" w:line="277" w:lineRule="auto"/>
        <w:tabs>
          <w:tab w:leader="none" w:pos="452" w:val="left"/>
        </w:tabs>
        <w:numPr>
          <w:ilvl w:val="0"/>
          <w:numId w:val="66"/>
        </w:numPr>
        <w:rPr>
          <w:rFonts w:ascii="Arial" w:cs="Arial" w:eastAsia="Arial" w:hAnsi="Arial"/>
          <w:sz w:val="18"/>
          <w:szCs w:val="18"/>
          <w:color w:val="auto"/>
        </w:rPr>
      </w:pPr>
      <w:r>
        <w:rPr>
          <w:rFonts w:ascii="Arial" w:cs="Arial" w:eastAsia="Arial" w:hAnsi="Arial"/>
          <w:sz w:val="18"/>
          <w:szCs w:val="18"/>
          <w:color w:val="auto"/>
        </w:rPr>
        <w:t>Base Salary and Health and Welfare Benefits Continuation Period following Termination Without Cause or Termination With Good Reason: Twenty-four (24) months.</w:t>
      </w:r>
    </w:p>
    <w:p>
      <w:pPr>
        <w:spacing w:after="0" w:line="75" w:lineRule="exact"/>
        <w:rPr>
          <w:rFonts w:ascii="Arial" w:cs="Arial" w:eastAsia="Arial" w:hAnsi="Arial"/>
          <w:sz w:val="18"/>
          <w:szCs w:val="18"/>
          <w:color w:val="auto"/>
        </w:rPr>
      </w:pPr>
    </w:p>
    <w:p>
      <w:pPr>
        <w:ind w:left="452" w:right="280" w:hanging="452"/>
        <w:spacing w:after="0" w:line="264" w:lineRule="auto"/>
        <w:tabs>
          <w:tab w:leader="none" w:pos="452"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Restricted Stock and Stock Option Plan Grants Continued Vesting Period following Termination Without Cause or Termination With Good Reason: Twelve (12) months. Stock Option Plan Grants Continued Exercisability Period following Termination Without Cause or Termination With Good Reason: the lesser of fifteen (15) months or the end of the stock option’s term.</w:t>
      </w:r>
    </w:p>
    <w:p>
      <w:pPr>
        <w:spacing w:after="0" w:line="114"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72"/>
          </w:cols>
          <w:pgMar w:left="248" w:top="274" w:right="279" w:bottom="1440" w:gutter="0" w:footer="0" w:header="0"/>
        </w:sectPr>
      </w:pPr>
    </w:p>
    <w:bookmarkStart w:id="109" w:name="page110"/>
    <w:bookmarkEnd w:id="109"/>
    <w:p>
      <w:pPr>
        <w:jc w:val="center"/>
        <w:ind w:right="-11"/>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2</w:t>
      </w:r>
    </w:p>
    <w:p>
      <w:pPr>
        <w:spacing w:after="0" w:line="225" w:lineRule="exact"/>
        <w:rPr>
          <w:sz w:val="20"/>
          <w:szCs w:val="20"/>
          <w:color w:val="auto"/>
        </w:rPr>
      </w:pPr>
    </w:p>
    <w:p>
      <w:pPr>
        <w:jc w:val="center"/>
        <w:ind w:right="-11"/>
        <w:spacing w:after="0"/>
        <w:rPr>
          <w:sz w:val="20"/>
          <w:szCs w:val="20"/>
          <w:color w:val="auto"/>
        </w:rPr>
      </w:pPr>
      <w:r>
        <w:rPr>
          <w:rFonts w:ascii="Arial" w:cs="Arial" w:eastAsia="Arial" w:hAnsi="Arial"/>
          <w:sz w:val="18"/>
          <w:szCs w:val="18"/>
          <w:u w:val="single" w:color="auto"/>
          <w:color w:val="auto"/>
        </w:rPr>
        <w:t>COMPETITIVE BUSINESS ACTIVITIES</w:t>
      </w:r>
    </w:p>
    <w:p>
      <w:pPr>
        <w:spacing w:after="0" w:line="252" w:lineRule="exact"/>
        <w:rPr>
          <w:sz w:val="20"/>
          <w:szCs w:val="20"/>
          <w:color w:val="auto"/>
        </w:rPr>
      </w:pPr>
    </w:p>
    <w:p>
      <w:pPr>
        <w:ind w:left="452" w:right="80" w:hanging="452"/>
        <w:spacing w:after="0" w:line="287" w:lineRule="auto"/>
        <w:tabs>
          <w:tab w:leader="none" w:pos="452"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distribution of video programming to consumer or commercial customers or users, on a retail or wholesale basis, whether by analog or digital technology, to any type of end-user equipment (television, computer, phone, personal digital assistant, tablet, console or other), and by any distribution platform (including broadcast, coaxial cable, fiber optic cable, digital subscriber line, power line, satellite, wireless and Internet), method (streaming, download, application or other) or protocol (IP or other). Employee agrees that the following companies (and their parents, subsidiaries and controlled affiliates), and their successors and assigns, are among those engaged in competitive video programming distribution as of the date hereof: Altice N.V.; Amazon.com, Inc.; Apple Inc.; AT&amp;T Inc. (including DIRECTV); Bright House Networks; Cablevision Systems Corporation; CBS Corporation; CenturyLink, Inc.; Charter Communications, Inc.; Cox Communications, Inc.; DISH Network Corporation; EchoStar Holding Corporation (including Sling Media); Facebook, Inc.; Frontier Communications Corporation; Google, Inc. (including YouTube); Hulu, LLC; Microsoft Corporation (including XBox); Netflix, Inc.; NeuLion, Inc. (including Jumptv); Public Broadcasting Service and its broadcast affiliates; RCN Corporation; Redbox; Roku, Inc.; Sony Corporation of America (including PlayStation); The Walt Disney Company (including ABC); Time Warner Cable, Inc.; TiVo Inc.; Twenty-First Century Fox, Inc.; Verizon Communications, Inc.; VUDU, Inc.; Wal-Mart Stores, Inc.; and Wide Open West.</w:t>
      </w:r>
    </w:p>
    <w:p>
      <w:pPr>
        <w:spacing w:after="0" w:line="78" w:lineRule="exact"/>
        <w:rPr>
          <w:rFonts w:ascii="Arial" w:cs="Arial" w:eastAsia="Arial" w:hAnsi="Arial"/>
          <w:sz w:val="16"/>
          <w:szCs w:val="16"/>
          <w:color w:val="auto"/>
        </w:rPr>
      </w:pPr>
    </w:p>
    <w:p>
      <w:pPr>
        <w:ind w:left="452" w:hanging="452"/>
        <w:spacing w:after="0" w:line="270" w:lineRule="auto"/>
        <w:tabs>
          <w:tab w:leader="none" w:pos="452"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provision of Internet access or portal service (including related applications and services) to consumer or commercial customers or users, on a retail or wholesale basis, whether by analog or digital technology, to any type of end-user equipment (television, computer, phone, personal digital assistant, tablet, console or other), and by any distribution platform (including dial-up, coaxial cable, fiber optic cable, digital subscriber line, power line, satellite and wireless) or protocol (IP or other). Employee agrees that the following companies (and their parents, subsidiaries and controlled affiliates), and their successors and assigns, are among those engaged in competitive high-speed Internet access and/or portal service as of the date hereof: Altice N.V.; AT&amp;T Inc. (including DIRECTV); Bright House Networks; Cablevision Systems Corporation; CenturyLink, Inc.; Charter Communications Inc.; Cox Communications, Inc.; DISH Network Corporation; EarthLink Holdings Corp.; EchoStar Holding Corporation (including Sling Media); Frontier Communications Corporation; Google, Inc.; Microsoft Corporation (including MSN); RCN Corporation; Sprint Corporation; Time Warner Cable, Inc.; Verizon Communications, Inc. (including AOL); Wide Open West; and Yahoo, Inc.</w:t>
      </w:r>
    </w:p>
    <w:p>
      <w:pPr>
        <w:spacing w:after="0" w:line="87" w:lineRule="exact"/>
        <w:rPr>
          <w:rFonts w:ascii="Arial" w:cs="Arial" w:eastAsia="Arial" w:hAnsi="Arial"/>
          <w:sz w:val="17"/>
          <w:szCs w:val="17"/>
          <w:color w:val="auto"/>
        </w:rPr>
      </w:pPr>
    </w:p>
    <w:p>
      <w:pPr>
        <w:ind w:left="452" w:right="60" w:hanging="452"/>
        <w:spacing w:after="0" w:line="259" w:lineRule="auto"/>
        <w:tabs>
          <w:tab w:leader="none" w:pos="452"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provision of voice and/or data service or transport to consumer or commercial customers or users, on a retail or wholesale business, whether by analog or digital technology, by any distribution platform (including coaxial cable, fiber optic cable, digital subscriber line, power line, satellite, wireless and Internet) or protocol (IP or other). Employee agrees that the following companies (and their parents, subsidiaries and controlled affiliates), and their successors and assigns, are among those engaged in</w:t>
      </w:r>
    </w:p>
    <w:p>
      <w:pPr>
        <w:spacing w:after="0" w:line="11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12"/>
          </w:cols>
          <w:pgMar w:left="248" w:top="274" w:right="239" w:bottom="1440" w:gutter="0" w:footer="0" w:header="0"/>
        </w:sectPr>
      </w:pPr>
    </w:p>
    <w:bookmarkStart w:id="110" w:name="page111"/>
    <w:bookmarkEnd w:id="110"/>
    <w:p>
      <w:pPr>
        <w:ind w:left="452" w:right="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competitive voice and/or data service or transport as of the date hereof: Altice N.V.; AT&amp;T Inc. (including DIRECTV); Birch Communications, Inc.; Bright House Networks; Cablevision Systems Corporation; CenturyLink, Inc.; Charter Communications, Inc.; Cox Communications, Inc.; DISH Network Corporation; EarthLink Holdings Corp.; EchoStar Holding Corporation (including Sling Media); Frontier Communications Corporation; Google, Inc.; Integra Telecom; Level 3 Communications, Inc.; Lumos Networks Corp.; Microsoft Corporation (including Skype); RCN Corporation; Sprint Corporation; TelePacific Communications; Time Warner Cable, Inc.; Vonage Holdings Corp.; Verizon Communications, Inc.; Wide Open West.; Windstream Holdings, Inc.; and Zayo Group Holdings, Inc.</w:t>
      </w:r>
    </w:p>
    <w:p>
      <w:pPr>
        <w:spacing w:after="0" w:line="99" w:lineRule="exact"/>
        <w:rPr>
          <w:sz w:val="20"/>
          <w:szCs w:val="20"/>
          <w:color w:val="auto"/>
        </w:rPr>
      </w:pPr>
    </w:p>
    <w:p>
      <w:pPr>
        <w:ind w:left="452" w:hanging="452"/>
        <w:spacing w:after="0" w:line="255" w:lineRule="auto"/>
        <w:tabs>
          <w:tab w:leader="none" w:pos="452"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provision home security or home control services or devices to consumer or commercial customers or users, on a retail or wholesale basis, by any technology (analog or digital) or protocol (IP or other). Employee agrees that the following companies (and their parents, subsidiaries and controlled affiliates), and their successor and assigns, are among those engaged in the provision of home security or home control services or devices as of the date hereof: ADT LLC; alarm.com; AT&amp;T Inc.; CenturyLink, Inc.; FrontPoint Security; Google, Inc. (including Nest); Honeywell International, Inc.; Lowe’s Companies, Inc.; Monitronics Security; Protection One Alarm Monitoring, Inc.; Tyco International Ltd.; Verizon Communications, Inc.; and Vivint, Inc.</w:t>
      </w:r>
    </w:p>
    <w:p>
      <w:pPr>
        <w:spacing w:after="0" w:line="98" w:lineRule="exact"/>
        <w:rPr>
          <w:rFonts w:ascii="Arial" w:cs="Arial" w:eastAsia="Arial" w:hAnsi="Arial"/>
          <w:sz w:val="18"/>
          <w:szCs w:val="18"/>
          <w:color w:val="auto"/>
        </w:rPr>
      </w:pPr>
    </w:p>
    <w:p>
      <w:pPr>
        <w:ind w:left="452" w:right="80" w:hanging="452"/>
        <w:spacing w:after="0" w:line="273" w:lineRule="auto"/>
        <w:tabs>
          <w:tab w:leader="none" w:pos="452"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provision of wireless communications services to consumer or commercial customers or users, on a retail or wholesale basis, whether by analog or digital technology, to any type of end-user equipment (television, computer, phone, personal digital assistant, tablet, console or other) and by any technology or protocol (IP or other). Employee agrees that the following companies (and their parents, subsidiaries and controlled affiliates), and their successor and assigns, are among those engaged in the provision of competitive wireless service as of the date hereof: AT&amp;T Inc.; Boingo Wireless, Inc.; Bright House Networks; EarthLink Holdings Corp.; Leap Wireless International, Inc.; MetroPCS Communications, Inc.; Sprint Corporation; T-Mobile USA, Inc.; and Verizon Communications, Inc.</w:t>
      </w:r>
    </w:p>
    <w:p>
      <w:pPr>
        <w:spacing w:after="0" w:line="83" w:lineRule="exact"/>
        <w:rPr>
          <w:rFonts w:ascii="Arial" w:cs="Arial" w:eastAsia="Arial" w:hAnsi="Arial"/>
          <w:sz w:val="17"/>
          <w:szCs w:val="17"/>
          <w:color w:val="auto"/>
        </w:rPr>
      </w:pPr>
    </w:p>
    <w:p>
      <w:pPr>
        <w:ind w:left="452" w:right="60" w:hanging="452"/>
        <w:spacing w:after="0" w:line="253" w:lineRule="auto"/>
        <w:tabs>
          <w:tab w:leader="none" w:pos="452"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(i) creation, (ii) production and/or (iii) sale, license or other provision, of audio and/or video program content, whether for: broadcast, satellite, cable or other program networks; distributors of program content; or providers of high-speed Internet portal or other Internet-based services or websites. Employee agrees that the following companies (and their parents, subsidiaries and controlled affiliates), and their successors and assigns, are among those engaged in the competitive creation, production or provision of audio and/or video program content as of the date hereof: A&amp;E Television Networks; AMC Networks Inc.; CBS Corporation (including Showtime); Cox Communications, Inc.; Discovery Communications, Inc.; Epix Joint Venture; EW Scripps Co.; Google, Inc. (including YouTube); Hulu, LLC; IAC/InterActive Corp; Liberty Media Corp.; Metro-Goldwyn-Mayer Inc.; MySpace; Sony Corporation of America; The CW Television Network; The Walt Disney Company, Inc. (including ABC); Time Warner Inc. (including HBO, Turner and Warner Bros.); Twenty-First Century Fox, Inc.; Viacom Inc. (including Dreamworks and Paramount); and Verizon Communications, Inc. (including AOL).</w:t>
      </w:r>
    </w:p>
    <w:p>
      <w:pPr>
        <w:spacing w:after="0" w:line="13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12"/>
          </w:cols>
          <w:pgMar w:left="248" w:top="274" w:right="239" w:bottom="1440" w:gutter="0" w:footer="0" w:header="0"/>
        </w:sectPr>
      </w:pPr>
    </w:p>
    <w:bookmarkStart w:id="111" w:name="page112"/>
    <w:bookmarkEnd w:id="111"/>
    <w:p>
      <w:pPr>
        <w:ind w:left="452" w:hanging="452"/>
        <w:spacing w:after="0" w:line="255" w:lineRule="auto"/>
        <w:tabs>
          <w:tab w:leader="none" w:pos="452" w:val="left"/>
        </w:tabs>
        <w:numPr>
          <w:ilvl w:val="0"/>
          <w:numId w:val="6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(i) creation, (ii) production and/or (iii) sale, license or other provision, of motion pictures, whether for theaters or other venues; broadcast, satellite, cable or other program networks; distributors of program content; or providers of high speed Internet portal or other Internet-based services or websites. Employee agrees that the following companies (and their parents, subsidiaries and controlled affiliates), and their successors and assigns, are among those engaged in the competitive creation, production or provision of motion pictures as of the date hereof: Metro-Goldwyn Mayer Inc.; Sony Corporation of America; The Walt Disney Company, Inc.; Time Warner Inc. (including Warner Bros.); Twenty-First Century Fox, Inc.; and Viacom Inc. (including Dreamworks and Paramount).</w:t>
      </w:r>
    </w:p>
    <w:p>
      <w:pPr>
        <w:spacing w:after="0" w:line="98" w:lineRule="exact"/>
        <w:rPr>
          <w:rFonts w:ascii="Arial" w:cs="Arial" w:eastAsia="Arial" w:hAnsi="Arial"/>
          <w:sz w:val="18"/>
          <w:szCs w:val="18"/>
          <w:color w:val="auto"/>
        </w:rPr>
      </w:pPr>
    </w:p>
    <w:p>
      <w:pPr>
        <w:ind w:left="452" w:right="480" w:hanging="452"/>
        <w:spacing w:after="0" w:line="288" w:lineRule="auto"/>
        <w:tabs>
          <w:tab w:leader="none" w:pos="452"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provision of Internet-based products or services to consumer or commercial users. Employee agrees that the following companies (and their parents, subsidiaries and controlled affiliates), and their successors and assigns, are among those engaged in providing competitive Internet-based products and services as of the date hereof: Amazon.com, Inc.; Apple Inc.; AT&amp;T Inc.; BitTorrent, Inc.; Bright Cove, Inc.; CBS Interactive Inc.</w:t>
      </w:r>
    </w:p>
    <w:p>
      <w:pPr>
        <w:ind w:left="452" w:right="220"/>
        <w:spacing w:after="0" w:line="277" w:lineRule="auto"/>
        <w:rPr>
          <w:rFonts w:ascii="Arial" w:cs="Arial" w:eastAsia="Arial" w:hAnsi="Arial"/>
          <w:sz w:val="16"/>
          <w:szCs w:val="16"/>
          <w:color w:val="auto"/>
        </w:rPr>
      </w:pPr>
      <w:r>
        <w:rPr>
          <w:rFonts w:ascii="Arial" w:cs="Arial" w:eastAsia="Arial" w:hAnsi="Arial"/>
          <w:sz w:val="17"/>
          <w:szCs w:val="17"/>
          <w:color w:val="auto"/>
        </w:rPr>
        <w:t>(including CNET); Facebook, Inc.; Google, Inc. (including YouTube); LinkedIn Corporation; Microsoft Corporation (including MSN and XBox); MySpace; NeuLion, Inc. (including Jumptv); RealNetworks, Inc.; Sony Corporation of America (including PlayStation); The Walt Disney Company, Inc.; Time Warner Inc. (including AOL); TiVo Inc.; Twitter, Inc.; Verizon Communications, Inc.; XING AG; and Yahoo, Inc.</w:t>
      </w:r>
    </w:p>
    <w:p>
      <w:pPr>
        <w:spacing w:after="0" w:line="78" w:lineRule="exact"/>
        <w:rPr>
          <w:rFonts w:ascii="Arial" w:cs="Arial" w:eastAsia="Arial" w:hAnsi="Arial"/>
          <w:sz w:val="16"/>
          <w:szCs w:val="16"/>
          <w:color w:val="auto"/>
        </w:rPr>
      </w:pPr>
    </w:p>
    <w:p>
      <w:pPr>
        <w:ind w:left="452" w:right="360" w:hanging="452"/>
        <w:spacing w:after="0" w:line="277" w:lineRule="auto"/>
        <w:tabs>
          <w:tab w:leader="none" w:pos="452"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operation and/or management of theme parks, includes the licensing of Intellectual Property in connection herewith. Employee agrees that The Walt Disney Company, Inc. is among those engaged in the competitive theme park business as of the date hereof.</w:t>
      </w:r>
    </w:p>
    <w:p>
      <w:pPr>
        <w:spacing w:after="0" w:line="75" w:lineRule="exact"/>
        <w:rPr>
          <w:rFonts w:ascii="Arial" w:cs="Arial" w:eastAsia="Arial" w:hAnsi="Arial"/>
          <w:sz w:val="18"/>
          <w:szCs w:val="18"/>
          <w:color w:val="auto"/>
        </w:rPr>
      </w:pPr>
    </w:p>
    <w:p>
      <w:pPr>
        <w:ind w:left="452" w:right="20" w:hanging="452"/>
        <w:spacing w:after="0" w:line="269" w:lineRule="auto"/>
        <w:tabs>
          <w:tab w:leader="none" w:pos="452"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sale or other provision of advertising to commercial customers, directly or indirectly through representation groups, cooperatives or otherwise, on a retail or wholesale basis, for distribution by analog or digital technology, to any type of end-user equipment (television, computer, phone, personal digital assistant, tablet, console or other), by any distribution platform (including broadcast, coaxial cable, fiber optic cable, digital subscriber line, power line, satellite, wireless and Internet), method (streaming, download, application or other) or protocol (IP or other). Employee agrees that the following companies (and their parents, subsidiaries and controlled affiliates), and their successors and assigns, are among those engaged in such competitive activities as of the date hereof: A&amp;E Television Networks; AMC Networks Inc.; Apple, Inc.; AT&amp;T Inc. (including DIRECTV); CBS Corporation; Discovery Communications, Inc.; DISH Network Corporation; EchoStar Holding Corporation (including Sling Media); EW Scripps Co.; Facebook, Inc.; Google, Inc. (including YouTube); Hulu, LLC; IAC/InterActive Corp; Liberty Media Corp.; Microsoft Corporation (including MSN); RCN Corporation; The CW Television Network; The Walt Disney Company (including ABC); Time Warner Inc. (including HBO, Turner and Warner Bros.); Twenty-First Century Fox, Inc.; Verizon Communications, Inc. (including AOL); Viacom Inc. (including Dreamworks and Paramount); Viamedia, Inc.; Wide Open West; and Yahoo, Inc.</w:t>
      </w:r>
    </w:p>
    <w:p>
      <w:pPr>
        <w:spacing w:after="0" w:line="11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12"/>
          </w:cols>
          <w:pgMar w:left="248" w:top="274" w:right="239" w:bottom="1440" w:gutter="0" w:footer="0" w:header="0"/>
        </w:sectPr>
      </w:pPr>
    </w:p>
    <w:bookmarkStart w:id="112" w:name="page113"/>
    <w:bookmarkEnd w:id="112"/>
    <w:p>
      <w:pPr>
        <w:ind w:left="452" w:hanging="452"/>
        <w:spacing w:after="0" w:line="257" w:lineRule="auto"/>
        <w:tabs>
          <w:tab w:leader="none" w:pos="452" w:val="left"/>
        </w:tabs>
        <w:numPr>
          <w:ilvl w:val="0"/>
          <w:numId w:val="7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creation, development, enhancement, testing, deployment, operation, licensing, sale, support or service of firmware, hardware, Intellectual Property, software, user interfaces or other technology used in, or in providing, any of the products or services described in A to J above. Employee agrees that the following companies (and their parents, subsidiaries and controlled affiliates), and their successors and assigns, are among those engaged in such competitive activities as of the date hereof: Apple, Inc.; Asurion; BestBuy; Dell; Facebook, Inc.; Google, Inc.; OfficeMax; PlumChoice, Inc.; Staples; and Support.com.</w:t>
      </w:r>
    </w:p>
    <w:p>
      <w:pPr>
        <w:spacing w:after="0" w:line="121" w:lineRule="exact"/>
        <w:rPr>
          <w:sz w:val="20"/>
          <w:szCs w:val="20"/>
          <w:color w:val="auto"/>
        </w:rPr>
      </w:pPr>
    </w:p>
    <w:p>
      <w:pPr>
        <w:jc w:val="center"/>
        <w:ind w:right="-351"/>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72"/>
          </w:cols>
          <w:pgMar w:left="248" w:top="274" w:right="579" w:bottom="1440" w:gutter="0" w:footer="0" w:header="0"/>
        </w:sectPr>
      </w:pPr>
    </w:p>
    <w:bookmarkStart w:id="113" w:name="page114"/>
    <w:bookmarkEnd w:id="113"/>
    <w:p>
      <w:pPr>
        <w:jc w:val="center"/>
        <w:ind w:right="-3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3</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LIMITED EXCLUSION NOTIFICATION</w:t>
      </w:r>
    </w:p>
    <w:p>
      <w:pPr>
        <w:spacing w:after="0" w:line="221" w:lineRule="exact"/>
        <w:rPr>
          <w:sz w:val="20"/>
          <w:szCs w:val="20"/>
          <w:color w:val="auto"/>
        </w:rPr>
      </w:pPr>
    </w:p>
    <w:p>
      <w:pPr>
        <w:jc w:val="both"/>
        <w:ind w:right="40"/>
        <w:spacing w:after="0" w:line="266" w:lineRule="auto"/>
        <w:rPr>
          <w:sz w:val="20"/>
          <w:szCs w:val="20"/>
          <w:color w:val="auto"/>
        </w:rPr>
      </w:pPr>
      <w:r>
        <w:rPr>
          <w:rFonts w:ascii="Arial" w:cs="Arial" w:eastAsia="Arial" w:hAnsi="Arial"/>
          <w:sz w:val="18"/>
          <w:szCs w:val="18"/>
          <w:b w:val="1"/>
          <w:bCs w:val="1"/>
          <w:color w:val="auto"/>
        </w:rPr>
        <w:t xml:space="preserve">THIS IS TO NOTIFY </w:t>
      </w:r>
      <w:r>
        <w:rPr>
          <w:rFonts w:ascii="Arial" w:cs="Arial" w:eastAsia="Arial" w:hAnsi="Arial"/>
          <w:sz w:val="18"/>
          <w:szCs w:val="18"/>
          <w:color w:val="auto"/>
        </w:rPr>
        <w:t>Employee in accordance with Section 2872 of the California Labor Code that this Agreement</w:t>
      </w:r>
      <w:r>
        <w:rPr>
          <w:rFonts w:ascii="Arial" w:cs="Arial" w:eastAsia="Arial" w:hAnsi="Arial"/>
          <w:sz w:val="18"/>
          <w:szCs w:val="18"/>
          <w:b w:val="1"/>
          <w:bCs w:val="1"/>
          <w:color w:val="auto"/>
        </w:rPr>
        <w:t xml:space="preserve"> does not </w:t>
      </w:r>
      <w:r>
        <w:rPr>
          <w:rFonts w:ascii="Arial" w:cs="Arial" w:eastAsia="Arial" w:hAnsi="Arial"/>
          <w:sz w:val="18"/>
          <w:szCs w:val="18"/>
          <w:color w:val="auto"/>
        </w:rPr>
        <w:t>require Employee to assign 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offer to assign to the Company any invention that Employee developed entirely on Employee’s own time </w:t>
      </w:r>
      <w:r>
        <w:rPr>
          <w:rFonts w:ascii="Arial" w:cs="Arial" w:eastAsia="Arial" w:hAnsi="Arial"/>
          <w:sz w:val="18"/>
          <w:szCs w:val="18"/>
          <w:b w:val="1"/>
          <w:bCs w:val="1"/>
          <w:color w:val="auto"/>
        </w:rPr>
        <w:t>without using</w:t>
      </w:r>
      <w:r>
        <w:rPr>
          <w:rFonts w:ascii="Arial" w:cs="Arial" w:eastAsia="Arial" w:hAnsi="Arial"/>
          <w:sz w:val="18"/>
          <w:szCs w:val="18"/>
          <w:color w:val="auto"/>
        </w:rPr>
        <w:t xml:space="preserve"> the Company’s equipment, supplies, facilities or trade secret information </w:t>
      </w:r>
      <w:r>
        <w:rPr>
          <w:rFonts w:ascii="Arial" w:cs="Arial" w:eastAsia="Arial" w:hAnsi="Arial"/>
          <w:sz w:val="18"/>
          <w:szCs w:val="18"/>
          <w:b w:val="1"/>
          <w:bCs w:val="1"/>
          <w:color w:val="auto"/>
        </w:rPr>
        <w:t>except for</w:t>
      </w:r>
      <w:r>
        <w:rPr>
          <w:rFonts w:ascii="Arial" w:cs="Arial" w:eastAsia="Arial" w:hAnsi="Arial"/>
          <w:sz w:val="18"/>
          <w:szCs w:val="18"/>
          <w:color w:val="auto"/>
        </w:rPr>
        <w:t xml:space="preserve"> those inventions that </w:t>
      </w:r>
      <w:r>
        <w:rPr>
          <w:rFonts w:ascii="Arial" w:cs="Arial" w:eastAsia="Arial" w:hAnsi="Arial"/>
          <w:sz w:val="18"/>
          <w:szCs w:val="18"/>
          <w:b w:val="1"/>
          <w:bCs w:val="1"/>
          <w:color w:val="auto"/>
        </w:rPr>
        <w:t>either:</w:t>
      </w:r>
    </w:p>
    <w:p>
      <w:pPr>
        <w:spacing w:after="0" w:line="86" w:lineRule="exact"/>
        <w:rPr>
          <w:sz w:val="20"/>
          <w:szCs w:val="20"/>
          <w:color w:val="auto"/>
        </w:rPr>
      </w:pPr>
    </w:p>
    <w:p>
      <w:pPr>
        <w:ind w:left="900" w:right="120" w:hanging="446"/>
        <w:spacing w:after="0" w:line="277"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Relate at the time of conception or reduction to practice of the invention to the Company’s business, or actual demonstrably anticipated research or development of the Company; or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Result from any work performed by you for the Company.</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To the extent a provision in this Agreement purports to require Employee to assign an invention otherwise excluded by the preceding paragraph, the provision is against the public policy of the State of California and is unenforceable therein.</w:t>
      </w:r>
    </w:p>
    <w:p>
      <w:pPr>
        <w:spacing w:after="0" w:line="17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This limited exclusion does not apply to any patent or invention covered by a contract between the Company and the United States or any of its agencies requiring full title to such patent or invention to be in the United States.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74" w:right="25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COMCAST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 AWARD</w:t>
      </w:r>
    </w:p>
    <w:p>
      <w:pPr>
        <w:spacing w:after="0" w:line="21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This is a Restricted Stock Unit Award (the “Award”) dated [Grant Date, [Year 1] or [Year 0]] from Comcast Corporation (the “Company”) to the Grantee. The vesting of Restricted Stock Units is conditioned on the Grantee’s continuation in service from the Date of Grant through each applicable Vesting Date, and on the Company’s attainment of certain performance objectives, as further provided in this Award. The delivery of Shares under this Award is intended to constitute performance-based compensation, within the meaning of section 162(m) of the Code, and Treasury Regulations issued under section 162(m) of the Code.</w:t>
      </w:r>
    </w:p>
    <w:p>
      <w:pPr>
        <w:spacing w:after="0" w:line="188" w:lineRule="exact"/>
        <w:rPr>
          <w:sz w:val="20"/>
          <w:szCs w:val="20"/>
          <w:color w:val="auto"/>
        </w:rPr>
      </w:pPr>
    </w:p>
    <w:p>
      <w:pPr>
        <w:ind w:left="640" w:hanging="176"/>
        <w:spacing w:after="0"/>
        <w:tabs>
          <w:tab w:leader="none" w:pos="640" w:val="left"/>
        </w:tabs>
        <w:numPr>
          <w:ilvl w:val="1"/>
          <w:numId w:val="72"/>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Capitalized terms used herein are defined below or, if not defined below, have the meanings given to them in the Plan.</w:t>
      </w:r>
    </w:p>
    <w:p>
      <w:pPr>
        <w:spacing w:after="0" w:line="225" w:lineRule="exact"/>
        <w:rPr>
          <w:rFonts w:ascii="Arial" w:cs="Arial" w:eastAsia="Arial" w:hAnsi="Arial"/>
          <w:sz w:val="18"/>
          <w:szCs w:val="18"/>
          <w:color w:val="auto"/>
        </w:rPr>
      </w:pPr>
    </w:p>
    <w:p>
      <w:pPr>
        <w:ind w:right="80" w:firstLine="921"/>
        <w:spacing w:after="0" w:line="312" w:lineRule="auto"/>
        <w:tabs>
          <w:tab w:leader="none" w:pos="1158" w:val="left"/>
        </w:tabs>
        <w:numPr>
          <w:ilvl w:val="2"/>
          <w:numId w:val="7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Account</w:t>
      </w:r>
      <w:r>
        <w:rPr>
          <w:rFonts w:ascii="Arial" w:cs="Arial" w:eastAsia="Arial" w:hAnsi="Arial"/>
          <w:sz w:val="16"/>
          <w:szCs w:val="16"/>
          <w:color w:val="auto"/>
        </w:rPr>
        <w:t>” means an unfunded bookkeeping account established pursuant to Paragraph 6(d) and maintained by the Committee in the name of Grantee (a) to which Deferred Stock Units are deemed credited and (b) to which an amount equal to the Fair Market Value of Deferred Stock Units with respect to which a Diversification Election has been made and interest thereon are deemed credited, reduced by distributions in accordance with the Plan.</w:t>
      </w:r>
    </w:p>
    <w:p>
      <w:pPr>
        <w:spacing w:after="0" w:line="146" w:lineRule="exact"/>
        <w:rPr>
          <w:rFonts w:ascii="Arial" w:cs="Arial" w:eastAsia="Arial" w:hAnsi="Arial"/>
          <w:sz w:val="16"/>
          <w:szCs w:val="16"/>
          <w:color w:val="auto"/>
        </w:rPr>
      </w:pPr>
    </w:p>
    <w:p>
      <w:pPr>
        <w:ind w:left="1180" w:hanging="259"/>
        <w:spacing w:after="0"/>
        <w:tabs>
          <w:tab w:leader="none" w:pos="1180" w:val="left"/>
        </w:tabs>
        <w:numPr>
          <w:ilvl w:val="2"/>
          <w:numId w:val="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w:t>
      </w:r>
      <w:r>
        <w:rPr>
          <w:rFonts w:ascii="Arial" w:cs="Arial" w:eastAsia="Arial" w:hAnsi="Arial"/>
          <w:sz w:val="18"/>
          <w:szCs w:val="18"/>
          <w:color w:val="auto"/>
        </w:rPr>
        <w:t>” means the award of Restricted Stock Units hereby granted.</w:t>
      </w:r>
    </w:p>
    <w:p>
      <w:pPr>
        <w:spacing w:after="0" w:line="225" w:lineRule="exact"/>
        <w:rPr>
          <w:rFonts w:ascii="Arial" w:cs="Arial" w:eastAsia="Arial" w:hAnsi="Arial"/>
          <w:sz w:val="18"/>
          <w:szCs w:val="18"/>
          <w:color w:val="auto"/>
        </w:rPr>
      </w:pPr>
    </w:p>
    <w:p>
      <w:pPr>
        <w:ind w:left="1160" w:hanging="239"/>
        <w:spacing w:after="0"/>
        <w:tabs>
          <w:tab w:leader="none" w:pos="1160" w:val="left"/>
        </w:tabs>
        <w:numPr>
          <w:ilvl w:val="2"/>
          <w:numId w:val="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2"/>
          <w:numId w:val="7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Cause</w:t>
      </w:r>
      <w:r>
        <w:rPr>
          <w:rFonts w:ascii="Arial" w:cs="Arial" w:eastAsia="Arial" w:hAnsi="Arial"/>
          <w:sz w:val="17"/>
          <w:szCs w:val="17"/>
          <w:color w:val="auto"/>
        </w:rPr>
        <w:t>” means (i) fraud; (ii) misappropriation; (iii) embezzlement; (iv) gross negligence in the performance of duties; (v) self-dealing;</w:t>
      </w:r>
    </w:p>
    <w:p>
      <w:pPr>
        <w:spacing w:after="0" w:line="34" w:lineRule="exact"/>
        <w:rPr>
          <w:rFonts w:ascii="Arial" w:cs="Arial" w:eastAsia="Arial" w:hAnsi="Arial"/>
          <w:sz w:val="17"/>
          <w:szCs w:val="17"/>
          <w:color w:val="auto"/>
        </w:rPr>
      </w:pPr>
    </w:p>
    <w:p>
      <w:pPr>
        <w:ind w:right="180" w:firstLine="8"/>
        <w:spacing w:after="0" w:line="254" w:lineRule="auto"/>
        <w:tabs>
          <w:tab w:leader="none" w:pos="305" w:val="left"/>
        </w:tabs>
        <w:numPr>
          <w:ilvl w:val="0"/>
          <w:numId w:val="73"/>
        </w:numPr>
        <w:rPr>
          <w:rFonts w:ascii="Arial" w:cs="Arial" w:eastAsia="Arial" w:hAnsi="Arial"/>
          <w:sz w:val="18"/>
          <w:szCs w:val="18"/>
          <w:color w:val="auto"/>
        </w:rPr>
      </w:pPr>
      <w:r>
        <w:rPr>
          <w:rFonts w:ascii="Arial" w:cs="Arial" w:eastAsia="Arial" w:hAnsi="Arial"/>
          <w:sz w:val="18"/>
          <w:szCs w:val="18"/>
          <w:color w:val="auto"/>
        </w:rPr>
        <w:t>dishonesty; (vii) misrepresentation; (viii) conviction of a crime of a felony; (ix) material violation of any Company policy; (x) material violation of the Company’s Code of Ethics and Business Conduct or, (xi) in the case of an employee of a Company who is a party to an employment agreement with a Company, material breach of such agreement; provided that as to items (ix), (x) and (xi), if capable of being cured, such event or condition remains uncured following 30 days written notice thereof.</w:t>
      </w:r>
    </w:p>
    <w:p>
      <w:pPr>
        <w:spacing w:after="0" w:line="189" w:lineRule="exact"/>
        <w:rPr>
          <w:rFonts w:ascii="Arial" w:cs="Arial" w:eastAsia="Arial" w:hAnsi="Arial"/>
          <w:sz w:val="18"/>
          <w:szCs w:val="18"/>
          <w:color w:val="auto"/>
        </w:rPr>
      </w:pPr>
    </w:p>
    <w:p>
      <w:pPr>
        <w:ind w:left="1160" w:hanging="239"/>
        <w:spacing w:after="0"/>
        <w:tabs>
          <w:tab w:leader="none" w:pos="1160" w:val="left"/>
        </w:tabs>
        <w:numPr>
          <w:ilvl w:val="2"/>
          <w:numId w:val="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225" w:lineRule="exact"/>
        <w:rPr>
          <w:rFonts w:ascii="Arial" w:cs="Arial" w:eastAsia="Arial" w:hAnsi="Arial"/>
          <w:sz w:val="18"/>
          <w:szCs w:val="18"/>
          <w:color w:val="auto"/>
        </w:rPr>
      </w:pPr>
    </w:p>
    <w:p>
      <w:pPr>
        <w:ind w:left="1140" w:hanging="219"/>
        <w:spacing w:after="0"/>
        <w:tabs>
          <w:tab w:leader="none" w:pos="1140" w:val="left"/>
        </w:tabs>
        <w:numPr>
          <w:ilvl w:val="2"/>
          <w:numId w:val="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the Compensation Committee of the Board or its delegate.</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2"/>
          <w:numId w:val="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Date of Grant</w:t>
      </w:r>
      <w:r>
        <w:rPr>
          <w:rFonts w:ascii="Arial" w:cs="Arial" w:eastAsia="Arial" w:hAnsi="Arial"/>
          <w:sz w:val="18"/>
          <w:szCs w:val="18"/>
          <w:color w:val="auto"/>
        </w:rPr>
        <w:t>” means the date first set forth above, on which the Company awarded the Restricted Stock Units.</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2"/>
          <w:numId w:val="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Deferred Stock Units</w:t>
      </w:r>
      <w:r>
        <w:rPr>
          <w:rFonts w:ascii="Arial" w:cs="Arial" w:eastAsia="Arial" w:hAnsi="Arial"/>
          <w:sz w:val="18"/>
          <w:szCs w:val="18"/>
          <w:color w:val="auto"/>
        </w:rPr>
        <w:t>” means the number of hypothetical Shares subject to an Election.</w:t>
      </w:r>
    </w:p>
    <w:p>
      <w:pPr>
        <w:spacing w:after="0" w:line="225" w:lineRule="exact"/>
        <w:rPr>
          <w:rFonts w:ascii="Arial" w:cs="Arial" w:eastAsia="Arial" w:hAnsi="Arial"/>
          <w:sz w:val="18"/>
          <w:szCs w:val="18"/>
          <w:color w:val="auto"/>
        </w:rPr>
      </w:pPr>
    </w:p>
    <w:p>
      <w:pPr>
        <w:ind w:left="1140" w:hanging="219"/>
        <w:spacing w:after="0"/>
        <w:tabs>
          <w:tab w:leader="none" w:pos="1140" w:val="left"/>
        </w:tabs>
        <w:numPr>
          <w:ilvl w:val="2"/>
          <w:numId w:val="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Disabled Grantee</w:t>
      </w:r>
      <w:r>
        <w:rPr>
          <w:rFonts w:ascii="Arial" w:cs="Arial" w:eastAsia="Arial" w:hAnsi="Arial"/>
          <w:sz w:val="18"/>
          <w:szCs w:val="18"/>
          <w:color w:val="auto"/>
        </w:rPr>
        <w:t>” means:</w:t>
      </w:r>
    </w:p>
    <w:p>
      <w:pPr>
        <w:sectPr>
          <w:pgSz w:w="11900" w:h="16838" w:orient="portrait"/>
          <w:cols w:equalWidth="0" w:num="1">
            <w:col w:w="11420"/>
          </w:cols>
          <w:pgMar w:left="240" w:top="121" w:right="239" w:bottom="1440" w:gutter="0" w:footer="0" w:header="0"/>
        </w:sectPr>
      </w:pPr>
    </w:p>
    <w:bookmarkStart w:id="115" w:name="page116"/>
    <w:bookmarkEnd w:id="115"/>
    <w:p>
      <w:pPr>
        <w:ind w:left="1740" w:hanging="248"/>
        <w:spacing w:after="0"/>
        <w:tabs>
          <w:tab w:leader="none" w:pos="1740" w:val="left"/>
        </w:tabs>
        <w:numPr>
          <w:ilvl w:val="0"/>
          <w:numId w:val="7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Grantee, if Grantee’s employment by a Participating Company is terminated by reason of Disability; or</w:t>
      </w:r>
    </w:p>
    <w:p>
      <w:pPr>
        <w:spacing w:after="0" w:line="225" w:lineRule="exact"/>
        <w:rPr>
          <w:rFonts w:ascii="Arial" w:cs="Arial" w:eastAsia="Arial" w:hAnsi="Arial"/>
          <w:sz w:val="18"/>
          <w:szCs w:val="18"/>
          <w:color w:val="auto"/>
        </w:rPr>
      </w:pPr>
    </w:p>
    <w:p>
      <w:pPr>
        <w:ind w:left="1740" w:hanging="248"/>
        <w:spacing w:after="0"/>
        <w:tabs>
          <w:tab w:leader="none" w:pos="1740" w:val="left"/>
        </w:tabs>
        <w:numPr>
          <w:ilvl w:val="0"/>
          <w:numId w:val="74"/>
        </w:numPr>
        <w:rPr>
          <w:rFonts w:ascii="Arial" w:cs="Arial" w:eastAsia="Arial" w:hAnsi="Arial"/>
          <w:sz w:val="16"/>
          <w:szCs w:val="16"/>
          <w:color w:val="auto"/>
        </w:rPr>
      </w:pPr>
      <w:r>
        <w:rPr>
          <w:rFonts w:ascii="Arial" w:cs="Arial" w:eastAsia="Arial" w:hAnsi="Arial"/>
          <w:sz w:val="16"/>
          <w:szCs w:val="16"/>
          <w:color w:val="auto"/>
        </w:rPr>
        <w:t>Grantee’s duly-appointed legal guardian following Grantee’s termination of employment by reason of Disability, acting on Grantee’s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behalf.</w:t>
      </w:r>
    </w:p>
    <w:p>
      <w:pPr>
        <w:spacing w:after="0" w:line="211" w:lineRule="exact"/>
        <w:rPr>
          <w:sz w:val="20"/>
          <w:szCs w:val="20"/>
          <w:color w:val="auto"/>
        </w:rPr>
      </w:pPr>
    </w:p>
    <w:p>
      <w:pPr>
        <w:ind w:left="1140" w:hanging="219"/>
        <w:spacing w:after="0"/>
        <w:tabs>
          <w:tab w:leader="none" w:pos="1140" w:val="left"/>
        </w:tabs>
        <w:numPr>
          <w:ilvl w:val="0"/>
          <w:numId w:val="7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Employer</w:t>
      </w:r>
      <w:r>
        <w:rPr>
          <w:rFonts w:ascii="Arial" w:cs="Arial" w:eastAsia="Arial" w:hAnsi="Arial"/>
          <w:sz w:val="16"/>
          <w:szCs w:val="16"/>
          <w:color w:val="auto"/>
        </w:rPr>
        <w:t>” means the Company or the subsidiary or affiliate of the Company for which Grantee is performing services on the Vesting Date.</w:t>
      </w:r>
    </w:p>
    <w:p>
      <w:pPr>
        <w:spacing w:after="0" w:line="248" w:lineRule="exact"/>
        <w:rPr>
          <w:rFonts w:ascii="Arial" w:cs="Arial" w:eastAsia="Arial" w:hAnsi="Arial"/>
          <w:sz w:val="16"/>
          <w:szCs w:val="16"/>
          <w:color w:val="auto"/>
        </w:rPr>
      </w:pPr>
    </w:p>
    <w:p>
      <w:pPr>
        <w:ind w:left="1180" w:hanging="259"/>
        <w:spacing w:after="0"/>
        <w:tabs>
          <w:tab w:leader="none" w:pos="1180" w:val="left"/>
        </w:tabs>
        <w:numPr>
          <w:ilvl w:val="0"/>
          <w:numId w:val="7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Grantee</w:t>
      </w:r>
      <w:r>
        <w:rPr>
          <w:rFonts w:ascii="Arial" w:cs="Arial" w:eastAsia="Arial" w:hAnsi="Arial"/>
          <w:sz w:val="16"/>
          <w:szCs w:val="16"/>
          <w:color w:val="auto"/>
        </w:rPr>
        <w:t>” means the individual to whom this Award has been granted as identified on the attached Long-Term Incentive Awards Summary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Schedule.</w:t>
      </w:r>
    </w:p>
    <w:p>
      <w:pPr>
        <w:spacing w:after="0" w:line="211" w:lineRule="exact"/>
        <w:rPr>
          <w:sz w:val="20"/>
          <w:szCs w:val="20"/>
          <w:color w:val="auto"/>
        </w:rPr>
      </w:pPr>
    </w:p>
    <w:p>
      <w:pPr>
        <w:ind w:left="1140" w:hanging="219"/>
        <w:spacing w:after="0"/>
        <w:tabs>
          <w:tab w:leader="none" w:pos="11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HSR Act</w:t>
      </w:r>
      <w:r>
        <w:rPr>
          <w:rFonts w:ascii="Arial" w:cs="Arial" w:eastAsia="Arial" w:hAnsi="Arial"/>
          <w:sz w:val="18"/>
          <w:szCs w:val="18"/>
          <w:color w:val="auto"/>
        </w:rPr>
        <w:t>” means the Hart-Scott-Rodino Antitrust Improvements Act of 1976, as amended.</w:t>
      </w:r>
    </w:p>
    <w:p>
      <w:pPr>
        <w:spacing w:after="0" w:line="225" w:lineRule="exact"/>
        <w:rPr>
          <w:rFonts w:ascii="Arial" w:cs="Arial" w:eastAsia="Arial" w:hAnsi="Arial"/>
          <w:sz w:val="18"/>
          <w:szCs w:val="18"/>
          <w:color w:val="auto"/>
        </w:rPr>
      </w:pPr>
    </w:p>
    <w:p>
      <w:pPr>
        <w:ind w:right="80" w:firstLine="921"/>
        <w:spacing w:after="0" w:line="277" w:lineRule="auto"/>
        <w:tabs>
          <w:tab w:leader="none" w:pos="1218" w:val="left"/>
        </w:tabs>
        <w:numPr>
          <w:ilvl w:val="0"/>
          <w:numId w:val="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Long-Term Incentive Awards Summary Schedule</w:t>
      </w:r>
      <w:r>
        <w:rPr>
          <w:rFonts w:ascii="Arial" w:cs="Arial" w:eastAsia="Arial" w:hAnsi="Arial"/>
          <w:sz w:val="18"/>
          <w:szCs w:val="18"/>
          <w:color w:val="auto"/>
        </w:rPr>
        <w:t>” means the schedule attached hereto, which sets forth specific information relating to the grant and vesting of this Award.</w:t>
      </w:r>
    </w:p>
    <w:p>
      <w:pPr>
        <w:spacing w:after="0" w:line="170" w:lineRule="exact"/>
        <w:rPr>
          <w:sz w:val="20"/>
          <w:szCs w:val="20"/>
          <w:color w:val="auto"/>
        </w:rPr>
      </w:pPr>
    </w:p>
    <w:p>
      <w:pPr>
        <w:ind w:left="920"/>
        <w:spacing w:after="0"/>
        <w:tabs>
          <w:tab w:leader="none" w:pos="10840" w:val="left"/>
        </w:tabs>
        <w:rPr>
          <w:sz w:val="20"/>
          <w:szCs w:val="20"/>
          <w:color w:val="auto"/>
        </w:rPr>
      </w:pPr>
      <w:r>
        <w:rPr>
          <w:rFonts w:ascii="Arial" w:cs="Arial" w:eastAsia="Arial" w:hAnsi="Arial"/>
          <w:sz w:val="17"/>
          <w:szCs w:val="17"/>
          <w:color w:val="auto"/>
        </w:rPr>
        <w:t>(n) “</w:t>
      </w:r>
      <w:r>
        <w:rPr>
          <w:rFonts w:ascii="Arial" w:cs="Arial" w:eastAsia="Arial" w:hAnsi="Arial"/>
          <w:sz w:val="17"/>
          <w:szCs w:val="17"/>
          <w:u w:val="single" w:color="auto"/>
          <w:color w:val="auto"/>
        </w:rPr>
        <w:t>Measurement Period</w:t>
      </w:r>
      <w:r>
        <w:rPr>
          <w:rFonts w:ascii="Arial" w:cs="Arial" w:eastAsia="Arial" w:hAnsi="Arial"/>
          <w:sz w:val="17"/>
          <w:szCs w:val="17"/>
          <w:color w:val="auto"/>
        </w:rPr>
        <w:t>” means the 12-consecutive-month period ending [March 31] [June 30] [September 30] [December 31], [</w:t>
      </w:r>
      <w:r>
        <w:rPr>
          <w:sz w:val="20"/>
          <w:szCs w:val="20"/>
          <w:color w:val="auto"/>
        </w:rPr>
        <w:tab/>
      </w:r>
      <w:r>
        <w:rPr>
          <w:rFonts w:ascii="Arial" w:cs="Arial" w:eastAsia="Arial" w:hAnsi="Arial"/>
          <w:sz w:val="17"/>
          <w:szCs w:val="17"/>
          <w:color w:val="auto"/>
        </w:rPr>
        <w:t>].</w:t>
      </w:r>
    </w:p>
    <w:p>
      <w:pPr>
        <w:spacing w:after="0" w:line="237" w:lineRule="exact"/>
        <w:rPr>
          <w:sz w:val="20"/>
          <w:szCs w:val="20"/>
          <w:color w:val="auto"/>
        </w:rPr>
      </w:pPr>
    </w:p>
    <w:p>
      <w:pPr>
        <w:ind w:right="420" w:firstLine="921"/>
        <w:spacing w:after="0" w:line="277" w:lineRule="auto"/>
        <w:tabs>
          <w:tab w:leader="none" w:pos="1168" w:val="left"/>
        </w:tabs>
        <w:numPr>
          <w:ilvl w:val="0"/>
          <w:numId w:val="7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Normal Retirement</w:t>
      </w:r>
      <w:r>
        <w:rPr>
          <w:rFonts w:ascii="Arial" w:cs="Arial" w:eastAsia="Arial" w:hAnsi="Arial"/>
          <w:sz w:val="18"/>
          <w:szCs w:val="18"/>
          <w:color w:val="auto"/>
        </w:rPr>
        <w:t>” means Grantee’s termination of employment that is treated by the Participating Company as a retirement under its employment policies and practices as in effect from time to time.</w:t>
      </w:r>
    </w:p>
    <w:p>
      <w:pPr>
        <w:spacing w:after="0" w:line="170" w:lineRule="exact"/>
        <w:rPr>
          <w:rFonts w:ascii="Arial" w:cs="Arial" w:eastAsia="Arial" w:hAnsi="Arial"/>
          <w:sz w:val="18"/>
          <w:szCs w:val="18"/>
          <w:color w:val="auto"/>
        </w:rPr>
      </w:pPr>
    </w:p>
    <w:p>
      <w:pPr>
        <w:ind w:left="1180" w:hanging="259"/>
        <w:spacing w:after="0"/>
        <w:tabs>
          <w:tab w:leader="none" w:pos="11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Operating Cash Flow</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20" w:firstLine="1492"/>
        <w:spacing w:after="0" w:line="308" w:lineRule="auto"/>
        <w:tabs>
          <w:tab w:leader="none" w:pos="1738" w:val="left"/>
        </w:tabs>
        <w:numPr>
          <w:ilvl w:val="1"/>
          <w:numId w:val="77"/>
        </w:numPr>
        <w:rPr>
          <w:rFonts w:ascii="Arial" w:cs="Arial" w:eastAsia="Arial" w:hAnsi="Arial"/>
          <w:sz w:val="17"/>
          <w:szCs w:val="17"/>
          <w:color w:val="auto"/>
        </w:rPr>
      </w:pPr>
      <w:r>
        <w:rPr>
          <w:rFonts w:ascii="Arial" w:cs="Arial" w:eastAsia="Arial" w:hAnsi="Arial"/>
          <w:sz w:val="17"/>
          <w:szCs w:val="17"/>
          <w:u w:val="single" w:color="auto"/>
          <w:color w:val="auto"/>
        </w:rPr>
        <w:t>In General</w:t>
      </w:r>
      <w:r>
        <w:rPr>
          <w:rFonts w:ascii="Arial" w:cs="Arial" w:eastAsia="Arial" w:hAnsi="Arial"/>
          <w:sz w:val="17"/>
          <w:szCs w:val="17"/>
          <w:color w:val="auto"/>
        </w:rPr>
        <w:t>. In general, “Operating Cash Flow” means operating income before depreciation and amortization for the Company and those of its affiliates that are included with the Company in its consolidated financial statements, as determined by the Committee.</w:t>
      </w:r>
    </w:p>
    <w:p>
      <w:pPr>
        <w:spacing w:after="0" w:line="146" w:lineRule="exact"/>
        <w:rPr>
          <w:rFonts w:ascii="Arial" w:cs="Arial" w:eastAsia="Arial" w:hAnsi="Arial"/>
          <w:sz w:val="17"/>
          <w:szCs w:val="17"/>
          <w:color w:val="auto"/>
        </w:rPr>
      </w:pPr>
    </w:p>
    <w:p>
      <w:pPr>
        <w:ind w:firstLine="1492"/>
        <w:spacing w:after="0" w:line="271" w:lineRule="auto"/>
        <w:tabs>
          <w:tab w:leader="none" w:pos="1738" w:val="left"/>
        </w:tabs>
        <w:numPr>
          <w:ilvl w:val="1"/>
          <w:numId w:val="77"/>
        </w:numPr>
        <w:rPr>
          <w:rFonts w:ascii="Arial" w:cs="Arial" w:eastAsia="Arial" w:hAnsi="Arial"/>
          <w:sz w:val="17"/>
          <w:szCs w:val="17"/>
          <w:color w:val="auto"/>
        </w:rPr>
      </w:pPr>
      <w:r>
        <w:rPr>
          <w:rFonts w:ascii="Arial" w:cs="Arial" w:eastAsia="Arial" w:hAnsi="Arial"/>
          <w:sz w:val="17"/>
          <w:szCs w:val="17"/>
          <w:u w:val="single" w:color="auto"/>
          <w:color w:val="auto"/>
        </w:rPr>
        <w:t>Comparability of Operating Cash Flow Between Calendar Years</w:t>
      </w:r>
      <w:r>
        <w:rPr>
          <w:rFonts w:ascii="Arial" w:cs="Arial" w:eastAsia="Arial" w:hAnsi="Arial"/>
          <w:sz w:val="17"/>
          <w:szCs w:val="17"/>
          <w:color w:val="auto"/>
        </w:rPr>
        <w:t>. With respect to any Performance Goal applicable to this Award, in the event there is a significant acquisition or disposition of any assets, business division, company or other business operations of the Company that is reasonably expected to have an effect on Operating Cash Flow, the Committee shall adjust the Operating Cash Flow for the prior calendar year and the year to which the performance condition applies to take into account the impact of such acquisition or disposition on a pro forma basis such that the measurement of Operating Cash Flow for the year to which the performance condition applies is comparable to that for the prior calendar year. Such adjustment shall be based upon the historical equivalent of Operating Cash Flow of the assets so acquired or disposed of for the prior calendar year, as shown by such records as are available to the Company, as further adjusted to reflect any aspects of the transaction that should be taken into account to ensure comparability between amounts in the prior calendar year and the year to which the performance condition applies.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116" w:name="page117"/>
    <w:bookmarkEnd w:id="116"/>
    <w:p>
      <w:pPr>
        <w:ind w:right="340" w:firstLine="921"/>
        <w:spacing w:after="0" w:line="277" w:lineRule="auto"/>
        <w:tabs>
          <w:tab w:leader="none" w:pos="1168" w:val="left"/>
        </w:tabs>
        <w:numPr>
          <w:ilvl w:val="0"/>
          <w:numId w:val="7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Performance Goal</w:t>
      </w:r>
      <w:r>
        <w:rPr>
          <w:rFonts w:ascii="Arial" w:cs="Arial" w:eastAsia="Arial" w:hAnsi="Arial"/>
          <w:sz w:val="18"/>
          <w:szCs w:val="18"/>
          <w:color w:val="auto"/>
        </w:rPr>
        <w:t>” means Operating Cash Flow for a Measurement Period that equals or exceeds 101% of Operating Cash Flow for the immediately preceding Measurement Period. Accordingly: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Option 1:</w:t>
      </w:r>
    </w:p>
    <w:p>
      <w:pPr>
        <w:spacing w:after="0" w:line="225" w:lineRule="exact"/>
        <w:rPr>
          <w:sz w:val="20"/>
          <w:szCs w:val="20"/>
          <w:color w:val="auto"/>
        </w:rPr>
      </w:pPr>
    </w:p>
    <w:p>
      <w:pPr>
        <w:ind w:right="440" w:firstLine="1492"/>
        <w:spacing w:after="0" w:line="277" w:lineRule="auto"/>
        <w:tabs>
          <w:tab w:leader="none" w:pos="1738"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First Performance Goal</w:t>
      </w:r>
      <w:r>
        <w:rPr>
          <w:rFonts w:ascii="Arial" w:cs="Arial" w:eastAsia="Arial" w:hAnsi="Arial"/>
          <w:sz w:val="18"/>
          <w:szCs w:val="18"/>
          <w:color w:val="auto"/>
        </w:rPr>
        <w:t>” will be satisfied if Operating Cash Flow for the Measurement Period ending in [Year 1] equals or exceeds 101% of Operating Cash Flow for the Measurement Period ending in [Year 0];</w:t>
      </w:r>
    </w:p>
    <w:p>
      <w:pPr>
        <w:spacing w:after="0" w:line="170" w:lineRule="exact"/>
        <w:rPr>
          <w:rFonts w:ascii="Arial" w:cs="Arial" w:eastAsia="Arial" w:hAnsi="Arial"/>
          <w:sz w:val="18"/>
          <w:szCs w:val="18"/>
          <w:color w:val="auto"/>
        </w:rPr>
      </w:pPr>
    </w:p>
    <w:p>
      <w:pPr>
        <w:ind w:right="240" w:firstLine="1492"/>
        <w:spacing w:after="0" w:line="277" w:lineRule="auto"/>
        <w:tabs>
          <w:tab w:leader="none" w:pos="1738"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Second Performance Goal</w:t>
      </w:r>
      <w:r>
        <w:rPr>
          <w:rFonts w:ascii="Arial" w:cs="Arial" w:eastAsia="Arial" w:hAnsi="Arial"/>
          <w:sz w:val="18"/>
          <w:szCs w:val="18"/>
          <w:color w:val="auto"/>
        </w:rPr>
        <w:t>” will be satisfied if Operating Cash Flow for the Measurement Period ending in [Year 2] equals or exceeds 101% of Operating Cash Flow for the Measurement Period ending in [Year 1];</w:t>
      </w:r>
    </w:p>
    <w:p>
      <w:pPr>
        <w:spacing w:after="0" w:line="170" w:lineRule="exact"/>
        <w:rPr>
          <w:rFonts w:ascii="Arial" w:cs="Arial" w:eastAsia="Arial" w:hAnsi="Arial"/>
          <w:sz w:val="18"/>
          <w:szCs w:val="18"/>
          <w:color w:val="auto"/>
        </w:rPr>
      </w:pPr>
    </w:p>
    <w:p>
      <w:pPr>
        <w:ind w:right="380" w:firstLine="1492"/>
        <w:spacing w:after="0" w:line="277" w:lineRule="auto"/>
        <w:tabs>
          <w:tab w:leader="none" w:pos="1738"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Third Performance Goal</w:t>
      </w:r>
      <w:r>
        <w:rPr>
          <w:rFonts w:ascii="Arial" w:cs="Arial" w:eastAsia="Arial" w:hAnsi="Arial"/>
          <w:sz w:val="18"/>
          <w:szCs w:val="18"/>
          <w:color w:val="auto"/>
        </w:rPr>
        <w:t>” will be satisfied if Operating Cash Flow for the Measurement Period ending in [Year 3] equals or exceeds 101% of Operating Cash Flow for the Measurement Period ending in [Year 2];</w:t>
      </w:r>
    </w:p>
    <w:p>
      <w:pPr>
        <w:spacing w:after="0" w:line="170" w:lineRule="exact"/>
        <w:rPr>
          <w:rFonts w:ascii="Arial" w:cs="Arial" w:eastAsia="Arial" w:hAnsi="Arial"/>
          <w:sz w:val="18"/>
          <w:szCs w:val="18"/>
          <w:color w:val="auto"/>
        </w:rPr>
      </w:pPr>
    </w:p>
    <w:p>
      <w:pPr>
        <w:ind w:right="300" w:firstLine="1492"/>
        <w:spacing w:after="0" w:line="277" w:lineRule="auto"/>
        <w:tabs>
          <w:tab w:leader="none" w:pos="1738"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Fourth Performance Goal</w:t>
      </w:r>
      <w:r>
        <w:rPr>
          <w:rFonts w:ascii="Arial" w:cs="Arial" w:eastAsia="Arial" w:hAnsi="Arial"/>
          <w:sz w:val="18"/>
          <w:szCs w:val="18"/>
          <w:color w:val="auto"/>
        </w:rPr>
        <w:t>” will be satisfied if Operating Cash Flow for the Measurement Period ending in [Year 4] equals or exceeds 101% of Operating Cash Flow for the Measurement Period ending in [Year 3]; and</w:t>
      </w:r>
    </w:p>
    <w:p>
      <w:pPr>
        <w:spacing w:after="0" w:line="170" w:lineRule="exact"/>
        <w:rPr>
          <w:rFonts w:ascii="Arial" w:cs="Arial" w:eastAsia="Arial" w:hAnsi="Arial"/>
          <w:sz w:val="18"/>
          <w:szCs w:val="18"/>
          <w:color w:val="auto"/>
        </w:rPr>
      </w:pPr>
    </w:p>
    <w:p>
      <w:pPr>
        <w:ind w:right="420" w:firstLine="1492"/>
        <w:spacing w:after="0" w:line="277" w:lineRule="auto"/>
        <w:tabs>
          <w:tab w:leader="none" w:pos="1738"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Fifth Performance Goal</w:t>
      </w:r>
      <w:r>
        <w:rPr>
          <w:rFonts w:ascii="Arial" w:cs="Arial" w:eastAsia="Arial" w:hAnsi="Arial"/>
          <w:sz w:val="18"/>
          <w:szCs w:val="18"/>
          <w:color w:val="auto"/>
        </w:rPr>
        <w:t>” will be satisfied if Operating Cash Flow for the Measurement Period ending in [Year 5] equals or exceeds 101% of Operating Cash Flow for the Measurement Period ending in [Year 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Option 2:</w:t>
      </w:r>
    </w:p>
    <w:p>
      <w:pPr>
        <w:spacing w:after="0" w:line="225" w:lineRule="exact"/>
        <w:rPr>
          <w:sz w:val="20"/>
          <w:szCs w:val="20"/>
          <w:color w:val="auto"/>
        </w:rPr>
      </w:pPr>
    </w:p>
    <w:p>
      <w:pPr>
        <w:ind w:right="200" w:firstLine="1492"/>
        <w:spacing w:after="0" w:line="277" w:lineRule="auto"/>
        <w:tabs>
          <w:tab w:leader="none" w:pos="1738" w:val="left"/>
        </w:tabs>
        <w:numPr>
          <w:ilvl w:val="1"/>
          <w:numId w:val="80"/>
        </w:numPr>
        <w:rPr>
          <w:rFonts w:ascii="Arial" w:cs="Arial" w:eastAsia="Arial" w:hAnsi="Arial"/>
          <w:sz w:val="18"/>
          <w:szCs w:val="18"/>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Performance Goal</w:t>
      </w:r>
      <w:r>
        <w:rPr>
          <w:rFonts w:ascii="Arial" w:cs="Arial" w:eastAsia="Arial" w:hAnsi="Arial"/>
          <w:sz w:val="18"/>
          <w:szCs w:val="18"/>
          <w:color w:val="auto"/>
        </w:rPr>
        <w:t>” will be satisfied if Operating Cash Flow for the Measurement Period ending in [Year 1] equals or exceeds 101% of Operating Cash Flow for the Measurement Period ending in [Year 0].</w:t>
      </w:r>
    </w:p>
    <w:p>
      <w:pPr>
        <w:spacing w:after="0" w:line="170" w:lineRule="exact"/>
        <w:rPr>
          <w:rFonts w:ascii="Arial" w:cs="Arial" w:eastAsia="Arial" w:hAnsi="Arial"/>
          <w:sz w:val="18"/>
          <w:szCs w:val="18"/>
          <w:color w:val="auto"/>
        </w:rPr>
      </w:pPr>
    </w:p>
    <w:p>
      <w:pPr>
        <w:ind w:left="1140" w:hanging="219"/>
        <w:spacing w:after="0"/>
        <w:tabs>
          <w:tab w:leader="none" w:pos="11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the Comcast Corporation 2002 Restricted Stock Plan, incorporated herein by reference.</w:t>
      </w:r>
    </w:p>
    <w:p>
      <w:pPr>
        <w:spacing w:after="0" w:line="225" w:lineRule="exact"/>
        <w:rPr>
          <w:rFonts w:ascii="Arial" w:cs="Arial" w:eastAsia="Arial" w:hAnsi="Arial"/>
          <w:sz w:val="18"/>
          <w:szCs w:val="18"/>
          <w:color w:val="auto"/>
        </w:rPr>
      </w:pPr>
    </w:p>
    <w:p>
      <w:pPr>
        <w:ind w:left="1160" w:hanging="239"/>
        <w:spacing w:after="0"/>
        <w:tabs>
          <w:tab w:leader="none" w:pos="11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Restricted Period</w:t>
      </w:r>
      <w:r>
        <w:rPr>
          <w:rFonts w:ascii="Arial" w:cs="Arial" w:eastAsia="Arial" w:hAnsi="Arial"/>
          <w:sz w:val="16"/>
          <w:szCs w:val="16"/>
          <w:color w:val="auto"/>
        </w:rPr>
        <w:t>” means, with respect to each Restricted Stock Unit, the period beginning on the Date of Grant and ending on the Vesting</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Date.</w:t>
      </w:r>
    </w:p>
    <w:p>
      <w:pPr>
        <w:spacing w:after="0" w:line="210" w:lineRule="exact"/>
        <w:rPr>
          <w:rFonts w:ascii="Arial" w:cs="Arial" w:eastAsia="Arial" w:hAnsi="Arial"/>
          <w:sz w:val="16"/>
          <w:szCs w:val="16"/>
          <w:color w:val="auto"/>
        </w:rPr>
      </w:pPr>
    </w:p>
    <w:p>
      <w:pPr>
        <w:ind w:firstLine="921"/>
        <w:spacing w:after="0" w:line="264" w:lineRule="auto"/>
        <w:tabs>
          <w:tab w:leader="none" w:pos="1128" w:val="left"/>
        </w:tabs>
        <w:numPr>
          <w:ilvl w:val="0"/>
          <w:numId w:val="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 Units</w:t>
      </w:r>
      <w:r>
        <w:rPr>
          <w:rFonts w:ascii="Arial" w:cs="Arial" w:eastAsia="Arial" w:hAnsi="Arial"/>
          <w:sz w:val="18"/>
          <w:szCs w:val="18"/>
          <w:color w:val="auto"/>
        </w:rPr>
        <w:t>” means the total number of restricted stock units granted to Grantee pursuant to this Award as set forth on the attached Long-Term Incentive Awards Summary Schedule. Each Restricted Stock Unit entitles Grantee, upon the Vesting Date of such Restricted Stock Unit, to receive one Share.</w:t>
      </w:r>
    </w:p>
    <w:p>
      <w:pPr>
        <w:spacing w:after="0" w:line="181" w:lineRule="exact"/>
        <w:rPr>
          <w:rFonts w:ascii="Arial" w:cs="Arial" w:eastAsia="Arial" w:hAnsi="Arial"/>
          <w:sz w:val="18"/>
          <w:szCs w:val="18"/>
          <w:color w:val="auto"/>
        </w:rPr>
      </w:pPr>
    </w:p>
    <w:p>
      <w:pPr>
        <w:ind w:left="1180" w:hanging="259"/>
        <w:spacing w:after="0"/>
        <w:tabs>
          <w:tab w:leader="none" w:pos="11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Retired Grantee</w:t>
      </w:r>
      <w:r>
        <w:rPr>
          <w:rFonts w:ascii="Arial" w:cs="Arial" w:eastAsia="Arial" w:hAnsi="Arial"/>
          <w:sz w:val="18"/>
          <w:szCs w:val="18"/>
          <w:color w:val="auto"/>
        </w:rPr>
        <w:t>” means Grantee, following Grantee’s termination of employment pursuant to a Normal Retirement.</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16b-3</w:t>
      </w:r>
      <w:r>
        <w:rPr>
          <w:rFonts w:ascii="Arial" w:cs="Arial" w:eastAsia="Arial" w:hAnsi="Arial"/>
          <w:sz w:val="18"/>
          <w:szCs w:val="18"/>
          <w:color w:val="auto"/>
        </w:rPr>
        <w:t>” means Rule 16b-3 promulgated under the 1934 Act, as in effect from time to time.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117" w:name="page118"/>
    <w:bookmarkEnd w:id="117"/>
    <w:p>
      <w:pPr>
        <w:ind w:left="1120" w:hanging="299"/>
        <w:spacing w:after="0"/>
        <w:tabs>
          <w:tab w:leader="none" w:pos="1120" w:val="left"/>
        </w:tabs>
        <w:numPr>
          <w:ilvl w:val="1"/>
          <w:numId w:val="8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Shares</w:t>
      </w:r>
      <w:r>
        <w:rPr>
          <w:rFonts w:ascii="Arial" w:cs="Arial" w:eastAsia="Arial" w:hAnsi="Arial"/>
          <w:sz w:val="18"/>
          <w:szCs w:val="18"/>
          <w:color w:val="auto"/>
        </w:rPr>
        <w:t>” mean shares of the Company’s Class A Common Stock, par value $.01 per share.</w:t>
      </w:r>
    </w:p>
    <w:p>
      <w:pPr>
        <w:spacing w:after="0" w:line="225" w:lineRule="exact"/>
        <w:rPr>
          <w:rFonts w:ascii="Arial" w:cs="Arial" w:eastAsia="Arial" w:hAnsi="Arial"/>
          <w:sz w:val="18"/>
          <w:szCs w:val="18"/>
          <w:color w:val="auto"/>
        </w:rPr>
      </w:pPr>
    </w:p>
    <w:p>
      <w:pPr>
        <w:ind w:left="-100" w:right="100" w:firstLine="921"/>
        <w:spacing w:after="0" w:line="277" w:lineRule="auto"/>
        <w:tabs>
          <w:tab w:leader="none" w:pos="1068" w:val="left"/>
        </w:tabs>
        <w:numPr>
          <w:ilvl w:val="1"/>
          <w:numId w:val="8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Vesting Date</w:t>
      </w:r>
      <w:r>
        <w:rPr>
          <w:rFonts w:ascii="Arial" w:cs="Arial" w:eastAsia="Arial" w:hAnsi="Arial"/>
          <w:sz w:val="18"/>
          <w:szCs w:val="18"/>
          <w:color w:val="auto"/>
        </w:rPr>
        <w:t>” means the date(s) on which Grantee vests in all or a portion of the Restricted Stock Units, as set forth on the attached Long-Term Incentive Awards Summary Schedule.</w:t>
      </w:r>
    </w:p>
    <w:p>
      <w:pPr>
        <w:spacing w:after="0" w:line="170" w:lineRule="exact"/>
        <w:rPr>
          <w:rFonts w:ascii="Arial" w:cs="Arial" w:eastAsia="Arial" w:hAnsi="Arial"/>
          <w:sz w:val="18"/>
          <w:szCs w:val="18"/>
          <w:color w:val="auto"/>
        </w:rPr>
      </w:pPr>
    </w:p>
    <w:p>
      <w:pPr>
        <w:ind w:left="1080" w:hanging="259"/>
        <w:spacing w:after="0"/>
        <w:tabs>
          <w:tab w:leader="none" w:pos="1080" w:val="left"/>
        </w:tabs>
        <w:numPr>
          <w:ilvl w:val="1"/>
          <w:numId w:val="8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1934 Act</w:t>
      </w:r>
      <w:r>
        <w:rPr>
          <w:rFonts w:ascii="Arial" w:cs="Arial" w:eastAsia="Arial" w:hAnsi="Arial"/>
          <w:sz w:val="18"/>
          <w:szCs w:val="18"/>
          <w:color w:val="auto"/>
        </w:rPr>
        <w:t>” means the Securities Exchange Act of 1934, as amended.</w:t>
      </w:r>
    </w:p>
    <w:p>
      <w:pPr>
        <w:spacing w:after="0" w:line="225" w:lineRule="exact"/>
        <w:rPr>
          <w:rFonts w:ascii="Arial" w:cs="Arial" w:eastAsia="Arial" w:hAnsi="Arial"/>
          <w:sz w:val="18"/>
          <w:szCs w:val="18"/>
          <w:color w:val="auto"/>
        </w:rPr>
      </w:pPr>
    </w:p>
    <w:p>
      <w:pPr>
        <w:ind w:left="-100" w:right="380" w:firstLine="464"/>
        <w:spacing w:after="0" w:line="277" w:lineRule="auto"/>
        <w:tabs>
          <w:tab w:leader="none" w:pos="536"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Grant of Restricted Stock Units</w:t>
      </w:r>
      <w:r>
        <w:rPr>
          <w:rFonts w:ascii="Arial" w:cs="Arial" w:eastAsia="Arial" w:hAnsi="Arial"/>
          <w:sz w:val="18"/>
          <w:szCs w:val="18"/>
          <w:color w:val="auto"/>
        </w:rPr>
        <w:t>. Subject to the terms and conditions set forth herein and in the Plan, the Company hereby grants to Grantee the Restricted Stock Units.</w:t>
      </w:r>
    </w:p>
    <w:p>
      <w:pPr>
        <w:spacing w:after="0" w:line="170" w:lineRule="exact"/>
        <w:rPr>
          <w:rFonts w:ascii="Arial" w:cs="Arial" w:eastAsia="Arial" w:hAnsi="Arial"/>
          <w:sz w:val="18"/>
          <w:szCs w:val="18"/>
          <w:color w:val="auto"/>
        </w:rPr>
      </w:pPr>
    </w:p>
    <w:p>
      <w:pPr>
        <w:ind w:left="540" w:hanging="176"/>
        <w:spacing w:after="0"/>
        <w:tabs>
          <w:tab w:leader="none" w:pos="540"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Dividend Equivalents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00" w:right="180" w:firstLine="921"/>
        <w:spacing w:after="0" w:line="264" w:lineRule="auto"/>
        <w:tabs>
          <w:tab w:leader="none" w:pos="1058" w:val="left"/>
        </w:tabs>
        <w:numPr>
          <w:ilvl w:val="1"/>
          <w:numId w:val="83"/>
        </w:numPr>
        <w:rPr>
          <w:rFonts w:ascii="Arial" w:cs="Arial" w:eastAsia="Arial" w:hAnsi="Arial"/>
          <w:sz w:val="18"/>
          <w:szCs w:val="18"/>
          <w:color w:val="auto"/>
        </w:rPr>
      </w:pPr>
      <w:r>
        <w:rPr>
          <w:rFonts w:ascii="Arial" w:cs="Arial" w:eastAsia="Arial" w:hAnsi="Arial"/>
          <w:sz w:val="18"/>
          <w:szCs w:val="18"/>
          <w:color w:val="auto"/>
        </w:rPr>
        <w:t>The Restricted Stock Units are granted with dividend equivalent rights. If the Company declares a cash dividend on the Shares, an amount equivalent to such dividend will be credited to an unfunded bookkeeping account with respect to each outstanding and unvested Restricted Stock Unit (the “</w:t>
      </w:r>
      <w:r>
        <w:rPr>
          <w:rFonts w:ascii="Arial" w:cs="Arial" w:eastAsia="Arial" w:hAnsi="Arial"/>
          <w:sz w:val="18"/>
          <w:szCs w:val="18"/>
          <w:u w:val="single" w:color="auto"/>
          <w:color w:val="auto"/>
        </w:rPr>
        <w:t>Dividend Equivalent Amount</w:t>
      </w:r>
      <w:r>
        <w:rPr>
          <w:rFonts w:ascii="Arial" w:cs="Arial" w:eastAsia="Arial" w:hAnsi="Arial"/>
          <w:sz w:val="18"/>
          <w:szCs w:val="18"/>
          <w:color w:val="auto"/>
        </w:rPr>
        <w:t>”) on the record date of such dividend.</w:t>
      </w:r>
    </w:p>
    <w:p>
      <w:pPr>
        <w:spacing w:after="0" w:line="181" w:lineRule="exact"/>
        <w:rPr>
          <w:rFonts w:ascii="Arial" w:cs="Arial" w:eastAsia="Arial" w:hAnsi="Arial"/>
          <w:sz w:val="18"/>
          <w:szCs w:val="18"/>
          <w:color w:val="auto"/>
        </w:rPr>
      </w:pPr>
    </w:p>
    <w:p>
      <w:pPr>
        <w:ind w:left="-100" w:right="180" w:firstLine="921"/>
        <w:spacing w:after="0" w:line="259" w:lineRule="auto"/>
        <w:tabs>
          <w:tab w:leader="none" w:pos="1068" w:val="left"/>
        </w:tabs>
        <w:numPr>
          <w:ilvl w:val="1"/>
          <w:numId w:val="83"/>
        </w:numPr>
        <w:rPr>
          <w:rFonts w:ascii="Arial" w:cs="Arial" w:eastAsia="Arial" w:hAnsi="Arial"/>
          <w:sz w:val="18"/>
          <w:szCs w:val="18"/>
          <w:color w:val="auto"/>
        </w:rPr>
      </w:pPr>
      <w:r>
        <w:rPr>
          <w:rFonts w:ascii="Arial" w:cs="Arial" w:eastAsia="Arial" w:hAnsi="Arial"/>
          <w:sz w:val="18"/>
          <w:szCs w:val="18"/>
          <w:color w:val="auto"/>
        </w:rPr>
        <w:t>The Dividend Equivalent Amount will be credited as cash, without interest, and will not be converted to Shares. The Dividend Equivalent Amount will be payable in cash, but only upon the applicable Vesting Date(s) of the underlying Restricted Stock Units as determined in accordance with Paragraph 4 below, and will be cancelled and forfeited if the underlying Restricted Stock Units are cancelled or forfeited as determined in accordance with Paragraph 5 below.</w:t>
      </w:r>
    </w:p>
    <w:p>
      <w:pPr>
        <w:spacing w:after="0" w:line="186" w:lineRule="exact"/>
        <w:rPr>
          <w:rFonts w:ascii="Arial" w:cs="Arial" w:eastAsia="Arial" w:hAnsi="Arial"/>
          <w:sz w:val="18"/>
          <w:szCs w:val="18"/>
          <w:color w:val="auto"/>
        </w:rPr>
      </w:pPr>
    </w:p>
    <w:p>
      <w:pPr>
        <w:ind w:left="540" w:hanging="176"/>
        <w:spacing w:after="0"/>
        <w:tabs>
          <w:tab w:leader="none" w:pos="540"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Vesting of Restricted Stock Units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00" w:firstLine="921"/>
        <w:spacing w:after="0" w:line="297" w:lineRule="auto"/>
        <w:tabs>
          <w:tab w:leader="none" w:pos="1058" w:val="left"/>
        </w:tabs>
        <w:numPr>
          <w:ilvl w:val="1"/>
          <w:numId w:val="83"/>
        </w:numPr>
        <w:rPr>
          <w:rFonts w:ascii="Arial" w:cs="Arial" w:eastAsia="Arial" w:hAnsi="Arial"/>
          <w:sz w:val="16"/>
          <w:szCs w:val="16"/>
          <w:color w:val="auto"/>
        </w:rPr>
      </w:pPr>
      <w:r>
        <w:rPr>
          <w:rFonts w:ascii="Arial" w:cs="Arial" w:eastAsia="Arial" w:hAnsi="Arial"/>
          <w:sz w:val="16"/>
          <w:szCs w:val="16"/>
          <w:color w:val="auto"/>
        </w:rPr>
        <w:t>Subject to the terms and conditions set forth herein and in the Plan, Grantee shall vest in the Restricted Stock Units on the Vesting Dates set forth on the attached Long-Term Incentive Awards Summary Schedule, and as of each Vesting Date shall be entitled to the delivery of Shares with respect to such Restricted Stock Units; provided, however, that on the Vesting Date, Grantee is, and has from the Date of Grant continuously been, an employee of the Company or a Subsidiary Company during the Restricted Period, provided further that the applicable Performance Goal as set forth on the attached Long-Term Incentive Awards Summary Schedule has been satisfied, and provided further that Grantee has complied with all applicable provisions of the HSR Act.</w:t>
      </w:r>
    </w:p>
    <w:p>
      <w:pPr>
        <w:spacing w:after="0" w:line="158" w:lineRule="exact"/>
        <w:rPr>
          <w:rFonts w:ascii="Arial" w:cs="Arial" w:eastAsia="Arial" w:hAnsi="Arial"/>
          <w:sz w:val="16"/>
          <w:szCs w:val="16"/>
          <w:color w:val="auto"/>
        </w:rPr>
      </w:pPr>
    </w:p>
    <w:p>
      <w:pPr>
        <w:jc w:val="both"/>
        <w:ind w:left="-100" w:right="160" w:firstLine="921"/>
        <w:spacing w:after="0" w:line="279" w:lineRule="auto"/>
        <w:tabs>
          <w:tab w:leader="none" w:pos="1068" w:val="left"/>
        </w:tabs>
        <w:numPr>
          <w:ilvl w:val="1"/>
          <w:numId w:val="83"/>
        </w:numPr>
        <w:rPr>
          <w:rFonts w:ascii="Arial" w:cs="Arial" w:eastAsia="Arial" w:hAnsi="Arial"/>
          <w:sz w:val="17"/>
          <w:szCs w:val="17"/>
          <w:color w:val="auto"/>
        </w:rPr>
      </w:pPr>
      <w:r>
        <w:rPr>
          <w:rFonts w:ascii="Arial" w:cs="Arial" w:eastAsia="Arial" w:hAnsi="Arial"/>
          <w:sz w:val="17"/>
          <w:szCs w:val="17"/>
          <w:color w:val="auto"/>
        </w:rPr>
        <w:t>Notwithstanding Paragraph 4(a) to the contrary, if Grantee terminates employment with the Company or a Subsidiary Company during the Restricted Period due to (i) Grantee’s death or (ii) Grantee becoming a Disabled Grantee within the meaning of Paragraph 1(i)(1), the Vesting Date for the Restricted Stock Units shall be accelerated so that a Vesting Date will be deemed to occur with respect to the Restricted Stock Units on the date of such termination of employment; provided, however, that Grantee has complied with all applicable provisions of the HSR Act.</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340" w:top="274" w:right="339" w:bottom="1440" w:gutter="0" w:footer="0" w:header="0"/>
        </w:sectPr>
      </w:pPr>
    </w:p>
    <w:bookmarkStart w:id="118" w:name="page119"/>
    <w:bookmarkEnd w:id="118"/>
    <w:p>
      <w:pPr>
        <w:ind w:firstLine="921"/>
        <w:spacing w:after="0" w:line="255" w:lineRule="auto"/>
        <w:tabs>
          <w:tab w:leader="none" w:pos="1158" w:val="left"/>
        </w:tabs>
        <w:numPr>
          <w:ilvl w:val="0"/>
          <w:numId w:val="8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Paragraphs 4(a) to the contrary, and subject to the non-solicitation or non-competition obligations described in Paragraph 4(d), if Grantee terminates employment with the Company or a Subsidiary Company during the Restricted Period for any reason other than (i) Grantee’s death, (ii) Grantee becoming a Disabled Grantee within the meaning of Paragraph 1(i)(1) or (iii) a Company-initiated termination for Cause, after having attained age 62 and completing ten (10) or more years of service with the Company or a Subsidiary Company, the following shall apply, provided further that the applicable Performance Goal as set forth on the attached Long-Term Incentive Awards Summary Schedule has been satisfied, and provided further that Grantee has complied with all applicable provisions of the HSR Act:</w:t>
      </w:r>
    </w:p>
    <w:p>
      <w:pPr>
        <w:spacing w:after="0" w:line="193" w:lineRule="exact"/>
        <w:rPr>
          <w:rFonts w:ascii="Arial" w:cs="Arial" w:eastAsia="Arial" w:hAnsi="Arial"/>
          <w:sz w:val="18"/>
          <w:szCs w:val="18"/>
          <w:color w:val="auto"/>
        </w:rPr>
      </w:pPr>
    </w:p>
    <w:p>
      <w:pPr>
        <w:ind w:right="20" w:firstLine="1492"/>
        <w:spacing w:after="0" w:line="279" w:lineRule="auto"/>
        <w:tabs>
          <w:tab w:leader="none" w:pos="1738" w:val="left"/>
        </w:tabs>
        <w:numPr>
          <w:ilvl w:val="1"/>
          <w:numId w:val="84"/>
        </w:numPr>
        <w:rPr>
          <w:rFonts w:ascii="Arial" w:cs="Arial" w:eastAsia="Arial" w:hAnsi="Arial"/>
          <w:sz w:val="17"/>
          <w:szCs w:val="17"/>
          <w:color w:val="auto"/>
        </w:rPr>
      </w:pPr>
      <w:r>
        <w:rPr>
          <w:rFonts w:ascii="Arial" w:cs="Arial" w:eastAsia="Arial" w:hAnsi="Arial"/>
          <w:sz w:val="17"/>
          <w:szCs w:val="17"/>
          <w:color w:val="auto"/>
        </w:rPr>
        <w:t>If, at the time of such termination of employment, Grantee has completed at least ten (10) but less than fifteen (15) years of service with the Company or a Subsidiary Company, any Vesting Date for the Restricted Stock Units that would have occurred on or prior to the date that is the third (3</w:t>
      </w:r>
      <w:r>
        <w:rPr>
          <w:rFonts w:ascii="Arial" w:cs="Arial" w:eastAsia="Arial" w:hAnsi="Arial"/>
          <w:sz w:val="14"/>
          <w:szCs w:val="14"/>
          <w:color w:val="auto"/>
        </w:rPr>
        <w:t>rd</w:t>
      </w:r>
      <w:r>
        <w:rPr>
          <w:rFonts w:ascii="Arial" w:cs="Arial" w:eastAsia="Arial" w:hAnsi="Arial"/>
          <w:sz w:val="17"/>
          <w:szCs w:val="17"/>
          <w:color w:val="auto"/>
        </w:rPr>
        <w:t>) anniversary of such termination of employment shall continue to occur in accordance with the Long-Term Incentive Awards Summary Schedule, and as of each Vesting Date Grantee shall be entitled to the delivery of Shares with respect to such Restricted Stock Units.</w:t>
      </w:r>
    </w:p>
    <w:p>
      <w:pPr>
        <w:spacing w:after="0" w:line="171" w:lineRule="exact"/>
        <w:rPr>
          <w:rFonts w:ascii="Arial" w:cs="Arial" w:eastAsia="Arial" w:hAnsi="Arial"/>
          <w:sz w:val="17"/>
          <w:szCs w:val="17"/>
          <w:color w:val="auto"/>
        </w:rPr>
      </w:pPr>
    </w:p>
    <w:p>
      <w:pPr>
        <w:ind w:right="120" w:firstLine="1492"/>
        <w:spacing w:after="0" w:line="279" w:lineRule="auto"/>
        <w:tabs>
          <w:tab w:leader="none" w:pos="1738" w:val="left"/>
        </w:tabs>
        <w:numPr>
          <w:ilvl w:val="1"/>
          <w:numId w:val="84"/>
        </w:numPr>
        <w:rPr>
          <w:rFonts w:ascii="Arial" w:cs="Arial" w:eastAsia="Arial" w:hAnsi="Arial"/>
          <w:sz w:val="17"/>
          <w:szCs w:val="17"/>
          <w:color w:val="auto"/>
        </w:rPr>
      </w:pPr>
      <w:r>
        <w:rPr>
          <w:rFonts w:ascii="Arial" w:cs="Arial" w:eastAsia="Arial" w:hAnsi="Arial"/>
          <w:sz w:val="17"/>
          <w:szCs w:val="17"/>
          <w:color w:val="auto"/>
        </w:rPr>
        <w:t>If, at the time of such termination of employment, Grantee has completed at least fifteen (15) but less than twenty (20) years of service with the Company or a Subsidiary Company, any Vesting Date for the Restricted Stock Units that would have occurred on or prior to the date that is the fourth (4</w:t>
      </w:r>
      <w:r>
        <w:rPr>
          <w:rFonts w:ascii="Arial" w:cs="Arial" w:eastAsia="Arial" w:hAnsi="Arial"/>
          <w:sz w:val="14"/>
          <w:szCs w:val="14"/>
          <w:color w:val="auto"/>
        </w:rPr>
        <w:t>th</w:t>
      </w:r>
      <w:r>
        <w:rPr>
          <w:rFonts w:ascii="Arial" w:cs="Arial" w:eastAsia="Arial" w:hAnsi="Arial"/>
          <w:sz w:val="17"/>
          <w:szCs w:val="17"/>
          <w:color w:val="auto"/>
        </w:rPr>
        <w:t>) anniversary of such termination of employment shall continue to occur in accordance with the Long-Term Incentive Awards Summary Schedule, and as of each Vesting Date shall be entitled to the delivery of Shares with respect to such Restricted Stock Units.</w:t>
      </w:r>
    </w:p>
    <w:p>
      <w:pPr>
        <w:spacing w:after="0" w:line="171" w:lineRule="exact"/>
        <w:rPr>
          <w:rFonts w:ascii="Arial" w:cs="Arial" w:eastAsia="Arial" w:hAnsi="Arial"/>
          <w:sz w:val="17"/>
          <w:szCs w:val="17"/>
          <w:color w:val="auto"/>
        </w:rPr>
      </w:pPr>
    </w:p>
    <w:p>
      <w:pPr>
        <w:ind w:right="560" w:firstLine="1492"/>
        <w:spacing w:after="0" w:line="291" w:lineRule="auto"/>
        <w:tabs>
          <w:tab w:leader="none" w:pos="1738" w:val="left"/>
        </w:tabs>
        <w:numPr>
          <w:ilvl w:val="1"/>
          <w:numId w:val="84"/>
        </w:numPr>
        <w:rPr>
          <w:rFonts w:ascii="Arial" w:cs="Arial" w:eastAsia="Arial" w:hAnsi="Arial"/>
          <w:sz w:val="16"/>
          <w:szCs w:val="16"/>
          <w:color w:val="auto"/>
        </w:rPr>
      </w:pPr>
      <w:r>
        <w:rPr>
          <w:rFonts w:ascii="Arial" w:cs="Arial" w:eastAsia="Arial" w:hAnsi="Arial"/>
          <w:sz w:val="16"/>
          <w:szCs w:val="16"/>
          <w:color w:val="auto"/>
        </w:rPr>
        <w:t>If, at the time of such termination of employment, such Grantee has completed twenty (20) or more years of services with the Company or a Subsidiary Company, any Vesting Date for the Restricted Stock Units that would have occurred on or prior to the date that is the fifth</w:t>
      </w:r>
    </w:p>
    <w:p>
      <w:pPr>
        <w:ind w:right="20"/>
        <w:spacing w:after="0" w:line="261" w:lineRule="auto"/>
        <w:rPr>
          <w:rFonts w:ascii="Arial" w:cs="Arial" w:eastAsia="Arial" w:hAnsi="Arial"/>
          <w:sz w:val="16"/>
          <w:szCs w:val="16"/>
          <w:color w:val="auto"/>
        </w:rPr>
      </w:pPr>
      <w:r>
        <w:rPr>
          <w:rFonts w:ascii="Arial" w:cs="Arial" w:eastAsia="Arial" w:hAnsi="Arial"/>
          <w:sz w:val="18"/>
          <w:szCs w:val="18"/>
          <w:color w:val="auto"/>
        </w:rPr>
        <w:t>(5</w:t>
      </w:r>
      <w:r>
        <w:rPr>
          <w:rFonts w:ascii="Arial" w:cs="Arial" w:eastAsia="Arial" w:hAnsi="Arial"/>
          <w:sz w:val="15"/>
          <w:szCs w:val="15"/>
          <w:color w:val="auto"/>
        </w:rPr>
        <w:t>th</w:t>
      </w:r>
      <w:r>
        <w:rPr>
          <w:rFonts w:ascii="Arial" w:cs="Arial" w:eastAsia="Arial" w:hAnsi="Arial"/>
          <w:sz w:val="18"/>
          <w:szCs w:val="18"/>
          <w:color w:val="auto"/>
        </w:rPr>
        <w:t>) anniversary of such termination of employment shall continue to occur in accordance with the Long-Term Incentive Awards Summary Schedule, and as of each Vesting Date shall be entitled to the delivery of Shares with respect to such Restricted Stock Units.</w:t>
      </w:r>
    </w:p>
    <w:p>
      <w:pPr>
        <w:spacing w:after="0" w:line="183" w:lineRule="exact"/>
        <w:rPr>
          <w:rFonts w:ascii="Arial" w:cs="Arial" w:eastAsia="Arial" w:hAnsi="Arial"/>
          <w:sz w:val="16"/>
          <w:szCs w:val="16"/>
          <w:color w:val="auto"/>
        </w:rPr>
      </w:pPr>
    </w:p>
    <w:p>
      <w:pPr>
        <w:ind w:right="200" w:firstLine="921"/>
        <w:spacing w:after="0" w:line="264" w:lineRule="auto"/>
        <w:tabs>
          <w:tab w:leader="none" w:pos="1168" w:val="left"/>
        </w:tabs>
        <w:numPr>
          <w:ilvl w:val="0"/>
          <w:numId w:val="84"/>
        </w:numPr>
        <w:rPr>
          <w:rFonts w:ascii="Arial" w:cs="Arial" w:eastAsia="Arial" w:hAnsi="Arial"/>
          <w:sz w:val="18"/>
          <w:szCs w:val="18"/>
          <w:color w:val="auto"/>
        </w:rPr>
      </w:pPr>
      <w:r>
        <w:rPr>
          <w:rFonts w:ascii="Arial" w:cs="Arial" w:eastAsia="Arial" w:hAnsi="Arial"/>
          <w:sz w:val="18"/>
          <w:szCs w:val="18"/>
          <w:color w:val="auto"/>
        </w:rPr>
        <w:t>Notwithstanding Paragraph 4(c), the Restricted Stock Units will be subject to forfeiture by the Committee, in its sole discretion, if Grantee breaches either of the following non-solicitation or non-competition obligations during the period following termination of employment and before the applicable Vesting Date:</w:t>
      </w:r>
    </w:p>
    <w:p>
      <w:pPr>
        <w:spacing w:after="0" w:line="181" w:lineRule="exact"/>
        <w:rPr>
          <w:rFonts w:ascii="Arial" w:cs="Arial" w:eastAsia="Arial" w:hAnsi="Arial"/>
          <w:sz w:val="18"/>
          <w:szCs w:val="18"/>
          <w:color w:val="auto"/>
        </w:rPr>
      </w:pPr>
    </w:p>
    <w:p>
      <w:pPr>
        <w:ind w:right="280" w:firstLine="1492"/>
        <w:spacing w:after="0" w:line="264" w:lineRule="auto"/>
        <w:tabs>
          <w:tab w:leader="none" w:pos="1738" w:val="left"/>
        </w:tabs>
        <w:numPr>
          <w:ilvl w:val="1"/>
          <w:numId w:val="84"/>
        </w:numPr>
        <w:rPr>
          <w:rFonts w:ascii="Arial" w:cs="Arial" w:eastAsia="Arial" w:hAnsi="Arial"/>
          <w:sz w:val="18"/>
          <w:szCs w:val="18"/>
          <w:color w:val="auto"/>
        </w:rPr>
      </w:pPr>
      <w:r>
        <w:rPr>
          <w:rFonts w:ascii="Arial" w:cs="Arial" w:eastAsia="Arial" w:hAnsi="Arial"/>
          <w:sz w:val="18"/>
          <w:szCs w:val="18"/>
          <w:color w:val="auto"/>
        </w:rPr>
        <w:t>Grantee shall not, directly or indirectly, solicit, induce, encourage or attempt to influence any customer, employee, consultant, independent contractor, service provider or supplier of the Company to cease to do business or to terminate the employment or other relationship with the Company.</w:t>
      </w:r>
    </w:p>
    <w:p>
      <w:pPr>
        <w:spacing w:after="0" w:line="181" w:lineRule="exact"/>
        <w:rPr>
          <w:rFonts w:ascii="Arial" w:cs="Arial" w:eastAsia="Arial" w:hAnsi="Arial"/>
          <w:sz w:val="18"/>
          <w:szCs w:val="18"/>
          <w:color w:val="auto"/>
        </w:rPr>
      </w:pPr>
    </w:p>
    <w:p>
      <w:pPr>
        <w:ind w:left="1740" w:hanging="248"/>
        <w:spacing w:after="0"/>
        <w:tabs>
          <w:tab w:leader="none" w:pos="1740" w:val="left"/>
        </w:tabs>
        <w:numPr>
          <w:ilvl w:val="1"/>
          <w:numId w:val="84"/>
        </w:numPr>
        <w:rPr>
          <w:rFonts w:ascii="Arial" w:cs="Arial" w:eastAsia="Arial" w:hAnsi="Arial"/>
          <w:sz w:val="17"/>
          <w:szCs w:val="17"/>
          <w:color w:val="auto"/>
        </w:rPr>
      </w:pPr>
      <w:r>
        <w:rPr>
          <w:rFonts w:ascii="Arial" w:cs="Arial" w:eastAsia="Arial" w:hAnsi="Arial"/>
          <w:sz w:val="17"/>
          <w:szCs w:val="17"/>
          <w:color w:val="auto"/>
        </w:rPr>
        <w:t>Grantee shall not, directly or indirectly, engage or be financially interested in (as an agent, consultant, director, employee,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independent contractor,</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40"/>
          </w:cols>
          <w:pgMar w:left="240" w:top="274" w:right="319" w:bottom="1440" w:gutter="0" w:footer="0" w:header="0"/>
        </w:sectPr>
      </w:pPr>
    </w:p>
    <w:bookmarkStart w:id="119" w:name="page120"/>
    <w:bookmarkEnd w:id="119"/>
    <w:p>
      <w:pPr>
        <w:ind w:right="10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officer, owner, partner, principal or otherwise), any activities for any business (whether conducted by an entity or individuals, including Grantee in self-employment) that is engaged in competition, directly or indirectly through any entity controlling, controlled by or under common control with such business, with any of the business activities carried on by the Company, any of its subsidiaries or any other business unit of the Company, or being planned by the Company, any of its subsidiaries or any other business unit of the Company with Grantee’s knowledge at the time of Grantee’s termination of employment. This restriction shall apply in any geographical area of the United States in which the Company carries out business activities. Nothing herein shall prevent Grantee from owning for investment up to one percent (1%) of any class of equity security of an entity whose securities are traded on a national securities exchange or market.</w:t>
      </w:r>
    </w:p>
    <w:p>
      <w:pPr>
        <w:spacing w:after="0" w:line="189" w:lineRule="exact"/>
        <w:rPr>
          <w:sz w:val="20"/>
          <w:szCs w:val="20"/>
          <w:color w:val="auto"/>
        </w:rPr>
      </w:pPr>
    </w:p>
    <w:p>
      <w:pPr>
        <w:ind w:right="120" w:firstLine="921"/>
        <w:spacing w:after="0" w:line="279" w:lineRule="auto"/>
        <w:tabs>
          <w:tab w:leader="none" w:pos="1158" w:val="left"/>
        </w:tabs>
        <w:numPr>
          <w:ilvl w:val="1"/>
          <w:numId w:val="85"/>
        </w:numPr>
        <w:rPr>
          <w:rFonts w:ascii="Arial" w:cs="Arial" w:eastAsia="Arial" w:hAnsi="Arial"/>
          <w:sz w:val="17"/>
          <w:szCs w:val="17"/>
          <w:color w:val="auto"/>
        </w:rPr>
      </w:pPr>
      <w:r>
        <w:rPr>
          <w:rFonts w:ascii="Arial" w:cs="Arial" w:eastAsia="Arial" w:hAnsi="Arial"/>
          <w:sz w:val="17"/>
          <w:szCs w:val="17"/>
          <w:color w:val="auto"/>
        </w:rPr>
        <w:t>If Restricted Stock Units would have vested pursuant to the Long-Term Incentive Awards Summary Schedule or Paragraphs 4(b) or 4(c), but did not vest solely because Grantee was not in compliance with all applicable provisions of the HSR Act, the Vesting Date for such Restricted Stock Units shall occur on the first date following the date on which they would have vested pursuant to the Long-Term Incentive Awards Summary Schedule or Paragraphs 4(b) or 4(c) on which Grantee has complied with all applicable provisions of the HSR Act.</w:t>
      </w:r>
    </w:p>
    <w:p>
      <w:pPr>
        <w:spacing w:after="0" w:line="171" w:lineRule="exact"/>
        <w:rPr>
          <w:rFonts w:ascii="Arial" w:cs="Arial" w:eastAsia="Arial" w:hAnsi="Arial"/>
          <w:sz w:val="17"/>
          <w:szCs w:val="17"/>
          <w:color w:val="auto"/>
        </w:rPr>
      </w:pPr>
    </w:p>
    <w:p>
      <w:pPr>
        <w:ind w:left="640" w:hanging="176"/>
        <w:spacing w:after="0"/>
        <w:tabs>
          <w:tab w:leader="none" w:pos="640"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Forfeiture of Restricted Stock Units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60" w:firstLine="921"/>
        <w:spacing w:after="0" w:line="259" w:lineRule="auto"/>
        <w:tabs>
          <w:tab w:leader="none" w:pos="1158" w:val="left"/>
        </w:tabs>
        <w:numPr>
          <w:ilvl w:val="1"/>
          <w:numId w:val="86"/>
        </w:numPr>
        <w:rPr>
          <w:rFonts w:ascii="Arial" w:cs="Arial" w:eastAsia="Arial" w:hAnsi="Arial"/>
          <w:sz w:val="18"/>
          <w:szCs w:val="18"/>
          <w:color w:val="auto"/>
        </w:rPr>
      </w:pPr>
      <w:r>
        <w:rPr>
          <w:rFonts w:ascii="Arial" w:cs="Arial" w:eastAsia="Arial" w:hAnsi="Arial"/>
          <w:sz w:val="18"/>
          <w:szCs w:val="18"/>
          <w:color w:val="auto"/>
        </w:rPr>
        <w:t>Subject to the terms and conditions set forth herein and in the Plan, if Grantee terminates employment with the Company and all Subsidiaries during the Restricted Period, other than due to death or Disability and except as otherwise provided in Paragraph 4(c), Grantee shall forfeit the Restricted Stock Units as of such termination of employment. Upon a forfeiture of the Restricted Stock Units as provided in this Paragraph 5, the Restricted Stock Units shall be deemed canceled.</w:t>
      </w:r>
    </w:p>
    <w:p>
      <w:pPr>
        <w:spacing w:after="0" w:line="186" w:lineRule="exact"/>
        <w:rPr>
          <w:rFonts w:ascii="Arial" w:cs="Arial" w:eastAsia="Arial" w:hAnsi="Arial"/>
          <w:sz w:val="18"/>
          <w:szCs w:val="18"/>
          <w:color w:val="auto"/>
        </w:rPr>
      </w:pPr>
    </w:p>
    <w:p>
      <w:pPr>
        <w:ind w:left="1180" w:hanging="259"/>
        <w:spacing w:after="0"/>
        <w:tabs>
          <w:tab w:leader="none" w:pos="1180" w:val="left"/>
        </w:tabs>
        <w:numPr>
          <w:ilvl w:val="1"/>
          <w:numId w:val="86"/>
        </w:numPr>
        <w:rPr>
          <w:rFonts w:ascii="Arial" w:cs="Arial" w:eastAsia="Arial" w:hAnsi="Arial"/>
          <w:sz w:val="17"/>
          <w:szCs w:val="17"/>
          <w:color w:val="auto"/>
        </w:rPr>
      </w:pPr>
      <w:r>
        <w:rPr>
          <w:rFonts w:ascii="Arial" w:cs="Arial" w:eastAsia="Arial" w:hAnsi="Arial"/>
          <w:sz w:val="17"/>
          <w:szCs w:val="17"/>
          <w:color w:val="auto"/>
        </w:rPr>
        <w:t>The provisions of this Paragraph 5 shall not apply to Shares issued in respect of Restricted Stock Units as to which a Vesting Date has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occurred.</w:t>
      </w:r>
    </w:p>
    <w:p>
      <w:pPr>
        <w:spacing w:after="0" w:line="210" w:lineRule="exact"/>
        <w:rPr>
          <w:rFonts w:ascii="Arial" w:cs="Arial" w:eastAsia="Arial" w:hAnsi="Arial"/>
          <w:sz w:val="17"/>
          <w:szCs w:val="17"/>
          <w:color w:val="auto"/>
        </w:rPr>
      </w:pPr>
    </w:p>
    <w:p>
      <w:pPr>
        <w:ind w:left="640" w:hanging="176"/>
        <w:spacing w:after="0"/>
        <w:tabs>
          <w:tab w:leader="none" w:pos="640"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Deferral Elections</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Grantee may elect to defer the receipt of Shares issuable with respect to Restricted Stock Units, consistent, however, with the following:</w:t>
      </w:r>
    </w:p>
    <w:p>
      <w:pPr>
        <w:spacing w:after="0" w:line="225" w:lineRule="exact"/>
        <w:rPr>
          <w:sz w:val="20"/>
          <w:szCs w:val="20"/>
          <w:color w:val="auto"/>
        </w:rPr>
      </w:pPr>
    </w:p>
    <w:p>
      <w:pPr>
        <w:ind w:left="1160" w:hanging="239"/>
        <w:spacing w:after="0"/>
        <w:tabs>
          <w:tab w:leader="none" w:pos="1160"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Deferral Elections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80" w:firstLine="1492"/>
        <w:spacing w:after="0" w:line="264" w:lineRule="auto"/>
        <w:tabs>
          <w:tab w:leader="none" w:pos="1738" w:val="left"/>
        </w:tabs>
        <w:numPr>
          <w:ilvl w:val="1"/>
          <w:numId w:val="87"/>
        </w:numPr>
        <w:rPr>
          <w:rFonts w:ascii="Arial" w:cs="Arial" w:eastAsia="Arial" w:hAnsi="Arial"/>
          <w:sz w:val="18"/>
          <w:szCs w:val="18"/>
          <w:color w:val="auto"/>
        </w:rPr>
      </w:pPr>
      <w:r>
        <w:rPr>
          <w:rFonts w:ascii="Arial" w:cs="Arial" w:eastAsia="Arial" w:hAnsi="Arial"/>
          <w:sz w:val="18"/>
          <w:szCs w:val="18"/>
          <w:u w:val="single" w:color="auto"/>
          <w:color w:val="auto"/>
        </w:rPr>
        <w:t>Initial Election</w:t>
      </w:r>
      <w:r>
        <w:rPr>
          <w:rFonts w:ascii="Arial" w:cs="Arial" w:eastAsia="Arial" w:hAnsi="Arial"/>
          <w:sz w:val="18"/>
          <w:szCs w:val="18"/>
          <w:color w:val="auto"/>
        </w:rPr>
        <w:t>. Grantee shall have the right to make an Initial Election to defer the receipt of all or a portion of the Shares issuable with respect to Restricted Stock Units hereby granted by filing an Initial Election to defer the receipt of such Shares on the form provided by the Committee for this purpose.</w:t>
      </w:r>
    </w:p>
    <w:p>
      <w:pPr>
        <w:spacing w:after="0" w:line="181" w:lineRule="exact"/>
        <w:rPr>
          <w:rFonts w:ascii="Arial" w:cs="Arial" w:eastAsia="Arial" w:hAnsi="Arial"/>
          <w:sz w:val="18"/>
          <w:szCs w:val="18"/>
          <w:color w:val="auto"/>
        </w:rPr>
      </w:pPr>
    </w:p>
    <w:p>
      <w:pPr>
        <w:ind w:firstLine="1492"/>
        <w:spacing w:after="0" w:line="277" w:lineRule="auto"/>
        <w:tabs>
          <w:tab w:leader="none" w:pos="1738" w:val="left"/>
        </w:tabs>
        <w:numPr>
          <w:ilvl w:val="1"/>
          <w:numId w:val="87"/>
        </w:numPr>
        <w:rPr>
          <w:rFonts w:ascii="Arial" w:cs="Arial" w:eastAsia="Arial" w:hAnsi="Arial"/>
          <w:sz w:val="18"/>
          <w:szCs w:val="18"/>
          <w:color w:val="auto"/>
        </w:rPr>
      </w:pPr>
      <w:r>
        <w:rPr>
          <w:rFonts w:ascii="Arial" w:cs="Arial" w:eastAsia="Arial" w:hAnsi="Arial"/>
          <w:sz w:val="18"/>
          <w:szCs w:val="18"/>
          <w:u w:val="single" w:color="auto"/>
          <w:color w:val="auto"/>
        </w:rPr>
        <w:t>Deadline for Deferral Election</w:t>
      </w:r>
      <w:r>
        <w:rPr>
          <w:rFonts w:ascii="Arial" w:cs="Arial" w:eastAsia="Arial" w:hAnsi="Arial"/>
          <w:sz w:val="18"/>
          <w:szCs w:val="18"/>
          <w:color w:val="auto"/>
        </w:rPr>
        <w:t>. An Initial Election to defer the receipt of Shares issuable with respect to Restricted Stock Units hereby granted shall not be effective unless it is filed with the Committee on or before March 30, [Year 1].</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120" w:name="page121"/>
    <w:bookmarkEnd w:id="120"/>
    <w:p>
      <w:pPr>
        <w:ind w:firstLine="1492"/>
        <w:spacing w:after="0" w:line="279" w:lineRule="auto"/>
        <w:tabs>
          <w:tab w:leader="none" w:pos="1738" w:val="left"/>
        </w:tabs>
        <w:numPr>
          <w:ilvl w:val="1"/>
          <w:numId w:val="88"/>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Deferral Period</w:t>
      </w:r>
      <w:r>
        <w:rPr>
          <w:rFonts w:ascii="Arial" w:cs="Arial" w:eastAsia="Arial" w:hAnsi="Arial"/>
          <w:sz w:val="17"/>
          <w:szCs w:val="17"/>
          <w:color w:val="auto"/>
        </w:rPr>
        <w:t>. Subject to Paragraph 6(b), all Shares issuable with respect to Restricted Stock Units that are subject to an Initial Election under this Paragraph 6(a) shall be delivered to Grantee without any legend or restrictions (except those that may be imposed by the Committee, in its sole judgment, under Paragraph 8), on the date designated by Grantee, which shall not be earlier than January 2 of the third calendar year beginning after the Vesting Date, nor later than January 2 of the eleventh calendar year beginning after the Vesting Date.</w:t>
      </w:r>
    </w:p>
    <w:p>
      <w:pPr>
        <w:spacing w:after="0" w:line="171" w:lineRule="exact"/>
        <w:rPr>
          <w:rFonts w:ascii="Arial" w:cs="Arial" w:eastAsia="Arial" w:hAnsi="Arial"/>
          <w:sz w:val="17"/>
          <w:szCs w:val="17"/>
          <w:color w:val="auto"/>
        </w:rPr>
      </w:pPr>
    </w:p>
    <w:p>
      <w:pPr>
        <w:ind w:right="140" w:firstLine="1492"/>
        <w:spacing w:after="0" w:line="277" w:lineRule="auto"/>
        <w:tabs>
          <w:tab w:leader="none" w:pos="1738" w:val="left"/>
        </w:tabs>
        <w:numPr>
          <w:ilvl w:val="1"/>
          <w:numId w:val="88"/>
        </w:numPr>
        <w:rPr>
          <w:rFonts w:ascii="Arial" w:cs="Arial" w:eastAsia="Arial" w:hAnsi="Arial"/>
          <w:sz w:val="18"/>
          <w:szCs w:val="18"/>
          <w:color w:val="auto"/>
        </w:rPr>
      </w:pPr>
      <w:r>
        <w:rPr>
          <w:rFonts w:ascii="Arial" w:cs="Arial" w:eastAsia="Arial" w:hAnsi="Arial"/>
          <w:sz w:val="18"/>
          <w:szCs w:val="18"/>
          <w:u w:val="single" w:color="auto"/>
          <w:color w:val="auto"/>
        </w:rPr>
        <w:t>Effect of Failure of Vesting Date to Occur</w:t>
      </w:r>
      <w:r>
        <w:rPr>
          <w:rFonts w:ascii="Arial" w:cs="Arial" w:eastAsia="Arial" w:hAnsi="Arial"/>
          <w:sz w:val="18"/>
          <w:szCs w:val="18"/>
          <w:color w:val="auto"/>
        </w:rPr>
        <w:t>. An Initial Election shall be null and void if a Vesting Date does not occur with respect to Restricted Stock Units identified in such Initial Election.</w:t>
      </w:r>
    </w:p>
    <w:p>
      <w:pPr>
        <w:spacing w:after="0" w:line="170" w:lineRule="exact"/>
        <w:rPr>
          <w:rFonts w:ascii="Arial" w:cs="Arial" w:eastAsia="Arial" w:hAnsi="Arial"/>
          <w:sz w:val="18"/>
          <w:szCs w:val="18"/>
          <w:color w:val="auto"/>
        </w:rPr>
      </w:pPr>
    </w:p>
    <w:p>
      <w:pPr>
        <w:ind w:left="1180" w:hanging="259"/>
        <w:spacing w:after="0"/>
        <w:tabs>
          <w:tab w:leader="none" w:pos="1180" w:val="left"/>
        </w:tabs>
        <w:numPr>
          <w:ilvl w:val="0"/>
          <w:numId w:val="89"/>
        </w:numPr>
        <w:rPr>
          <w:rFonts w:ascii="Arial" w:cs="Arial" w:eastAsia="Arial" w:hAnsi="Arial"/>
          <w:sz w:val="16"/>
          <w:szCs w:val="16"/>
          <w:color w:val="auto"/>
        </w:rPr>
      </w:pPr>
      <w:r>
        <w:rPr>
          <w:rFonts w:ascii="Arial" w:cs="Arial" w:eastAsia="Arial" w:hAnsi="Arial"/>
          <w:sz w:val="16"/>
          <w:szCs w:val="16"/>
          <w:u w:val="single" w:color="auto"/>
          <w:color w:val="auto"/>
        </w:rPr>
        <w:t>Subsequent Elections</w:t>
      </w:r>
      <w:r>
        <w:rPr>
          <w:rFonts w:ascii="Arial" w:cs="Arial" w:eastAsia="Arial" w:hAnsi="Arial"/>
          <w:sz w:val="16"/>
          <w:szCs w:val="16"/>
          <w:color w:val="auto"/>
        </w:rPr>
        <w:t>. No Subsequent Election shall be effective until 12 months after the date on which a Subsequent Election is filed with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Committee.</w:t>
      </w:r>
    </w:p>
    <w:p>
      <w:pPr>
        <w:spacing w:after="0" w:line="210" w:lineRule="exact"/>
        <w:rPr>
          <w:rFonts w:ascii="Arial" w:cs="Arial" w:eastAsia="Arial" w:hAnsi="Arial"/>
          <w:sz w:val="16"/>
          <w:szCs w:val="16"/>
          <w:color w:val="auto"/>
        </w:rPr>
      </w:pPr>
    </w:p>
    <w:p>
      <w:pPr>
        <w:jc w:val="both"/>
        <w:ind w:right="20" w:firstLine="1492"/>
        <w:spacing w:after="0" w:line="279" w:lineRule="auto"/>
        <w:tabs>
          <w:tab w:leader="none" w:pos="1738" w:val="left"/>
        </w:tabs>
        <w:numPr>
          <w:ilvl w:val="1"/>
          <w:numId w:val="89"/>
        </w:numPr>
        <w:rPr>
          <w:rFonts w:ascii="Arial" w:cs="Arial" w:eastAsia="Arial" w:hAnsi="Arial"/>
          <w:sz w:val="17"/>
          <w:szCs w:val="17"/>
          <w:color w:val="auto"/>
        </w:rPr>
      </w:pPr>
      <w:r>
        <w:rPr>
          <w:rFonts w:ascii="Arial" w:cs="Arial" w:eastAsia="Arial" w:hAnsi="Arial"/>
          <w:sz w:val="17"/>
          <w:szCs w:val="17"/>
          <w:color w:val="auto"/>
        </w:rPr>
        <w:t>If Grantee makes an Initial Election, or pursuant to this Paragraph 6(b)(1) makes a Subsequent Election, to defer the distribution date for Shares issuable with respect to some or all of the Restricted Stock Units hereby granted, Grantee may elect to defer the distribution date for a minimum of five years and a maximum of ten additional years from the previously-elected distribution date by filing a Subsequent Election with the Committee on or before the close of business at least one year before the date on which the distribution would otherwise be made.</w:t>
      </w:r>
    </w:p>
    <w:p>
      <w:pPr>
        <w:spacing w:after="0" w:line="171" w:lineRule="exact"/>
        <w:rPr>
          <w:rFonts w:ascii="Arial" w:cs="Arial" w:eastAsia="Arial" w:hAnsi="Arial"/>
          <w:sz w:val="17"/>
          <w:szCs w:val="17"/>
          <w:color w:val="auto"/>
        </w:rPr>
      </w:pPr>
    </w:p>
    <w:p>
      <w:pPr>
        <w:jc w:val="both"/>
        <w:ind w:right="20" w:firstLine="1492"/>
        <w:spacing w:after="0" w:line="279" w:lineRule="auto"/>
        <w:tabs>
          <w:tab w:leader="none" w:pos="1738" w:val="left"/>
        </w:tabs>
        <w:numPr>
          <w:ilvl w:val="1"/>
          <w:numId w:val="89"/>
        </w:numPr>
        <w:rPr>
          <w:rFonts w:ascii="Arial" w:cs="Arial" w:eastAsia="Arial" w:hAnsi="Arial"/>
          <w:sz w:val="17"/>
          <w:szCs w:val="17"/>
          <w:color w:val="auto"/>
        </w:rPr>
      </w:pPr>
      <w:r>
        <w:rPr>
          <w:rFonts w:ascii="Arial" w:cs="Arial" w:eastAsia="Arial" w:hAnsi="Arial"/>
          <w:sz w:val="17"/>
          <w:szCs w:val="17"/>
          <w:color w:val="auto"/>
        </w:rPr>
        <w:t>If Grantee dies before Shares subject to an Initial Election under Paragraph 6(a) are to be delivered, the estate or beneficiary to whom the right to delivery of such Shares shall have passed may make a Subsequent Election to defer receipt of all or any portion of such Shares for five additional years from the date delivery of Shares would otherwise be made, provided that such Subsequent Election must be filed with the Committee at least one year before the date on which the distribution would otherwise be made, as reflected on Grantee’s last Election.</w:t>
      </w:r>
    </w:p>
    <w:p>
      <w:pPr>
        <w:spacing w:after="0" w:line="171" w:lineRule="exact"/>
        <w:rPr>
          <w:rFonts w:ascii="Arial" w:cs="Arial" w:eastAsia="Arial" w:hAnsi="Arial"/>
          <w:sz w:val="17"/>
          <w:szCs w:val="17"/>
          <w:color w:val="auto"/>
        </w:rPr>
      </w:pPr>
    </w:p>
    <w:p>
      <w:pPr>
        <w:ind w:right="200" w:firstLine="1492"/>
        <w:spacing w:after="0" w:line="312" w:lineRule="auto"/>
        <w:tabs>
          <w:tab w:leader="none" w:pos="1738" w:val="left"/>
        </w:tabs>
        <w:numPr>
          <w:ilvl w:val="1"/>
          <w:numId w:val="89"/>
        </w:numPr>
        <w:rPr>
          <w:rFonts w:ascii="Arial" w:cs="Arial" w:eastAsia="Arial" w:hAnsi="Arial"/>
          <w:sz w:val="16"/>
          <w:szCs w:val="16"/>
          <w:color w:val="auto"/>
        </w:rPr>
      </w:pPr>
      <w:r>
        <w:rPr>
          <w:rFonts w:ascii="Arial" w:cs="Arial" w:eastAsia="Arial" w:hAnsi="Arial"/>
          <w:sz w:val="16"/>
          <w:szCs w:val="16"/>
          <w:color w:val="auto"/>
        </w:rPr>
        <w:t>If Grantee becomes a Retired Grantee before Shares subject to an Initial Election under Paragraph 6(a) are to be delivered, Grantee may make a Subsequent Election to defer all or any portion of such Shares for five additional years from the date delivery of Shares would otherwise be made. Such a Subsequent Election must be filed with the Committee at least one year before the date on which the distribution would otherwise be made.</w:t>
      </w:r>
    </w:p>
    <w:p>
      <w:pPr>
        <w:spacing w:after="0" w:line="146" w:lineRule="exact"/>
        <w:rPr>
          <w:rFonts w:ascii="Arial" w:cs="Arial" w:eastAsia="Arial" w:hAnsi="Arial"/>
          <w:sz w:val="16"/>
          <w:szCs w:val="16"/>
          <w:color w:val="auto"/>
        </w:rPr>
      </w:pPr>
    </w:p>
    <w:p>
      <w:pPr>
        <w:ind w:right="140" w:firstLine="921"/>
        <w:spacing w:after="0" w:line="277" w:lineRule="auto"/>
        <w:tabs>
          <w:tab w:leader="none" w:pos="1157"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Diversification Election</w:t>
      </w:r>
      <w:r>
        <w:rPr>
          <w:rFonts w:ascii="Arial" w:cs="Arial" w:eastAsia="Arial" w:hAnsi="Arial"/>
          <w:sz w:val="18"/>
          <w:szCs w:val="18"/>
          <w:color w:val="auto"/>
        </w:rPr>
        <w:t>. As provided in the Plan and as described in the prospectus for the Plan, a Grantee with an Account may be eligible to make a Diversification Election on an election form supplied by the Committee for this purpose.</w:t>
      </w:r>
    </w:p>
    <w:p>
      <w:pPr>
        <w:spacing w:after="0" w:line="170" w:lineRule="exact"/>
        <w:rPr>
          <w:rFonts w:ascii="Arial" w:cs="Arial" w:eastAsia="Arial" w:hAnsi="Arial"/>
          <w:sz w:val="18"/>
          <w:szCs w:val="18"/>
          <w:color w:val="auto"/>
        </w:rPr>
      </w:pPr>
    </w:p>
    <w:p>
      <w:pPr>
        <w:ind w:right="40" w:firstLine="921"/>
        <w:spacing w:after="0" w:line="257" w:lineRule="auto"/>
        <w:tabs>
          <w:tab w:leader="none" w:pos="1168"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Book Accounts</w:t>
      </w:r>
      <w:r>
        <w:rPr>
          <w:rFonts w:ascii="Arial" w:cs="Arial" w:eastAsia="Arial" w:hAnsi="Arial"/>
          <w:sz w:val="18"/>
          <w:szCs w:val="18"/>
          <w:color w:val="auto"/>
        </w:rPr>
        <w:t>. An Account shall be established for each Grantee who makes an Initial Election. Deferred Stock Units shall be credited to the Account as of the Date an Initial Election becomes effective. Each Deferred Stock Unit will represent a hypothetical Share credited to the Account in lieu of delivery of the Shares to which an Initial Election, Subsequent Election or Acceleration Election applies. If an eligible Grantee makes a Diversification Election, then to the extent an Account is deemed invested in the Income Fund, the Committee shall credit earnings with respect to such Account at the Applicable Interest Rate.</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74" w:right="279" w:bottom="1440" w:gutter="0" w:footer="0" w:header="0"/>
        </w:sectPr>
      </w:pPr>
    </w:p>
    <w:bookmarkStart w:id="121" w:name="page122"/>
    <w:bookmarkEnd w:id="121"/>
    <w:p>
      <w:pPr>
        <w:ind w:left="-20" w:right="40" w:firstLine="921"/>
        <w:spacing w:after="0" w:line="255" w:lineRule="auto"/>
        <w:tabs>
          <w:tab w:leader="none" w:pos="1137" w:val="left"/>
        </w:tabs>
        <w:numPr>
          <w:ilvl w:val="1"/>
          <w:numId w:val="9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Status of Deferred Amounts</w:t>
      </w:r>
      <w:r>
        <w:rPr>
          <w:rFonts w:ascii="Arial" w:cs="Arial" w:eastAsia="Arial" w:hAnsi="Arial"/>
          <w:sz w:val="18"/>
          <w:szCs w:val="18"/>
          <w:color w:val="auto"/>
        </w:rPr>
        <w:t>. Grantee’s right to delivery of Shares subject to an Initial Election, Subsequent Election or Acceleration Election, or to amounts deemed invested in the Income Fund pursuant to a Diversification Election, shall at all times represent the general obligation of the Company. Grantee shall be a general creditor of the Company with respect to this obligation, and shall not have a secured or preferred position with respect to such obligation. Nothing contained in the Plan or an Award shall be deemed to create an escrow, trust, custodial account or fiduciary relationship of any kind. Nothing contained in the Plan or an Award shall be construed to eliminate any priority or preferred position of Grantee in a bankruptcy matter with respect to claims for wages.</w:t>
      </w:r>
    </w:p>
    <w:p>
      <w:pPr>
        <w:spacing w:after="0" w:line="193" w:lineRule="exact"/>
        <w:rPr>
          <w:rFonts w:ascii="Arial" w:cs="Arial" w:eastAsia="Arial" w:hAnsi="Arial"/>
          <w:sz w:val="18"/>
          <w:szCs w:val="18"/>
          <w:color w:val="auto"/>
        </w:rPr>
      </w:pPr>
    </w:p>
    <w:p>
      <w:pPr>
        <w:ind w:left="-20" w:firstLine="921"/>
        <w:spacing w:after="0" w:line="286" w:lineRule="auto"/>
        <w:tabs>
          <w:tab w:leader="none" w:pos="1118" w:val="left"/>
        </w:tabs>
        <w:numPr>
          <w:ilvl w:val="1"/>
          <w:numId w:val="90"/>
        </w:numPr>
        <w:rPr>
          <w:rFonts w:ascii="Arial" w:cs="Arial" w:eastAsia="Arial" w:hAnsi="Arial"/>
          <w:sz w:val="17"/>
          <w:szCs w:val="17"/>
          <w:color w:val="auto"/>
        </w:rPr>
      </w:pPr>
      <w:r>
        <w:rPr>
          <w:rFonts w:ascii="Arial" w:cs="Arial" w:eastAsia="Arial" w:hAnsi="Arial"/>
          <w:sz w:val="17"/>
          <w:szCs w:val="17"/>
          <w:u w:val="single" w:color="auto"/>
          <w:color w:val="auto"/>
        </w:rPr>
        <w:t>Non-Assignability, Etc.</w:t>
      </w:r>
      <w:r>
        <w:rPr>
          <w:rFonts w:ascii="Arial" w:cs="Arial" w:eastAsia="Arial" w:hAnsi="Arial"/>
          <w:sz w:val="17"/>
          <w:szCs w:val="17"/>
          <w:color w:val="auto"/>
        </w:rPr>
        <w:t xml:space="preserve"> The right of Grantee to receive Shares subject to an Election under this Paragraph 6, or to amounts deemed invested in the Income Fund pursuant to a Diversification Election, shall not be subject in any manner to attachment or other legal process for the debts of Grantee; and no right to receive Shares or cash hereunder shall be subject to anticipation, alienation, sale, transfer, assignment or encumbrance.</w:t>
      </w:r>
    </w:p>
    <w:p>
      <w:pPr>
        <w:spacing w:after="0" w:line="165" w:lineRule="exact"/>
        <w:rPr>
          <w:rFonts w:ascii="Arial" w:cs="Arial" w:eastAsia="Arial" w:hAnsi="Arial"/>
          <w:sz w:val="17"/>
          <w:szCs w:val="17"/>
          <w:color w:val="auto"/>
        </w:rPr>
      </w:pPr>
    </w:p>
    <w:p>
      <w:pPr>
        <w:ind w:left="-20" w:right="180" w:firstLine="464"/>
        <w:spacing w:after="0" w:line="264" w:lineRule="auto"/>
        <w:tabs>
          <w:tab w:leader="none" w:pos="616"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to the Company under this Agreement shall be made in care of the Committee at the Company’s main office in Philadelphia, Pennsylvania. All notices under this Agreement shall be deemed to have been given when hand-delivered or mailed, first class postage prepaid, and shall be irrevocable once given.</w:t>
      </w:r>
    </w:p>
    <w:p>
      <w:pPr>
        <w:spacing w:after="0" w:line="181" w:lineRule="exact"/>
        <w:rPr>
          <w:rFonts w:ascii="Arial" w:cs="Arial" w:eastAsia="Arial" w:hAnsi="Arial"/>
          <w:sz w:val="18"/>
          <w:szCs w:val="18"/>
          <w:color w:val="auto"/>
        </w:rPr>
      </w:pPr>
    </w:p>
    <w:p>
      <w:pPr>
        <w:ind w:left="-20" w:right="340" w:firstLine="464"/>
        <w:spacing w:after="0" w:line="264" w:lineRule="auto"/>
        <w:tabs>
          <w:tab w:leader="none" w:pos="616"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Securities Laws</w:t>
      </w:r>
      <w:r>
        <w:rPr>
          <w:rFonts w:ascii="Arial" w:cs="Arial" w:eastAsia="Arial" w:hAnsi="Arial"/>
          <w:sz w:val="18"/>
          <w:szCs w:val="18"/>
          <w:color w:val="auto"/>
        </w:rPr>
        <w:t>. The Committee may from time to time impose any conditions on the Shares issuable with respect to Restricted Stock Units as it deems necessary or advisable to ensure that the Plan satisfies the conditions of Rule 16b-3, and that Shares are issued and resold in compliance with the Securities Act of 1933, as amended.</w:t>
      </w:r>
    </w:p>
    <w:p>
      <w:pPr>
        <w:spacing w:after="0" w:line="181" w:lineRule="exact"/>
        <w:rPr>
          <w:rFonts w:ascii="Arial" w:cs="Arial" w:eastAsia="Arial" w:hAnsi="Arial"/>
          <w:sz w:val="18"/>
          <w:szCs w:val="18"/>
          <w:color w:val="auto"/>
        </w:rPr>
      </w:pPr>
    </w:p>
    <w:p>
      <w:pPr>
        <w:ind w:left="620" w:hanging="176"/>
        <w:spacing w:after="0"/>
        <w:tabs>
          <w:tab w:leader="none" w:pos="620"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Delivery of Shares; Repayment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0" w:right="120" w:firstLine="921"/>
        <w:spacing w:after="0" w:line="269" w:lineRule="auto"/>
        <w:tabs>
          <w:tab w:leader="none" w:pos="1137" w:val="left"/>
        </w:tabs>
        <w:numPr>
          <w:ilvl w:val="1"/>
          <w:numId w:val="91"/>
        </w:numPr>
        <w:rPr>
          <w:rFonts w:ascii="Arial" w:cs="Arial" w:eastAsia="Arial" w:hAnsi="Arial"/>
          <w:sz w:val="17"/>
          <w:szCs w:val="17"/>
          <w:color w:val="auto"/>
        </w:rPr>
      </w:pPr>
      <w:r>
        <w:rPr>
          <w:rFonts w:ascii="Arial" w:cs="Arial" w:eastAsia="Arial" w:hAnsi="Arial"/>
          <w:sz w:val="17"/>
          <w:szCs w:val="17"/>
          <w:u w:val="single" w:color="auto"/>
          <w:color w:val="auto"/>
        </w:rPr>
        <w:t>Delivery of Shares</w:t>
      </w:r>
      <w:r>
        <w:rPr>
          <w:rFonts w:ascii="Arial" w:cs="Arial" w:eastAsia="Arial" w:hAnsi="Arial"/>
          <w:sz w:val="17"/>
          <w:szCs w:val="17"/>
          <w:color w:val="auto"/>
        </w:rPr>
        <w:t>. Except as otherwise provided in Paragraph 6, the Company shall notify Grantee that a Vesting Date with respect to Restricted Stock Units has occurred. Within ten (10) business days of a Vesting Date, the Company shall, without payment from Grantee, satisfy its obligations to (1) pay the Dividend Equivalent Amount (if any) and (2) deliver Shares issuable under the Plan either by (i) delivery of a physical certificate for Shares issuable under the Plan or (ii) arranging for the recording of Grantee’s ownership of Shares issuable under the Plan on a book entry recordkeeping system maintained on behalf of the Company, in either case without any legend or restrictions, except for such restrictions as may be imposed by the Committee, in its sole judgment, under Paragraph 8, provided that the Dividend Equivalent Amount (if any) will not be paid and/or Shares will not be delivered to Grantee until appropriate arrangements have been made with the Employer for the withholding of any taxes which may be due with respect to such payment of the Dividend Equivalent Amount and/or delivery of such Shares. The Company may condition delivery of certificates for Shares upon the prior receipt from Grantee of any undertakings which it may determine are required to assure that the certificates are being issued in compliance with federal and state securities laws. The right to payment of any fractional Shares shall be satisfied in cash, measured by the product of the fractional amount times the Fair Market Value of a Share on the Vesting Date, as determined by the Committee.</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60" w:top="274" w:right="239" w:bottom="1440" w:gutter="0" w:footer="0" w:header="0"/>
        </w:sectPr>
      </w:pPr>
    </w:p>
    <w:bookmarkStart w:id="122" w:name="page123"/>
    <w:bookmarkEnd w:id="122"/>
    <w:p>
      <w:pPr>
        <w:ind w:left="-100" w:firstLine="921"/>
        <w:spacing w:after="0" w:line="271" w:lineRule="auto"/>
        <w:tabs>
          <w:tab w:leader="none" w:pos="1068" w:val="left"/>
        </w:tabs>
        <w:numPr>
          <w:ilvl w:val="1"/>
          <w:numId w:val="92"/>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Repayment</w:t>
      </w:r>
      <w:r>
        <w:rPr>
          <w:rFonts w:ascii="Arial" w:cs="Arial" w:eastAsia="Arial" w:hAnsi="Arial"/>
          <w:sz w:val="17"/>
          <w:szCs w:val="17"/>
          <w:color w:val="auto"/>
        </w:rPr>
        <w:t>. If it is determined by the Board that gross negligence, intentional misconduct or fraud by Grantee caused or partially caused the Company to have to restate all or a portion of its financial statements, the Board, in its sole discretion, may, to the extent permitted by law and to the extent it determines in its sole judgment that it is in the best interests of the Company to do so, require repayment of Shares delivered pursuant to the vesting of the Restricted Stock Units, or to effect the cancellation of unvested Restricted Stock Units, if (i) the vesting of the Award was calculated based upon, or contingent on, the achievement of financial or operating results that were the subject of or affected by the restatement, and (ii) the extent of vesting of the Award would have been less had the financial statements been correct. In addition, to the extent that the receipt of an Award subject to repayment under this Paragraph 9(b) has been deferred pursuant to Paragraph 6 (or any other plan, program or arrangement that permits the deferral of receipt of an Award), such Award (and any earnings credited with respect thereto) shall be forfeited in lieu of repayment.</w:t>
      </w:r>
    </w:p>
    <w:p>
      <w:pPr>
        <w:spacing w:after="0" w:line="178" w:lineRule="exact"/>
        <w:rPr>
          <w:rFonts w:ascii="Arial" w:cs="Arial" w:eastAsia="Arial" w:hAnsi="Arial"/>
          <w:sz w:val="17"/>
          <w:szCs w:val="17"/>
          <w:color w:val="auto"/>
        </w:rPr>
      </w:pPr>
    </w:p>
    <w:p>
      <w:pPr>
        <w:ind w:left="-100" w:right="80" w:firstLine="464"/>
        <w:spacing w:after="0" w:line="293" w:lineRule="auto"/>
        <w:tabs>
          <w:tab w:leader="none" w:pos="626" w:val="left"/>
        </w:tabs>
        <w:numPr>
          <w:ilvl w:val="0"/>
          <w:numId w:val="93"/>
        </w:numPr>
        <w:rPr>
          <w:rFonts w:ascii="Arial" w:cs="Arial" w:eastAsia="Arial" w:hAnsi="Arial"/>
          <w:sz w:val="16"/>
          <w:szCs w:val="16"/>
          <w:color w:val="auto"/>
        </w:rPr>
      </w:pPr>
      <w:r>
        <w:rPr>
          <w:rFonts w:ascii="Arial" w:cs="Arial" w:eastAsia="Arial" w:hAnsi="Arial"/>
          <w:sz w:val="16"/>
          <w:szCs w:val="16"/>
          <w:u w:val="single" w:color="auto"/>
          <w:color w:val="auto"/>
        </w:rPr>
        <w:t>Section 409A</w:t>
      </w:r>
      <w:r>
        <w:rPr>
          <w:rFonts w:ascii="Arial" w:cs="Arial" w:eastAsia="Arial" w:hAnsi="Arial"/>
          <w:sz w:val="16"/>
          <w:szCs w:val="16"/>
          <w:color w:val="auto"/>
        </w:rPr>
        <w:t>. Notwithstanding the above, to the extent that any Restricted Stock Units are determined by the Company to be “nonqualified deferred compensation” under section 409A of the Code and its implementing regulations and guidance and Shares become deliverable with respect to such Restricted Stock Units as a result of the Grantee’s termination of employment, such Shares will only be delivered if such termination of employment constitutes a “separation from service” within the meaning of Treas. Reg. 1.409A-1(h) and, to the extent compliance with the requirements of Treas. Reg. § 1.409A-3(i)(2) is necessary to avoid the application of an additional tax under Section 409A of the Code, Shares that would otherwise become deliverable upon the Grantee’s “separation from service” will be deferred (without interest) and issued to the Grantee immediately following that six month period.</w:t>
      </w:r>
    </w:p>
    <w:p>
      <w:pPr>
        <w:spacing w:after="0" w:line="164" w:lineRule="exact"/>
        <w:rPr>
          <w:rFonts w:ascii="Arial" w:cs="Arial" w:eastAsia="Arial" w:hAnsi="Arial"/>
          <w:sz w:val="16"/>
          <w:szCs w:val="16"/>
          <w:color w:val="auto"/>
        </w:rPr>
      </w:pPr>
    </w:p>
    <w:p>
      <w:pPr>
        <w:ind w:left="-100" w:right="340" w:firstLine="464"/>
        <w:spacing w:after="0" w:line="277" w:lineRule="auto"/>
        <w:tabs>
          <w:tab w:leader="none" w:pos="620"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Award Not to Affect Employment</w:t>
      </w:r>
      <w:r>
        <w:rPr>
          <w:rFonts w:ascii="Arial" w:cs="Arial" w:eastAsia="Arial" w:hAnsi="Arial"/>
          <w:sz w:val="18"/>
          <w:szCs w:val="18"/>
          <w:color w:val="auto"/>
        </w:rPr>
        <w:t>. The Award granted hereunder shall not confer upon Grantee any right to continue in the employment of the Company or any subsidiary or affiliate of the Company.</w:t>
      </w:r>
    </w:p>
    <w:p>
      <w:pPr>
        <w:spacing w:after="0" w:line="170" w:lineRule="exact"/>
        <w:rPr>
          <w:rFonts w:ascii="Arial" w:cs="Arial" w:eastAsia="Arial" w:hAnsi="Arial"/>
          <w:sz w:val="18"/>
          <w:szCs w:val="18"/>
          <w:color w:val="auto"/>
        </w:rPr>
      </w:pPr>
    </w:p>
    <w:p>
      <w:pPr>
        <w:ind w:left="640" w:hanging="276"/>
        <w:spacing w:after="0"/>
        <w:tabs>
          <w:tab w:leader="none" w:pos="640"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00" w:right="20" w:firstLine="921"/>
        <w:spacing w:after="0" w:line="286" w:lineRule="auto"/>
        <w:tabs>
          <w:tab w:leader="none" w:pos="1054" w:val="left"/>
        </w:tabs>
        <w:numPr>
          <w:ilvl w:val="1"/>
          <w:numId w:val="93"/>
        </w:numPr>
        <w:rPr>
          <w:rFonts w:ascii="Arial" w:cs="Arial" w:eastAsia="Arial" w:hAnsi="Arial"/>
          <w:sz w:val="17"/>
          <w:szCs w:val="17"/>
          <w:color w:val="auto"/>
        </w:rPr>
      </w:pPr>
      <w:r>
        <w:rPr>
          <w:rFonts w:ascii="Arial" w:cs="Arial" w:eastAsia="Arial" w:hAnsi="Arial"/>
          <w:sz w:val="17"/>
          <w:szCs w:val="17"/>
          <w:color w:val="auto"/>
        </w:rPr>
        <w:t>The Award granted hereunder is subject to the approval of the Plan by the shareholders of the Company to the extent that such approval (i) is required pursuant to the By-Laws of the National Association of Securities Dealers, Inc., and the schedules thereto, in connection with issuers whose securities are included in the NASDAQ National Market System, or (ii) is required to satisfy the conditions of Rule 16b-3.</w:t>
      </w:r>
    </w:p>
    <w:p>
      <w:pPr>
        <w:spacing w:after="0" w:line="165" w:lineRule="exact"/>
        <w:rPr>
          <w:rFonts w:ascii="Arial" w:cs="Arial" w:eastAsia="Arial" w:hAnsi="Arial"/>
          <w:sz w:val="17"/>
          <w:szCs w:val="17"/>
          <w:color w:val="auto"/>
        </w:rPr>
      </w:pPr>
    </w:p>
    <w:p>
      <w:pPr>
        <w:ind w:left="-100" w:right="180" w:firstLine="921"/>
        <w:spacing w:after="0" w:line="277" w:lineRule="auto"/>
        <w:tabs>
          <w:tab w:leader="none" w:pos="1068" w:val="left"/>
        </w:tabs>
        <w:numPr>
          <w:ilvl w:val="1"/>
          <w:numId w:val="93"/>
        </w:numPr>
        <w:rPr>
          <w:rFonts w:ascii="Arial" w:cs="Arial" w:eastAsia="Arial" w:hAnsi="Arial"/>
          <w:sz w:val="18"/>
          <w:szCs w:val="18"/>
          <w:color w:val="auto"/>
        </w:rPr>
      </w:pPr>
      <w:r>
        <w:rPr>
          <w:rFonts w:ascii="Arial" w:cs="Arial" w:eastAsia="Arial" w:hAnsi="Arial"/>
          <w:sz w:val="18"/>
          <w:szCs w:val="18"/>
          <w:color w:val="auto"/>
        </w:rPr>
        <w:t>The address for Grantee to which notice, demands and other communications to be given or delivered under or by reason of the provisions hereof shall be Grantee’s address as reflected in the Company’s personnel records.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340" w:top="274" w:right="339" w:bottom="1440" w:gutter="0" w:footer="0" w:header="0"/>
        </w:sectPr>
      </w:pPr>
    </w:p>
    <w:bookmarkStart w:id="123" w:name="page124"/>
    <w:bookmarkEnd w:id="123"/>
    <w:p>
      <w:pPr>
        <w:ind w:left="-560" w:firstLine="921"/>
        <w:spacing w:after="0" w:line="277" w:lineRule="auto"/>
        <w:tabs>
          <w:tab w:leader="none" w:pos="598" w:val="left"/>
        </w:tabs>
        <w:numPr>
          <w:ilvl w:val="0"/>
          <w:numId w:val="9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validity, performance, construction and effect of this Award shall be governed by the laws of the Commonwealth of Pennsylvania, without giving effect to principles of conflicts of law.</w:t>
      </w:r>
    </w:p>
    <w:p>
      <w:pPr>
        <w:spacing w:after="0" w:line="197"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4520565</wp:posOffset>
            </wp:positionH>
            <wp:positionV relativeFrom="paragraph">
              <wp:posOffset>14605</wp:posOffset>
            </wp:positionV>
            <wp:extent cx="237553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205"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4520565</wp:posOffset>
            </wp:positionH>
            <wp:positionV relativeFrom="paragraph">
              <wp:posOffset>14605</wp:posOffset>
            </wp:positionV>
            <wp:extent cx="237553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300"/>
          </w:cols>
          <w:pgMar w:left="800" w:top="274" w:right="799" w:bottom="1440" w:gutter="0" w:footer="0" w:header="0"/>
        </w:sectPr>
      </w:pPr>
    </w:p>
    <w:bookmarkStart w:id="124" w:name="page125"/>
    <w:bookmarkEnd w:id="124"/>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FORM OF LONG-TERM INCENTIVE AWARDS SUMMARY SCHEDULE</w:t>
      </w:r>
    </w:p>
    <w:p>
      <w:pPr>
        <w:spacing w:after="0" w:line="22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 xml:space="preserve">This Long-Term Incentive Awards Summary Schedule (this “Schedule) provides certain information related to Restricted Stock Units you were granted by Comcast Corporation on [Grant Date, [Year 1] or [Year 0]] (the “Date of Grant”). </w:t>
      </w:r>
      <w:r>
        <w:rPr>
          <w:rFonts w:ascii="Arial" w:cs="Arial" w:eastAsia="Arial" w:hAnsi="Arial"/>
          <w:sz w:val="18"/>
          <w:szCs w:val="18"/>
          <w:b w:val="1"/>
          <w:bCs w:val="1"/>
          <w:color w:val="auto"/>
        </w:rPr>
        <w:t>This Schedule is intended to be, and shall at all times be interpreted as,</w:t>
      </w:r>
      <w:r>
        <w:rPr>
          <w:rFonts w:ascii="Arial" w:cs="Arial" w:eastAsia="Arial" w:hAnsi="Arial"/>
          <w:sz w:val="18"/>
          <w:szCs w:val="18"/>
          <w:color w:val="auto"/>
        </w:rPr>
        <w:t xml:space="preserve"> </w:t>
      </w:r>
      <w:r>
        <w:rPr>
          <w:rFonts w:ascii="Arial" w:cs="Arial" w:eastAsia="Arial" w:hAnsi="Arial"/>
          <w:sz w:val="18"/>
          <w:szCs w:val="18"/>
          <w:b w:val="1"/>
          <w:bCs w:val="1"/>
          <w:color w:val="auto"/>
        </w:rPr>
        <w:t>a part of your Comcast Corporation Restricted Stock Unit Award document.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Restricted Stock Unit Award</w:t>
      </w:r>
    </w:p>
    <w:p>
      <w:pPr>
        <w:spacing w:after="0" w:line="251"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2680" w:type="dxa"/>
            <w:vAlign w:val="bottom"/>
            <w:tcBorders>
              <w:top w:val="single" w:sz="8" w:color="auto"/>
              <w:left w:val="single" w:sz="8" w:color="auto"/>
              <w:right w:val="single" w:sz="8" w:color="auto"/>
            </w:tcBorders>
            <w:gridSpan w:val="3"/>
          </w:tcPr>
          <w:p>
            <w:pPr>
              <w:ind w:left="160"/>
              <w:spacing w:after="0" w:line="189" w:lineRule="exact"/>
              <w:rPr>
                <w:sz w:val="20"/>
                <w:szCs w:val="20"/>
                <w:color w:val="auto"/>
              </w:rPr>
            </w:pPr>
            <w:r>
              <w:rPr>
                <w:rFonts w:ascii="Arial" w:cs="Arial" w:eastAsia="Arial" w:hAnsi="Arial"/>
                <w:sz w:val="18"/>
                <w:szCs w:val="18"/>
                <w:color w:val="auto"/>
              </w:rPr>
              <w:t>Grantee:</w:t>
            </w:r>
          </w:p>
        </w:tc>
        <w:tc>
          <w:tcPr>
            <w:tcW w:w="260" w:type="dxa"/>
            <w:vAlign w:val="bottom"/>
            <w:tcBorders>
              <w:top w:val="single" w:sz="8" w:color="auto"/>
            </w:tcBorders>
          </w:tcPr>
          <w:p>
            <w:pPr>
              <w:ind w:left="200"/>
              <w:spacing w:after="0" w:line="189" w:lineRule="exact"/>
              <w:rPr>
                <w:sz w:val="20"/>
                <w:szCs w:val="20"/>
                <w:color w:val="auto"/>
              </w:rPr>
            </w:pPr>
            <w:r>
              <w:rPr>
                <w:rFonts w:ascii="Arial" w:cs="Arial" w:eastAsia="Arial" w:hAnsi="Arial"/>
                <w:sz w:val="18"/>
                <w:szCs w:val="18"/>
                <w:color w:val="auto"/>
                <w:w w:val="78"/>
              </w:rPr>
              <w:t>[</w:t>
            </w:r>
          </w:p>
        </w:tc>
        <w:tc>
          <w:tcPr>
            <w:tcW w:w="1580" w:type="dxa"/>
            <w:vAlign w:val="bottom"/>
            <w:tcBorders>
              <w:top w:val="single" w:sz="8" w:color="auto"/>
            </w:tcBorders>
            <w:gridSpan w:val="6"/>
          </w:tcPr>
          <w:p>
            <w:pPr>
              <w:jc w:val="right"/>
              <w:ind w:right="40"/>
              <w:spacing w:after="0" w:line="189" w:lineRule="exact"/>
              <w:rPr>
                <w:sz w:val="20"/>
                <w:szCs w:val="20"/>
                <w:color w:val="auto"/>
              </w:rPr>
            </w:pPr>
            <w:r>
              <w:rPr>
                <w:rFonts w:ascii="Arial" w:cs="Arial" w:eastAsia="Arial" w:hAnsi="Arial"/>
                <w:sz w:val="18"/>
                <w:szCs w:val="18"/>
                <w:color w:val="auto"/>
              </w:rPr>
              <w:t>]</w:t>
            </w:r>
          </w:p>
        </w:tc>
        <w:tc>
          <w:tcPr>
            <w:tcW w:w="2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44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right w:val="single" w:sz="8" w:color="auto"/>
            </w:tcBorders>
          </w:tcPr>
          <w:p>
            <w:pPr>
              <w:spacing w:after="0"/>
              <w:rPr>
                <w:sz w:val="16"/>
                <w:szCs w:val="16"/>
                <w:color w:val="auto"/>
              </w:rPr>
            </w:pPr>
          </w:p>
        </w:tc>
      </w:tr>
      <w:tr>
        <w:trPr>
          <w:trHeight w:val="21"/>
        </w:trPr>
        <w:tc>
          <w:tcPr>
            <w:tcW w:w="160" w:type="dxa"/>
            <w:vAlign w:val="bottom"/>
            <w:tcBorders>
              <w:left w:val="single" w:sz="8" w:color="auto"/>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2680" w:type="dxa"/>
            <w:vAlign w:val="bottom"/>
            <w:tcBorders>
              <w:left w:val="single" w:sz="8" w:color="auto"/>
              <w:right w:val="single" w:sz="8" w:color="auto"/>
            </w:tcBorders>
            <w:gridSpan w:val="3"/>
          </w:tcPr>
          <w:p>
            <w:pPr>
              <w:ind w:left="160"/>
              <w:spacing w:after="0" w:line="170" w:lineRule="exact"/>
              <w:rPr>
                <w:sz w:val="20"/>
                <w:szCs w:val="20"/>
                <w:color w:val="auto"/>
              </w:rPr>
            </w:pPr>
            <w:r>
              <w:rPr>
                <w:rFonts w:ascii="Arial" w:cs="Arial" w:eastAsia="Arial" w:hAnsi="Arial"/>
                <w:sz w:val="18"/>
                <w:szCs w:val="18"/>
                <w:color w:val="auto"/>
              </w:rPr>
              <w:t>Date of Grant:</w:t>
            </w:r>
          </w:p>
        </w:tc>
        <w:tc>
          <w:tcPr>
            <w:tcW w:w="260" w:type="dxa"/>
            <w:vAlign w:val="bottom"/>
          </w:tcPr>
          <w:p>
            <w:pPr>
              <w:ind w:left="200"/>
              <w:spacing w:after="0" w:line="170" w:lineRule="exact"/>
              <w:rPr>
                <w:sz w:val="20"/>
                <w:szCs w:val="20"/>
                <w:color w:val="auto"/>
              </w:rPr>
            </w:pPr>
            <w:r>
              <w:rPr>
                <w:rFonts w:ascii="Arial" w:cs="Arial" w:eastAsia="Arial" w:hAnsi="Arial"/>
                <w:sz w:val="18"/>
                <w:szCs w:val="18"/>
                <w:color w:val="auto"/>
                <w:w w:val="78"/>
              </w:rPr>
              <w:t>[</w:t>
            </w:r>
          </w:p>
        </w:tc>
        <w:tc>
          <w:tcPr>
            <w:tcW w:w="1580" w:type="dxa"/>
            <w:vAlign w:val="bottom"/>
            <w:gridSpan w:val="6"/>
          </w:tcPr>
          <w:p>
            <w:pPr>
              <w:jc w:val="right"/>
              <w:ind w:right="40"/>
              <w:spacing w:after="0" w:line="170"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r>
      <w:tr>
        <w:trPr>
          <w:trHeight w:val="21"/>
        </w:trPr>
        <w:tc>
          <w:tcPr>
            <w:tcW w:w="160" w:type="dxa"/>
            <w:vAlign w:val="bottom"/>
            <w:tcBorders>
              <w:left w:val="single" w:sz="8" w:color="auto"/>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right w:val="single" w:sz="8" w:color="auto"/>
            </w:tcBorders>
          </w:tcPr>
          <w:p>
            <w:pPr>
              <w:spacing w:after="0" w:line="20" w:lineRule="exact"/>
              <w:rPr>
                <w:sz w:val="1"/>
                <w:szCs w:val="1"/>
                <w:color w:val="auto"/>
              </w:rPr>
            </w:pPr>
          </w:p>
        </w:tc>
      </w:tr>
      <w:tr>
        <w:trPr>
          <w:trHeight w:val="210"/>
        </w:trPr>
        <w:tc>
          <w:tcPr>
            <w:tcW w:w="2680" w:type="dxa"/>
            <w:vAlign w:val="bottom"/>
            <w:tcBorders>
              <w:left w:val="single" w:sz="8" w:color="auto"/>
              <w:bottom w:val="single" w:sz="8" w:color="auto"/>
              <w:right w:val="single" w:sz="8" w:color="auto"/>
            </w:tcBorders>
            <w:gridSpan w:val="3"/>
          </w:tcPr>
          <w:p>
            <w:pPr>
              <w:ind w:left="160"/>
              <w:spacing w:after="0"/>
              <w:rPr>
                <w:sz w:val="20"/>
                <w:szCs w:val="20"/>
                <w:color w:val="auto"/>
              </w:rPr>
            </w:pPr>
            <w:r>
              <w:rPr>
                <w:rFonts w:ascii="Arial" w:cs="Arial" w:eastAsia="Arial" w:hAnsi="Arial"/>
                <w:sz w:val="18"/>
                <w:szCs w:val="18"/>
                <w:color w:val="auto"/>
              </w:rPr>
              <w:t>Common Stock:</w:t>
            </w:r>
          </w:p>
        </w:tc>
        <w:tc>
          <w:tcPr>
            <w:tcW w:w="7760" w:type="dxa"/>
            <w:vAlign w:val="bottom"/>
            <w:tcBorders>
              <w:bottom w:val="single" w:sz="8" w:color="auto"/>
            </w:tcBorders>
            <w:gridSpan w:val="11"/>
          </w:tcPr>
          <w:p>
            <w:pPr>
              <w:ind w:left="200"/>
              <w:spacing w:after="0"/>
              <w:rPr>
                <w:sz w:val="20"/>
                <w:szCs w:val="20"/>
                <w:color w:val="auto"/>
              </w:rPr>
            </w:pPr>
            <w:r>
              <w:rPr>
                <w:rFonts w:ascii="Arial" w:cs="Arial" w:eastAsia="Arial" w:hAnsi="Arial"/>
                <w:sz w:val="18"/>
                <w:szCs w:val="18"/>
                <w:color w:val="auto"/>
              </w:rPr>
              <w:t>Comcast Corporation Class A Common Stock</w:t>
            </w: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r>
      <w:tr>
        <w:trPr>
          <w:trHeight w:val="195"/>
        </w:trPr>
        <w:tc>
          <w:tcPr>
            <w:tcW w:w="2680" w:type="dxa"/>
            <w:vAlign w:val="bottom"/>
            <w:tcBorders>
              <w:left w:val="single" w:sz="8" w:color="auto"/>
              <w:right w:val="single" w:sz="8" w:color="auto"/>
            </w:tcBorders>
            <w:gridSpan w:val="3"/>
          </w:tcPr>
          <w:p>
            <w:pPr>
              <w:ind w:left="160"/>
              <w:spacing w:after="0" w:line="195" w:lineRule="exact"/>
              <w:rPr>
                <w:sz w:val="20"/>
                <w:szCs w:val="20"/>
                <w:color w:val="auto"/>
              </w:rPr>
            </w:pPr>
            <w:r>
              <w:rPr>
                <w:rFonts w:ascii="Arial" w:cs="Arial" w:eastAsia="Arial" w:hAnsi="Arial"/>
                <w:sz w:val="18"/>
                <w:szCs w:val="18"/>
                <w:color w:val="auto"/>
              </w:rPr>
              <w:t>Number of Restricted Stock</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r>
      <w:tr>
        <w:trPr>
          <w:trHeight w:val="190"/>
        </w:trPr>
        <w:tc>
          <w:tcPr>
            <w:tcW w:w="2680" w:type="dxa"/>
            <w:vAlign w:val="bottom"/>
            <w:tcBorders>
              <w:left w:val="single" w:sz="8" w:color="auto"/>
              <w:right w:val="single" w:sz="8" w:color="auto"/>
            </w:tcBorders>
            <w:gridSpan w:val="3"/>
          </w:tcPr>
          <w:p>
            <w:pPr>
              <w:ind w:left="160"/>
              <w:spacing w:after="0" w:line="190" w:lineRule="exact"/>
              <w:rPr>
                <w:sz w:val="20"/>
                <w:szCs w:val="20"/>
                <w:color w:val="auto"/>
              </w:rPr>
            </w:pPr>
            <w:r>
              <w:rPr>
                <w:rFonts w:ascii="Arial" w:cs="Arial" w:eastAsia="Arial" w:hAnsi="Arial"/>
                <w:sz w:val="18"/>
                <w:szCs w:val="18"/>
                <w:color w:val="auto"/>
              </w:rPr>
              <w:t>Units Granted:</w:t>
            </w:r>
          </w:p>
        </w:tc>
        <w:tc>
          <w:tcPr>
            <w:tcW w:w="260" w:type="dxa"/>
            <w:vAlign w:val="bottom"/>
          </w:tcPr>
          <w:p>
            <w:pPr>
              <w:ind w:left="200"/>
              <w:spacing w:after="0" w:line="190" w:lineRule="exact"/>
              <w:rPr>
                <w:sz w:val="20"/>
                <w:szCs w:val="20"/>
                <w:color w:val="auto"/>
              </w:rPr>
            </w:pPr>
            <w:r>
              <w:rPr>
                <w:rFonts w:ascii="Arial" w:cs="Arial" w:eastAsia="Arial" w:hAnsi="Arial"/>
                <w:sz w:val="18"/>
                <w:szCs w:val="18"/>
                <w:color w:val="auto"/>
                <w:w w:val="78"/>
              </w:rPr>
              <w:t>[</w:t>
            </w:r>
          </w:p>
        </w:tc>
        <w:tc>
          <w:tcPr>
            <w:tcW w:w="1480" w:type="dxa"/>
            <w:vAlign w:val="bottom"/>
            <w:gridSpan w:val="5"/>
          </w:tcPr>
          <w:p>
            <w:pPr>
              <w:jc w:val="right"/>
              <w:ind w:right="300"/>
              <w:spacing w:after="0" w:line="190"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r>
      <w:tr>
        <w:trPr>
          <w:trHeight w:val="21"/>
        </w:trPr>
        <w:tc>
          <w:tcPr>
            <w:tcW w:w="160" w:type="dxa"/>
            <w:vAlign w:val="bottom"/>
            <w:tcBorders>
              <w:left w:val="single" w:sz="8" w:color="auto"/>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60" w:type="dxa"/>
            <w:vAlign w:val="bottom"/>
            <w:tcBorders>
              <w:left w:val="single" w:sz="8" w:color="auto"/>
            </w:tcBorders>
          </w:tcPr>
          <w:p>
            <w:pPr>
              <w:spacing w:after="0"/>
              <w:rPr>
                <w:sz w:val="14"/>
                <w:szCs w:val="14"/>
                <w:color w:val="auto"/>
              </w:rPr>
            </w:pPr>
          </w:p>
        </w:tc>
        <w:tc>
          <w:tcPr>
            <w:tcW w:w="2520" w:type="dxa"/>
            <w:vAlign w:val="bottom"/>
            <w:tcBorders>
              <w:right w:val="single" w:sz="8" w:color="auto"/>
            </w:tcBorders>
            <w:gridSpan w:val="2"/>
          </w:tcPr>
          <w:p>
            <w:pPr>
              <w:spacing w:after="0" w:line="170" w:lineRule="exact"/>
              <w:rPr>
                <w:sz w:val="20"/>
                <w:szCs w:val="20"/>
                <w:color w:val="auto"/>
              </w:rPr>
            </w:pPr>
            <w:r>
              <w:rPr>
                <w:rFonts w:ascii="Arial" w:cs="Arial" w:eastAsia="Arial" w:hAnsi="Arial"/>
                <w:sz w:val="18"/>
                <w:szCs w:val="18"/>
                <w:color w:val="auto"/>
              </w:rPr>
              <w:t>Option 1:</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r>
      <w:tr>
        <w:trPr>
          <w:trHeight w:val="20"/>
        </w:trPr>
        <w:tc>
          <w:tcPr>
            <w:tcW w:w="160" w:type="dxa"/>
            <w:vAlign w:val="bottom"/>
            <w:tcBorders>
              <w:lef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80" w:type="dxa"/>
            <w:vAlign w:val="bottom"/>
            <w:tcBorders>
              <w:righ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right w:val="single" w:sz="8" w:color="auto"/>
            </w:tcBorders>
          </w:tcPr>
          <w:p>
            <w:pPr>
              <w:spacing w:after="0" w:line="20" w:lineRule="exact"/>
              <w:rPr>
                <w:sz w:val="1"/>
                <w:szCs w:val="1"/>
                <w:color w:val="auto"/>
              </w:rPr>
            </w:pPr>
          </w:p>
        </w:tc>
      </w:tr>
      <w:tr>
        <w:trPr>
          <w:trHeight w:val="345"/>
        </w:trPr>
        <w:tc>
          <w:tcPr>
            <w:tcW w:w="160" w:type="dxa"/>
            <w:vAlign w:val="bottom"/>
            <w:tcBorders>
              <w:left w:val="single" w:sz="8" w:color="auto"/>
            </w:tcBorders>
          </w:tcPr>
          <w:p>
            <w:pPr>
              <w:spacing w:after="0"/>
              <w:rPr>
                <w:sz w:val="24"/>
                <w:szCs w:val="24"/>
                <w:color w:val="auto"/>
              </w:rPr>
            </w:pPr>
          </w:p>
        </w:tc>
        <w:tc>
          <w:tcPr>
            <w:tcW w:w="2520" w:type="dxa"/>
            <w:vAlign w:val="bottom"/>
            <w:tcBorders>
              <w:right w:val="single" w:sz="8" w:color="auto"/>
            </w:tcBorders>
            <w:gridSpan w:val="2"/>
          </w:tcPr>
          <w:p>
            <w:pPr>
              <w:ind w:left="180"/>
              <w:spacing w:after="0"/>
              <w:rPr>
                <w:sz w:val="20"/>
                <w:szCs w:val="20"/>
                <w:color w:val="auto"/>
              </w:rPr>
            </w:pPr>
            <w:r>
              <w:rPr>
                <w:rFonts w:ascii="Arial" w:cs="Arial" w:eastAsia="Arial" w:hAnsi="Arial"/>
                <w:sz w:val="18"/>
                <w:szCs w:val="18"/>
                <w:color w:val="auto"/>
              </w:rPr>
              <w:t>[Year 1] RSUs</w:t>
            </w:r>
          </w:p>
        </w:tc>
        <w:tc>
          <w:tcPr>
            <w:tcW w:w="260" w:type="dxa"/>
            <w:vAlign w:val="bottom"/>
          </w:tcPr>
          <w:p>
            <w:pPr>
              <w:ind w:left="200"/>
              <w:spacing w:after="0"/>
              <w:rPr>
                <w:sz w:val="20"/>
                <w:szCs w:val="20"/>
                <w:color w:val="auto"/>
              </w:rPr>
            </w:pPr>
            <w:r>
              <w:rPr>
                <w:rFonts w:ascii="Arial" w:cs="Arial" w:eastAsia="Arial" w:hAnsi="Arial"/>
                <w:sz w:val="18"/>
                <w:szCs w:val="18"/>
                <w:color w:val="auto"/>
                <w:w w:val="78"/>
              </w:rPr>
              <w:t>[</w:t>
            </w:r>
          </w:p>
        </w:tc>
        <w:tc>
          <w:tcPr>
            <w:tcW w:w="260" w:type="dxa"/>
            <w:vAlign w:val="bottom"/>
            <w:tcBorders>
              <w:bottom w:val="single" w:sz="8" w:color="auto"/>
            </w:tcBorders>
          </w:tcPr>
          <w:p>
            <w:pPr>
              <w:spacing w:after="0"/>
              <w:rPr>
                <w:sz w:val="24"/>
                <w:szCs w:val="24"/>
                <w:color w:val="auto"/>
              </w:rPr>
            </w:pPr>
          </w:p>
        </w:tc>
        <w:tc>
          <w:tcPr>
            <w:tcW w:w="7240" w:type="dxa"/>
            <w:vAlign w:val="bottom"/>
            <w:gridSpan w:val="9"/>
          </w:tcPr>
          <w:p>
            <w:pPr>
              <w:spacing w:after="0"/>
              <w:rPr>
                <w:sz w:val="20"/>
                <w:szCs w:val="20"/>
                <w:color w:val="auto"/>
              </w:rPr>
            </w:pPr>
            <w:r>
              <w:rPr>
                <w:rFonts w:ascii="Arial" w:cs="Arial" w:eastAsia="Arial" w:hAnsi="Arial"/>
                <w:sz w:val="18"/>
                <w:szCs w:val="18"/>
                <w:color w:val="auto"/>
              </w:rPr>
              <w:t>]% of the Restricted Stock Units.</w:t>
            </w:r>
          </w:p>
        </w:tc>
        <w:tc>
          <w:tcPr>
            <w:tcW w:w="12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r>
      <w:tr>
        <w:trPr>
          <w:trHeight w:val="426"/>
        </w:trPr>
        <w:tc>
          <w:tcPr>
            <w:tcW w:w="160" w:type="dxa"/>
            <w:vAlign w:val="bottom"/>
            <w:tcBorders>
              <w:left w:val="single" w:sz="8" w:color="auto"/>
            </w:tcBorders>
          </w:tcPr>
          <w:p>
            <w:pPr>
              <w:spacing w:after="0"/>
              <w:rPr>
                <w:sz w:val="24"/>
                <w:szCs w:val="24"/>
                <w:color w:val="auto"/>
              </w:rPr>
            </w:pPr>
          </w:p>
        </w:tc>
        <w:tc>
          <w:tcPr>
            <w:tcW w:w="2520" w:type="dxa"/>
            <w:vAlign w:val="bottom"/>
            <w:tcBorders>
              <w:right w:val="single" w:sz="8" w:color="auto"/>
            </w:tcBorders>
            <w:gridSpan w:val="2"/>
          </w:tcPr>
          <w:p>
            <w:pPr>
              <w:ind w:left="180"/>
              <w:spacing w:after="0"/>
              <w:rPr>
                <w:sz w:val="20"/>
                <w:szCs w:val="20"/>
                <w:color w:val="auto"/>
              </w:rPr>
            </w:pPr>
            <w:r>
              <w:rPr>
                <w:rFonts w:ascii="Arial" w:cs="Arial" w:eastAsia="Arial" w:hAnsi="Arial"/>
                <w:sz w:val="18"/>
                <w:szCs w:val="18"/>
                <w:color w:val="auto"/>
              </w:rPr>
              <w:t>[Year 2] RSUs</w:t>
            </w:r>
          </w:p>
        </w:tc>
        <w:tc>
          <w:tcPr>
            <w:tcW w:w="260" w:type="dxa"/>
            <w:vAlign w:val="bottom"/>
          </w:tcPr>
          <w:p>
            <w:pPr>
              <w:ind w:left="200"/>
              <w:spacing w:after="0"/>
              <w:rPr>
                <w:sz w:val="20"/>
                <w:szCs w:val="20"/>
                <w:color w:val="auto"/>
              </w:rPr>
            </w:pPr>
            <w:r>
              <w:rPr>
                <w:rFonts w:ascii="Arial" w:cs="Arial" w:eastAsia="Arial" w:hAnsi="Arial"/>
                <w:sz w:val="18"/>
                <w:szCs w:val="18"/>
                <w:color w:val="auto"/>
                <w:w w:val="78"/>
              </w:rPr>
              <w:t>[</w:t>
            </w:r>
          </w:p>
        </w:tc>
        <w:tc>
          <w:tcPr>
            <w:tcW w:w="260" w:type="dxa"/>
            <w:vAlign w:val="bottom"/>
          </w:tcPr>
          <w:p>
            <w:pPr>
              <w:spacing w:after="0"/>
              <w:rPr>
                <w:sz w:val="24"/>
                <w:szCs w:val="24"/>
                <w:color w:val="auto"/>
              </w:rPr>
            </w:pPr>
          </w:p>
        </w:tc>
        <w:tc>
          <w:tcPr>
            <w:tcW w:w="6280" w:type="dxa"/>
            <w:vAlign w:val="bottom"/>
            <w:gridSpan w:val="8"/>
          </w:tcPr>
          <w:p>
            <w:pPr>
              <w:spacing w:after="0"/>
              <w:rPr>
                <w:sz w:val="20"/>
                <w:szCs w:val="20"/>
                <w:color w:val="auto"/>
              </w:rPr>
            </w:pPr>
            <w:r>
              <w:rPr>
                <w:rFonts w:ascii="Arial" w:cs="Arial" w:eastAsia="Arial" w:hAnsi="Arial"/>
                <w:sz w:val="18"/>
                <w:szCs w:val="18"/>
                <w:color w:val="auto"/>
                <w:w w:val="91"/>
              </w:rPr>
              <w:t>]% of the Restricted Stock Units, plus any [Year 1] RSUs that fail to vest on or before [</w:t>
            </w:r>
          </w:p>
        </w:tc>
        <w:tc>
          <w:tcPr>
            <w:tcW w:w="960" w:type="dxa"/>
            <w:vAlign w:val="bottom"/>
          </w:tcPr>
          <w:p>
            <w:pPr>
              <w:spacing w:after="0"/>
              <w:rPr>
                <w:sz w:val="24"/>
                <w:szCs w:val="24"/>
                <w:color w:val="auto"/>
              </w:rPr>
            </w:pPr>
          </w:p>
        </w:tc>
        <w:tc>
          <w:tcPr>
            <w:tcW w:w="1000" w:type="dxa"/>
            <w:vAlign w:val="bottom"/>
            <w:tcBorders>
              <w:right w:val="single" w:sz="8" w:color="auto"/>
            </w:tcBorders>
            <w:gridSpan w:val="2"/>
          </w:tcPr>
          <w:p>
            <w:pPr>
              <w:ind w:left="120"/>
              <w:spacing w:after="0"/>
              <w:rPr>
                <w:sz w:val="20"/>
                <w:szCs w:val="20"/>
                <w:color w:val="auto"/>
              </w:rPr>
            </w:pPr>
            <w:r>
              <w:rPr>
                <w:rFonts w:ascii="Arial" w:cs="Arial" w:eastAsia="Arial" w:hAnsi="Arial"/>
                <w:sz w:val="18"/>
                <w:szCs w:val="18"/>
                <w:color w:val="auto"/>
              </w:rPr>
              <w:t>, Year 2].</w:t>
            </w:r>
          </w:p>
        </w:tc>
      </w:tr>
      <w:tr>
        <w:trPr>
          <w:trHeight w:val="20"/>
        </w:trPr>
        <w:tc>
          <w:tcPr>
            <w:tcW w:w="160" w:type="dxa"/>
            <w:vAlign w:val="bottom"/>
            <w:tcBorders>
              <w:left w:val="single" w:sz="8" w:color="auto"/>
            </w:tcBorders>
          </w:tcPr>
          <w:p>
            <w:pPr>
              <w:spacing w:after="0" w:line="20" w:lineRule="exact"/>
              <w:rPr>
                <w:sz w:val="1"/>
                <w:szCs w:val="1"/>
                <w:color w:val="auto"/>
              </w:rPr>
            </w:pPr>
          </w:p>
        </w:tc>
        <w:tc>
          <w:tcPr>
            <w:tcW w:w="2520" w:type="dxa"/>
            <w:vAlign w:val="bottom"/>
            <w:tcBorders>
              <w:right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tcBorders>
              <w:right w:val="single" w:sz="8" w:color="auto"/>
            </w:tcBorders>
          </w:tcPr>
          <w:p>
            <w:pPr>
              <w:spacing w:after="0" w:line="20" w:lineRule="exact"/>
              <w:rPr>
                <w:sz w:val="1"/>
                <w:szCs w:val="1"/>
                <w:color w:val="auto"/>
              </w:rPr>
            </w:pPr>
          </w:p>
        </w:tc>
      </w:tr>
      <w:tr>
        <w:trPr>
          <w:trHeight w:val="412"/>
        </w:trPr>
        <w:tc>
          <w:tcPr>
            <w:tcW w:w="160" w:type="dxa"/>
            <w:vAlign w:val="bottom"/>
            <w:tcBorders>
              <w:left w:val="single" w:sz="8" w:color="auto"/>
            </w:tcBorders>
          </w:tcPr>
          <w:p>
            <w:pPr>
              <w:spacing w:after="0"/>
              <w:rPr>
                <w:sz w:val="24"/>
                <w:szCs w:val="24"/>
                <w:color w:val="auto"/>
              </w:rPr>
            </w:pPr>
          </w:p>
        </w:tc>
        <w:tc>
          <w:tcPr>
            <w:tcW w:w="2520" w:type="dxa"/>
            <w:vAlign w:val="bottom"/>
            <w:tcBorders>
              <w:right w:val="single" w:sz="8" w:color="auto"/>
            </w:tcBorders>
            <w:gridSpan w:val="2"/>
          </w:tcPr>
          <w:p>
            <w:pPr>
              <w:ind w:left="180"/>
              <w:spacing w:after="0"/>
              <w:rPr>
                <w:sz w:val="20"/>
                <w:szCs w:val="20"/>
                <w:color w:val="auto"/>
              </w:rPr>
            </w:pPr>
            <w:r>
              <w:rPr>
                <w:rFonts w:ascii="Arial" w:cs="Arial" w:eastAsia="Arial" w:hAnsi="Arial"/>
                <w:sz w:val="18"/>
                <w:szCs w:val="18"/>
                <w:color w:val="auto"/>
              </w:rPr>
              <w:t>[Year 3] RSUs</w:t>
            </w:r>
          </w:p>
        </w:tc>
        <w:tc>
          <w:tcPr>
            <w:tcW w:w="260" w:type="dxa"/>
            <w:vAlign w:val="bottom"/>
          </w:tcPr>
          <w:p>
            <w:pPr>
              <w:ind w:left="200"/>
              <w:spacing w:after="0"/>
              <w:rPr>
                <w:sz w:val="20"/>
                <w:szCs w:val="20"/>
                <w:color w:val="auto"/>
              </w:rPr>
            </w:pPr>
            <w:r>
              <w:rPr>
                <w:rFonts w:ascii="Arial" w:cs="Arial" w:eastAsia="Arial" w:hAnsi="Arial"/>
                <w:sz w:val="18"/>
                <w:szCs w:val="18"/>
                <w:color w:val="auto"/>
                <w:w w:val="78"/>
              </w:rPr>
              <w:t>[</w:t>
            </w:r>
          </w:p>
        </w:tc>
        <w:tc>
          <w:tcPr>
            <w:tcW w:w="260" w:type="dxa"/>
            <w:vAlign w:val="bottom"/>
            <w:tcBorders>
              <w:bottom w:val="single" w:sz="8" w:color="auto"/>
            </w:tcBorders>
          </w:tcPr>
          <w:p>
            <w:pPr>
              <w:spacing w:after="0"/>
              <w:rPr>
                <w:sz w:val="24"/>
                <w:szCs w:val="24"/>
                <w:color w:val="auto"/>
              </w:rPr>
            </w:pPr>
          </w:p>
        </w:tc>
        <w:tc>
          <w:tcPr>
            <w:tcW w:w="7240" w:type="dxa"/>
            <w:vAlign w:val="bottom"/>
            <w:gridSpan w:val="9"/>
          </w:tcPr>
          <w:p>
            <w:pPr>
              <w:spacing w:after="0"/>
              <w:rPr>
                <w:sz w:val="20"/>
                <w:szCs w:val="20"/>
                <w:color w:val="auto"/>
              </w:rPr>
            </w:pPr>
            <w:r>
              <w:rPr>
                <w:rFonts w:ascii="Arial" w:cs="Arial" w:eastAsia="Arial" w:hAnsi="Arial"/>
                <w:sz w:val="18"/>
                <w:szCs w:val="18"/>
                <w:color w:val="auto"/>
                <w:w w:val="92"/>
              </w:rPr>
              <w:t>]% of the Restricted Stock Units, plus any [Year 1] and [Year 2] RSUs that fail to vest on or before</w:t>
            </w:r>
          </w:p>
        </w:tc>
        <w:tc>
          <w:tcPr>
            <w:tcW w:w="12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r>
      <w:tr>
        <w:trPr>
          <w:trHeight w:val="196"/>
        </w:trPr>
        <w:tc>
          <w:tcPr>
            <w:tcW w:w="160" w:type="dxa"/>
            <w:vAlign w:val="bottom"/>
            <w:tcBorders>
              <w:left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1880" w:type="dxa"/>
            <w:vAlign w:val="bottom"/>
            <w:tcBorders>
              <w:right w:val="single" w:sz="8" w:color="auto"/>
            </w:tcBorders>
          </w:tcPr>
          <w:p>
            <w:pPr>
              <w:spacing w:after="0"/>
              <w:rPr>
                <w:sz w:val="17"/>
                <w:szCs w:val="17"/>
                <w:color w:val="auto"/>
              </w:rPr>
            </w:pPr>
          </w:p>
        </w:tc>
        <w:tc>
          <w:tcPr>
            <w:tcW w:w="260" w:type="dxa"/>
            <w:vAlign w:val="bottom"/>
          </w:tcPr>
          <w:p>
            <w:pPr>
              <w:ind w:left="200"/>
              <w:spacing w:after="0" w:line="196" w:lineRule="exact"/>
              <w:rPr>
                <w:sz w:val="20"/>
                <w:szCs w:val="20"/>
                <w:color w:val="auto"/>
              </w:rPr>
            </w:pPr>
            <w:r>
              <w:rPr>
                <w:rFonts w:ascii="Arial" w:cs="Arial" w:eastAsia="Arial" w:hAnsi="Arial"/>
                <w:sz w:val="18"/>
                <w:szCs w:val="18"/>
                <w:color w:val="auto"/>
                <w:w w:val="78"/>
              </w:rPr>
              <w:t>[</w:t>
            </w:r>
          </w:p>
        </w:tc>
        <w:tc>
          <w:tcPr>
            <w:tcW w:w="2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6420" w:type="dxa"/>
            <w:vAlign w:val="bottom"/>
            <w:gridSpan w:val="7"/>
          </w:tcPr>
          <w:p>
            <w:pPr>
              <w:spacing w:after="0" w:line="196" w:lineRule="exact"/>
              <w:rPr>
                <w:sz w:val="20"/>
                <w:szCs w:val="20"/>
                <w:color w:val="auto"/>
              </w:rPr>
            </w:pPr>
            <w:r>
              <w:rPr>
                <w:rFonts w:ascii="Arial" w:cs="Arial" w:eastAsia="Arial" w:hAnsi="Arial"/>
                <w:sz w:val="18"/>
                <w:szCs w:val="18"/>
                <w:color w:val="auto"/>
              </w:rPr>
              <w:t>, Year 3.</w:t>
            </w:r>
          </w:p>
        </w:tc>
        <w:tc>
          <w:tcPr>
            <w:tcW w:w="120" w:type="dxa"/>
            <w:vAlign w:val="bottom"/>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r>
      <w:tr>
        <w:trPr>
          <w:trHeight w:val="412"/>
        </w:trPr>
        <w:tc>
          <w:tcPr>
            <w:tcW w:w="160" w:type="dxa"/>
            <w:vAlign w:val="bottom"/>
            <w:tcBorders>
              <w:left w:val="single" w:sz="8" w:color="auto"/>
            </w:tcBorders>
          </w:tcPr>
          <w:p>
            <w:pPr>
              <w:spacing w:after="0"/>
              <w:rPr>
                <w:sz w:val="24"/>
                <w:szCs w:val="24"/>
                <w:color w:val="auto"/>
              </w:rPr>
            </w:pPr>
          </w:p>
        </w:tc>
        <w:tc>
          <w:tcPr>
            <w:tcW w:w="2520" w:type="dxa"/>
            <w:vAlign w:val="bottom"/>
            <w:tcBorders>
              <w:right w:val="single" w:sz="8" w:color="auto"/>
            </w:tcBorders>
            <w:gridSpan w:val="2"/>
          </w:tcPr>
          <w:p>
            <w:pPr>
              <w:ind w:left="180"/>
              <w:spacing w:after="0"/>
              <w:rPr>
                <w:sz w:val="20"/>
                <w:szCs w:val="20"/>
                <w:color w:val="auto"/>
              </w:rPr>
            </w:pPr>
            <w:r>
              <w:rPr>
                <w:rFonts w:ascii="Arial" w:cs="Arial" w:eastAsia="Arial" w:hAnsi="Arial"/>
                <w:sz w:val="18"/>
                <w:szCs w:val="18"/>
                <w:color w:val="auto"/>
              </w:rPr>
              <w:t>[Year 4] RSUs</w:t>
            </w:r>
          </w:p>
        </w:tc>
        <w:tc>
          <w:tcPr>
            <w:tcW w:w="260" w:type="dxa"/>
            <w:vAlign w:val="bottom"/>
          </w:tcPr>
          <w:p>
            <w:pPr>
              <w:ind w:left="200"/>
              <w:spacing w:after="0"/>
              <w:rPr>
                <w:sz w:val="20"/>
                <w:szCs w:val="20"/>
                <w:color w:val="auto"/>
              </w:rPr>
            </w:pPr>
            <w:r>
              <w:rPr>
                <w:rFonts w:ascii="Arial" w:cs="Arial" w:eastAsia="Arial" w:hAnsi="Arial"/>
                <w:sz w:val="18"/>
                <w:szCs w:val="18"/>
                <w:color w:val="auto"/>
                <w:w w:val="78"/>
              </w:rPr>
              <w:t>[</w:t>
            </w:r>
          </w:p>
        </w:tc>
        <w:tc>
          <w:tcPr>
            <w:tcW w:w="260" w:type="dxa"/>
            <w:vAlign w:val="bottom"/>
            <w:tcBorders>
              <w:bottom w:val="single" w:sz="8" w:color="auto"/>
            </w:tcBorders>
          </w:tcPr>
          <w:p>
            <w:pPr>
              <w:spacing w:after="0"/>
              <w:rPr>
                <w:sz w:val="24"/>
                <w:szCs w:val="24"/>
                <w:color w:val="auto"/>
              </w:rPr>
            </w:pPr>
          </w:p>
        </w:tc>
        <w:tc>
          <w:tcPr>
            <w:tcW w:w="8240" w:type="dxa"/>
            <w:vAlign w:val="bottom"/>
            <w:tcBorders>
              <w:right w:val="single" w:sz="8" w:color="auto"/>
            </w:tcBorders>
            <w:gridSpan w:val="11"/>
          </w:tcPr>
          <w:p>
            <w:pPr>
              <w:spacing w:after="0"/>
              <w:rPr>
                <w:sz w:val="20"/>
                <w:szCs w:val="20"/>
                <w:color w:val="auto"/>
              </w:rPr>
            </w:pPr>
            <w:r>
              <w:rPr>
                <w:rFonts w:ascii="Arial" w:cs="Arial" w:eastAsia="Arial" w:hAnsi="Arial"/>
                <w:sz w:val="18"/>
                <w:szCs w:val="18"/>
                <w:color w:val="auto"/>
                <w:w w:val="96"/>
              </w:rPr>
              <w:t>]% of the Restricted Stock Units, plus any [Year 1], [Year 2] and [Year 3] RSUs that fail to vest on or before</w:t>
            </w:r>
          </w:p>
        </w:tc>
      </w:tr>
      <w:tr>
        <w:trPr>
          <w:trHeight w:val="196"/>
        </w:trPr>
        <w:tc>
          <w:tcPr>
            <w:tcW w:w="160" w:type="dxa"/>
            <w:vAlign w:val="bottom"/>
            <w:tcBorders>
              <w:left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1880" w:type="dxa"/>
            <w:vAlign w:val="bottom"/>
            <w:tcBorders>
              <w:right w:val="single" w:sz="8" w:color="auto"/>
            </w:tcBorders>
          </w:tcPr>
          <w:p>
            <w:pPr>
              <w:spacing w:after="0"/>
              <w:rPr>
                <w:sz w:val="17"/>
                <w:szCs w:val="17"/>
                <w:color w:val="auto"/>
              </w:rPr>
            </w:pPr>
          </w:p>
        </w:tc>
        <w:tc>
          <w:tcPr>
            <w:tcW w:w="260" w:type="dxa"/>
            <w:vAlign w:val="bottom"/>
          </w:tcPr>
          <w:p>
            <w:pPr>
              <w:ind w:left="200"/>
              <w:spacing w:after="0" w:line="196" w:lineRule="exact"/>
              <w:rPr>
                <w:sz w:val="20"/>
                <w:szCs w:val="20"/>
                <w:color w:val="auto"/>
              </w:rPr>
            </w:pPr>
            <w:r>
              <w:rPr>
                <w:rFonts w:ascii="Arial" w:cs="Arial" w:eastAsia="Arial" w:hAnsi="Arial"/>
                <w:sz w:val="18"/>
                <w:szCs w:val="18"/>
                <w:color w:val="auto"/>
                <w:w w:val="78"/>
              </w:rPr>
              <w:t>[</w:t>
            </w:r>
          </w:p>
        </w:tc>
        <w:tc>
          <w:tcPr>
            <w:tcW w:w="2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6420" w:type="dxa"/>
            <w:vAlign w:val="bottom"/>
            <w:gridSpan w:val="7"/>
          </w:tcPr>
          <w:p>
            <w:pPr>
              <w:spacing w:after="0" w:line="196" w:lineRule="exact"/>
              <w:rPr>
                <w:sz w:val="20"/>
                <w:szCs w:val="20"/>
                <w:color w:val="auto"/>
              </w:rPr>
            </w:pPr>
            <w:r>
              <w:rPr>
                <w:rFonts w:ascii="Arial" w:cs="Arial" w:eastAsia="Arial" w:hAnsi="Arial"/>
                <w:sz w:val="18"/>
                <w:szCs w:val="18"/>
                <w:color w:val="auto"/>
              </w:rPr>
              <w:t>, Year 4].</w:t>
            </w:r>
          </w:p>
        </w:tc>
        <w:tc>
          <w:tcPr>
            <w:tcW w:w="120" w:type="dxa"/>
            <w:vAlign w:val="bottom"/>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r>
      <w:tr>
        <w:trPr>
          <w:trHeight w:val="412"/>
        </w:trPr>
        <w:tc>
          <w:tcPr>
            <w:tcW w:w="160" w:type="dxa"/>
            <w:vAlign w:val="bottom"/>
            <w:tcBorders>
              <w:left w:val="single" w:sz="8" w:color="auto"/>
            </w:tcBorders>
          </w:tcPr>
          <w:p>
            <w:pPr>
              <w:spacing w:after="0"/>
              <w:rPr>
                <w:sz w:val="24"/>
                <w:szCs w:val="24"/>
                <w:color w:val="auto"/>
              </w:rPr>
            </w:pPr>
          </w:p>
        </w:tc>
        <w:tc>
          <w:tcPr>
            <w:tcW w:w="2520" w:type="dxa"/>
            <w:vAlign w:val="bottom"/>
            <w:tcBorders>
              <w:right w:val="single" w:sz="8" w:color="auto"/>
            </w:tcBorders>
            <w:gridSpan w:val="2"/>
          </w:tcPr>
          <w:p>
            <w:pPr>
              <w:ind w:left="180"/>
              <w:spacing w:after="0"/>
              <w:rPr>
                <w:sz w:val="20"/>
                <w:szCs w:val="20"/>
                <w:color w:val="auto"/>
              </w:rPr>
            </w:pPr>
            <w:r>
              <w:rPr>
                <w:rFonts w:ascii="Arial" w:cs="Arial" w:eastAsia="Arial" w:hAnsi="Arial"/>
                <w:sz w:val="18"/>
                <w:szCs w:val="18"/>
                <w:color w:val="auto"/>
              </w:rPr>
              <w:t>[Year 5] RSUs</w:t>
            </w:r>
          </w:p>
        </w:tc>
        <w:tc>
          <w:tcPr>
            <w:tcW w:w="260" w:type="dxa"/>
            <w:vAlign w:val="bottom"/>
          </w:tcPr>
          <w:p>
            <w:pPr>
              <w:ind w:left="200"/>
              <w:spacing w:after="0"/>
              <w:rPr>
                <w:sz w:val="20"/>
                <w:szCs w:val="20"/>
                <w:color w:val="auto"/>
              </w:rPr>
            </w:pPr>
            <w:r>
              <w:rPr>
                <w:rFonts w:ascii="Arial" w:cs="Arial" w:eastAsia="Arial" w:hAnsi="Arial"/>
                <w:sz w:val="18"/>
                <w:szCs w:val="18"/>
                <w:color w:val="auto"/>
                <w:w w:val="78"/>
              </w:rPr>
              <w:t>[</w:t>
            </w:r>
          </w:p>
        </w:tc>
        <w:tc>
          <w:tcPr>
            <w:tcW w:w="260" w:type="dxa"/>
            <w:vAlign w:val="bottom"/>
            <w:tcBorders>
              <w:bottom w:val="single" w:sz="8" w:color="auto"/>
            </w:tcBorders>
          </w:tcPr>
          <w:p>
            <w:pPr>
              <w:spacing w:after="0"/>
              <w:rPr>
                <w:sz w:val="24"/>
                <w:szCs w:val="24"/>
                <w:color w:val="auto"/>
              </w:rPr>
            </w:pPr>
          </w:p>
        </w:tc>
        <w:tc>
          <w:tcPr>
            <w:tcW w:w="8240" w:type="dxa"/>
            <w:vAlign w:val="bottom"/>
            <w:tcBorders>
              <w:right w:val="single" w:sz="8" w:color="auto"/>
            </w:tcBorders>
            <w:gridSpan w:val="11"/>
          </w:tcPr>
          <w:p>
            <w:pPr>
              <w:spacing w:after="0"/>
              <w:rPr>
                <w:sz w:val="20"/>
                <w:szCs w:val="20"/>
                <w:color w:val="auto"/>
              </w:rPr>
            </w:pPr>
            <w:r>
              <w:rPr>
                <w:rFonts w:ascii="Arial" w:cs="Arial" w:eastAsia="Arial" w:hAnsi="Arial"/>
                <w:sz w:val="18"/>
                <w:szCs w:val="18"/>
                <w:color w:val="auto"/>
                <w:w w:val="94"/>
              </w:rPr>
              <w:t>]% of the Restricted Stock Units, plus any [Year 1], [Year 2], [Year 3] and [Year 4] RSUs that fail to vest on or</w:t>
            </w:r>
          </w:p>
        </w:tc>
      </w:tr>
      <w:tr>
        <w:trPr>
          <w:trHeight w:val="196"/>
        </w:trPr>
        <w:tc>
          <w:tcPr>
            <w:tcW w:w="160" w:type="dxa"/>
            <w:vAlign w:val="bottom"/>
            <w:tcBorders>
              <w:left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1880" w:type="dxa"/>
            <w:vAlign w:val="bottom"/>
            <w:tcBorders>
              <w:right w:val="single" w:sz="8" w:color="auto"/>
            </w:tcBorders>
          </w:tcPr>
          <w:p>
            <w:pPr>
              <w:spacing w:after="0"/>
              <w:rPr>
                <w:sz w:val="17"/>
                <w:szCs w:val="17"/>
                <w:color w:val="auto"/>
              </w:rPr>
            </w:pPr>
          </w:p>
        </w:tc>
        <w:tc>
          <w:tcPr>
            <w:tcW w:w="760" w:type="dxa"/>
            <w:vAlign w:val="bottom"/>
            <w:gridSpan w:val="3"/>
          </w:tcPr>
          <w:p>
            <w:pPr>
              <w:ind w:left="200"/>
              <w:spacing w:after="0" w:line="196" w:lineRule="exact"/>
              <w:rPr>
                <w:sz w:val="20"/>
                <w:szCs w:val="20"/>
                <w:color w:val="auto"/>
              </w:rPr>
            </w:pPr>
            <w:r>
              <w:rPr>
                <w:rFonts w:ascii="Arial" w:cs="Arial" w:eastAsia="Arial" w:hAnsi="Arial"/>
                <w:sz w:val="18"/>
                <w:szCs w:val="18"/>
                <w:color w:val="auto"/>
                <w:w w:val="88"/>
              </w:rPr>
              <w:t>before [</w:t>
            </w:r>
          </w:p>
        </w:tc>
        <w:tc>
          <w:tcPr>
            <w:tcW w:w="1080" w:type="dxa"/>
            <w:vAlign w:val="bottom"/>
            <w:tcBorders>
              <w:bottom w:val="single" w:sz="8" w:color="auto"/>
            </w:tcBorders>
            <w:gridSpan w:val="4"/>
          </w:tcPr>
          <w:p>
            <w:pPr>
              <w:spacing w:after="0"/>
              <w:rPr>
                <w:sz w:val="17"/>
                <w:szCs w:val="17"/>
                <w:color w:val="auto"/>
              </w:rPr>
            </w:pPr>
          </w:p>
        </w:tc>
        <w:tc>
          <w:tcPr>
            <w:tcW w:w="5920" w:type="dxa"/>
            <w:vAlign w:val="bottom"/>
            <w:gridSpan w:val="4"/>
          </w:tcPr>
          <w:p>
            <w:pPr>
              <w:spacing w:after="0" w:line="196" w:lineRule="exact"/>
              <w:rPr>
                <w:sz w:val="20"/>
                <w:szCs w:val="20"/>
                <w:color w:val="auto"/>
              </w:rPr>
            </w:pPr>
            <w:r>
              <w:rPr>
                <w:rFonts w:ascii="Arial" w:cs="Arial" w:eastAsia="Arial" w:hAnsi="Arial"/>
                <w:sz w:val="18"/>
                <w:szCs w:val="18"/>
                <w:color w:val="auto"/>
              </w:rPr>
              <w:t>, Year 5].</w:t>
            </w:r>
          </w:p>
        </w:tc>
        <w:tc>
          <w:tcPr>
            <w:tcW w:w="120" w:type="dxa"/>
            <w:vAlign w:val="bottom"/>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r>
      <w:tr>
        <w:trPr>
          <w:trHeight w:val="465"/>
        </w:trPr>
        <w:tc>
          <w:tcPr>
            <w:tcW w:w="160" w:type="dxa"/>
            <w:vAlign w:val="bottom"/>
            <w:tcBorders>
              <w:left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1880" w:type="dxa"/>
            <w:vAlign w:val="bottom"/>
            <w:tcBorders>
              <w:right w:val="single" w:sz="8" w:color="auto"/>
            </w:tcBorders>
          </w:tcPr>
          <w:p>
            <w:pPr>
              <w:spacing w:after="0"/>
              <w:rPr>
                <w:sz w:val="24"/>
                <w:szCs w:val="24"/>
                <w:color w:val="auto"/>
              </w:rPr>
            </w:pPr>
          </w:p>
        </w:tc>
        <w:tc>
          <w:tcPr>
            <w:tcW w:w="8760" w:type="dxa"/>
            <w:vAlign w:val="bottom"/>
            <w:tcBorders>
              <w:right w:val="single" w:sz="8" w:color="auto"/>
            </w:tcBorders>
            <w:gridSpan w:val="13"/>
          </w:tcPr>
          <w:p>
            <w:pPr>
              <w:ind w:left="200"/>
              <w:spacing w:after="0"/>
              <w:rPr>
                <w:sz w:val="20"/>
                <w:szCs w:val="20"/>
                <w:color w:val="auto"/>
              </w:rPr>
            </w:pPr>
            <w:r>
              <w:rPr>
                <w:rFonts w:ascii="Arial" w:cs="Arial" w:eastAsia="Arial" w:hAnsi="Arial"/>
                <w:sz w:val="18"/>
                <w:szCs w:val="18"/>
                <w:color w:val="auto"/>
                <w:w w:val="99"/>
              </w:rPr>
              <w:t>Notwithstanding anything herein to the contrary, to the extent a Vesting Date for any [Year 5] RSUs has not</w:t>
            </w:r>
          </w:p>
        </w:tc>
      </w:tr>
      <w:tr>
        <w:trPr>
          <w:trHeight w:val="216"/>
        </w:trPr>
        <w:tc>
          <w:tcPr>
            <w:tcW w:w="160" w:type="dxa"/>
            <w:vAlign w:val="bottom"/>
            <w:tcBorders>
              <w:left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c>
          <w:tcPr>
            <w:tcW w:w="8760" w:type="dxa"/>
            <w:vAlign w:val="bottom"/>
            <w:tcBorders>
              <w:right w:val="single" w:sz="8" w:color="auto"/>
            </w:tcBorders>
            <w:gridSpan w:val="13"/>
          </w:tcPr>
          <w:p>
            <w:pPr>
              <w:ind w:left="200"/>
              <w:spacing w:after="0"/>
              <w:rPr>
                <w:sz w:val="20"/>
                <w:szCs w:val="20"/>
                <w:color w:val="auto"/>
              </w:rPr>
            </w:pPr>
            <w:r>
              <w:rPr>
                <w:rFonts w:ascii="Arial" w:cs="Arial" w:eastAsia="Arial" w:hAnsi="Arial"/>
                <w:sz w:val="18"/>
                <w:szCs w:val="18"/>
                <w:color w:val="auto"/>
                <w:w w:val="94"/>
              </w:rPr>
              <w:t>occurred on or prior to [_______, [Year 5], such [Year 5] RSUs which have not vested and become nonforfeitable</w:t>
            </w:r>
          </w:p>
        </w:tc>
      </w:tr>
      <w:tr>
        <w:trPr>
          <w:trHeight w:val="216"/>
        </w:trPr>
        <w:tc>
          <w:tcPr>
            <w:tcW w:w="160" w:type="dxa"/>
            <w:vAlign w:val="bottom"/>
            <w:tcBorders>
              <w:left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c>
          <w:tcPr>
            <w:tcW w:w="8760" w:type="dxa"/>
            <w:vAlign w:val="bottom"/>
            <w:tcBorders>
              <w:right w:val="single" w:sz="8" w:color="auto"/>
            </w:tcBorders>
            <w:gridSpan w:val="13"/>
          </w:tcPr>
          <w:p>
            <w:pPr>
              <w:ind w:left="200"/>
              <w:spacing w:after="0"/>
              <w:rPr>
                <w:sz w:val="20"/>
                <w:szCs w:val="20"/>
                <w:color w:val="auto"/>
              </w:rPr>
            </w:pPr>
            <w:r>
              <w:rPr>
                <w:rFonts w:ascii="Arial" w:cs="Arial" w:eastAsia="Arial" w:hAnsi="Arial"/>
                <w:sz w:val="18"/>
                <w:szCs w:val="18"/>
                <w:color w:val="auto"/>
                <w:w w:val="94"/>
              </w:rPr>
              <w:t>shall immediately and automatically, without any action on the part of the Grantee or the Company, be forfeited by</w:t>
            </w:r>
          </w:p>
        </w:tc>
      </w:tr>
      <w:tr>
        <w:trPr>
          <w:trHeight w:val="237"/>
        </w:trPr>
        <w:tc>
          <w:tcPr>
            <w:tcW w:w="160" w:type="dxa"/>
            <w:vAlign w:val="bottom"/>
            <w:tcBorders>
              <w:left w:val="single" w:sz="8" w:color="auto"/>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880" w:type="dxa"/>
            <w:vAlign w:val="bottom"/>
            <w:tcBorders>
              <w:bottom w:val="single" w:sz="8" w:color="auto"/>
              <w:right w:val="single" w:sz="8" w:color="auto"/>
            </w:tcBorders>
          </w:tcPr>
          <w:p>
            <w:pPr>
              <w:spacing w:after="0"/>
              <w:rPr>
                <w:sz w:val="20"/>
                <w:szCs w:val="20"/>
                <w:color w:val="auto"/>
              </w:rPr>
            </w:pPr>
          </w:p>
        </w:tc>
        <w:tc>
          <w:tcPr>
            <w:tcW w:w="7760" w:type="dxa"/>
            <w:vAlign w:val="bottom"/>
            <w:tcBorders>
              <w:bottom w:val="single" w:sz="8" w:color="auto"/>
            </w:tcBorders>
            <w:gridSpan w:val="11"/>
          </w:tcPr>
          <w:p>
            <w:pPr>
              <w:ind w:left="200"/>
              <w:spacing w:after="0"/>
              <w:rPr>
                <w:sz w:val="20"/>
                <w:szCs w:val="20"/>
                <w:color w:val="auto"/>
              </w:rPr>
            </w:pPr>
            <w:r>
              <w:rPr>
                <w:rFonts w:ascii="Arial" w:cs="Arial" w:eastAsia="Arial" w:hAnsi="Arial"/>
                <w:sz w:val="18"/>
                <w:szCs w:val="18"/>
                <w:color w:val="auto"/>
              </w:rPr>
              <w:t>the Grantee and deemed canceled.</w:t>
            </w: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r>
      <w:tr>
        <w:trPr>
          <w:trHeight w:val="176"/>
        </w:trPr>
        <w:tc>
          <w:tcPr>
            <w:tcW w:w="160" w:type="dxa"/>
            <w:vAlign w:val="bottom"/>
            <w:tcBorders>
              <w:left w:val="single" w:sz="8" w:color="auto"/>
            </w:tcBorders>
          </w:tcPr>
          <w:p>
            <w:pPr>
              <w:spacing w:after="0"/>
              <w:rPr>
                <w:sz w:val="15"/>
                <w:szCs w:val="15"/>
                <w:color w:val="auto"/>
              </w:rPr>
            </w:pPr>
          </w:p>
        </w:tc>
        <w:tc>
          <w:tcPr>
            <w:tcW w:w="2520" w:type="dxa"/>
            <w:vAlign w:val="bottom"/>
            <w:tcBorders>
              <w:right w:val="single" w:sz="8" w:color="auto"/>
            </w:tcBorders>
            <w:gridSpan w:val="2"/>
          </w:tcPr>
          <w:p>
            <w:pPr>
              <w:spacing w:after="0" w:line="176" w:lineRule="exact"/>
              <w:rPr>
                <w:sz w:val="20"/>
                <w:szCs w:val="20"/>
                <w:color w:val="auto"/>
              </w:rPr>
            </w:pPr>
            <w:r>
              <w:rPr>
                <w:rFonts w:ascii="Arial" w:cs="Arial" w:eastAsia="Arial" w:hAnsi="Arial"/>
                <w:sz w:val="18"/>
                <w:szCs w:val="18"/>
                <w:color w:val="auto"/>
              </w:rPr>
              <w:t>Option 2:</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r>
      <w:tr>
        <w:trPr>
          <w:trHeight w:val="20"/>
        </w:trPr>
        <w:tc>
          <w:tcPr>
            <w:tcW w:w="160" w:type="dxa"/>
            <w:vAlign w:val="bottom"/>
            <w:tcBorders>
              <w:lef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80" w:type="dxa"/>
            <w:vAlign w:val="bottom"/>
            <w:tcBorders>
              <w:righ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gridSpan w:val="6"/>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3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right w:val="single" w:sz="8" w:color="auto"/>
            </w:tcBorders>
          </w:tcPr>
          <w:p>
            <w:pPr>
              <w:spacing w:after="0" w:line="20" w:lineRule="exact"/>
              <w:rPr>
                <w:sz w:val="1"/>
                <w:szCs w:val="1"/>
                <w:color w:val="auto"/>
              </w:rPr>
            </w:pPr>
          </w:p>
        </w:tc>
      </w:tr>
      <w:tr>
        <w:trPr>
          <w:trHeight w:val="345"/>
        </w:trPr>
        <w:tc>
          <w:tcPr>
            <w:tcW w:w="160" w:type="dxa"/>
            <w:vAlign w:val="bottom"/>
            <w:tcBorders>
              <w:left w:val="single" w:sz="8" w:color="auto"/>
            </w:tcBorders>
          </w:tcPr>
          <w:p>
            <w:pPr>
              <w:spacing w:after="0"/>
              <w:rPr>
                <w:sz w:val="24"/>
                <w:szCs w:val="24"/>
                <w:color w:val="auto"/>
              </w:rPr>
            </w:pPr>
          </w:p>
        </w:tc>
        <w:tc>
          <w:tcPr>
            <w:tcW w:w="2520" w:type="dxa"/>
            <w:vAlign w:val="bottom"/>
            <w:tcBorders>
              <w:right w:val="single" w:sz="8" w:color="auto"/>
            </w:tcBorders>
            <w:gridSpan w:val="2"/>
          </w:tcPr>
          <w:p>
            <w:pPr>
              <w:ind w:left="180"/>
              <w:spacing w:after="0"/>
              <w:rPr>
                <w:sz w:val="20"/>
                <w:szCs w:val="20"/>
                <w:color w:val="auto"/>
              </w:rPr>
            </w:pPr>
            <w:r>
              <w:rPr>
                <w:rFonts w:ascii="Arial" w:cs="Arial" w:eastAsia="Arial" w:hAnsi="Arial"/>
                <w:sz w:val="18"/>
                <w:szCs w:val="18"/>
                <w:color w:val="auto"/>
              </w:rPr>
              <w:t>[Year 1] RSUs</w:t>
            </w:r>
          </w:p>
        </w:tc>
        <w:tc>
          <w:tcPr>
            <w:tcW w:w="260" w:type="dxa"/>
            <w:vAlign w:val="bottom"/>
          </w:tcPr>
          <w:p>
            <w:pPr>
              <w:ind w:left="200"/>
              <w:spacing w:after="0"/>
              <w:rPr>
                <w:sz w:val="20"/>
                <w:szCs w:val="20"/>
                <w:color w:val="auto"/>
              </w:rPr>
            </w:pPr>
            <w:r>
              <w:rPr>
                <w:rFonts w:ascii="Arial" w:cs="Arial" w:eastAsia="Arial" w:hAnsi="Arial"/>
                <w:sz w:val="18"/>
                <w:szCs w:val="18"/>
                <w:color w:val="auto"/>
                <w:w w:val="78"/>
              </w:rPr>
              <w:t>[</w:t>
            </w:r>
          </w:p>
        </w:tc>
        <w:tc>
          <w:tcPr>
            <w:tcW w:w="260" w:type="dxa"/>
            <w:vAlign w:val="bottom"/>
            <w:tcBorders>
              <w:bottom w:val="single" w:sz="8" w:color="auto"/>
            </w:tcBorders>
          </w:tcPr>
          <w:p>
            <w:pPr>
              <w:spacing w:after="0"/>
              <w:rPr>
                <w:sz w:val="24"/>
                <w:szCs w:val="24"/>
                <w:color w:val="auto"/>
              </w:rPr>
            </w:pPr>
          </w:p>
        </w:tc>
        <w:tc>
          <w:tcPr>
            <w:tcW w:w="7240" w:type="dxa"/>
            <w:vAlign w:val="bottom"/>
            <w:gridSpan w:val="9"/>
          </w:tcPr>
          <w:p>
            <w:pPr>
              <w:spacing w:after="0"/>
              <w:rPr>
                <w:sz w:val="20"/>
                <w:szCs w:val="20"/>
                <w:color w:val="auto"/>
              </w:rPr>
            </w:pPr>
            <w:r>
              <w:rPr>
                <w:rFonts w:ascii="Arial" w:cs="Arial" w:eastAsia="Arial" w:hAnsi="Arial"/>
                <w:sz w:val="18"/>
                <w:szCs w:val="18"/>
                <w:color w:val="auto"/>
              </w:rPr>
              <w:t>]% of the Restricted Stock Units.</w:t>
            </w:r>
          </w:p>
        </w:tc>
        <w:tc>
          <w:tcPr>
            <w:tcW w:w="12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r>
      <w:tr>
        <w:trPr>
          <w:trHeight w:val="465"/>
        </w:trPr>
        <w:tc>
          <w:tcPr>
            <w:tcW w:w="160" w:type="dxa"/>
            <w:vAlign w:val="bottom"/>
            <w:tcBorders>
              <w:left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1880" w:type="dxa"/>
            <w:vAlign w:val="bottom"/>
            <w:tcBorders>
              <w:right w:val="single" w:sz="8" w:color="auto"/>
            </w:tcBorders>
          </w:tcPr>
          <w:p>
            <w:pPr>
              <w:spacing w:after="0"/>
              <w:rPr>
                <w:sz w:val="24"/>
                <w:szCs w:val="24"/>
                <w:color w:val="auto"/>
              </w:rPr>
            </w:pPr>
          </w:p>
        </w:tc>
        <w:tc>
          <w:tcPr>
            <w:tcW w:w="8760" w:type="dxa"/>
            <w:vAlign w:val="bottom"/>
            <w:tcBorders>
              <w:right w:val="single" w:sz="8" w:color="auto"/>
            </w:tcBorders>
            <w:gridSpan w:val="13"/>
          </w:tcPr>
          <w:p>
            <w:pPr>
              <w:ind w:left="200"/>
              <w:spacing w:after="0"/>
              <w:rPr>
                <w:sz w:val="20"/>
                <w:szCs w:val="20"/>
                <w:color w:val="auto"/>
              </w:rPr>
            </w:pPr>
            <w:r>
              <w:rPr>
                <w:rFonts w:ascii="Arial" w:cs="Arial" w:eastAsia="Arial" w:hAnsi="Arial"/>
                <w:sz w:val="18"/>
                <w:szCs w:val="18"/>
                <w:color w:val="auto"/>
                <w:w w:val="99"/>
              </w:rPr>
              <w:t>Notwithstanding anything herein to the contrary, to the extent a Vesting Date for any [Year 1] RSUs has not</w:t>
            </w:r>
          </w:p>
        </w:tc>
      </w:tr>
      <w:tr>
        <w:trPr>
          <w:trHeight w:val="190"/>
        </w:trPr>
        <w:tc>
          <w:tcPr>
            <w:tcW w:w="160" w:type="dxa"/>
            <w:vAlign w:val="bottom"/>
            <w:tcBorders>
              <w:left w:val="single" w:sz="8" w:color="auto"/>
            </w:tcBorders>
          </w:tcPr>
          <w:p>
            <w:pPr>
              <w:spacing w:after="0"/>
              <w:rPr>
                <w:sz w:val="16"/>
                <w:szCs w:val="16"/>
                <w:color w:val="auto"/>
              </w:rPr>
            </w:pPr>
          </w:p>
        </w:tc>
        <w:tc>
          <w:tcPr>
            <w:tcW w:w="640" w:type="dxa"/>
            <w:vAlign w:val="bottom"/>
          </w:tcPr>
          <w:p>
            <w:pPr>
              <w:spacing w:after="0"/>
              <w:rPr>
                <w:sz w:val="16"/>
                <w:szCs w:val="16"/>
                <w:color w:val="auto"/>
              </w:rPr>
            </w:pPr>
          </w:p>
        </w:tc>
        <w:tc>
          <w:tcPr>
            <w:tcW w:w="1880" w:type="dxa"/>
            <w:vAlign w:val="bottom"/>
            <w:tcBorders>
              <w:right w:val="single" w:sz="8" w:color="auto"/>
            </w:tcBorders>
          </w:tcPr>
          <w:p>
            <w:pPr>
              <w:spacing w:after="0"/>
              <w:rPr>
                <w:sz w:val="16"/>
                <w:szCs w:val="16"/>
                <w:color w:val="auto"/>
              </w:rPr>
            </w:pPr>
          </w:p>
        </w:tc>
        <w:tc>
          <w:tcPr>
            <w:tcW w:w="1840" w:type="dxa"/>
            <w:vAlign w:val="bottom"/>
            <w:gridSpan w:val="7"/>
          </w:tcPr>
          <w:p>
            <w:pPr>
              <w:ind w:left="200"/>
              <w:spacing w:after="0" w:line="190" w:lineRule="exact"/>
              <w:rPr>
                <w:sz w:val="20"/>
                <w:szCs w:val="20"/>
                <w:color w:val="auto"/>
              </w:rPr>
            </w:pPr>
            <w:r>
              <w:rPr>
                <w:rFonts w:ascii="Arial" w:cs="Arial" w:eastAsia="Arial" w:hAnsi="Arial"/>
                <w:sz w:val="18"/>
                <w:szCs w:val="18"/>
                <w:color w:val="auto"/>
                <w:w w:val="91"/>
              </w:rPr>
              <w:t>occurred on or prior to</w:t>
            </w:r>
          </w:p>
        </w:tc>
        <w:tc>
          <w:tcPr>
            <w:tcW w:w="2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6360" w:type="dxa"/>
            <w:vAlign w:val="bottom"/>
            <w:tcBorders>
              <w:right w:val="single" w:sz="8" w:color="auto"/>
            </w:tcBorders>
            <w:gridSpan w:val="4"/>
          </w:tcPr>
          <w:p>
            <w:pPr>
              <w:spacing w:after="0" w:line="190" w:lineRule="exact"/>
              <w:rPr>
                <w:sz w:val="20"/>
                <w:szCs w:val="20"/>
                <w:color w:val="auto"/>
              </w:rPr>
            </w:pPr>
            <w:r>
              <w:rPr>
                <w:rFonts w:ascii="Arial" w:cs="Arial" w:eastAsia="Arial" w:hAnsi="Arial"/>
                <w:sz w:val="18"/>
                <w:szCs w:val="18"/>
                <w:color w:val="auto"/>
                <w:w w:val="98"/>
              </w:rPr>
              <w:t>, [Year 1], such [Year 1] RSUs which have not vested and become nonforfeitable</w:t>
            </w:r>
          </w:p>
        </w:tc>
      </w:tr>
      <w:tr>
        <w:trPr>
          <w:trHeight w:val="222"/>
        </w:trPr>
        <w:tc>
          <w:tcPr>
            <w:tcW w:w="160" w:type="dxa"/>
            <w:vAlign w:val="bottom"/>
            <w:tcBorders>
              <w:left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880" w:type="dxa"/>
            <w:vAlign w:val="bottom"/>
            <w:tcBorders>
              <w:right w:val="single" w:sz="8" w:color="auto"/>
            </w:tcBorders>
          </w:tcPr>
          <w:p>
            <w:pPr>
              <w:spacing w:after="0"/>
              <w:rPr>
                <w:sz w:val="19"/>
                <w:szCs w:val="19"/>
                <w:color w:val="auto"/>
              </w:rPr>
            </w:pPr>
          </w:p>
        </w:tc>
        <w:tc>
          <w:tcPr>
            <w:tcW w:w="8760" w:type="dxa"/>
            <w:vAlign w:val="bottom"/>
            <w:tcBorders>
              <w:right w:val="single" w:sz="8" w:color="auto"/>
            </w:tcBorders>
            <w:gridSpan w:val="13"/>
          </w:tcPr>
          <w:p>
            <w:pPr>
              <w:ind w:left="200"/>
              <w:spacing w:after="0"/>
              <w:rPr>
                <w:sz w:val="20"/>
                <w:szCs w:val="20"/>
                <w:color w:val="auto"/>
              </w:rPr>
            </w:pPr>
            <w:r>
              <w:rPr>
                <w:rFonts w:ascii="Arial" w:cs="Arial" w:eastAsia="Arial" w:hAnsi="Arial"/>
                <w:sz w:val="18"/>
                <w:szCs w:val="18"/>
                <w:color w:val="auto"/>
                <w:w w:val="94"/>
              </w:rPr>
              <w:t>shall immediately and automatically, without any action on the part of the Grantee or the Company, be forfeited by</w:t>
            </w:r>
          </w:p>
        </w:tc>
      </w:tr>
      <w:tr>
        <w:trPr>
          <w:trHeight w:val="237"/>
        </w:trPr>
        <w:tc>
          <w:tcPr>
            <w:tcW w:w="160" w:type="dxa"/>
            <w:vAlign w:val="bottom"/>
            <w:tcBorders>
              <w:left w:val="single" w:sz="8" w:color="auto"/>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880" w:type="dxa"/>
            <w:vAlign w:val="bottom"/>
            <w:tcBorders>
              <w:bottom w:val="single" w:sz="8" w:color="auto"/>
              <w:right w:val="single" w:sz="8" w:color="auto"/>
            </w:tcBorders>
          </w:tcPr>
          <w:p>
            <w:pPr>
              <w:spacing w:after="0"/>
              <w:rPr>
                <w:sz w:val="20"/>
                <w:szCs w:val="20"/>
                <w:color w:val="auto"/>
              </w:rPr>
            </w:pPr>
          </w:p>
        </w:tc>
        <w:tc>
          <w:tcPr>
            <w:tcW w:w="7760" w:type="dxa"/>
            <w:vAlign w:val="bottom"/>
            <w:tcBorders>
              <w:bottom w:val="single" w:sz="8" w:color="auto"/>
            </w:tcBorders>
            <w:gridSpan w:val="11"/>
          </w:tcPr>
          <w:p>
            <w:pPr>
              <w:ind w:left="200"/>
              <w:spacing w:after="0"/>
              <w:rPr>
                <w:sz w:val="20"/>
                <w:szCs w:val="20"/>
                <w:color w:val="auto"/>
              </w:rPr>
            </w:pPr>
            <w:r>
              <w:rPr>
                <w:rFonts w:ascii="Arial" w:cs="Arial" w:eastAsia="Arial" w:hAnsi="Arial"/>
                <w:sz w:val="18"/>
                <w:szCs w:val="18"/>
                <w:color w:val="auto"/>
              </w:rPr>
              <w:t>the Grantee and deemed canceled.</w:t>
            </w: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r>
      <w:tr>
        <w:trPr>
          <w:trHeight w:val="365"/>
        </w:trPr>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960" w:type="dxa"/>
            <w:vAlign w:val="bottom"/>
            <w:gridSpan w:val="3"/>
          </w:tcPr>
          <w:p>
            <w:pPr>
              <w:jc w:val="right"/>
              <w:ind w:right="3590"/>
              <w:spacing w:after="0"/>
              <w:rPr>
                <w:sz w:val="20"/>
                <w:szCs w:val="20"/>
                <w:color w:val="auto"/>
              </w:rPr>
            </w:pPr>
            <w:r>
              <w:rPr>
                <w:rFonts w:ascii="Arial" w:cs="Arial" w:eastAsia="Arial" w:hAnsi="Arial"/>
                <w:sz w:val="18"/>
                <w:szCs w:val="18"/>
                <w:color w:val="auto"/>
              </w:rPr>
              <w:t>11</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1440"/>
          </w:cols>
          <w:pgMar w:left="240" w:top="270" w:right="21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31.1</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I, Brian L. Roberts, certify that:</w:t>
      </w:r>
    </w:p>
    <w:p>
      <w:pPr>
        <w:spacing w:after="0" w:line="144" w:lineRule="exact"/>
        <w:rPr>
          <w:sz w:val="20"/>
          <w:szCs w:val="20"/>
          <w:color w:val="auto"/>
        </w:rPr>
      </w:pPr>
    </w:p>
    <w:p>
      <w:pPr>
        <w:ind w:left="460" w:hanging="452"/>
        <w:spacing w:after="0"/>
        <w:tabs>
          <w:tab w:leader="none" w:pos="4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Comcast Corporation;</w:t>
      </w:r>
    </w:p>
    <w:p>
      <w:pPr>
        <w:spacing w:after="0" w:line="76"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9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9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9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Arial" w:cs="Arial" w:eastAsia="Arial" w:hAnsi="Arial"/>
          <w:sz w:val="18"/>
          <w:szCs w:val="18"/>
          <w:color w:val="auto"/>
        </w:rPr>
      </w:pPr>
    </w:p>
    <w:p>
      <w:pPr>
        <w:ind w:left="900" w:hanging="446"/>
        <w:spacing w:after="0" w:line="325" w:lineRule="auto"/>
        <w:tabs>
          <w:tab w:leader="none" w:pos="900" w:val="left"/>
        </w:tabs>
        <w:numPr>
          <w:ilvl w:val="1"/>
          <w:numId w:val="9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900" w:hanging="446"/>
        <w:spacing w:after="0" w:line="259" w:lineRule="auto"/>
        <w:tabs>
          <w:tab w:leader="none" w:pos="900" w:val="left"/>
        </w:tabs>
        <w:numPr>
          <w:ilvl w:val="1"/>
          <w:numId w:val="9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900" w:hanging="446"/>
        <w:spacing w:after="0" w:line="268" w:lineRule="auto"/>
        <w:tabs>
          <w:tab w:leader="none" w:pos="900" w:val="left"/>
        </w:tabs>
        <w:numPr>
          <w:ilvl w:val="1"/>
          <w:numId w:val="9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9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Date: October 27, 2015</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Brian L. Roberts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ectPr>
          <w:pgSz w:w="11900" w:h="16838" w:orient="portrait"/>
          <w:cols w:equalWidth="0" w:num="1">
            <w:col w:w="11420"/>
          </w:cols>
          <w:pgMar w:left="240" w:top="125" w:right="23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 Michael J. Cavanagh, certify that:</w:t>
      </w:r>
    </w:p>
    <w:p>
      <w:pPr>
        <w:spacing w:after="0" w:line="144" w:lineRule="exact"/>
        <w:rPr>
          <w:sz w:val="20"/>
          <w:szCs w:val="20"/>
          <w:color w:val="auto"/>
        </w:rPr>
      </w:pPr>
    </w:p>
    <w:p>
      <w:pPr>
        <w:ind w:left="460" w:hanging="452"/>
        <w:spacing w:after="0"/>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Comcast Corporation;</w:t>
      </w:r>
    </w:p>
    <w:p>
      <w:pPr>
        <w:spacing w:after="0" w:line="76"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9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9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9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Arial" w:cs="Arial" w:eastAsia="Arial" w:hAnsi="Arial"/>
          <w:sz w:val="18"/>
          <w:szCs w:val="18"/>
          <w:color w:val="auto"/>
        </w:rPr>
      </w:pPr>
    </w:p>
    <w:p>
      <w:pPr>
        <w:ind w:left="900" w:hanging="446"/>
        <w:spacing w:after="0" w:line="325" w:lineRule="auto"/>
        <w:tabs>
          <w:tab w:leader="none" w:pos="900" w:val="left"/>
        </w:tabs>
        <w:numPr>
          <w:ilvl w:val="1"/>
          <w:numId w:val="9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900" w:hanging="446"/>
        <w:spacing w:after="0" w:line="259" w:lineRule="auto"/>
        <w:tabs>
          <w:tab w:leader="none" w:pos="900" w:val="left"/>
        </w:tabs>
        <w:numPr>
          <w:ilvl w:val="1"/>
          <w:numId w:val="9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900" w:hanging="446"/>
        <w:spacing w:after="0" w:line="268" w:lineRule="auto"/>
        <w:tabs>
          <w:tab w:leader="none" w:pos="900" w:val="left"/>
        </w:tabs>
        <w:numPr>
          <w:ilvl w:val="1"/>
          <w:numId w:val="9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9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Date: October 27, 2015</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/s/ MICHAEL J. CAVANAGH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Michael J. Cavanagh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420"/>
          </w:cols>
          <w:pgMar w:left="240" w:top="280" w:right="2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Exhibit 31.2</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I, Brian L. Roberts, certify that:</w:t>
      </w:r>
    </w:p>
    <w:p>
      <w:pPr>
        <w:spacing w:after="0" w:line="144" w:lineRule="exact"/>
        <w:rPr>
          <w:sz w:val="20"/>
          <w:szCs w:val="20"/>
          <w:color w:val="auto"/>
        </w:rPr>
      </w:pPr>
    </w:p>
    <w:p>
      <w:pPr>
        <w:ind w:left="460" w:hanging="452"/>
        <w:spacing w:after="0"/>
        <w:tabs>
          <w:tab w:leader="none" w:pos="4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NBCUniversal Media, LLC;</w:t>
      </w:r>
    </w:p>
    <w:p>
      <w:pPr>
        <w:spacing w:after="0" w:line="76"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9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9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9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Arial" w:cs="Arial" w:eastAsia="Arial" w:hAnsi="Arial"/>
          <w:sz w:val="18"/>
          <w:szCs w:val="18"/>
          <w:color w:val="auto"/>
        </w:rPr>
      </w:pPr>
    </w:p>
    <w:p>
      <w:pPr>
        <w:ind w:left="900" w:hanging="446"/>
        <w:spacing w:after="0" w:line="325" w:lineRule="auto"/>
        <w:tabs>
          <w:tab w:leader="none" w:pos="900" w:val="left"/>
        </w:tabs>
        <w:numPr>
          <w:ilvl w:val="1"/>
          <w:numId w:val="9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900" w:hanging="446"/>
        <w:spacing w:after="0" w:line="259" w:lineRule="auto"/>
        <w:tabs>
          <w:tab w:leader="none" w:pos="900" w:val="left"/>
        </w:tabs>
        <w:numPr>
          <w:ilvl w:val="1"/>
          <w:numId w:val="9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900" w:hanging="446"/>
        <w:spacing w:after="0" w:line="268" w:lineRule="auto"/>
        <w:tabs>
          <w:tab w:leader="none" w:pos="900" w:val="left"/>
        </w:tabs>
        <w:numPr>
          <w:ilvl w:val="1"/>
          <w:numId w:val="9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9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Date: October 27, 2015</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Brian L. Roberts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 Principal Executive Officer</w:t>
      </w:r>
    </w:p>
    <w:p>
      <w:pPr>
        <w:sectPr>
          <w:pgSz w:w="11900" w:h="16838" w:orient="portrait"/>
          <w:cols w:equalWidth="0" w:num="1">
            <w:col w:w="11420"/>
          </w:cols>
          <w:pgMar w:left="240" w:top="125" w:right="23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 Michael J. Cavanagh, certify that:</w:t>
      </w:r>
    </w:p>
    <w:p>
      <w:pPr>
        <w:spacing w:after="0" w:line="144" w:lineRule="exact"/>
        <w:rPr>
          <w:sz w:val="20"/>
          <w:szCs w:val="20"/>
          <w:color w:val="auto"/>
        </w:rPr>
      </w:pPr>
    </w:p>
    <w:p>
      <w:pPr>
        <w:ind w:left="460" w:hanging="452"/>
        <w:spacing w:after="0"/>
        <w:tabs>
          <w:tab w:leader="none" w:pos="4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NBCUniversal Media, LLC;</w:t>
      </w:r>
    </w:p>
    <w:p>
      <w:pPr>
        <w:spacing w:after="0" w:line="76"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9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9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9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Arial" w:cs="Arial" w:eastAsia="Arial" w:hAnsi="Arial"/>
          <w:sz w:val="18"/>
          <w:szCs w:val="18"/>
          <w:color w:val="auto"/>
        </w:rPr>
      </w:pPr>
    </w:p>
    <w:p>
      <w:pPr>
        <w:ind w:left="900" w:hanging="446"/>
        <w:spacing w:after="0" w:line="325" w:lineRule="auto"/>
        <w:tabs>
          <w:tab w:leader="none" w:pos="900" w:val="left"/>
        </w:tabs>
        <w:numPr>
          <w:ilvl w:val="1"/>
          <w:numId w:val="9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900" w:hanging="446"/>
        <w:spacing w:after="0" w:line="259" w:lineRule="auto"/>
        <w:tabs>
          <w:tab w:leader="none" w:pos="900" w:val="left"/>
        </w:tabs>
        <w:numPr>
          <w:ilvl w:val="1"/>
          <w:numId w:val="9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900" w:hanging="446"/>
        <w:spacing w:after="0" w:line="268" w:lineRule="auto"/>
        <w:tabs>
          <w:tab w:leader="none" w:pos="900" w:val="left"/>
        </w:tabs>
        <w:numPr>
          <w:ilvl w:val="1"/>
          <w:numId w:val="9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9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Date: October 27, 2015</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/s/ MICHAEL J. CAVANAGH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Michael J. Cavanagh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 Principal Financial Officer</w:t>
      </w:r>
    </w:p>
    <w:p>
      <w:pPr>
        <w:sectPr>
          <w:pgSz w:w="11900" w:h="16838" w:orient="portrait"/>
          <w:cols w:equalWidth="0" w:num="1">
            <w:col w:w="11420"/>
          </w:cols>
          <w:pgMar w:left="240" w:top="280" w:right="2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t>Exhibit 32.1</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 Section 906 of the Sarbanes-Oxley Act</w:t>
      </w:r>
    </w:p>
    <w:p>
      <w:pPr>
        <w:spacing w:after="0" w:line="1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October 27, 2015</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certification set forth below is being submitted in connection with the Quarterly Report on Form 10-Q of Comcast Corporation (the “Report”) for the purpose of complying with Rule 13a-14(b) or Rule 15d-14(b) of the Securities Exchange Act of 1934 (the “Exchange Act”) and Section 1350 of Chapter 63 of Title 18 of the United States Code.</w:t>
      </w:r>
    </w:p>
    <w:p>
      <w:pPr>
        <w:spacing w:after="0" w:line="4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Brian L. Roberts, the Chief Executive Officer, and Michael J. Cavanagh, the Chief Financial Officer, of Comcast Corporation, each certifies that, to the best of his knowledge:</w:t>
      </w:r>
    </w:p>
    <w:p>
      <w:pPr>
        <w:spacing w:after="0" w:line="37" w:lineRule="exact"/>
        <w:rPr>
          <w:sz w:val="20"/>
          <w:szCs w:val="20"/>
          <w:color w:val="auto"/>
        </w:rPr>
      </w:pPr>
    </w:p>
    <w:p>
      <w:pPr>
        <w:ind w:left="460" w:hanging="452"/>
        <w:spacing w:after="0"/>
        <w:tabs>
          <w:tab w:leader="none" w:pos="4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Comcast Corporation.</w:t>
      </w:r>
    </w:p>
    <w:p>
      <w:pPr>
        <w:spacing w:after="0" w:line="3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Brian L. Roberts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Chief Executive Officer</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MICHAEL J. CAVANAGH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Michael J. Cavanagh</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420"/>
          </w:cols>
          <w:pgMar w:left="240" w:top="125" w:right="2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b w:val="1"/>
          <w:bCs w:val="1"/>
          <w:color w:val="auto"/>
        </w:rPr>
        <w:t>Exhibit 32.2</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 Section 906 of the Sarbanes-Oxley Act</w:t>
      </w:r>
    </w:p>
    <w:p>
      <w:pPr>
        <w:spacing w:after="0" w:line="1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October 27, 2015</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certification set forth below is being submitted in connection with the Quarterly Report on Form 10-Q of NBCUniversal Media, LLC (the “Report”) for the purpose of complying with Rule 13a-14(b) or Rule 15d-14(b) of the Securities Exchange Act of 1934 (the “Exchange Act”) and Section 1350 of Chapter 63 of Title 18 of the United States Code.</w:t>
      </w:r>
    </w:p>
    <w:p>
      <w:pPr>
        <w:spacing w:after="0" w:line="4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Brian L. Roberts, the Principal Executive Officer, and Michael J. Cavanagh, the Principal Financial Officer, of NBCUniversal Media, LLC, each certifies that, to the best of his knowledge:</w:t>
      </w:r>
    </w:p>
    <w:p>
      <w:pPr>
        <w:spacing w:after="0" w:line="37" w:lineRule="exact"/>
        <w:rPr>
          <w:sz w:val="20"/>
          <w:szCs w:val="20"/>
          <w:color w:val="auto"/>
        </w:rPr>
      </w:pPr>
    </w:p>
    <w:p>
      <w:pPr>
        <w:ind w:left="460" w:hanging="452"/>
        <w:spacing w:after="0"/>
        <w:tabs>
          <w:tab w:leader="none" w:pos="4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76"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NBCUniversal Media, LLC.</w:t>
      </w:r>
    </w:p>
    <w:p>
      <w:pPr>
        <w:spacing w:after="0" w:line="25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Brian L. Roberts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Principal Executive Officer</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MICHAEL J. CAVANAGH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Michael J. Cavanagh</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Principal Financial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C240FB"/>
    <w:multiLevelType w:val="hybridMultilevel"/>
    <w:lvl w:ilvl="0">
      <w:lvlJc w:val="left"/>
      <w:lvlText w:val="☒"/>
      <w:numFmt w:val="bullet"/>
      <w:start w:val="1"/>
    </w:lvl>
  </w:abstractNum>
  <w:abstractNum w:abstractNumId="1">
    <w:nsid w:val="1BA026FA"/>
    <w:multiLevelType w:val="hybridMultilevel"/>
    <w:lvl w:ilvl="0">
      <w:lvlJc w:val="left"/>
      <w:lvlText w:val="☐"/>
      <w:numFmt w:val="bullet"/>
      <w:start w:val="1"/>
    </w:lvl>
  </w:abstractNum>
  <w:abstractNum w:abstractNumId="2">
    <w:nsid w:val="79A1DEAA"/>
    <w:multiLevelType w:val="hybridMultilevel"/>
    <w:lvl w:ilvl="0">
      <w:lvlJc w:val="left"/>
      <w:lvlText w:val="•"/>
      <w:numFmt w:val="bullet"/>
      <w:start w:val="1"/>
    </w:lvl>
  </w:abstractNum>
  <w:abstractNum w:abstractNumId="3">
    <w:nsid w:val="75C6C33A"/>
    <w:multiLevelType w:val="hybridMultilevel"/>
    <w:lvl w:ilvl="0">
      <w:lvlJc w:val="left"/>
      <w:lvlText w:val="•"/>
      <w:numFmt w:val="bullet"/>
      <w:start w:val="1"/>
    </w:lvl>
  </w:abstractNum>
  <w:abstractNum w:abstractNumId="4">
    <w:nsid w:val="12E685FB"/>
    <w:multiLevelType w:val="hybridMultilevel"/>
    <w:lvl w:ilvl="0">
      <w:lvlJc w:val="left"/>
      <w:lvlText w:val="•"/>
      <w:numFmt w:val="bullet"/>
      <w:start w:val="1"/>
    </w:lvl>
  </w:abstractNum>
  <w:abstractNum w:abstractNumId="5">
    <w:nsid w:val="70C6A529"/>
    <w:multiLevelType w:val="hybridMultilevel"/>
    <w:lvl w:ilvl="0">
      <w:lvlJc w:val="left"/>
      <w:lvlText w:val="(%1)"/>
      <w:numFmt w:val="lowerLetter"/>
      <w:start w:val="1"/>
    </w:lvl>
  </w:abstractNum>
  <w:abstractNum w:abstractNumId="6">
    <w:nsid w:val="520EEDD1"/>
    <w:multiLevelType w:val="hybridMultilevel"/>
    <w:lvl w:ilvl="0">
      <w:lvlJc w:val="left"/>
      <w:lvlText w:val="(%1)"/>
      <w:numFmt w:val="lowerLetter"/>
      <w:start w:val="2"/>
    </w:lvl>
    <w:lvl w:ilvl="1">
      <w:lvlJc w:val="left"/>
      <w:lvlText w:val="•"/>
      <w:numFmt w:val="bullet"/>
      <w:start w:val="1"/>
    </w:lvl>
  </w:abstractNum>
  <w:abstractNum w:abstractNumId="7">
    <w:nsid w:val="374A3FE6"/>
    <w:multiLevelType w:val="hybridMultilevel"/>
    <w:lvl w:ilvl="0">
      <w:lvlJc w:val="left"/>
      <w:lvlText w:val="(%1)"/>
      <w:numFmt w:val="lowerLetter"/>
      <w:start w:val="1"/>
    </w:lvl>
  </w:abstractNum>
  <w:abstractNum w:abstractNumId="8">
    <w:nsid w:val="4F4EF005"/>
    <w:multiLevelType w:val="hybridMultilevel"/>
    <w:lvl w:ilvl="0">
      <w:lvlJc w:val="left"/>
      <w:lvlText w:val="(%1)"/>
      <w:numFmt w:val="lowerLetter"/>
      <w:start w:val="1"/>
    </w:lvl>
  </w:abstractNum>
  <w:abstractNum w:abstractNumId="9">
    <w:nsid w:val="23F9C13C"/>
    <w:multiLevelType w:val="hybridMultilevel"/>
    <w:lvl w:ilvl="0">
      <w:lvlJc w:val="left"/>
      <w:lvlText w:val="•"/>
      <w:numFmt w:val="bullet"/>
      <w:start w:val="1"/>
    </w:lvl>
  </w:abstractNum>
  <w:abstractNum w:abstractNumId="10">
    <w:nsid w:val="649BB77C"/>
    <w:multiLevelType w:val="hybridMultilevel"/>
    <w:lvl w:ilvl="0">
      <w:lvlJc w:val="left"/>
      <w:lvlText w:val="*"/>
      <w:numFmt w:val="bullet"/>
      <w:start w:val="1"/>
    </w:lvl>
    <w:lvl w:ilvl="1">
      <w:lvlJc w:val="left"/>
      <w:lvlText w:val="%2"/>
      <w:numFmt w:val="decimal"/>
      <w:start w:val="101"/>
    </w:lvl>
  </w:abstractNum>
  <w:abstractNum w:abstractNumId="11">
    <w:nsid w:val="275AC794"/>
    <w:multiLevelType w:val="hybridMultilevel"/>
    <w:lvl w:ilvl="0">
      <w:lvlJc w:val="left"/>
      <w:lvlText w:val="%1"/>
      <w:numFmt w:val="decimal"/>
      <w:start w:val="101"/>
    </w:lvl>
  </w:abstractNum>
  <w:abstractNum w:abstractNumId="12">
    <w:nsid w:val="39386575"/>
    <w:multiLevelType w:val="hybridMultilevel"/>
    <w:lvl w:ilvl="0">
      <w:lvlJc w:val="left"/>
      <w:lvlText w:val="•"/>
      <w:numFmt w:val="bullet"/>
      <w:start w:val="1"/>
    </w:lvl>
  </w:abstractNum>
  <w:abstractNum w:abstractNumId="13">
    <w:nsid w:val="1CF10FD8"/>
    <w:multiLevelType w:val="hybridMultilevel"/>
    <w:lvl w:ilvl="0">
      <w:lvlJc w:val="left"/>
      <w:lvlText w:val="•"/>
      <w:numFmt w:val="bullet"/>
      <w:start w:val="1"/>
    </w:lvl>
  </w:abstractNum>
  <w:abstractNum w:abstractNumId="14">
    <w:nsid w:val="180115BE"/>
    <w:multiLevelType w:val="hybridMultilevel"/>
    <w:lvl w:ilvl="0">
      <w:lvlJc w:val="left"/>
      <w:lvlText w:val="(%1)"/>
      <w:numFmt w:val="lowerLetter"/>
      <w:start w:val="1"/>
    </w:lvl>
  </w:abstractNum>
  <w:abstractNum w:abstractNumId="15">
    <w:nsid w:val="235BA861"/>
    <w:multiLevelType w:val="hybridMultilevel"/>
    <w:lvl w:ilvl="0">
      <w:lvlJc w:val="left"/>
      <w:lvlText w:val="(%1)"/>
      <w:numFmt w:val="lowerLetter"/>
      <w:start w:val="1"/>
    </w:lvl>
  </w:abstractNum>
  <w:abstractNum w:abstractNumId="16">
    <w:nsid w:val="47398C89"/>
    <w:multiLevelType w:val="hybridMultilevel"/>
    <w:lvl w:ilvl="0">
      <w:lvlJc w:val="left"/>
      <w:lvlText w:val="(%1)"/>
      <w:numFmt w:val="lowerLetter"/>
      <w:start w:val="1"/>
    </w:lvl>
  </w:abstractNum>
  <w:abstractNum w:abstractNumId="17">
    <w:nsid w:val="354FE9F9"/>
    <w:multiLevelType w:val="hybridMultilevel"/>
    <w:lvl w:ilvl="0">
      <w:lvlJc w:val="left"/>
      <w:lvlText w:val="(%1)"/>
      <w:numFmt w:val="lowerLetter"/>
      <w:start w:val="2"/>
    </w:lvl>
  </w:abstractNum>
  <w:abstractNum w:abstractNumId="18">
    <w:nsid w:val="15B5AF5C"/>
    <w:multiLevelType w:val="hybridMultilevel"/>
    <w:lvl w:ilvl="0">
      <w:lvlJc w:val="left"/>
      <w:lvlText w:val="(%1)"/>
      <w:numFmt w:val="lowerLetter"/>
      <w:start w:val="1"/>
    </w:lvl>
  </w:abstractNum>
  <w:abstractNum w:abstractNumId="19">
    <w:nsid w:val="741226BB"/>
    <w:multiLevelType w:val="hybridMultilevel"/>
    <w:lvl w:ilvl="0">
      <w:lvlJc w:val="left"/>
      <w:lvlText w:val="(%1)"/>
      <w:numFmt w:val="lowerLetter"/>
      <w:start w:val="3"/>
    </w:lvl>
  </w:abstractNum>
  <w:abstractNum w:abstractNumId="20">
    <w:nsid w:val="D34B6A8"/>
    <w:multiLevelType w:val="hybridMultilevel"/>
    <w:lvl w:ilvl="0">
      <w:lvlJc w:val="left"/>
      <w:lvlText w:val="(%1)"/>
      <w:numFmt w:val="lowerLetter"/>
      <w:start w:val="1"/>
    </w:lvl>
  </w:abstractNum>
  <w:abstractNum w:abstractNumId="21">
    <w:nsid w:val="10233C99"/>
    <w:multiLevelType w:val="hybridMultilevel"/>
    <w:lvl w:ilvl="0">
      <w:lvlJc w:val="left"/>
      <w:lvlText w:val="(%1)"/>
      <w:numFmt w:val="lowerLetter"/>
      <w:start w:val="4"/>
    </w:lvl>
  </w:abstractNum>
  <w:abstractNum w:abstractNumId="22">
    <w:nsid w:val="3F6AB60F"/>
    <w:multiLevelType w:val="hybridMultilevel"/>
    <w:lvl w:ilvl="0">
      <w:lvlJc w:val="left"/>
      <w:lvlText w:val="(%1)"/>
      <w:numFmt w:val="lowerRoman"/>
      <w:start w:val="1"/>
    </w:lvl>
  </w:abstractNum>
  <w:abstractNum w:abstractNumId="23">
    <w:nsid w:val="61574095"/>
    <w:multiLevelType w:val="hybridMultilevel"/>
    <w:lvl w:ilvl="0">
      <w:lvlJc w:val="left"/>
      <w:lvlText w:val="(%1)"/>
      <w:numFmt w:val="lowerLetter"/>
      <w:start w:val="1"/>
    </w:lvl>
  </w:abstractNum>
  <w:abstractNum w:abstractNumId="24">
    <w:nsid w:val="7E0C57B1"/>
    <w:multiLevelType w:val="hybridMultilevel"/>
    <w:lvl w:ilvl="0">
      <w:lvlJc w:val="left"/>
      <w:lvlText w:val="(%1)"/>
      <w:numFmt w:val="lowerLetter"/>
      <w:start w:val="3"/>
    </w:lvl>
  </w:abstractNum>
  <w:abstractNum w:abstractNumId="25">
    <w:nsid w:val="77AE35EB"/>
    <w:multiLevelType w:val="hybridMultilevel"/>
    <w:lvl w:ilvl="0">
      <w:lvlJc w:val="left"/>
      <w:lvlText w:val="(%1)"/>
      <w:numFmt w:val="lowerLetter"/>
      <w:start w:val="1"/>
    </w:lvl>
  </w:abstractNum>
  <w:abstractNum w:abstractNumId="26">
    <w:nsid w:val="579BE4F1"/>
    <w:multiLevelType w:val="hybridMultilevel"/>
    <w:lvl w:ilvl="0">
      <w:lvlJc w:val="left"/>
      <w:lvlText w:val="(%1)"/>
      <w:numFmt w:val="lowerLetter"/>
      <w:start w:val="1"/>
    </w:lvl>
  </w:abstractNum>
  <w:abstractNum w:abstractNumId="27">
    <w:nsid w:val="310C50B3"/>
    <w:multiLevelType w:val="hybridMultilevel"/>
    <w:lvl w:ilvl="0">
      <w:lvlJc w:val="left"/>
      <w:lvlText w:val="(%1)"/>
      <w:numFmt w:val="lowerLetter"/>
      <w:start w:val="1"/>
    </w:lvl>
    <w:lvl w:ilvl="1">
      <w:lvlJc w:val="left"/>
      <w:lvlText w:val="(%2)"/>
      <w:numFmt w:val="lowerRoman"/>
      <w:start w:val="1"/>
    </w:lvl>
  </w:abstractNum>
  <w:abstractNum w:abstractNumId="28">
    <w:nsid w:val="5FF87E05"/>
    <w:multiLevelType w:val="hybridMultilevel"/>
    <w:lvl w:ilvl="0">
      <w:lvlJc w:val="left"/>
      <w:lvlText w:val="(%1)"/>
      <w:numFmt w:val="lowerLetter"/>
      <w:start w:val="3"/>
    </w:lvl>
  </w:abstractNum>
  <w:abstractNum w:abstractNumId="29">
    <w:nsid w:val="2F305DEF"/>
    <w:multiLevelType w:val="hybridMultilevel"/>
    <w:lvl w:ilvl="0">
      <w:lvlJc w:val="left"/>
      <w:lvlText w:val="(%1)"/>
      <w:numFmt w:val="lowerLetter"/>
      <w:start w:val="1"/>
    </w:lvl>
  </w:abstractNum>
  <w:abstractNum w:abstractNumId="30">
    <w:nsid w:val="25A70BF7"/>
    <w:multiLevelType w:val="hybridMultilevel"/>
    <w:lvl w:ilvl="0">
      <w:lvlJc w:val="left"/>
      <w:lvlText w:val="(%1)"/>
      <w:numFmt w:val="lowerLetter"/>
      <w:start w:val="1"/>
    </w:lvl>
    <w:lvl w:ilvl="1">
      <w:lvlJc w:val="left"/>
      <w:lvlText w:val="(%2)"/>
      <w:numFmt w:val="lowerRoman"/>
      <w:start w:val="1"/>
    </w:lvl>
  </w:abstractNum>
  <w:abstractNum w:abstractNumId="31">
    <w:nsid w:val="1DBABF00"/>
    <w:multiLevelType w:val="hybridMultilevel"/>
    <w:lvl w:ilvl="0">
      <w:lvlJc w:val="left"/>
      <w:lvlText w:val="(%1)"/>
      <w:numFmt w:val="lowerRoman"/>
      <w:start w:val="1"/>
    </w:lvl>
  </w:abstractNum>
  <w:abstractNum w:abstractNumId="32">
    <w:nsid w:val="4AD084E9"/>
    <w:multiLevelType w:val="hybridMultilevel"/>
    <w:lvl w:ilvl="0">
      <w:lvlJc w:val="left"/>
      <w:lvlText w:val="(%1)"/>
      <w:numFmt w:val="lowerLetter"/>
      <w:start w:val="1"/>
    </w:lvl>
  </w:abstractNum>
  <w:abstractNum w:abstractNumId="33">
    <w:nsid w:val="1F48EAA1"/>
    <w:multiLevelType w:val="hybridMultilevel"/>
    <w:lvl w:ilvl="0">
      <w:lvlJc w:val="left"/>
      <w:lvlText w:val="(%1)"/>
      <w:numFmt w:val="lowerLetter"/>
      <w:start w:val="1"/>
    </w:lvl>
    <w:lvl w:ilvl="1">
      <w:lvlJc w:val="left"/>
      <w:lvlText w:val="(%2)"/>
      <w:numFmt w:val="lowerLetter"/>
      <w:start w:val="9"/>
    </w:lvl>
  </w:abstractNum>
  <w:abstractNum w:abstractNumId="34">
    <w:nsid w:val="1381823A"/>
    <w:multiLevelType w:val="hybridMultilevel"/>
    <w:lvl w:ilvl="0">
      <w:lvlJc w:val="left"/>
      <w:lvlText w:val="%1"/>
      <w:numFmt w:val="lowerLetter"/>
      <w:start w:val="1"/>
    </w:lvl>
    <w:lvl w:ilvl="1">
      <w:lvlJc w:val="left"/>
      <w:lvlText w:val="(%2)"/>
      <w:numFmt w:val="lowerRoman"/>
      <w:start w:val="2"/>
    </w:lvl>
  </w:abstractNum>
  <w:abstractNum w:abstractNumId="35">
    <w:nsid w:val="5DB70AE5"/>
    <w:multiLevelType w:val="hybridMultilevel"/>
    <w:lvl w:ilvl="0">
      <w:lvlJc w:val="left"/>
      <w:lvlText w:val="(%1)"/>
      <w:numFmt w:val="lowerLetter"/>
      <w:start w:val="2"/>
    </w:lvl>
    <w:lvl w:ilvl="1">
      <w:lvlJc w:val="left"/>
      <w:lvlText w:val="%2"/>
      <w:numFmt w:val="lowerRoman"/>
      <w:start w:val="1"/>
    </w:lvl>
  </w:abstractNum>
  <w:abstractNum w:abstractNumId="36">
    <w:nsid w:val="100F8FCA"/>
    <w:multiLevelType w:val="hybridMultilevel"/>
    <w:lvl w:ilvl="0">
      <w:lvlJc w:val="left"/>
      <w:lvlText w:val="(%1)"/>
      <w:numFmt w:val="lowerLetter"/>
      <w:start w:val="3"/>
    </w:lvl>
  </w:abstractNum>
  <w:abstractNum w:abstractNumId="37">
    <w:nsid w:val="6590700B"/>
    <w:multiLevelType w:val="hybridMultilevel"/>
    <w:lvl w:ilvl="0">
      <w:lvlJc w:val="left"/>
      <w:lvlText w:val="(%1)"/>
      <w:numFmt w:val="lowerLetter"/>
      <w:start w:val="1"/>
    </w:lvl>
  </w:abstractNum>
  <w:abstractNum w:abstractNumId="38">
    <w:nsid w:val="15014ACB"/>
    <w:multiLevelType w:val="hybridMultilevel"/>
    <w:lvl w:ilvl="0">
      <w:lvlJc w:val="left"/>
      <w:lvlText w:val="(%1)"/>
      <w:numFmt w:val="lowerLetter"/>
      <w:start w:val="2"/>
    </w:lvl>
  </w:abstractNum>
  <w:abstractNum w:abstractNumId="39">
    <w:nsid w:val="5F5E7FD0"/>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40">
    <w:nsid w:val="98A3148"/>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41">
    <w:nsid w:val="799D0247"/>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42">
    <w:nsid w:val="6B94764"/>
    <w:multiLevelType w:val="hybridMultilevel"/>
    <w:lvl w:ilvl="0">
      <w:lvlJc w:val="left"/>
      <w:lvlText w:val="(%1)"/>
      <w:numFmt w:val="lowerLetter"/>
      <w:start w:val="4"/>
    </w:lvl>
    <w:lvl w:ilvl="1">
      <w:lvlJc w:val="left"/>
      <w:lvlText w:val="(%2)"/>
      <w:numFmt w:val="lowerRoman"/>
      <w:start w:val="1"/>
    </w:lvl>
  </w:abstractNum>
  <w:abstractNum w:abstractNumId="43">
    <w:nsid w:val="42C296BD"/>
    <w:multiLevelType w:val="hybridMultilevel"/>
    <w:lvl w:ilvl="0">
      <w:lvlJc w:val="left"/>
      <w:lvlText w:val="%1."/>
      <w:numFmt w:val="decimal"/>
      <w:start w:val="4"/>
    </w:lvl>
  </w:abstractNum>
  <w:abstractNum w:abstractNumId="44">
    <w:nsid w:val="168E121F"/>
    <w:multiLevelType w:val="hybridMultilevel"/>
    <w:lvl w:ilvl="0">
      <w:lvlJc w:val="left"/>
      <w:lvlText w:val="(%1)"/>
      <w:numFmt w:val="lowerLetter"/>
      <w:start w:val="1"/>
    </w:lvl>
  </w:abstractNum>
  <w:abstractNum w:abstractNumId="45">
    <w:nsid w:val="1EBA5D23"/>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46">
    <w:nsid w:val="661E3F1E"/>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47">
    <w:nsid w:val="5DC79EA8"/>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9"/>
    </w:lvl>
  </w:abstractNum>
  <w:abstractNum w:abstractNumId="48">
    <w:nsid w:val="540A471C"/>
    <w:multiLevelType w:val="hybridMultilevel"/>
    <w:lvl w:ilvl="0">
      <w:lvlJc w:val="left"/>
      <w:lvlText w:val="%1"/>
      <w:numFmt w:val="decimal"/>
      <w:start w:val="1"/>
    </w:lvl>
    <w:lvl w:ilvl="1">
      <w:lvlJc w:val="left"/>
      <w:lvlText w:val="(%2)"/>
      <w:numFmt w:val="lowerRoman"/>
      <w:start w:val="2"/>
    </w:lvl>
  </w:abstractNum>
  <w:abstractNum w:abstractNumId="49">
    <w:nsid w:val="7BD3EE7B"/>
    <w:multiLevelType w:val="hybridMultilevel"/>
    <w:lvl w:ilvl="0">
      <w:lvlJc w:val="left"/>
      <w:lvlText w:val="%1."/>
      <w:numFmt w:val="decimal"/>
      <w:start w:val="8"/>
    </w:lvl>
    <w:lvl w:ilvl="1">
      <w:lvlJc w:val="left"/>
      <w:lvlText w:val="%2"/>
      <w:numFmt w:val="lowerRoman"/>
      <w:start w:val="1"/>
    </w:lvl>
  </w:abstractNum>
  <w:abstractNum w:abstractNumId="50">
    <w:nsid w:val="51D9C564"/>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51">
    <w:nsid w:val="613EFDC5"/>
    <w:multiLevelType w:val="hybridMultilevel"/>
    <w:lvl w:ilvl="0">
      <w:lvlJc w:val="left"/>
      <w:lvlText w:val="(%1)"/>
      <w:numFmt w:val="lowerLetter"/>
      <w:start w:val="35"/>
    </w:lvl>
    <w:lvl w:ilvl="1">
      <w:lvlJc w:val="left"/>
      <w:lvlText w:val="(%2)"/>
      <w:numFmt w:val="lowerLetter"/>
      <w:start w:val="2"/>
    </w:lvl>
    <w:lvl w:ilvl="2">
      <w:lvlJc w:val="left"/>
      <w:lvlText w:val="(%3)"/>
      <w:numFmt w:val="lowerRoman"/>
      <w:start w:val="2"/>
    </w:lvl>
  </w:abstractNum>
  <w:abstractNum w:abstractNumId="52">
    <w:nsid w:val="BF72B14"/>
    <w:multiLevelType w:val="hybridMultilevel"/>
    <w:lvl w:ilvl="0">
      <w:lvlJc w:val="left"/>
      <w:lvlText w:val="(%1)"/>
      <w:numFmt w:val="lowerLetter"/>
      <w:start w:val="3"/>
    </w:lvl>
  </w:abstractNum>
  <w:abstractNum w:abstractNumId="53">
    <w:nsid w:val="11447B73"/>
    <w:multiLevelType w:val="hybridMultilevel"/>
    <w:lvl w:ilvl="0">
      <w:lvlJc w:val="left"/>
      <w:lvlText w:val="%1"/>
      <w:numFmt w:val="decimal"/>
      <w:start w:val="1"/>
    </w:lvl>
    <w:lvl w:ilvl="1">
      <w:lvlJc w:val="left"/>
      <w:lvlText w:val="%2"/>
      <w:numFmt w:val="decimal"/>
      <w:start w:val="1"/>
    </w:lvl>
    <w:lvl w:ilvl="2">
      <w:lvlJc w:val="left"/>
      <w:lvlText w:val="(%3)"/>
      <w:numFmt w:val="lowerLetter"/>
      <w:start w:val="6"/>
    </w:lvl>
  </w:abstractNum>
  <w:abstractNum w:abstractNumId="54">
    <w:nsid w:val="42963E5A"/>
    <w:multiLevelType w:val="hybridMultilevel"/>
    <w:lvl w:ilvl="0">
      <w:lvlJc w:val="left"/>
      <w:lvlText w:val="%1"/>
      <w:numFmt w:val="decimal"/>
      <w:start w:val="1"/>
    </w:lvl>
    <w:lvl w:ilvl="1">
      <w:lvlJc w:val="left"/>
      <w:lvlText w:val="%2."/>
      <w:numFmt w:val="decimal"/>
      <w:start w:val="9"/>
    </w:lvl>
    <w:lvl w:ilvl="2">
      <w:lvlJc w:val="left"/>
      <w:lvlText w:val="%3"/>
      <w:numFmt w:val="lowerLetter"/>
      <w:start w:val="1"/>
    </w:lvl>
  </w:abstractNum>
  <w:abstractNum w:abstractNumId="55">
    <w:nsid w:val="A0382C5"/>
    <w:multiLevelType w:val="hybridMultilevel"/>
    <w:lvl w:ilvl="0">
      <w:lvlJc w:val="left"/>
      <w:lvlText w:val="(%1)"/>
      <w:numFmt w:val="decimal"/>
      <w:start w:val="3"/>
    </w:lvl>
    <w:lvl w:ilvl="1">
      <w:lvlJc w:val="left"/>
      <w:lvlText w:val="%2."/>
      <w:numFmt w:val="decimal"/>
      <w:start w:val="10"/>
    </w:lvl>
    <w:lvl w:ilvl="2">
      <w:lvlJc w:val="left"/>
      <w:lvlText w:val="(%3)"/>
      <w:numFmt w:val="lowerLetter"/>
      <w:start w:val="1"/>
    </w:lvl>
  </w:abstractNum>
  <w:abstractNum w:abstractNumId="56">
    <w:nsid w:val="8F2B15E"/>
    <w:multiLevelType w:val="hybridMultilevel"/>
    <w:lvl w:ilvl="0">
      <w:lvlJc w:val="left"/>
      <w:lvlText w:val="(%1)"/>
      <w:numFmt w:val="lowerLetter"/>
      <w:start w:val="2"/>
    </w:lvl>
  </w:abstractNum>
  <w:abstractNum w:abstractNumId="57">
    <w:nsid w:val="1A32234B"/>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5"/>
    </w:lvl>
    <w:lvl w:ilvl="3">
      <w:lvlJc w:val="left"/>
      <w:lvlText w:val="%4"/>
      <w:numFmt w:val="lowerRoman"/>
      <w:start w:val="1"/>
    </w:lvl>
  </w:abstractNum>
  <w:abstractNum w:abstractNumId="58">
    <w:nsid w:val="3B0FD379"/>
    <w:multiLevelType w:val="hybridMultilevel"/>
    <w:lvl w:ilvl="0">
      <w:lvlJc w:val="left"/>
      <w:lvlText w:val="(%1)"/>
      <w:numFmt w:val="lowerLetter"/>
      <w:start w:val="9"/>
    </w:lvl>
    <w:lvl w:ilvl="1">
      <w:lvlJc w:val="left"/>
      <w:lvlText w:val="%2."/>
      <w:numFmt w:val="decimal"/>
      <w:start w:val="11"/>
    </w:lvl>
    <w:lvl w:ilvl="2">
      <w:lvlJc w:val="left"/>
      <w:lvlText w:val="(%3)"/>
      <w:numFmt w:val="lowerLetter"/>
      <w:start w:val="1"/>
    </w:lvl>
    <w:lvl w:ilvl="3">
      <w:lvlJc w:val="left"/>
      <w:lvlText w:val="(%4)"/>
      <w:numFmt w:val="lowerRoman"/>
      <w:start w:val="1"/>
    </w:lvl>
  </w:abstractNum>
  <w:abstractNum w:abstractNumId="59">
    <w:nsid w:val="68EB2F63"/>
    <w:multiLevelType w:val="hybridMultilevel"/>
    <w:lvl w:ilvl="0">
      <w:lvlJc w:val="left"/>
      <w:lvlText w:val="%1"/>
      <w:numFmt w:val="decimal"/>
      <w:start w:val="1"/>
    </w:lvl>
    <w:lvl w:ilvl="1">
      <w:lvlJc w:val="left"/>
      <w:lvlText w:val="(%2)"/>
      <w:numFmt w:val="lowerLetter"/>
      <w:start w:val="2"/>
    </w:lvl>
  </w:abstractNum>
  <w:abstractNum w:abstractNumId="60">
    <w:nsid w:val="4962813B"/>
    <w:multiLevelType w:val="hybridMultilevel"/>
    <w:lvl w:ilvl="0">
      <w:lvlJc w:val="left"/>
      <w:lvlText w:val="%1."/>
      <w:numFmt w:val="decimal"/>
      <w:start w:val="14"/>
    </w:lvl>
    <w:lvl w:ilvl="1">
      <w:lvlJc w:val="left"/>
      <w:lvlText w:val="(%2)"/>
      <w:numFmt w:val="lowerLetter"/>
      <w:start w:val="1"/>
    </w:lvl>
  </w:abstractNum>
  <w:abstractNum w:abstractNumId="61">
    <w:nsid w:val="60B6DF70"/>
    <w:multiLevelType w:val="hybridMultilevel"/>
    <w:lvl w:ilvl="0">
      <w:lvlJc w:val="left"/>
      <w:lvlText w:val="%1"/>
      <w:numFmt w:val="decimal"/>
      <w:start w:val="1"/>
    </w:lvl>
    <w:lvl w:ilvl="1">
      <w:lvlJc w:val="left"/>
      <w:lvlText w:val="(%2)"/>
      <w:numFmt w:val="lowerLetter"/>
      <w:start w:val="2"/>
    </w:lvl>
  </w:abstractNum>
  <w:abstractNum w:abstractNumId="62">
    <w:nsid w:val="6A5EE64"/>
    <w:multiLevelType w:val="hybridMultilevel"/>
    <w:lvl w:ilvl="0">
      <w:lvlJc w:val="left"/>
      <w:lvlText w:val="%1."/>
      <w:numFmt w:val="decimal"/>
      <w:start w:val="15"/>
    </w:lvl>
    <w:lvl w:ilvl="1">
      <w:lvlJc w:val="left"/>
      <w:lvlText w:val="%2"/>
      <w:numFmt w:val="lowerLetter"/>
      <w:start w:val="1"/>
    </w:lvl>
  </w:abstractNum>
  <w:abstractNum w:abstractNumId="63">
    <w:nsid w:val="14330624"/>
    <w:multiLevelType w:val="hybridMultilevel"/>
    <w:lvl w:ilvl="0">
      <w:lvlJc w:val="left"/>
      <w:lvlText w:val="%1."/>
      <w:numFmt w:val="decimal"/>
      <w:start w:val="19"/>
    </w:lvl>
  </w:abstractNum>
  <w:abstractNum w:abstractNumId="64">
    <w:nsid w:val="7FFFCA11"/>
    <w:multiLevelType w:val="hybridMultilevel"/>
    <w:lvl w:ilvl="0">
      <w:lvlJc w:val="left"/>
      <w:lvlText w:val="%1."/>
      <w:numFmt w:val="decimal"/>
      <w:start w:val="20"/>
    </w:lvl>
  </w:abstractNum>
  <w:abstractNum w:abstractNumId="65">
    <w:nsid w:val="1A27709E"/>
    <w:multiLevelType w:val="hybridMultilevel"/>
    <w:lvl w:ilvl="0">
      <w:lvlJc w:val="left"/>
      <w:lvlText w:val="%1."/>
      <w:numFmt w:val="decimal"/>
      <w:start w:val="1"/>
    </w:lvl>
  </w:abstractNum>
  <w:abstractNum w:abstractNumId="66">
    <w:nsid w:val="71EA1109"/>
    <w:multiLevelType w:val="hybridMultilevel"/>
    <w:lvl w:ilvl="0">
      <w:lvlJc w:val="left"/>
      <w:lvlText w:val="%1."/>
      <w:numFmt w:val="upperLetter"/>
      <w:start w:val="1"/>
    </w:lvl>
  </w:abstractNum>
  <w:abstractNum w:abstractNumId="67">
    <w:nsid w:val="100F59DC"/>
    <w:multiLevelType w:val="hybridMultilevel"/>
    <w:lvl w:ilvl="0">
      <w:lvlJc w:val="left"/>
      <w:lvlText w:val="%1."/>
      <w:numFmt w:val="upperLetter"/>
      <w:start w:val="4"/>
    </w:lvl>
  </w:abstractNum>
  <w:abstractNum w:abstractNumId="68">
    <w:nsid w:val="7FB7E0AA"/>
    <w:multiLevelType w:val="hybridMultilevel"/>
    <w:lvl w:ilvl="0">
      <w:lvlJc w:val="left"/>
      <w:lvlText w:val="%1."/>
      <w:numFmt w:val="upperLetter"/>
      <w:start w:val="7"/>
    </w:lvl>
  </w:abstractNum>
  <w:abstractNum w:abstractNumId="69">
    <w:nsid w:val="6EB5BD4"/>
    <w:multiLevelType w:val="hybridMultilevel"/>
    <w:lvl w:ilvl="0">
      <w:lvlJc w:val="left"/>
      <w:lvlText w:val="%1."/>
      <w:numFmt w:val="upperLetter"/>
      <w:start w:val="11"/>
    </w:lvl>
  </w:abstractNum>
  <w:abstractNum w:abstractNumId="70">
    <w:nsid w:val="6F6DD9AC"/>
    <w:multiLevelType w:val="hybridMultilevel"/>
    <w:lvl w:ilvl="0">
      <w:lvlJc w:val="left"/>
      <w:lvlText w:val="%1."/>
      <w:numFmt w:val="decimal"/>
      <w:start w:val="1"/>
    </w:lvl>
  </w:abstractNum>
  <w:abstractNum w:abstractNumId="71">
    <w:nsid w:val="94211F2"/>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abstractNum>
  <w:abstractNum w:abstractNumId="72">
    <w:nsid w:val="885E1B"/>
    <w:multiLevelType w:val="hybridMultilevel"/>
    <w:lvl w:ilvl="0">
      <w:lvlJc w:val="left"/>
      <w:lvlText w:val="(%1)"/>
      <w:numFmt w:val="lowerRoman"/>
      <w:start w:val="6"/>
    </w:lvl>
    <w:lvl w:ilvl="1">
      <w:lvlJc w:val="left"/>
      <w:lvlText w:val="%2"/>
      <w:numFmt w:val="decimal"/>
      <w:start w:val="1"/>
    </w:lvl>
    <w:lvl w:ilvl="2">
      <w:lvlJc w:val="left"/>
      <w:lvlText w:val="(%3)"/>
      <w:numFmt w:val="lowerLetter"/>
      <w:start w:val="5"/>
    </w:lvl>
  </w:abstractNum>
  <w:abstractNum w:abstractNumId="73">
    <w:nsid w:val="76272110"/>
    <w:multiLevelType w:val="hybridMultilevel"/>
    <w:lvl w:ilvl="0">
      <w:lvlJc w:val="left"/>
      <w:lvlText w:val="(%1)"/>
      <w:numFmt w:val="decimal"/>
      <w:start w:val="1"/>
    </w:lvl>
  </w:abstractNum>
  <w:abstractNum w:abstractNumId="74">
    <w:nsid w:val="4C04A8AF"/>
    <w:multiLevelType w:val="hybridMultilevel"/>
    <w:lvl w:ilvl="0">
      <w:lvlJc w:val="left"/>
      <w:lvlText w:val="(%1)"/>
      <w:numFmt w:val="lowerLetter"/>
      <w:start w:val="10"/>
    </w:lvl>
  </w:abstractNum>
  <w:abstractNum w:abstractNumId="75">
    <w:nsid w:val="1716703B"/>
    <w:multiLevelType w:val="hybridMultilevel"/>
    <w:lvl w:ilvl="0">
      <w:lvlJc w:val="left"/>
      <w:lvlText w:val="(%1)"/>
      <w:numFmt w:val="lowerLetter"/>
      <w:start w:val="12"/>
    </w:lvl>
  </w:abstractNum>
  <w:abstractNum w:abstractNumId="76">
    <w:nsid w:val="14E17E33"/>
    <w:multiLevelType w:val="hybridMultilevel"/>
    <w:lvl w:ilvl="0">
      <w:lvlJc w:val="left"/>
      <w:lvlText w:val="(%1)"/>
      <w:numFmt w:val="lowerLetter"/>
      <w:start w:val="15"/>
    </w:lvl>
    <w:lvl w:ilvl="1">
      <w:lvlJc w:val="left"/>
      <w:lvlText w:val="(%2)"/>
      <w:numFmt w:val="decimal"/>
      <w:start w:val="1"/>
    </w:lvl>
  </w:abstractNum>
  <w:abstractNum w:abstractNumId="77">
    <w:nsid w:val="3222E7CD"/>
    <w:multiLevelType w:val="hybridMultilevel"/>
    <w:lvl w:ilvl="0">
      <w:lvlJc w:val="left"/>
      <w:lvlText w:val="(%1)"/>
      <w:numFmt w:val="lowerLetter"/>
      <w:start w:val="17"/>
    </w:lvl>
  </w:abstractNum>
  <w:abstractNum w:abstractNumId="78">
    <w:nsid w:val="74DE0EE3"/>
    <w:multiLevelType w:val="hybridMultilevel"/>
    <w:lvl w:ilvl="0">
      <w:lvlJc w:val="left"/>
      <w:lvlText w:val="(%1)"/>
      <w:numFmt w:val="decimal"/>
      <w:start w:val="1"/>
    </w:lvl>
  </w:abstractNum>
  <w:abstractNum w:abstractNumId="79">
    <w:nsid w:val="68EBC550"/>
    <w:multiLevelType w:val="hybridMultilevel"/>
    <w:lvl w:ilvl="0">
      <w:lvlJc w:val="left"/>
      <w:lvlText w:val="%1"/>
      <w:numFmt w:val="lowerLetter"/>
      <w:start w:val="1"/>
    </w:lvl>
    <w:lvl w:ilvl="1">
      <w:lvlJc w:val="left"/>
      <w:lvlText w:val="(%2)"/>
      <w:numFmt w:val="decimal"/>
      <w:start w:val="1"/>
    </w:lvl>
  </w:abstractNum>
  <w:abstractNum w:abstractNumId="80">
    <w:nsid w:val="2DF6D648"/>
    <w:multiLevelType w:val="hybridMultilevel"/>
    <w:lvl w:ilvl="0">
      <w:lvlJc w:val="left"/>
      <w:lvlText w:val="(%1)"/>
      <w:numFmt w:val="lowerLetter"/>
      <w:start w:val="18"/>
    </w:lvl>
    <w:lvl w:ilvl="1">
      <w:lvlJc w:val="left"/>
      <w:lvlText w:val="%2"/>
      <w:numFmt w:val="decimal"/>
      <w:start w:val="1"/>
    </w:lvl>
  </w:abstractNum>
  <w:abstractNum w:abstractNumId="81">
    <w:nsid w:val="46B7D447"/>
    <w:multiLevelType w:val="hybridMultilevel"/>
    <w:lvl w:ilvl="0">
      <w:lvlJc w:val="left"/>
      <w:lvlText w:val="%1"/>
      <w:numFmt w:val="decimal"/>
      <w:start w:val="1"/>
    </w:lvl>
    <w:lvl w:ilvl="1">
      <w:lvlJc w:val="left"/>
      <w:lvlText w:val="(%2)"/>
      <w:numFmt w:val="lowerLetter"/>
      <w:start w:val="23"/>
    </w:lvl>
  </w:abstractNum>
  <w:abstractNum w:abstractNumId="82">
    <w:nsid w:val="4A2AC315"/>
    <w:multiLevelType w:val="hybridMultilevel"/>
    <w:lvl w:ilvl="0">
      <w:lvlJc w:val="left"/>
      <w:lvlText w:val="%1."/>
      <w:numFmt w:val="decimal"/>
      <w:start w:val="2"/>
    </w:lvl>
    <w:lvl w:ilvl="1">
      <w:lvlJc w:val="left"/>
      <w:lvlText w:val="(%2)"/>
      <w:numFmt w:val="lowerLetter"/>
      <w:start w:val="1"/>
    </w:lvl>
  </w:abstractNum>
  <w:abstractNum w:abstractNumId="83">
    <w:nsid w:val="39EE015C"/>
    <w:multiLevelType w:val="hybridMultilevel"/>
    <w:lvl w:ilvl="0">
      <w:lvlJc w:val="left"/>
      <w:lvlText w:val="(%1)"/>
      <w:numFmt w:val="lowerLetter"/>
      <w:start w:val="3"/>
    </w:lvl>
    <w:lvl w:ilvl="1">
      <w:lvlJc w:val="left"/>
      <w:lvlText w:val="(%2)"/>
      <w:numFmt w:val="decimal"/>
      <w:start w:val="1"/>
    </w:lvl>
  </w:abstractNum>
  <w:abstractNum w:abstractNumId="84">
    <w:nsid w:val="57FC4FBB"/>
    <w:multiLevelType w:val="hybridMultilevel"/>
    <w:lvl w:ilvl="0">
      <w:lvlJc w:val="left"/>
      <w:lvlText w:val="%1"/>
      <w:numFmt w:val="decimal"/>
      <w:start w:val="1"/>
    </w:lvl>
    <w:lvl w:ilvl="1">
      <w:lvlJc w:val="left"/>
      <w:lvlText w:val="(%2)"/>
      <w:numFmt w:val="lowerLetter"/>
      <w:start w:val="5"/>
    </w:lvl>
  </w:abstractNum>
  <w:abstractNum w:abstractNumId="85">
    <w:nsid w:val="CC1016F"/>
    <w:multiLevelType w:val="hybridMultilevel"/>
    <w:lvl w:ilvl="0">
      <w:lvlJc w:val="left"/>
      <w:lvlText w:val="%1."/>
      <w:numFmt w:val="decimal"/>
      <w:start w:val="5"/>
    </w:lvl>
    <w:lvl w:ilvl="1">
      <w:lvlJc w:val="left"/>
      <w:lvlText w:val="(%2)"/>
      <w:numFmt w:val="lowerLetter"/>
      <w:start w:val="1"/>
    </w:lvl>
  </w:abstractNum>
  <w:abstractNum w:abstractNumId="86">
    <w:nsid w:val="43F18422"/>
    <w:multiLevelType w:val="hybridMultilevel"/>
    <w:lvl w:ilvl="0">
      <w:lvlJc w:val="left"/>
      <w:lvlText w:val="(%1)"/>
      <w:numFmt w:val="lowerLetter"/>
      <w:start w:val="1"/>
    </w:lvl>
    <w:lvl w:ilvl="1">
      <w:lvlJc w:val="left"/>
      <w:lvlText w:val="(%2)"/>
      <w:numFmt w:val="decimal"/>
      <w:start w:val="1"/>
    </w:lvl>
  </w:abstractNum>
  <w:abstractNum w:abstractNumId="87">
    <w:nsid w:val="60EF0119"/>
    <w:multiLevelType w:val="hybridMultilevel"/>
    <w:lvl w:ilvl="0">
      <w:lvlJc w:val="left"/>
      <w:lvlText w:val="%1"/>
      <w:numFmt w:val="lowerLetter"/>
      <w:start w:val="1"/>
    </w:lvl>
    <w:lvl w:ilvl="1">
      <w:lvlJc w:val="left"/>
      <w:lvlText w:val="(%2)"/>
      <w:numFmt w:val="decimal"/>
      <w:start w:val="3"/>
    </w:lvl>
  </w:abstractNum>
  <w:abstractNum w:abstractNumId="88">
    <w:nsid w:val="26F324BA"/>
    <w:multiLevelType w:val="hybridMultilevel"/>
    <w:lvl w:ilvl="0">
      <w:lvlJc w:val="left"/>
      <w:lvlText w:val="(%1)"/>
      <w:numFmt w:val="lowerLetter"/>
      <w:start w:val="2"/>
    </w:lvl>
    <w:lvl w:ilvl="1">
      <w:lvlJc w:val="left"/>
      <w:lvlText w:val="(%2)"/>
      <w:numFmt w:val="decimal"/>
      <w:start w:val="1"/>
    </w:lvl>
  </w:abstractNum>
  <w:abstractNum w:abstractNumId="89">
    <w:nsid w:val="7F01579B"/>
    <w:multiLevelType w:val="hybridMultilevel"/>
    <w:lvl w:ilvl="0">
      <w:lvlJc w:val="left"/>
      <w:lvlText w:val="%1"/>
      <w:numFmt w:val="decimal"/>
      <w:start w:val="1"/>
    </w:lvl>
    <w:lvl w:ilvl="1">
      <w:lvlJc w:val="left"/>
      <w:lvlText w:val="(%2)"/>
      <w:numFmt w:val="lowerLetter"/>
      <w:start w:val="5"/>
    </w:lvl>
  </w:abstractNum>
  <w:abstractNum w:abstractNumId="90">
    <w:nsid w:val="49DA307D"/>
    <w:multiLevelType w:val="hybridMultilevel"/>
    <w:lvl w:ilvl="0">
      <w:lvlJc w:val="left"/>
      <w:lvlText w:val="%1."/>
      <w:numFmt w:val="decimal"/>
      <w:start w:val="7"/>
    </w:lvl>
    <w:lvl w:ilvl="1">
      <w:lvlJc w:val="left"/>
      <w:lvlText w:val="(%2)"/>
      <w:numFmt w:val="lowerLetter"/>
      <w:start w:val="1"/>
    </w:lvl>
  </w:abstractNum>
  <w:abstractNum w:abstractNumId="91">
    <w:nsid w:val="7055A5F5"/>
    <w:multiLevelType w:val="hybridMultilevel"/>
    <w:lvl w:ilvl="0">
      <w:lvlJc w:val="left"/>
      <w:lvlText w:val="%1"/>
      <w:numFmt w:val="decimal"/>
      <w:start w:val="1"/>
    </w:lvl>
    <w:lvl w:ilvl="1">
      <w:lvlJc w:val="left"/>
      <w:lvlText w:val="(%2)"/>
      <w:numFmt w:val="lowerLetter"/>
      <w:start w:val="2"/>
    </w:lvl>
  </w:abstractNum>
  <w:abstractNum w:abstractNumId="92">
    <w:nsid w:val="5FB8370B"/>
    <w:multiLevelType w:val="hybridMultilevel"/>
    <w:lvl w:ilvl="0">
      <w:lvlJc w:val="left"/>
      <w:lvlText w:val="%1."/>
      <w:numFmt w:val="decimal"/>
      <w:start w:val="10"/>
    </w:lvl>
    <w:lvl w:ilvl="1">
      <w:lvlJc w:val="left"/>
      <w:lvlText w:val="(%2)"/>
      <w:numFmt w:val="lowerLetter"/>
      <w:start w:val="1"/>
    </w:lvl>
  </w:abstractNum>
  <w:abstractNum w:abstractNumId="93">
    <w:nsid w:val="50801EE1"/>
    <w:multiLevelType w:val="hybridMultilevel"/>
    <w:lvl w:ilvl="0">
      <w:lvlJc w:val="left"/>
      <w:lvlText w:val="(%1)"/>
      <w:numFmt w:val="lowerLetter"/>
      <w:start w:val="3"/>
    </w:lvl>
  </w:abstractNum>
  <w:abstractNum w:abstractNumId="94">
    <w:nsid w:val="488AC1A"/>
    <w:multiLevelType w:val="hybridMultilevel"/>
    <w:lvl w:ilvl="0">
      <w:lvlJc w:val="left"/>
      <w:lvlText w:val="%1."/>
      <w:numFmt w:val="decimal"/>
      <w:start w:val="1"/>
    </w:lvl>
    <w:lvl w:ilvl="1">
      <w:lvlJc w:val="left"/>
      <w:lvlText w:val="%2)"/>
      <w:numFmt w:val="lowerLetter"/>
      <w:start w:val="1"/>
    </w:lvl>
  </w:abstractNum>
  <w:abstractNum w:abstractNumId="95">
    <w:nsid w:val="5FB8011C"/>
    <w:multiLevelType w:val="hybridMultilevel"/>
    <w:lvl w:ilvl="0">
      <w:lvlJc w:val="left"/>
      <w:lvlText w:val="%1."/>
      <w:numFmt w:val="decimal"/>
      <w:start w:val="1"/>
    </w:lvl>
    <w:lvl w:ilvl="1">
      <w:lvlJc w:val="left"/>
      <w:lvlText w:val="%2)"/>
      <w:numFmt w:val="lowerLetter"/>
      <w:start w:val="1"/>
    </w:lvl>
  </w:abstractNum>
  <w:abstractNum w:abstractNumId="96">
    <w:nsid w:val="6AA78F7F"/>
    <w:multiLevelType w:val="hybridMultilevel"/>
    <w:lvl w:ilvl="0">
      <w:lvlJc w:val="left"/>
      <w:lvlText w:val="%1."/>
      <w:numFmt w:val="decimal"/>
      <w:start w:val="1"/>
    </w:lvl>
    <w:lvl w:ilvl="1">
      <w:lvlJc w:val="left"/>
      <w:lvlText w:val="%2)"/>
      <w:numFmt w:val="lowerLetter"/>
      <w:start w:val="1"/>
    </w:lvl>
  </w:abstractNum>
  <w:abstractNum w:abstractNumId="97">
    <w:nsid w:val="7672BD23"/>
    <w:multiLevelType w:val="hybridMultilevel"/>
    <w:lvl w:ilvl="0">
      <w:lvlJc w:val="left"/>
      <w:lvlText w:val="%1."/>
      <w:numFmt w:val="decimal"/>
      <w:start w:val="1"/>
    </w:lvl>
    <w:lvl w:ilvl="1">
      <w:lvlJc w:val="left"/>
      <w:lvlText w:val="%2)"/>
      <w:numFmt w:val="lowerLetter"/>
      <w:start w:val="1"/>
    </w:lvl>
  </w:abstractNum>
  <w:abstractNum w:abstractNumId="98">
    <w:nsid w:val="6FC75AF8"/>
    <w:multiLevelType w:val="hybridMultilevel"/>
    <w:lvl w:ilvl="0">
      <w:lvlJc w:val="left"/>
      <w:lvlText w:val="%1."/>
      <w:numFmt w:val="decimal"/>
      <w:start w:val="1"/>
    </w:lvl>
  </w:abstractNum>
  <w:abstractNum w:abstractNumId="99">
    <w:nsid w:val="6A5F70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2019-12-29T16:21:29Z</dcterms:created>
  <dcterms:modified xsi:type="dcterms:W3CDTF">2019-12-29T16:21:29Z</dcterms:modified>
</cp:coreProperties>
</file>