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Title Of Each Class Of</w:t>
            </w:r>
          </w:p>
        </w:tc>
        <w:tc>
          <w:tcPr>
            <w:tcW w:w="10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4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3.00% Notes due 2024</w:t>
            </w:r>
          </w:p>
        </w:tc>
        <w:tc>
          <w:tcPr>
            <w:tcW w:w="100" w:type="dxa"/>
            <w:vAlign w:val="bottom"/>
          </w:tcPr>
          <w:p>
            <w:pPr>
              <w:spacing w:after="0"/>
              <w:rPr>
                <w:sz w:val="16"/>
                <w:szCs w:val="16"/>
                <w:color w:val="auto"/>
              </w:rPr>
            </w:pP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89"/>
              </w:rPr>
              <w:t>$1,250,000,000</w:t>
            </w:r>
          </w:p>
        </w:tc>
        <w:tc>
          <w:tcPr>
            <w:tcW w:w="40" w:type="dxa"/>
            <w:vAlign w:val="bottom"/>
            <w:tcBorders>
              <w:right w:val="single" w:sz="8" w:color="auto"/>
            </w:tcBorders>
          </w:tcPr>
          <w:p>
            <w:pPr>
              <w:spacing w:after="0"/>
              <w:rPr>
                <w:sz w:val="16"/>
                <w:szCs w:val="16"/>
                <w:color w:val="auto"/>
              </w:rPr>
            </w:pPr>
          </w:p>
        </w:tc>
        <w:tc>
          <w:tcPr>
            <w:tcW w:w="15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0"/>
              </w:rPr>
              <w:t>$144,875</w:t>
            </w:r>
          </w:p>
        </w:tc>
        <w:tc>
          <w:tcPr>
            <w:tcW w:w="0" w:type="dxa"/>
            <w:vAlign w:val="bottom"/>
          </w:tcPr>
          <w:p>
            <w:pPr>
              <w:spacing w:after="0"/>
              <w:rPr>
                <w:sz w:val="1"/>
                <w:szCs w:val="1"/>
                <w:color w:val="auto"/>
              </w:rPr>
            </w:pPr>
          </w:p>
        </w:tc>
      </w:tr>
      <w:tr>
        <w:trPr>
          <w:trHeight w:val="230"/>
        </w:trPr>
        <w:tc>
          <w:tcPr>
            <w:tcW w:w="8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3.30% Notes due 2027</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$1,250,000,000</w:t>
            </w:r>
          </w:p>
        </w:tc>
        <w:tc>
          <w:tcPr>
            <w:tcW w:w="40" w:type="dxa"/>
            <w:vAlign w:val="bottom"/>
            <w:tcBorders>
              <w:right w:val="single" w:sz="8" w:color="auto"/>
            </w:tcBorders>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0"/>
              </w:rPr>
              <w:t>$144,875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vMerge w:val="restart"/>
          </w:tcPr>
          <w:p>
            <w:pPr>
              <w:spacing w:after="0" w:line="20" w:lineRule="exact"/>
              <w:rPr>
                <w:sz w:val="1"/>
                <w:szCs w:val="1"/>
                <w:color w:val="auto"/>
              </w:rPr>
            </w:pPr>
          </w:p>
        </w:tc>
        <w:tc>
          <w:tcPr>
            <w:tcW w:w="1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$2,500,000,000</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$289,750</w:t>
            </w: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(1)   Calculated in accordance with Rule 457(r) of the Securities Act of 1933, as amended.</w:t>
            </w:r>
          </w:p>
        </w:tc>
        <w:tc>
          <w:tcPr>
            <w:tcW w:w="14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6239510</wp:posOffset>
            </wp:positionH>
            <wp:positionV relativeFrom="paragraph">
              <wp:posOffset>-325755</wp:posOffset>
            </wp:positionV>
            <wp:extent cx="88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Registration No. 333-212719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July 28,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144145</wp:posOffset>
            </wp:positionV>
            <wp:extent cx="139763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960"/>
        <w:spacing w:after="0"/>
        <w:tabs>
          <w:tab w:leader="none" w:pos="5380" w:val="left"/>
        </w:tabs>
        <w:rPr>
          <w:sz w:val="20"/>
          <w:szCs w:val="20"/>
          <w:color w:val="auto"/>
        </w:rPr>
      </w:pPr>
      <w:r>
        <w:rPr>
          <w:rFonts w:ascii="Arial" w:cs="Arial" w:eastAsia="Arial" w:hAnsi="Arial"/>
          <w:sz w:val="32"/>
          <w:szCs w:val="32"/>
          <w:b w:val="1"/>
          <w:bCs w:val="1"/>
          <w:color w:val="auto"/>
        </w:rPr>
        <w:t>$1,250,000,000</w:t>
      </w:r>
      <w:r>
        <w:rPr>
          <w:sz w:val="20"/>
          <w:szCs w:val="20"/>
          <w:color w:val="auto"/>
        </w:rPr>
        <w:tab/>
      </w:r>
      <w:r>
        <w:rPr>
          <w:rFonts w:ascii="Arial" w:cs="Arial" w:eastAsia="Arial" w:hAnsi="Arial"/>
          <w:sz w:val="29"/>
          <w:szCs w:val="29"/>
          <w:b w:val="1"/>
          <w:bCs w:val="1"/>
          <w:color w:val="auto"/>
        </w:rPr>
        <w:t>3.00% Notes due 2024</w:t>
      </w:r>
    </w:p>
    <w:p>
      <w:pPr>
        <w:spacing w:after="0" w:line="33" w:lineRule="exact"/>
        <w:rPr>
          <w:sz w:val="20"/>
          <w:szCs w:val="20"/>
          <w:color w:val="auto"/>
        </w:rPr>
      </w:pPr>
    </w:p>
    <w:p>
      <w:pPr>
        <w:ind w:left="2960"/>
        <w:spacing w:after="0"/>
        <w:tabs>
          <w:tab w:leader="none" w:pos="5380" w:val="left"/>
        </w:tabs>
        <w:rPr>
          <w:sz w:val="20"/>
          <w:szCs w:val="20"/>
          <w:color w:val="auto"/>
        </w:rPr>
      </w:pPr>
      <w:r>
        <w:rPr>
          <w:rFonts w:ascii="Arial" w:cs="Arial" w:eastAsia="Arial" w:hAnsi="Arial"/>
          <w:sz w:val="32"/>
          <w:szCs w:val="32"/>
          <w:b w:val="1"/>
          <w:bCs w:val="1"/>
          <w:color w:val="auto"/>
        </w:rPr>
        <w:t>$1,250,000,000</w:t>
      </w:r>
      <w:r>
        <w:rPr>
          <w:sz w:val="20"/>
          <w:szCs w:val="20"/>
          <w:color w:val="auto"/>
        </w:rPr>
        <w:tab/>
      </w:r>
      <w:r>
        <w:rPr>
          <w:rFonts w:ascii="Arial" w:cs="Arial" w:eastAsia="Arial" w:hAnsi="Arial"/>
          <w:sz w:val="29"/>
          <w:szCs w:val="29"/>
          <w:b w:val="1"/>
          <w:bCs w:val="1"/>
          <w:color w:val="auto"/>
        </w:rPr>
        <w:t>3.30%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198120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Notes due 2024 will bear interest at a rate of 3.00% per year and will mature on February 1, 2024 and the Notes due 2027 will bear interest at a rate of 3.30% per year and will mature on February 1, 2027. We refer to the Notes due 2024 and the Notes due 2027 collectively as the “notes.” We will pay interest on the notes on February 1 and August 1 of each year, beginning August 1, 2017. We may redeem any of the notes at any time by paying the applicable Redemption Price described under the heading “Description of the Notes—Optional Redemption.”</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145415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4" w:lineRule="exact"/>
        <w:rPr>
          <w:sz w:val="20"/>
          <w:szCs w:val="20"/>
          <w:color w:val="auto"/>
        </w:rPr>
      </w:pPr>
    </w:p>
    <w:p>
      <w:pPr>
        <w:ind w:right="80" w:firstLine="456"/>
        <w:spacing w:after="0" w:line="243" w:lineRule="auto"/>
        <w:rPr>
          <w:sz w:val="20"/>
          <w:szCs w:val="20"/>
          <w:color w:val="auto"/>
        </w:rPr>
      </w:pPr>
      <w:r>
        <w:rPr>
          <w:rFonts w:ascii="Arial" w:cs="Arial" w:eastAsia="Arial" w:hAnsi="Arial"/>
          <w:sz w:val="22"/>
          <w:szCs w:val="22"/>
          <w:b w:val="1"/>
          <w:bCs w:val="1"/>
          <w:color w:val="auto"/>
        </w:rPr>
        <w:t>Investing in these securities involves certain risks. See “Item 1A—Risk Factors” beginning on page 25 of Comcast Corporation’s (“Comcast”) Annual Report on Form 10-K for the year ended December 31, 2015, which is incorporated by reference herein.</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Proceeds to Us</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6"/>
              </w:rPr>
              <w:t>Price to Investors</w:t>
            </w:r>
          </w:p>
        </w:tc>
        <w:tc>
          <w:tcPr>
            <w:tcW w:w="700" w:type="dxa"/>
            <w:vAlign w:val="bottom"/>
            <w:vMerge w:val="restart"/>
          </w:tcPr>
          <w:p>
            <w:pPr>
              <w:spacing w:after="0"/>
              <w:rPr>
                <w:sz w:val="12"/>
                <w:szCs w:val="12"/>
                <w:color w:val="auto"/>
              </w:rPr>
            </w:pPr>
          </w:p>
        </w:tc>
        <w:tc>
          <w:tcPr>
            <w:tcW w:w="15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Before</w:t>
            </w:r>
          </w:p>
        </w:tc>
        <w:tc>
          <w:tcPr>
            <w:tcW w:w="0" w:type="dxa"/>
            <w:vAlign w:val="bottom"/>
          </w:tcPr>
          <w:p>
            <w:pPr>
              <w:spacing w:after="0"/>
              <w:rPr>
                <w:sz w:val="1"/>
                <w:szCs w:val="1"/>
                <w:color w:val="auto"/>
              </w:rPr>
            </w:pPr>
          </w:p>
        </w:tc>
      </w:tr>
      <w:tr>
        <w:trPr>
          <w:trHeight w:val="153"/>
        </w:trPr>
        <w:tc>
          <w:tcPr>
            <w:tcW w:w="4960" w:type="dxa"/>
            <w:vAlign w:val="bottom"/>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500" w:type="dxa"/>
            <w:vAlign w:val="bottom"/>
            <w:gridSpan w:val="2"/>
          </w:tcPr>
          <w:p>
            <w:pPr>
              <w:jc w:val="right"/>
              <w:ind w:right="820"/>
              <w:spacing w:after="0" w:line="148" w:lineRule="exact"/>
              <w:rPr>
                <w:sz w:val="20"/>
                <w:szCs w:val="20"/>
                <w:color w:val="auto"/>
              </w:rPr>
            </w:pPr>
            <w:r>
              <w:rPr>
                <w:rFonts w:ascii="Arial" w:cs="Arial" w:eastAsia="Arial" w:hAnsi="Arial"/>
                <w:sz w:val="14"/>
                <w:szCs w:val="14"/>
                <w:b w:val="1"/>
                <w:bCs w:val="1"/>
                <w:color w:val="auto"/>
              </w:rPr>
              <w:t>Discount</w:t>
            </w:r>
          </w:p>
        </w:tc>
        <w:tc>
          <w:tcPr>
            <w:tcW w:w="13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79"/>
              </w:rPr>
              <w:t>Expenses</w:t>
            </w: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 due 2024</w:t>
            </w:r>
            <w:r>
              <w:rPr>
                <w:rFonts w:ascii="Arial" w:cs="Arial" w:eastAsia="Arial" w:hAnsi="Arial"/>
                <w:sz w:val="11"/>
                <w:szCs w:val="11"/>
                <w:color w:val="auto"/>
              </w:rPr>
              <w:t>(1)</w:t>
            </w:r>
          </w:p>
        </w:tc>
        <w:tc>
          <w:tcPr>
            <w:tcW w:w="176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8"/>
                <w:szCs w:val="18"/>
                <w:color w:val="auto"/>
              </w:rPr>
              <w:t>99.809%</w:t>
            </w:r>
          </w:p>
        </w:tc>
        <w:tc>
          <w:tcPr>
            <w:tcW w:w="8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shd w:val="clear" w:color="auto" w:fill="CCEEFF"/>
          </w:tcPr>
          <w:p>
            <w:pPr>
              <w:spacing w:after="0"/>
              <w:rPr>
                <w:sz w:val="17"/>
                <w:szCs w:val="17"/>
                <w:color w:val="auto"/>
              </w:rPr>
            </w:pPr>
          </w:p>
        </w:tc>
        <w:tc>
          <w:tcPr>
            <w:tcW w:w="1760" w:type="dxa"/>
            <w:vAlign w:val="bottom"/>
            <w:gridSpan w:val="2"/>
            <w:vMerge w:val="continue"/>
            <w:shd w:val="clear" w:color="auto" w:fill="CCEEFF"/>
          </w:tcPr>
          <w:p>
            <w:pPr>
              <w:spacing w:after="0"/>
              <w:rPr>
                <w:sz w:val="17"/>
                <w:szCs w:val="17"/>
                <w:color w:val="auto"/>
              </w:rPr>
            </w:pPr>
          </w:p>
        </w:tc>
        <w:tc>
          <w:tcPr>
            <w:tcW w:w="150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0.350%</w:t>
            </w:r>
          </w:p>
        </w:tc>
        <w:tc>
          <w:tcPr>
            <w:tcW w:w="13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99.459%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$1,247,612,500</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w w:val="90"/>
              </w:rPr>
              <w:t>$4,375,000</w:t>
            </w:r>
          </w:p>
        </w:tc>
        <w:tc>
          <w:tcPr>
            <w:tcW w:w="1160" w:type="dxa"/>
            <w:vAlign w:val="bottom"/>
          </w:tcPr>
          <w:p>
            <w:pPr>
              <w:jc w:val="right"/>
              <w:spacing w:after="0"/>
              <w:rPr>
                <w:sz w:val="20"/>
                <w:szCs w:val="20"/>
                <w:color w:val="auto"/>
              </w:rPr>
            </w:pPr>
            <w:r>
              <w:rPr>
                <w:rFonts w:ascii="Arial" w:cs="Arial" w:eastAsia="Arial" w:hAnsi="Arial"/>
                <w:sz w:val="18"/>
                <w:szCs w:val="18"/>
                <w:color w:val="auto"/>
                <w:w w:val="91"/>
              </w:rPr>
              <w:t>$1,243,237,500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2027</w:t>
            </w:r>
            <w:r>
              <w:rPr>
                <w:rFonts w:ascii="Arial" w:cs="Arial" w:eastAsia="Arial" w:hAnsi="Arial"/>
                <w:sz w:val="11"/>
                <w:szCs w:val="11"/>
                <w:color w:val="auto"/>
              </w:rPr>
              <w:t>(1)</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99.803%</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0.450%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99.353%</w:t>
            </w:r>
          </w:p>
        </w:tc>
        <w:tc>
          <w:tcPr>
            <w:tcW w:w="0" w:type="dxa"/>
            <w:vAlign w:val="bottom"/>
          </w:tcPr>
          <w:p>
            <w:pPr>
              <w:spacing w:after="0"/>
              <w:rPr>
                <w:sz w:val="1"/>
                <w:szCs w:val="1"/>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$1,247,537,500</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w w:val="90"/>
              </w:rPr>
              <w:t>$5,625,000</w:t>
            </w:r>
          </w:p>
        </w:tc>
        <w:tc>
          <w:tcPr>
            <w:tcW w:w="1160" w:type="dxa"/>
            <w:vAlign w:val="bottom"/>
          </w:tcPr>
          <w:p>
            <w:pPr>
              <w:jc w:val="right"/>
              <w:spacing w:after="0"/>
              <w:rPr>
                <w:sz w:val="20"/>
                <w:szCs w:val="20"/>
                <w:color w:val="auto"/>
              </w:rPr>
            </w:pPr>
            <w:r>
              <w:rPr>
                <w:rFonts w:ascii="Arial" w:cs="Arial" w:eastAsia="Arial" w:hAnsi="Arial"/>
                <w:sz w:val="18"/>
                <w:szCs w:val="18"/>
                <w:color w:val="auto"/>
                <w:w w:val="91"/>
              </w:rPr>
              <w:t>$1,241,912,500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January 10, 2017, if settlement occurs after that date.</w:t>
      </w:r>
    </w:p>
    <w:p>
      <w:pPr>
        <w:spacing w:after="0" w:line="192" w:lineRule="exact"/>
        <w:rPr>
          <w:sz w:val="20"/>
          <w:szCs w:val="20"/>
          <w:color w:val="auto"/>
        </w:rPr>
      </w:pPr>
    </w:p>
    <w:p>
      <w:pPr>
        <w:ind w:right="38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6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SA/NV (“Euroclear”) and Clearstream Banking SA (“Clearstream”), in book-entry form on or about January 10, 2017.</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Joint Book-Running Managers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81"/>
        </w:trPr>
        <w:tc>
          <w:tcPr>
            <w:tcW w:w="4400" w:type="dxa"/>
            <w:vAlign w:val="bottom"/>
          </w:tcPr>
          <w:p>
            <w:pPr>
              <w:spacing w:after="0"/>
              <w:rPr>
                <w:sz w:val="20"/>
                <w:szCs w:val="20"/>
                <w:color w:val="auto"/>
              </w:rPr>
            </w:pPr>
            <w:r>
              <w:rPr>
                <w:rFonts w:ascii="Arial" w:cs="Arial" w:eastAsia="Arial" w:hAnsi="Arial"/>
                <w:sz w:val="22"/>
                <w:szCs w:val="22"/>
                <w:b w:val="1"/>
                <w:bCs w:val="1"/>
                <w:color w:val="auto"/>
              </w:rPr>
              <w:t>BNP PARIBAS</w:t>
            </w:r>
          </w:p>
        </w:tc>
        <w:tc>
          <w:tcPr>
            <w:tcW w:w="2380" w:type="dxa"/>
            <w:vAlign w:val="bottom"/>
          </w:tcPr>
          <w:p>
            <w:pPr>
              <w:jc w:val="center"/>
              <w:spacing w:after="0"/>
              <w:rPr>
                <w:sz w:val="20"/>
                <w:szCs w:val="20"/>
                <w:color w:val="auto"/>
              </w:rPr>
            </w:pPr>
            <w:r>
              <w:rPr>
                <w:rFonts w:ascii="Arial" w:cs="Arial" w:eastAsia="Arial" w:hAnsi="Arial"/>
                <w:sz w:val="22"/>
                <w:szCs w:val="22"/>
                <w:b w:val="1"/>
                <w:bCs w:val="1"/>
                <w:color w:val="auto"/>
                <w:w w:val="85"/>
              </w:rPr>
              <w:t>Credit Suisse</w:t>
            </w:r>
          </w:p>
        </w:tc>
        <w:tc>
          <w:tcPr>
            <w:tcW w:w="4320" w:type="dxa"/>
            <w:vAlign w:val="bottom"/>
          </w:tcPr>
          <w:p>
            <w:pPr>
              <w:jc w:val="right"/>
              <w:spacing w:after="0"/>
              <w:rPr>
                <w:sz w:val="20"/>
                <w:szCs w:val="20"/>
                <w:color w:val="auto"/>
              </w:rPr>
            </w:pPr>
            <w:r>
              <w:rPr>
                <w:rFonts w:ascii="Arial" w:cs="Arial" w:eastAsia="Arial" w:hAnsi="Arial"/>
                <w:sz w:val="22"/>
                <w:szCs w:val="22"/>
                <w:b w:val="1"/>
                <w:bCs w:val="1"/>
                <w:color w:val="auto"/>
              </w:rPr>
              <w:t>Wells Fargo Securities</w:t>
            </w:r>
          </w:p>
        </w:tc>
      </w:tr>
      <w:tr>
        <w:trPr>
          <w:trHeight w:val="351"/>
        </w:trPr>
        <w:tc>
          <w:tcPr>
            <w:tcW w:w="4400" w:type="dxa"/>
            <w:vAlign w:val="bottom"/>
          </w:tcPr>
          <w:p>
            <w:pPr>
              <w:spacing w:after="0"/>
              <w:rPr>
                <w:sz w:val="20"/>
                <w:szCs w:val="20"/>
                <w:color w:val="auto"/>
              </w:rPr>
            </w:pPr>
            <w:r>
              <w:rPr>
                <w:rFonts w:ascii="Arial" w:cs="Arial" w:eastAsia="Arial" w:hAnsi="Arial"/>
                <w:sz w:val="22"/>
                <w:szCs w:val="22"/>
                <w:b w:val="1"/>
                <w:bCs w:val="1"/>
                <w:color w:val="auto"/>
              </w:rPr>
              <w:t>BofA Merrill Lynch</w:t>
            </w:r>
          </w:p>
        </w:tc>
        <w:tc>
          <w:tcPr>
            <w:tcW w:w="2380" w:type="dxa"/>
            <w:vAlign w:val="bottom"/>
          </w:tcPr>
          <w:p>
            <w:pPr>
              <w:jc w:val="center"/>
              <w:spacing w:after="0"/>
              <w:rPr>
                <w:sz w:val="20"/>
                <w:szCs w:val="20"/>
                <w:color w:val="auto"/>
              </w:rPr>
            </w:pPr>
            <w:r>
              <w:rPr>
                <w:rFonts w:ascii="Arial" w:cs="Arial" w:eastAsia="Arial" w:hAnsi="Arial"/>
                <w:sz w:val="22"/>
                <w:szCs w:val="22"/>
                <w:b w:val="1"/>
                <w:bCs w:val="1"/>
                <w:color w:val="auto"/>
                <w:w w:val="94"/>
              </w:rPr>
              <w:t>RBC Capital Markets</w:t>
            </w:r>
          </w:p>
        </w:tc>
        <w:tc>
          <w:tcPr>
            <w:tcW w:w="4320" w:type="dxa"/>
            <w:vAlign w:val="bottom"/>
          </w:tcPr>
          <w:p>
            <w:pPr>
              <w:jc w:val="right"/>
              <w:spacing w:after="0"/>
              <w:rPr>
                <w:sz w:val="20"/>
                <w:szCs w:val="20"/>
                <w:color w:val="auto"/>
              </w:rPr>
            </w:pPr>
            <w:r>
              <w:rPr>
                <w:rFonts w:ascii="Arial" w:cs="Arial" w:eastAsia="Arial" w:hAnsi="Arial"/>
                <w:sz w:val="22"/>
                <w:szCs w:val="22"/>
                <w:b w:val="1"/>
                <w:bCs w:val="1"/>
                <w:color w:val="auto"/>
              </w:rPr>
              <w:t>TD Securities</w:t>
            </w:r>
          </w:p>
        </w:tc>
      </w:tr>
      <w:tr>
        <w:trPr>
          <w:trHeight w:val="233"/>
        </w:trPr>
        <w:tc>
          <w:tcPr>
            <w:tcW w:w="440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4320" w:type="dxa"/>
            <w:vAlign w:val="bottom"/>
          </w:tcPr>
          <w:p>
            <w:pPr>
              <w:spacing w:after="0"/>
              <w:rPr>
                <w:sz w:val="20"/>
                <w:szCs w:val="20"/>
                <w:color w:val="auto"/>
              </w:rPr>
            </w:pPr>
          </w:p>
        </w:tc>
      </w:tr>
      <w:tr>
        <w:trPr>
          <w:trHeight w:val="289"/>
        </w:trPr>
        <w:tc>
          <w:tcPr>
            <w:tcW w:w="440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i w:val="1"/>
                <w:iCs w:val="1"/>
                <w:color w:val="auto"/>
                <w:w w:val="89"/>
              </w:rPr>
              <w:t>Co-Managers</w:t>
            </w:r>
          </w:p>
        </w:tc>
        <w:tc>
          <w:tcPr>
            <w:tcW w:w="4320" w:type="dxa"/>
            <w:vAlign w:val="bottom"/>
          </w:tcPr>
          <w:p>
            <w:pPr>
              <w:spacing w:after="0"/>
              <w:rPr>
                <w:sz w:val="24"/>
                <w:szCs w:val="24"/>
                <w:color w:val="auto"/>
              </w:rPr>
            </w:pPr>
          </w:p>
        </w:tc>
      </w:tr>
      <w:tr>
        <w:trPr>
          <w:trHeight w:val="458"/>
        </w:trPr>
        <w:tc>
          <w:tcPr>
            <w:tcW w:w="440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2380" w:type="dxa"/>
            <w:vAlign w:val="bottom"/>
          </w:tcPr>
          <w:p>
            <w:pPr>
              <w:jc w:val="center"/>
              <w:spacing w:after="0"/>
              <w:rPr>
                <w:sz w:val="20"/>
                <w:szCs w:val="20"/>
                <w:color w:val="auto"/>
              </w:rPr>
            </w:pPr>
            <w:r>
              <w:rPr>
                <w:rFonts w:ascii="Arial" w:cs="Arial" w:eastAsia="Arial" w:hAnsi="Arial"/>
                <w:sz w:val="22"/>
                <w:szCs w:val="22"/>
                <w:b w:val="1"/>
                <w:bCs w:val="1"/>
                <w:color w:val="auto"/>
                <w:w w:val="89"/>
              </w:rPr>
              <w:t>Citigroup</w:t>
            </w:r>
          </w:p>
        </w:tc>
        <w:tc>
          <w:tcPr>
            <w:tcW w:w="4320" w:type="dxa"/>
            <w:vAlign w:val="bottom"/>
          </w:tcPr>
          <w:p>
            <w:pPr>
              <w:jc w:val="right"/>
              <w:spacing w:after="0"/>
              <w:rPr>
                <w:sz w:val="20"/>
                <w:szCs w:val="20"/>
                <w:color w:val="auto"/>
              </w:rPr>
            </w:pPr>
            <w:r>
              <w:rPr>
                <w:rFonts w:ascii="Arial" w:cs="Arial" w:eastAsia="Arial" w:hAnsi="Arial"/>
                <w:sz w:val="22"/>
                <w:szCs w:val="22"/>
                <w:b w:val="1"/>
                <w:bCs w:val="1"/>
                <w:color w:val="auto"/>
              </w:rPr>
              <w:t>Deutsche Bank Securities</w:t>
            </w:r>
          </w:p>
        </w:tc>
      </w:tr>
      <w:tr>
        <w:trPr>
          <w:trHeight w:val="351"/>
        </w:trPr>
        <w:tc>
          <w:tcPr>
            <w:tcW w:w="4400" w:type="dxa"/>
            <w:vAlign w:val="bottom"/>
          </w:tcPr>
          <w:p>
            <w:pPr>
              <w:spacing w:after="0"/>
              <w:rPr>
                <w:sz w:val="20"/>
                <w:szCs w:val="20"/>
                <w:color w:val="auto"/>
              </w:rPr>
            </w:pPr>
            <w:r>
              <w:rPr>
                <w:rFonts w:ascii="Arial" w:cs="Arial" w:eastAsia="Arial" w:hAnsi="Arial"/>
                <w:sz w:val="22"/>
                <w:szCs w:val="22"/>
                <w:b w:val="1"/>
                <w:bCs w:val="1"/>
                <w:color w:val="auto"/>
              </w:rPr>
              <w:t>Goldman, Sachs &amp; Co.</w:t>
            </w:r>
          </w:p>
        </w:tc>
        <w:tc>
          <w:tcPr>
            <w:tcW w:w="2380" w:type="dxa"/>
            <w:vAlign w:val="bottom"/>
          </w:tcPr>
          <w:p>
            <w:pPr>
              <w:jc w:val="center"/>
              <w:spacing w:after="0"/>
              <w:rPr>
                <w:sz w:val="20"/>
                <w:szCs w:val="20"/>
                <w:color w:val="auto"/>
              </w:rPr>
            </w:pPr>
            <w:r>
              <w:rPr>
                <w:rFonts w:ascii="Arial" w:cs="Arial" w:eastAsia="Arial" w:hAnsi="Arial"/>
                <w:sz w:val="22"/>
                <w:szCs w:val="22"/>
                <w:b w:val="1"/>
                <w:bCs w:val="1"/>
                <w:color w:val="auto"/>
                <w:w w:val="89"/>
              </w:rPr>
              <w:t>J.P. Morgan</w:t>
            </w:r>
          </w:p>
        </w:tc>
        <w:tc>
          <w:tcPr>
            <w:tcW w:w="4320" w:type="dxa"/>
            <w:vAlign w:val="bottom"/>
          </w:tcPr>
          <w:p>
            <w:pPr>
              <w:jc w:val="right"/>
              <w:spacing w:after="0"/>
              <w:rPr>
                <w:sz w:val="20"/>
                <w:szCs w:val="20"/>
                <w:color w:val="auto"/>
              </w:rPr>
            </w:pPr>
            <w:r>
              <w:rPr>
                <w:rFonts w:ascii="Arial" w:cs="Arial" w:eastAsia="Arial" w:hAnsi="Arial"/>
                <w:sz w:val="22"/>
                <w:szCs w:val="22"/>
                <w:b w:val="1"/>
                <w:bCs w:val="1"/>
                <w:color w:val="auto"/>
              </w:rPr>
              <w:t>Mizuho Securities</w:t>
            </w:r>
          </w:p>
        </w:tc>
      </w:tr>
      <w:tr>
        <w:trPr>
          <w:trHeight w:val="351"/>
        </w:trPr>
        <w:tc>
          <w:tcPr>
            <w:tcW w:w="4400" w:type="dxa"/>
            <w:vAlign w:val="bottom"/>
          </w:tcPr>
          <w:p>
            <w:pPr>
              <w:spacing w:after="0"/>
              <w:rPr>
                <w:sz w:val="20"/>
                <w:szCs w:val="20"/>
                <w:color w:val="auto"/>
              </w:rPr>
            </w:pPr>
            <w:r>
              <w:rPr>
                <w:rFonts w:ascii="Arial" w:cs="Arial" w:eastAsia="Arial" w:hAnsi="Arial"/>
                <w:sz w:val="22"/>
                <w:szCs w:val="22"/>
                <w:b w:val="1"/>
                <w:bCs w:val="1"/>
                <w:color w:val="auto"/>
              </w:rPr>
              <w:t>Morgan Stanley</w:t>
            </w:r>
          </w:p>
        </w:tc>
        <w:tc>
          <w:tcPr>
            <w:tcW w:w="2380" w:type="dxa"/>
            <w:vAlign w:val="bottom"/>
          </w:tcPr>
          <w:p>
            <w:pPr>
              <w:spacing w:after="0"/>
              <w:rPr>
                <w:sz w:val="24"/>
                <w:szCs w:val="24"/>
                <w:color w:val="auto"/>
              </w:rPr>
            </w:pPr>
          </w:p>
        </w:tc>
        <w:tc>
          <w:tcPr>
            <w:tcW w:w="4320" w:type="dxa"/>
            <w:vAlign w:val="bottom"/>
          </w:tcPr>
          <w:p>
            <w:pPr>
              <w:jc w:val="right"/>
              <w:spacing w:after="0"/>
              <w:rPr>
                <w:sz w:val="20"/>
                <w:szCs w:val="20"/>
                <w:color w:val="auto"/>
              </w:rPr>
            </w:pPr>
            <w:r>
              <w:rPr>
                <w:rFonts w:ascii="Arial" w:cs="Arial" w:eastAsia="Arial" w:hAnsi="Arial"/>
                <w:sz w:val="22"/>
                <w:szCs w:val="22"/>
                <w:b w:val="1"/>
                <w:bCs w:val="1"/>
                <w:color w:val="auto"/>
              </w:rPr>
              <w:t>SMBC Nikko</w:t>
            </w:r>
          </w:p>
        </w:tc>
      </w:tr>
      <w:tr>
        <w:trPr>
          <w:trHeight w:val="272"/>
        </w:trPr>
        <w:tc>
          <w:tcPr>
            <w:tcW w:w="4400" w:type="dxa"/>
            <w:vAlign w:val="bottom"/>
          </w:tcPr>
          <w:p>
            <w:pPr>
              <w:spacing w:after="0"/>
              <w:rPr>
                <w:sz w:val="20"/>
                <w:szCs w:val="20"/>
                <w:color w:val="auto"/>
              </w:rPr>
            </w:pPr>
            <w:r>
              <w:rPr>
                <w:rFonts w:ascii="Arial" w:cs="Arial" w:eastAsia="Arial" w:hAnsi="Arial"/>
                <w:sz w:val="18"/>
                <w:szCs w:val="18"/>
                <w:b w:val="1"/>
                <w:bCs w:val="1"/>
                <w:color w:val="auto"/>
              </w:rPr>
              <w:t>COMMERZBANK</w:t>
            </w:r>
          </w:p>
        </w:tc>
        <w:tc>
          <w:tcPr>
            <w:tcW w:w="2380" w:type="dxa"/>
            <w:vAlign w:val="bottom"/>
          </w:tcPr>
          <w:p>
            <w:pPr>
              <w:spacing w:after="0"/>
              <w:rPr>
                <w:sz w:val="23"/>
                <w:szCs w:val="23"/>
                <w:color w:val="auto"/>
              </w:rPr>
            </w:pPr>
          </w:p>
        </w:tc>
        <w:tc>
          <w:tcPr>
            <w:tcW w:w="4320" w:type="dxa"/>
            <w:vAlign w:val="bottom"/>
          </w:tcPr>
          <w:p>
            <w:pPr>
              <w:jc w:val="right"/>
              <w:spacing w:after="0"/>
              <w:rPr>
                <w:sz w:val="20"/>
                <w:szCs w:val="20"/>
                <w:color w:val="auto"/>
              </w:rPr>
            </w:pPr>
            <w:r>
              <w:rPr>
                <w:rFonts w:ascii="Arial" w:cs="Arial" w:eastAsia="Arial" w:hAnsi="Arial"/>
                <w:sz w:val="18"/>
                <w:szCs w:val="18"/>
                <w:b w:val="1"/>
                <w:bCs w:val="1"/>
                <w:color w:val="auto"/>
              </w:rPr>
              <w:t>DNB Markets</w:t>
            </w:r>
          </w:p>
        </w:tc>
      </w:tr>
      <w:tr>
        <w:trPr>
          <w:trHeight w:val="311"/>
        </w:trPr>
        <w:tc>
          <w:tcPr>
            <w:tcW w:w="4400" w:type="dxa"/>
            <w:vAlign w:val="bottom"/>
          </w:tcPr>
          <w:p>
            <w:pPr>
              <w:spacing w:after="0"/>
              <w:rPr>
                <w:sz w:val="20"/>
                <w:szCs w:val="20"/>
                <w:color w:val="auto"/>
              </w:rPr>
            </w:pPr>
            <w:r>
              <w:rPr>
                <w:rFonts w:ascii="Arial" w:cs="Arial" w:eastAsia="Arial" w:hAnsi="Arial"/>
                <w:sz w:val="18"/>
                <w:szCs w:val="18"/>
                <w:b w:val="1"/>
                <w:bCs w:val="1"/>
                <w:color w:val="auto"/>
              </w:rPr>
              <w:t>PNC Capital Markets LLC</w:t>
            </w:r>
          </w:p>
        </w:tc>
        <w:tc>
          <w:tcPr>
            <w:tcW w:w="2380" w:type="dxa"/>
            <w:vAlign w:val="bottom"/>
          </w:tcPr>
          <w:p>
            <w:pPr>
              <w:spacing w:after="0"/>
              <w:rPr>
                <w:sz w:val="24"/>
                <w:szCs w:val="24"/>
                <w:color w:val="auto"/>
              </w:rPr>
            </w:pPr>
          </w:p>
        </w:tc>
        <w:tc>
          <w:tcPr>
            <w:tcW w:w="4320" w:type="dxa"/>
            <w:vAlign w:val="bottom"/>
          </w:tcPr>
          <w:p>
            <w:pPr>
              <w:jc w:val="right"/>
              <w:spacing w:after="0"/>
              <w:rPr>
                <w:sz w:val="20"/>
                <w:szCs w:val="20"/>
                <w:color w:val="auto"/>
              </w:rPr>
            </w:pPr>
            <w:r>
              <w:rPr>
                <w:rFonts w:ascii="Arial" w:cs="Arial" w:eastAsia="Arial" w:hAnsi="Arial"/>
                <w:sz w:val="18"/>
                <w:szCs w:val="18"/>
                <w:b w:val="1"/>
                <w:bCs w:val="1"/>
                <w:color w:val="auto"/>
              </w:rPr>
              <w:t>US Bancorp</w:t>
            </w:r>
          </w:p>
        </w:tc>
      </w:tr>
      <w:tr>
        <w:trPr>
          <w:trHeight w:val="284"/>
        </w:trPr>
        <w:tc>
          <w:tcPr>
            <w:tcW w:w="4400" w:type="dxa"/>
            <w:vAlign w:val="bottom"/>
          </w:tcPr>
          <w:p>
            <w:pPr>
              <w:spacing w:after="0"/>
              <w:rPr>
                <w:sz w:val="20"/>
                <w:szCs w:val="20"/>
                <w:color w:val="auto"/>
              </w:rPr>
            </w:pPr>
            <w:r>
              <w:rPr>
                <w:rFonts w:ascii="Arial" w:cs="Arial" w:eastAsia="Arial" w:hAnsi="Arial"/>
                <w:sz w:val="18"/>
                <w:szCs w:val="18"/>
                <w:b w:val="1"/>
                <w:bCs w:val="1"/>
                <w:color w:val="auto"/>
              </w:rPr>
              <w:t>ICBC</w:t>
            </w:r>
          </w:p>
        </w:tc>
        <w:tc>
          <w:tcPr>
            <w:tcW w:w="2380" w:type="dxa"/>
            <w:vAlign w:val="bottom"/>
          </w:tcPr>
          <w:p>
            <w:pPr>
              <w:spacing w:after="0"/>
              <w:rPr>
                <w:sz w:val="24"/>
                <w:szCs w:val="24"/>
                <w:color w:val="auto"/>
              </w:rPr>
            </w:pPr>
          </w:p>
        </w:tc>
        <w:tc>
          <w:tcPr>
            <w:tcW w:w="4320" w:type="dxa"/>
            <w:vAlign w:val="bottom"/>
          </w:tcPr>
          <w:p>
            <w:pPr>
              <w:jc w:val="right"/>
              <w:spacing w:after="0"/>
              <w:rPr>
                <w:sz w:val="20"/>
                <w:szCs w:val="20"/>
                <w:color w:val="auto"/>
              </w:rPr>
            </w:pPr>
            <w:r>
              <w:rPr>
                <w:rFonts w:ascii="Arial" w:cs="Arial" w:eastAsia="Arial" w:hAnsi="Arial"/>
                <w:sz w:val="18"/>
                <w:szCs w:val="18"/>
                <w:b w:val="1"/>
                <w:bCs w:val="1"/>
                <w:color w:val="auto"/>
              </w:rPr>
              <w:t>SOCIETE GENERALE</w:t>
            </w:r>
          </w:p>
        </w:tc>
      </w:tr>
      <w:tr>
        <w:trPr>
          <w:trHeight w:val="271"/>
        </w:trPr>
        <w:tc>
          <w:tcPr>
            <w:tcW w:w="4400" w:type="dxa"/>
            <w:vAlign w:val="bottom"/>
          </w:tcPr>
          <w:p>
            <w:pPr>
              <w:spacing w:after="0"/>
              <w:rPr>
                <w:sz w:val="20"/>
                <w:szCs w:val="20"/>
                <w:color w:val="auto"/>
              </w:rPr>
            </w:pPr>
            <w:r>
              <w:rPr>
                <w:rFonts w:ascii="Arial" w:cs="Arial" w:eastAsia="Arial" w:hAnsi="Arial"/>
                <w:sz w:val="18"/>
                <w:szCs w:val="18"/>
                <w:b w:val="1"/>
                <w:bCs w:val="1"/>
                <w:color w:val="auto"/>
              </w:rPr>
              <w:t>Allen &amp; Company LLC</w:t>
            </w:r>
          </w:p>
        </w:tc>
        <w:tc>
          <w:tcPr>
            <w:tcW w:w="2380" w:type="dxa"/>
            <w:vAlign w:val="bottom"/>
          </w:tcPr>
          <w:p>
            <w:pPr>
              <w:spacing w:after="0"/>
              <w:rPr>
                <w:sz w:val="23"/>
                <w:szCs w:val="23"/>
                <w:color w:val="auto"/>
              </w:rPr>
            </w:pPr>
          </w:p>
        </w:tc>
        <w:tc>
          <w:tcPr>
            <w:tcW w:w="4320" w:type="dxa"/>
            <w:vAlign w:val="bottom"/>
          </w:tcPr>
          <w:p>
            <w:pPr>
              <w:jc w:val="right"/>
              <w:spacing w:after="0"/>
              <w:rPr>
                <w:sz w:val="20"/>
                <w:szCs w:val="20"/>
                <w:color w:val="auto"/>
              </w:rPr>
            </w:pPr>
            <w:r>
              <w:rPr>
                <w:rFonts w:ascii="Arial" w:cs="Arial" w:eastAsia="Arial" w:hAnsi="Arial"/>
                <w:sz w:val="18"/>
                <w:szCs w:val="18"/>
                <w:b w:val="1"/>
                <w:bCs w:val="1"/>
                <w:color w:val="auto"/>
              </w:rPr>
              <w:t>Evercore ISI</w:t>
            </w:r>
          </w:p>
        </w:tc>
      </w:tr>
      <w:tr>
        <w:trPr>
          <w:trHeight w:val="228"/>
        </w:trPr>
        <w:tc>
          <w:tcPr>
            <w:tcW w:w="4400" w:type="dxa"/>
            <w:vAlign w:val="bottom"/>
          </w:tcPr>
          <w:p>
            <w:pPr>
              <w:spacing w:after="0"/>
              <w:rPr>
                <w:sz w:val="20"/>
                <w:szCs w:val="20"/>
                <w:color w:val="auto"/>
              </w:rPr>
            </w:pPr>
            <w:r>
              <w:rPr>
                <w:rFonts w:ascii="Arial" w:cs="Arial" w:eastAsia="Arial" w:hAnsi="Arial"/>
                <w:sz w:val="18"/>
                <w:szCs w:val="18"/>
                <w:b w:val="1"/>
                <w:bCs w:val="1"/>
                <w:color w:val="auto"/>
              </w:rPr>
              <w:t>Academy Securities</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CastleOak Securities, L.P.</w:t>
            </w:r>
          </w:p>
        </w:tc>
        <w:tc>
          <w:tcPr>
            <w:tcW w:w="4320" w:type="dxa"/>
            <w:vAlign w:val="bottom"/>
          </w:tcPr>
          <w:p>
            <w:pPr>
              <w:jc w:val="right"/>
              <w:spacing w:after="0"/>
              <w:rPr>
                <w:sz w:val="20"/>
                <w:szCs w:val="20"/>
                <w:color w:val="auto"/>
              </w:rPr>
            </w:pPr>
            <w:r>
              <w:rPr>
                <w:rFonts w:ascii="Arial" w:cs="Arial" w:eastAsia="Arial" w:hAnsi="Arial"/>
                <w:sz w:val="18"/>
                <w:szCs w:val="18"/>
                <w:b w:val="1"/>
                <w:bCs w:val="1"/>
                <w:color w:val="auto"/>
              </w:rPr>
              <w:t>C.L. King &amp; Associates</w:t>
            </w:r>
          </w:p>
        </w:tc>
      </w:tr>
      <w:tr>
        <w:trPr>
          <w:trHeight w:val="231"/>
        </w:trPr>
        <w:tc>
          <w:tcPr>
            <w:tcW w:w="4400" w:type="dxa"/>
            <w:vAlign w:val="bottom"/>
          </w:tcPr>
          <w:p>
            <w:pPr>
              <w:spacing w:after="0"/>
              <w:rPr>
                <w:sz w:val="20"/>
                <w:szCs w:val="20"/>
                <w:color w:val="auto"/>
              </w:rPr>
            </w:pPr>
            <w:r>
              <w:rPr>
                <w:rFonts w:ascii="Arial" w:cs="Arial" w:eastAsia="Arial" w:hAnsi="Arial"/>
                <w:sz w:val="18"/>
                <w:szCs w:val="18"/>
                <w:b w:val="1"/>
                <w:bCs w:val="1"/>
                <w:color w:val="auto"/>
              </w:rPr>
              <w:t>Loop Capital Markets</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MFR Securities, Inc.</w:t>
            </w:r>
          </w:p>
        </w:tc>
        <w:tc>
          <w:tcPr>
            <w:tcW w:w="4320" w:type="dxa"/>
            <w:vAlign w:val="bottom"/>
          </w:tcPr>
          <w:p>
            <w:pPr>
              <w:jc w:val="right"/>
              <w:spacing w:after="0"/>
              <w:rPr>
                <w:sz w:val="20"/>
                <w:szCs w:val="20"/>
                <w:color w:val="auto"/>
              </w:rPr>
            </w:pPr>
            <w:r>
              <w:rPr>
                <w:rFonts w:ascii="Arial" w:cs="Arial" w:eastAsia="Arial" w:hAnsi="Arial"/>
                <w:sz w:val="18"/>
                <w:szCs w:val="18"/>
                <w:b w:val="1"/>
                <w:bCs w:val="1"/>
                <w:color w:val="auto"/>
              </w:rPr>
              <w:t>Mischler Financial Group, Inc.</w:t>
            </w:r>
          </w:p>
        </w:tc>
      </w:tr>
      <w:tr>
        <w:trPr>
          <w:trHeight w:val="228"/>
        </w:trPr>
        <w:tc>
          <w:tcPr>
            <w:tcW w:w="4400" w:type="dxa"/>
            <w:vAlign w:val="bottom"/>
          </w:tcPr>
          <w:p>
            <w:pPr>
              <w:spacing w:after="0"/>
              <w:rPr>
                <w:sz w:val="20"/>
                <w:szCs w:val="20"/>
                <w:color w:val="auto"/>
              </w:rPr>
            </w:pPr>
            <w:r>
              <w:rPr>
                <w:rFonts w:ascii="Arial" w:cs="Arial" w:eastAsia="Arial" w:hAnsi="Arial"/>
                <w:sz w:val="18"/>
                <w:szCs w:val="18"/>
                <w:b w:val="1"/>
                <w:bCs w:val="1"/>
                <w:color w:val="auto"/>
              </w:rPr>
              <w:t>Ramirez &amp; Co., Inc.</w:t>
            </w:r>
          </w:p>
        </w:tc>
        <w:tc>
          <w:tcPr>
            <w:tcW w:w="2380" w:type="dxa"/>
            <w:vAlign w:val="bottom"/>
          </w:tcPr>
          <w:p>
            <w:pPr>
              <w:spacing w:after="0"/>
              <w:rPr>
                <w:sz w:val="19"/>
                <w:szCs w:val="19"/>
                <w:color w:val="auto"/>
              </w:rPr>
            </w:pPr>
          </w:p>
        </w:tc>
        <w:tc>
          <w:tcPr>
            <w:tcW w:w="4320" w:type="dxa"/>
            <w:vAlign w:val="bottom"/>
          </w:tcPr>
          <w:p>
            <w:pPr>
              <w:jc w:val="right"/>
              <w:spacing w:after="0"/>
              <w:rPr>
                <w:sz w:val="20"/>
                <w:szCs w:val="20"/>
                <w:color w:val="auto"/>
              </w:rPr>
            </w:pPr>
            <w:r>
              <w:rPr>
                <w:rFonts w:ascii="Arial" w:cs="Arial" w:eastAsia="Arial" w:hAnsi="Arial"/>
                <w:sz w:val="18"/>
                <w:szCs w:val="18"/>
                <w:b w:val="1"/>
                <w:bCs w:val="1"/>
                <w:color w:val="auto"/>
              </w:rPr>
              <w:t>The Williams Capital Group, 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40"/>
          </w:cols>
          <w:pgMar w:left="240" w:top="459" w:right="319" w:bottom="337"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The date of this prospectus supplement is January 5, 2017.</w:t>
      </w:r>
    </w:p>
    <w:p>
      <w:pPr>
        <w:sectPr>
          <w:pgSz w:w="11900" w:h="16838" w:orient="portrait"/>
          <w:cols w:equalWidth="0" w:num="1">
            <w:col w:w="11340"/>
          </w:cols>
          <w:pgMar w:left="240" w:top="459" w:right="319" w:bottom="337"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17"/>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420" w:type="dxa"/>
            <w:vAlign w:val="bottom"/>
            <w:tcBorders>
              <w:top w:val="single" w:sz="8" w:color="0000EE"/>
            </w:tcBorders>
          </w:tcPr>
          <w:p>
            <w:pPr>
              <w:spacing w:after="0"/>
              <w:rPr>
                <w:sz w:val="18"/>
                <w:szCs w:val="18"/>
                <w:color w:val="auto"/>
              </w:rPr>
            </w:pPr>
          </w:p>
        </w:tc>
        <w:tc>
          <w:tcPr>
            <w:tcW w:w="8140" w:type="dxa"/>
            <w:vAlign w:val="bottom"/>
            <w:gridSpan w:val="5"/>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Ratios of Earnings to Fixed Charges and of Earnings to Combined Fixed Charges and Preferred Dividends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the Notes</w:t>
              </w:r>
            </w:hyperlink>
          </w:p>
        </w:tc>
        <w:tc>
          <w:tcPr>
            <w:tcW w:w="346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Material U.S. Federal Income Tax Consequences for Non-U.S. Holders</w:t>
              </w:r>
            </w:hyperlink>
          </w:p>
        </w:tc>
        <w:tc>
          <w:tcPr>
            <w:tcW w:w="592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Underwriting</w:t>
              </w:r>
            </w:hyperlink>
          </w:p>
        </w:tc>
        <w:tc>
          <w:tcPr>
            <w:tcW w:w="9980" w:type="dxa"/>
            <w:vAlign w:val="bottom"/>
            <w:gridSpan w:val="1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S-14</w:t>
            </w: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Experts</w:t>
              </w:r>
            </w:hyperlink>
          </w:p>
        </w:tc>
        <w:tc>
          <w:tcPr>
            <w:tcW w:w="9960" w:type="dxa"/>
            <w:vAlign w:val="bottom"/>
            <w:gridSpan w:val="1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26">
              <w:r>
                <w:rPr>
                  <w:rFonts w:ascii="Arial" w:cs="Arial" w:eastAsia="Arial" w:hAnsi="Arial"/>
                  <w:sz w:val="18"/>
                  <w:szCs w:val="18"/>
                  <w:color w:val="0000EE"/>
                  <w:w w:val="86"/>
                </w:rPr>
                <w:t>The Companies</w:t>
              </w:r>
            </w:hyperlink>
          </w:p>
        </w:tc>
        <w:tc>
          <w:tcPr>
            <w:tcW w:w="980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Caution Concerning Forward-Looking Statements</w:t>
              </w:r>
            </w:hyperlink>
          </w:p>
        </w:tc>
        <w:tc>
          <w:tcPr>
            <w:tcW w:w="74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Dividend Policy</w:t>
              </w:r>
            </w:hyperlink>
          </w:p>
        </w:tc>
        <w:tc>
          <w:tcPr>
            <w:tcW w:w="978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Ratios of Earnings to Fixed Charges and of Earnings to Combined Fixed Charges and Preferred Dividends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Description of Debt Securities and Guarantees</w:t>
              </w:r>
            </w:hyperlink>
          </w:p>
        </w:tc>
        <w:tc>
          <w:tcPr>
            <w:tcW w:w="34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Global Securities</w:t>
              </w:r>
            </w:hyperlink>
          </w:p>
        </w:tc>
        <w:tc>
          <w:tcPr>
            <w:tcW w:w="768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Description of Capital Stock</w:t>
              </w:r>
            </w:hyperlink>
          </w:p>
        </w:tc>
        <w:tc>
          <w:tcPr>
            <w:tcW w:w="892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Plan of Distribution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954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996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Available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Incorporation of Certain Documents by Reference</w:t>
              </w:r>
            </w:hyperlink>
          </w:p>
        </w:tc>
        <w:tc>
          <w:tcPr>
            <w:tcW w:w="74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prospectus supplement incorporates by reference the documents of Comcast and NBCUniversal Media, LLC (“NBCUniversal”) set forth below that we or NBCUniversal have previously filed with the SEC:</w:t>
      </w:r>
    </w:p>
    <w:p>
      <w:pPr>
        <w:spacing w:after="0" w:line="5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2015, filed on February 5, 2016.</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2016, June 30, 2016 and September 30, 2016 filed on April 27, 2016, July 27, 2016 and October 26, 2016, respectively.</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Comcast’s Current Reports on Form 8-K and amendments thereto filed on February 17, 2016, February 23, 2016, March 30, 2016, May 24, 2016, May 26, 2016, May 31, 2016 (other than Item 7.01 thereto), July 1, 2016, July 19, 2016, July 28, 2016 and December 7, 2016.</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NBCUniversal’s Current Report on Form 8-K filed on September 12, 2016.</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2016 annual meeting of shareholders incorporated by reference in Comcast’s Annual Report on Form 10-K for the year ended December 31, 2015.</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75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53" w:lineRule="exact"/>
        <w:rPr>
          <w:sz w:val="20"/>
          <w:szCs w:val="20"/>
          <w:color w:val="auto"/>
        </w:rPr>
      </w:pPr>
    </w:p>
    <w:p>
      <w:pPr>
        <w:ind w:left="1060" w:right="420" w:hanging="323"/>
        <w:spacing w:after="0" w:line="26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to residential customers under the XFINITY brand, and we also provide these and other services to business customers and sell advertising.</w:t>
      </w:r>
    </w:p>
    <w:p>
      <w:pPr>
        <w:spacing w:after="0" w:line="51" w:lineRule="exact"/>
        <w:rPr>
          <w:rFonts w:ascii="Arial" w:cs="Arial" w:eastAsia="Arial" w:hAnsi="Arial"/>
          <w:sz w:val="18"/>
          <w:szCs w:val="18"/>
          <w:color w:val="auto"/>
        </w:rPr>
      </w:pPr>
    </w:p>
    <w:p>
      <w:pPr>
        <w:ind w:left="1060" w:right="14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cable television studio production operations.</w:t>
      </w:r>
    </w:p>
    <w:p>
      <w:pPr>
        <w:spacing w:after="0" w:line="38" w:lineRule="exact"/>
        <w:rPr>
          <w:rFonts w:ascii="Arial" w:cs="Arial" w:eastAsia="Arial" w:hAnsi="Arial"/>
          <w:sz w:val="18"/>
          <w:szCs w:val="18"/>
          <w:color w:val="auto"/>
        </w:rPr>
      </w:pPr>
    </w:p>
    <w:p>
      <w:pPr>
        <w:ind w:left="1060" w:right="32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and our broadcast television studio production operations.</w:t>
      </w:r>
    </w:p>
    <w:p>
      <w:pPr>
        <w:spacing w:after="0" w:line="38" w:lineRule="exact"/>
        <w:rPr>
          <w:rFonts w:ascii="Arial" w:cs="Arial" w:eastAsia="Arial" w:hAnsi="Arial"/>
          <w:sz w:val="18"/>
          <w:szCs w:val="18"/>
          <w:color w:val="auto"/>
        </w:rPr>
      </w:pPr>
    </w:p>
    <w:p>
      <w:pPr>
        <w:ind w:left="1060" w:right="22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 and DreamWorks Animation, which we acquired in August 2016.</w:t>
      </w:r>
    </w:p>
    <w:p>
      <w:pPr>
        <w:spacing w:after="0" w:line="38" w:lineRule="exact"/>
        <w:rPr>
          <w:rFonts w:ascii="Arial" w:cs="Arial" w:eastAsia="Arial" w:hAnsi="Arial"/>
          <w:sz w:val="18"/>
          <w:szCs w:val="18"/>
          <w:color w:val="auto"/>
        </w:rPr>
      </w:pPr>
    </w:p>
    <w:p>
      <w:pPr>
        <w:ind w:left="1060" w:right="36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and Hollywood, California and our 51% interest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Universal Studios theme park located in Osaka, Japan, which we acquired in November 2015.</w:t>
      </w:r>
    </w:p>
    <w:p>
      <w:pPr>
        <w:spacing w:after="0" w:line="126" w:lineRule="exact"/>
        <w:rPr>
          <w:sz w:val="20"/>
          <w:szCs w:val="20"/>
          <w:color w:val="auto"/>
        </w:rPr>
      </w:pPr>
    </w:p>
    <w:p>
      <w:pPr>
        <w:ind w:left="200" w:right="560" w:firstLine="443"/>
        <w:spacing w:after="0" w:line="268" w:lineRule="auto"/>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 and are collectively referred to as the “NBCUniversal segments.”</w:t>
      </w:r>
    </w:p>
    <w:p>
      <w:pPr>
        <w:spacing w:after="0" w:line="132" w:lineRule="exact"/>
        <w:rPr>
          <w:sz w:val="20"/>
          <w:szCs w:val="20"/>
          <w:color w:val="auto"/>
        </w:rPr>
      </w:pPr>
    </w:p>
    <w:p>
      <w:pPr>
        <w:ind w:left="200" w:right="800" w:firstLine="443"/>
        <w:spacing w:after="0" w:line="268"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132" w:lineRule="exact"/>
        <w:rPr>
          <w:sz w:val="20"/>
          <w:szCs w:val="20"/>
          <w:color w:val="auto"/>
        </w:rPr>
      </w:pPr>
    </w:p>
    <w:p>
      <w:pPr>
        <w:ind w:left="200" w:right="180" w:firstLine="443"/>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38" w:lineRule="exact"/>
        <w:rPr>
          <w:sz w:val="20"/>
          <w:szCs w:val="20"/>
          <w:color w:val="auto"/>
        </w:rPr>
      </w:pPr>
    </w:p>
    <w:p>
      <w:pPr>
        <w:ind w:left="200" w:right="380" w:hanging="3"/>
        <w:spacing w:after="0" w:line="261"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jc w:val="both"/>
        <w:ind w:left="200" w:firstLine="443"/>
        <w:spacing w:after="0" w:line="306" w:lineRule="auto"/>
        <w:rPr>
          <w:sz w:val="20"/>
          <w:szCs w:val="20"/>
          <w:color w:val="auto"/>
        </w:rPr>
      </w:pPr>
      <w:r>
        <w:rPr>
          <w:rFonts w:ascii="Arial" w:cs="Arial" w:eastAsia="Arial" w:hAnsi="Arial"/>
          <w:sz w:val="16"/>
          <w:szCs w:val="16"/>
          <w:color w:val="auto"/>
        </w:rPr>
        <w:t>Our obligations, including the payment of principal, premium, if any, and interest on the notes will be fully and unconditionally guaranteed by each of Comcast Cable Communications, LLC (“Comcast Cable Communications”) and NBCUniversal. In this prospectus supplement, we refer to these guarantors as the guarantors and to these guarantees as the guarantees. Effective October 1, 2015, three former guarantors,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659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1659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Comcast Cable Holdings, LLC, Comcast MO of Delaware, LLC and Comcast MO Group, LLC, merged with and into Comcast Cable Communications.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6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94" w:lineRule="exact"/>
        <w:rPr>
          <w:sz w:val="20"/>
          <w:szCs w:val="20"/>
          <w:color w:val="auto"/>
        </w:rPr>
      </w:pPr>
    </w:p>
    <w:p>
      <w:pPr>
        <w:ind w:left="200" w:right="260" w:firstLine="443"/>
        <w:spacing w:after="0" w:line="268" w:lineRule="auto"/>
        <w:rPr>
          <w:sz w:val="20"/>
          <w:szCs w:val="20"/>
          <w:color w:val="auto"/>
        </w:rPr>
      </w:pPr>
      <w:r>
        <w:rPr>
          <w:rFonts w:ascii="Arial" w:cs="Arial" w:eastAsia="Arial" w:hAnsi="Arial"/>
          <w:sz w:val="18"/>
          <w:szCs w:val="18"/>
          <w:color w:val="auto"/>
        </w:rPr>
        <w:t>Comcast Cable Communications’ principal place of business is One Comcast Center, Philadelphia, Pennsylvania 19103-2838. NBCUniversal’s principal executive offices are located at 30 Rockefeller Plaza, New York, New York 10112-0015.</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80"/>
          </w:cols>
          <w:pgMar w:left="24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5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635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Comcast Corporation.</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$1,250,000,000 aggregate principal amount of 3.00% Notes due 2024.</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60"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$1,250,000,000 aggregate principal amount of 3.30% Notes due 2027.</w:t>
      </w:r>
    </w:p>
    <w:p>
      <w:pPr>
        <w:sectPr>
          <w:pgSz w:w="11900" w:h="16838" w:orient="portrait"/>
          <w:cols w:equalWidth="0" w:num="1">
            <w:col w:w="11240"/>
          </w:cols>
          <w:pgMar w:left="240" w:top="459" w:right="419" w:bottom="1440" w:gutter="0" w:footer="0" w:header="0"/>
          <w:type w:val="continuous"/>
        </w:sect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Maturity</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The Notes due 2024 will mature on February 1, 2024.</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8"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The Notes due 2027 will mature on February 1, 2027.</w:t>
      </w:r>
    </w:p>
    <w:p>
      <w:pPr>
        <w:sectPr>
          <w:pgSz w:w="11900" w:h="16838" w:orient="portrait"/>
          <w:cols w:equalWidth="0" w:num="1">
            <w:col w:w="11240"/>
          </w:cols>
          <w:pgMar w:left="240" w:top="459" w:right="419" w:bottom="1440" w:gutter="0" w:footer="0" w:header="0"/>
          <w:type w:val="continuous"/>
        </w:sect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Interest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Interest on the Notes due 2024 will accrue at the rate of 3.00% per year, payable semiannually in cash in arrears on February 1 and August 1, beginning August 1, 2017. Interest on the Notes due 2027 will accrue at the rate of 3.30% per year, payable semiannually in cash in arrears on February 1 and August 1, beginning August 1, 2017.</w:t>
      </w:r>
    </w:p>
    <w:p>
      <w:pPr>
        <w:spacing w:after="0" w:line="15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The notes will be unsecured and will rank equally with all of our and the guarantors’ unsecured and unsubordinated indebtedness.</w:t>
      </w:r>
    </w:p>
    <w:p>
      <w:pPr>
        <w:spacing w:after="0" w:line="172"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Guarantors</w:t>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Arial" w:cs="Arial" w:eastAsia="Arial" w:hAnsi="Arial"/>
          <w:sz w:val="16"/>
          <w:szCs w:val="16"/>
          <w:color w:val="auto"/>
        </w:rPr>
        <w:t>Comcast Cable Communications and NBCUniversal.</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Guarantees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guarantors will fully and unconditionally guarantee the notes, including the payment of principal, premium, if any, and interest. The guarantees will rank equally with all other general unsecured and unsubordinated obligations of the guarantors.</w:t>
      </w:r>
    </w:p>
    <w:p>
      <w:pPr>
        <w:spacing w:after="0" w:line="147"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We may, at our option, redeem any series of notes, in whole or in part, at any time at the applicable Redemption Price determined as set forth under the heading “Description of the Notes —Optional Redemption.”</w:t>
      </w:r>
    </w:p>
    <w:p>
      <w:pPr>
        <w:spacing w:after="0" w:line="18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80"/>
        <w:spacing w:after="0" w:line="291" w:lineRule="auto"/>
        <w:rPr>
          <w:sz w:val="20"/>
          <w:szCs w:val="20"/>
          <w:color w:val="auto"/>
        </w:rPr>
      </w:pPr>
      <w:r>
        <w:rPr>
          <w:rFonts w:ascii="Arial" w:cs="Arial" w:eastAsia="Arial" w:hAnsi="Arial"/>
          <w:sz w:val="16"/>
          <w:szCs w:val="16"/>
          <w:color w:val="auto"/>
        </w:rPr>
        <w:t>We intend to use the net proceeds from the offering, after deducting underwriters’ discount and expenses, for working capital and general corporate purposes, which may include redemption or repayment of our 6.500% notes due January 15, 2017 ($1 billion principal amount outstanding) and repayment of a portion of our outstanding commercial paper. As of January 5, 2017, our commercial paper had a weighted average annual interest rate of approximately 1.020% and a weighted average remaining maturity of approximately 17 days.</w:t>
      </w:r>
    </w:p>
    <w:p>
      <w:pPr>
        <w:spacing w:after="0" w:line="16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Book-Entry</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The notes will be issued in book-entry form and will be represented by global notes deposited with, or on behalf of, DTC and registered in the name of DTC or its nominees. Beneficial interests in any of the notes will be shown on, and transfers will be effected only through, records maintained by DTC or its nominee or indirectly through organizations that have accounts with DTC, including Euroclear and Clearstream, and these beneficial interests may not be exchanged for certificated notes, except in limited circumstances. See “Description of the Notes—Book-Entry System” in this prospectus supplement.</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240"/>
          </w:cols>
          <w:pgMar w:left="240" w:top="459" w:right="4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intend to use the net proceeds from the offering, after deducting underwriters’ discount and expenses, for working capital and general corporate purposes, which may include redemption or repayment of our 6.500% notes due January 15, 2017 ($1 billion principal amount outstanding) and repayment of a portion of our outstanding commercial paper. As of January 5, 2017, our commercial paper had a weighted average annual interest rate of approximately 1.020% and a weighted average remaining maturity of approximately 17 days.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FIXED 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tcPr>
          <w:p>
            <w:pPr>
              <w:ind w:left="600"/>
              <w:spacing w:after="0"/>
              <w:rPr>
                <w:sz w:val="20"/>
                <w:szCs w:val="20"/>
                <w:color w:val="auto"/>
              </w:rPr>
            </w:pPr>
            <w:r>
              <w:rPr>
                <w:rFonts w:ascii="Arial" w:cs="Arial" w:eastAsia="Arial" w:hAnsi="Arial"/>
                <w:sz w:val="14"/>
                <w:szCs w:val="14"/>
                <w:b w:val="1"/>
                <w:bCs w:val="1"/>
                <w:color w:val="auto"/>
              </w:rPr>
              <w:t>For the Nine Months</w:t>
            </w: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5"/>
        </w:trPr>
        <w:tc>
          <w:tcPr>
            <w:tcW w:w="2540" w:type="dxa"/>
            <w:vAlign w:val="bottom"/>
            <w:gridSpan w:val="2"/>
          </w:tcPr>
          <w:p>
            <w:pPr>
              <w:ind w:left="600"/>
              <w:spacing w:after="0"/>
              <w:rPr>
                <w:sz w:val="20"/>
                <w:szCs w:val="20"/>
                <w:color w:val="auto"/>
              </w:rPr>
            </w:pPr>
            <w:r>
              <w:rPr>
                <w:rFonts w:ascii="Arial" w:cs="Arial" w:eastAsia="Arial" w:hAnsi="Arial"/>
                <w:sz w:val="14"/>
                <w:szCs w:val="14"/>
                <w:b w:val="1"/>
                <w:bCs w:val="1"/>
                <w:color w:val="auto"/>
              </w:rPr>
              <w:t>Ended September 30,</w:t>
            </w: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320" w:type="dxa"/>
            <w:vAlign w:val="bottom"/>
            <w:gridSpan w:val="4"/>
          </w:tcPr>
          <w:p>
            <w:pPr>
              <w:ind w:left="280"/>
              <w:spacing w:after="0"/>
              <w:rPr>
                <w:sz w:val="20"/>
                <w:szCs w:val="20"/>
                <w:color w:val="auto"/>
              </w:rPr>
            </w:pPr>
            <w:r>
              <w:rPr>
                <w:rFonts w:ascii="Arial" w:cs="Arial" w:eastAsia="Arial" w:hAnsi="Arial"/>
                <w:sz w:val="14"/>
                <w:szCs w:val="14"/>
                <w:b w:val="1"/>
                <w:bCs w:val="1"/>
                <w:color w:val="auto"/>
                <w:w w:val="87"/>
              </w:rPr>
              <w:t>For the Years Ended December 31,</w:t>
            </w: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56"/>
        </w:trPr>
        <w:tc>
          <w:tcPr>
            <w:tcW w:w="2420" w:type="dxa"/>
            <w:vAlign w:val="bottom"/>
            <w:tcBorders>
              <w:top w:val="single" w:sz="8" w:color="auto"/>
            </w:tcBorders>
          </w:tcPr>
          <w:p>
            <w:pPr>
              <w:jc w:val="right"/>
              <w:ind w:right="1007"/>
              <w:spacing w:after="0" w:line="156"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700" w:type="dxa"/>
            <w:vAlign w:val="bottom"/>
            <w:tcBorders>
              <w:top w:val="single" w:sz="8" w:color="auto"/>
            </w:tcBorders>
          </w:tcPr>
          <w:p>
            <w:pPr>
              <w:jc w:val="right"/>
              <w:ind w:right="642"/>
              <w:spacing w:after="0" w:line="156"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62"/>
              <w:spacing w:after="0" w:line="156" w:lineRule="exact"/>
              <w:rPr>
                <w:sz w:val="20"/>
                <w:szCs w:val="20"/>
                <w:color w:val="auto"/>
              </w:rPr>
            </w:pPr>
            <w:r>
              <w:rPr>
                <w:rFonts w:ascii="Arial" w:cs="Arial" w:eastAsia="Arial" w:hAnsi="Arial"/>
                <w:sz w:val="14"/>
                <w:szCs w:val="14"/>
                <w:b w:val="1"/>
                <w:bCs w:val="1"/>
                <w:color w:val="auto"/>
              </w:rPr>
              <w:t>2014</w:t>
            </w:r>
          </w:p>
        </w:tc>
        <w:tc>
          <w:tcPr>
            <w:tcW w:w="2200" w:type="dxa"/>
            <w:vAlign w:val="bottom"/>
            <w:tcBorders>
              <w:top w:val="single" w:sz="8" w:color="auto"/>
            </w:tcBorders>
            <w:gridSpan w:val="3"/>
          </w:tcPr>
          <w:p>
            <w:pPr>
              <w:jc w:val="right"/>
              <w:ind w:right="612"/>
              <w:spacing w:after="0" w:line="156"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right"/>
              <w:ind w:right="642"/>
              <w:spacing w:after="0" w:line="156"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582"/>
              <w:spacing w:after="0" w:line="156" w:lineRule="exact"/>
              <w:rPr>
                <w:sz w:val="20"/>
                <w:szCs w:val="20"/>
                <w:color w:val="auto"/>
              </w:rPr>
            </w:pPr>
            <w:r>
              <w:rPr>
                <w:rFonts w:ascii="Arial" w:cs="Arial" w:eastAsia="Arial" w:hAnsi="Arial"/>
                <w:sz w:val="14"/>
                <w:szCs w:val="14"/>
                <w:b w:val="1"/>
                <w:bCs w:val="1"/>
                <w:color w:val="auto"/>
              </w:rPr>
              <w:t>2011</w:t>
            </w:r>
          </w:p>
        </w:tc>
      </w:tr>
      <w:tr>
        <w:trPr>
          <w:trHeight w:val="223"/>
        </w:trPr>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5.25x</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5.48x</w:t>
            </w: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left="302"/>
              <w:spacing w:after="0"/>
              <w:rPr>
                <w:sz w:val="20"/>
                <w:szCs w:val="20"/>
                <w:color w:val="auto"/>
              </w:rPr>
            </w:pPr>
            <w:r>
              <w:rPr>
                <w:rFonts w:ascii="Arial" w:cs="Arial" w:eastAsia="Arial" w:hAnsi="Arial"/>
                <w:sz w:val="18"/>
                <w:szCs w:val="18"/>
                <w:color w:val="auto"/>
                <w:w w:val="86"/>
              </w:rPr>
              <w:t>5.22x</w:t>
            </w:r>
          </w:p>
        </w:tc>
        <w:tc>
          <w:tcPr>
            <w:tcW w:w="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4.85x</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4.82x</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4.04x</w:t>
            </w:r>
          </w:p>
        </w:tc>
      </w:tr>
    </w:tbl>
    <w:p>
      <w:pPr>
        <w:spacing w:after="0" w:line="154"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We are offering $1,250,000,000 aggregate principal amount of our 3.00% Notes due 2024 and $1,250,000,000 aggregate principal amount of our 3.30% Notes due 2027. The Notes due 2024 and the Notes due 2027 will each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Communications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additional notes are not fungible with the notes of the applicable series offered hereby for U.S. federal income tax purposes, such additional notes will have one or more separate CUSIP numbers. Copies of the indenture and the form of notes are available from us upon request.</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will rank equally with all of our other unsecured and unsubordinated debt and will be entitled to the benefits of the guarantees described below;</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$2,500,000,000 comprised as follows:</w:t>
      </w:r>
    </w:p>
    <w:p>
      <w:pPr>
        <w:spacing w:after="0" w:line="90" w:lineRule="exact"/>
        <w:rPr>
          <w:rFonts w:ascii="Arial" w:cs="Arial" w:eastAsia="Arial" w:hAnsi="Arial"/>
          <w:sz w:val="18"/>
          <w:szCs w:val="18"/>
          <w:color w:val="auto"/>
        </w:rPr>
      </w:pPr>
    </w:p>
    <w:p>
      <w:pPr>
        <w:ind w:left="1480" w:right="300" w:hanging="446"/>
        <w:spacing w:after="0" w:line="357" w:lineRule="auto"/>
        <w:tabs>
          <w:tab w:leader="none" w:pos="1480" w:val="left"/>
        </w:tabs>
        <w:numPr>
          <w:ilvl w:val="1"/>
          <w:numId w:val="7"/>
        </w:numPr>
        <w:rPr>
          <w:rFonts w:ascii="Arial" w:cs="Arial" w:eastAsia="Arial" w:hAnsi="Arial"/>
          <w:sz w:val="15"/>
          <w:szCs w:val="15"/>
          <w:color w:val="auto"/>
        </w:rPr>
      </w:pPr>
      <w:r>
        <w:rPr>
          <w:rFonts w:ascii="Arial" w:cs="Arial" w:eastAsia="Arial" w:hAnsi="Arial"/>
          <w:sz w:val="15"/>
          <w:szCs w:val="15"/>
          <w:color w:val="auto"/>
        </w:rPr>
        <w:t>$1,250,000,000 initial aggregate principal amount of 3.00% Notes due 2024, maturing on February 1, 2024, with interest payable semiannually on each February 1 and August 1, beginning August 1, 2017, to holders of record on the preceding January 15 and July 15;</w:t>
      </w:r>
    </w:p>
    <w:p>
      <w:pPr>
        <w:ind w:left="1480" w:hanging="446"/>
        <w:spacing w:after="0" w:line="357" w:lineRule="auto"/>
        <w:tabs>
          <w:tab w:leader="none" w:pos="1480" w:val="left"/>
        </w:tabs>
        <w:numPr>
          <w:ilvl w:val="1"/>
          <w:numId w:val="7"/>
        </w:numPr>
        <w:rPr>
          <w:rFonts w:ascii="Arial" w:cs="Arial" w:eastAsia="Arial" w:hAnsi="Arial"/>
          <w:sz w:val="15"/>
          <w:szCs w:val="15"/>
          <w:color w:val="auto"/>
        </w:rPr>
      </w:pPr>
      <w:r>
        <w:rPr>
          <w:rFonts w:ascii="Arial" w:cs="Arial" w:eastAsia="Arial" w:hAnsi="Arial"/>
          <w:sz w:val="15"/>
          <w:szCs w:val="15"/>
          <w:color w:val="auto"/>
        </w:rPr>
        <w:t>$1,250,000,000 initial aggregate principal amount of 3.30% Notes due 2027, maturing on February 1, 2027, with interest payable semiannually on each February 1 and August 1, beginning August 1, 2017, to holders of record on the preceding January 15 and July 15; and</w:t>
      </w: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(i) the earlier of January 10, 2017 and the date of original issuance or (ii) from the most recent interest payment date to which interest has been paid, and will be payable semiannually on interest payment dates described for each year.</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will have the right at our option to redeem any of the notes of each series in whole or in part, at any time or from time to time prior to their maturity, on at least 30 days, but not more than 60 days, prior notice mailed to the registered address of each holder of notes, at the applicable Redemption Price.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“Redemption Price” means:</w:t>
      </w:r>
    </w:p>
    <w:p>
      <w:pPr>
        <w:spacing w:after="0" w:line="171" w:lineRule="exact"/>
        <w:rPr>
          <w:sz w:val="20"/>
          <w:szCs w:val="20"/>
          <w:color w:val="auto"/>
        </w:rPr>
      </w:pPr>
    </w:p>
    <w:p>
      <w:pPr>
        <w:ind w:right="40" w:firstLine="464"/>
        <w:spacing w:after="0" w:line="254"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Notes due 2024, at any time prior to January 1, 2024 (one month prior to the maturity of the Notes due 2024) (the “2024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2024 Par Call Date, in each case discounted to the redemption date on a semiannual basis (assuming a 360-day year consisting of twelve 30-day months) at the Treasury Rate plus 15 basis points; provided that, if the Notes due 2024 are redeemed on or after the 2024 Par Call Date, the Redemption Price will equal 100% of the principal amount of such notes; and</w:t>
      </w:r>
    </w:p>
    <w:p>
      <w:pPr>
        <w:spacing w:after="0" w:line="144" w:lineRule="exact"/>
        <w:rPr>
          <w:rFonts w:ascii="Arial" w:cs="Arial" w:eastAsia="Arial" w:hAnsi="Arial"/>
          <w:sz w:val="18"/>
          <w:szCs w:val="18"/>
          <w:color w:val="auto"/>
        </w:rPr>
      </w:pPr>
    </w:p>
    <w:p>
      <w:pPr>
        <w:ind w:right="40" w:firstLine="464"/>
        <w:spacing w:after="0" w:line="254"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Notes due 2027, at any time prior to November 1, 2026 (three months prior to the maturity of the Notes due 2027) (the “2027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2027 Par Call Date, in each case discounted to the redemption date on a semiannual basis (assuming a 360-day year consisting of twelve 30-day months) at the Treasury Rate plus 15 basis points; provided that, if the Notes due 2027 are redeemed on or after the 2027 Par Call Date, the Redemption Price will equal 100% of the principal amount of such notes,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to the date of redemption.</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calculated as if the maturity date of such series of notes were the applicable Par Call Date (the “Remaining Life”) that would be utilized, at the time of selection and in accordance with customary financial practice, in pricing new issues of corporate debt securities of comparable maturity to the Remaining Life of such notes.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“Independent Investment Banker” means one of the Reference Treasury Dealers appointed by us. “Comparable Treasury Price” means, with respect to any redemption date, (i) the average of the Reference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“Reference Treasury Dealer” means each of BNP Paribas Securities Corp., Credit Suisse Securities (USA) LLC and Wells Fargo Securities,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(provided that interests in notes represented by a Global Note will be selected for redemption by The Depository Trust Company in accordance with its standard procedures therefor). Additionally, we may at any time repurchase notes in the open market and may hold or surrender such notes to the trustee for cancellation.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DTC</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84" w:lineRule="auto"/>
        <w:rPr>
          <w:sz w:val="20"/>
          <w:szCs w:val="20"/>
          <w:color w:val="auto"/>
        </w:rPr>
      </w:pPr>
      <w:r>
        <w:rPr>
          <w:rFonts w:ascii="Arial" w:cs="Arial" w:eastAsia="Arial" w:hAnsi="Arial"/>
          <w:sz w:val="16"/>
          <w:szCs w:val="16"/>
          <w:color w:val="auto"/>
        </w:rPr>
        <w:t>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All amounts payable under the notes will be payable in U.S. dollars, except as may otherwise be agreed between any applicable securities clearing system and any holders. Payments will be subject in all cases to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51" w:lineRule="exact"/>
        <w:rPr>
          <w:sz w:val="20"/>
          <w:szCs w:val="20"/>
          <w:color w:val="auto"/>
        </w:rPr>
      </w:pPr>
    </w:p>
    <w:p>
      <w:pPr>
        <w:ind w:left="900" w:right="5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51" w:lineRule="exact"/>
        <w:rPr>
          <w:sz w:val="20"/>
          <w:szCs w:val="20"/>
          <w:color w:val="auto"/>
        </w:rPr>
      </w:pPr>
    </w:p>
    <w:p>
      <w:pPr>
        <w:jc w:val="both"/>
        <w:ind w:left="900" w:right="8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71"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or her tax advisor.</w:t>
      </w:r>
    </w:p>
    <w:p>
      <w:pPr>
        <w:spacing w:after="0" w:line="6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This summary is based on the United States Internal Revenue Code of 1986, as amended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59" w:lineRule="exact"/>
        <w:rPr>
          <w:sz w:val="20"/>
          <w:szCs w:val="20"/>
          <w:color w:val="auto"/>
        </w:rPr>
      </w:pPr>
    </w:p>
    <w:p>
      <w:pPr>
        <w:ind w:left="900" w:right="1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or W-8BEN-E, as appropriate, under penalties of perjury, that it is not a U.S. person.</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Provisions commonly referred to as “FATCA” impose withholding of 30% on payments of U.S.-source interest and, for dispositions after December 31, 2018,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will not pay additional amounts with respect to any withholding taxes.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Principal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4"/>
              </w:rPr>
              <w:t>Amount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Underwriter</w:t>
            </w: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6"/>
              </w:rPr>
              <w:t>Notes Due 2024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Notes Due 2027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15"/>
              <w:spacing w:after="0" w:line="148" w:lineRule="exact"/>
              <w:rPr>
                <w:sz w:val="20"/>
                <w:szCs w:val="20"/>
                <w:color w:val="auto"/>
              </w:rPr>
            </w:pPr>
            <w:r>
              <w:rPr>
                <w:rFonts w:ascii="Arial" w:cs="Arial" w:eastAsia="Arial" w:hAnsi="Arial"/>
                <w:sz w:val="14"/>
                <w:szCs w:val="14"/>
                <w:b w:val="1"/>
                <w:bCs w:val="1"/>
                <w:color w:val="auto"/>
                <w:w w:val="85"/>
              </w:rPr>
              <w:t>To Be Purchased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3"/>
              </w:rPr>
              <w:t>To Be Purchased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BNP Paribas Securities Corp.</w:t>
            </w:r>
          </w:p>
        </w:tc>
        <w:tc>
          <w:tcPr>
            <w:tcW w:w="3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162,500,000</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162,500,000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162,500,000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162,500,000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Incorporated</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112,500,000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112,500,000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112,500,000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112,500,000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29,375,000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29,375,000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29,375,000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29,375,000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29,375,000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29,375,000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29,375,000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29,375,000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29,375,000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29,375,000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29,375,000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29,375,000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29,375,000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29,375,000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29,375,000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29,375,000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Commerz Markets LLC</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24,375,000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DNB Markets, Inc.</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24,375,000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24,375,000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24,375,000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24,375,000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24,375,000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ICBC Standard Bank Plc</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13,750,000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13,750,000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&amp; Company LLC</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Evercore Group L.L.C.</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Academy Securities, Inc.</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CastleOak Securities, L.P.</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 King &amp; Associates, Inc.</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Loop Capital Markets LLC</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MFR Securities, Inc.</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Mischler Financial Group, Inc.</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The Williams Capital Group, L.P.</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1,250,000,000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1,250,000,000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0.20% and 0.25% of the principal amount of the Notes due 2024 and the Notes due 2027, respectively. The underwriters may allow, and the dealers may reallow, a discount not in excess of 0.15% and 0.20% of the principal amount of the Notes due 2024 and the Notes due 2027, respectively, to other dealers. After the initial public offering, the public offering prices, concessions and discounts may be changed.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not including the underwriting discount, are estimated to be $650,000 and are payable by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Each series of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may make or hold a broad array of investments and actively trade debt and equity securities (or related derivative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securities) and financial instruments (including bank loans) for their own account and for the accounts of their customers. Such investment and securities activities may involve our securities and instruments, including the 6.500% notes due January 15, 2017 and our outstanding commercial paper, and therefore, certain of the underwriters and/or their respective affiliates may indirectly receive a portion of the net proceeds from this offering.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Eduardo G. Mestre, one of our directors, is a non-employee senior advisor to Evercore Partners, which is an affiliate of Evercore Group L.L.C., one of the underwriters.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Canada</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bonds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bonds must be made in accordance with an exemption from, or in a transaction not subject to, the prospectus requirements of applicable securities laws.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notes may be made to the public in that Relevant Member State other than:</w:t>
      </w:r>
    </w:p>
    <w:p>
      <w:pPr>
        <w:spacing w:after="0" w:line="5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that no such offer of notes shall require the Company or the representative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prospectus supplement has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we nor the underwriters have authorized, nor do we or the underwriters authorize, the making of any offer of notes in circumstances in which an obligation arises for us or the underwriters to publish a prospectus for such offer.</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guarantors; and it has complied with and will comply with all applicable provisions of FSMA with respect to anything done by it in relation to the notes in, from or otherwise involving the United Kingdom.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90" w:lineRule="exact"/>
        <w:rPr>
          <w:sz w:val="20"/>
          <w:szCs w:val="20"/>
          <w:color w:val="auto"/>
        </w:rPr>
      </w:pPr>
    </w:p>
    <w:p>
      <w:pPr>
        <w:ind w:left="460" w:firstLine="443"/>
        <w:spacing w:after="0" w:line="268" w:lineRule="auto"/>
        <w:tabs>
          <w:tab w:leader="none" w:pos="11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Miscellaneous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One or more of the underwriters may be restricted in its US securities dealings under the Bank Holding Company Act and not be U.S.-registered broker-dealer(s). All sales of securities in the U.S. will be made by or through U.S.-registered broker-dealers.</w:t>
      </w:r>
    </w:p>
    <w:p>
      <w:pPr>
        <w:spacing w:after="0" w:line="132"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ICBC Standard Bank Plc may not underwrite, subscribe, agree to purchase or procure purchasers to purchase Notes that are offered or sold in the United States. Notwithstanding anything to the contrary in this Agreement, ICBC Standard Bank shall not be obligated to, and shall not, underwrite, subscribe, agree to purchase or procure purchasers to purchase Notes that may be offered or sold by other underwriters in the United States. ICBC Standard Bank Plc shall offer and sell Notes constituting part of its allotment solely outside the United States.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Various legal matters relating to the offering will be passed upon for us by Arthur R. Block, Esquire, Executive Vice President, General Counsel and Secretary of Comcast Corporation, Francis M. Buono, Esquire, Senior Vice President, Legal Regulatory Affairs and Senior Deputy General Counsel of Comcast Corporation, and by Davis Polk &amp; Wardwell LLP, Menlo Park, California. Cahill Gordon &amp; Reindel </w:t>
      </w:r>
      <w:r>
        <w:rPr>
          <w:rFonts w:ascii="Arial" w:cs="Arial" w:eastAsia="Arial" w:hAnsi="Arial"/>
          <w:sz w:val="12"/>
          <w:szCs w:val="12"/>
          <w:color w:val="auto"/>
        </w:rPr>
        <w:t>LLP</w:t>
      </w:r>
      <w:r>
        <w:rPr>
          <w:rFonts w:ascii="Arial" w:cs="Arial" w:eastAsia="Arial" w:hAnsi="Arial"/>
          <w:sz w:val="16"/>
          <w:szCs w:val="16"/>
          <w:color w:val="auto"/>
        </w:rPr>
        <w:t>, New York, New York, is representing the underwriters.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2015,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2015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923925</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168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168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Purchase contracts</w:t>
            </w:r>
          </w:p>
        </w:tc>
        <w:tc>
          <w:tcPr>
            <w:tcW w:w="3400" w:type="dxa"/>
            <w:vAlign w:val="bottom"/>
            <w:gridSpan w:val="2"/>
          </w:tcPr>
          <w:p>
            <w:pPr>
              <w:ind w:left="1620"/>
              <w:spacing w:after="0"/>
              <w:rPr>
                <w:sz w:val="20"/>
                <w:szCs w:val="20"/>
                <w:color w:val="auto"/>
              </w:rPr>
            </w:pPr>
            <w:r>
              <w:rPr>
                <w:rFonts w:ascii="Arial" w:cs="Arial" w:eastAsia="Arial" w:hAnsi="Arial"/>
                <w:sz w:val="18"/>
                <w:szCs w:val="18"/>
                <w:color w:val="auto"/>
                <w:w w:val="90"/>
              </w:rPr>
              <w:t>• 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Units</w:t>
            </w:r>
          </w:p>
        </w:tc>
        <w:tc>
          <w:tcPr>
            <w:tcW w:w="172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3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2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27, 2016, the reported last sale price on the Nasdaq Global Select Market for our Class A common stock was $67.92.</w:t>
      </w:r>
    </w:p>
    <w:p>
      <w:pPr>
        <w:spacing w:after="0" w:line="2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w w:val="87"/>
              </w:rPr>
              <w:t>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Listing on a securities exchange</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gridSpan w:val="2"/>
          </w:tcPr>
          <w:p>
            <w:pPr>
              <w:ind w:left="58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25 of Comcast’s and NBCUniversal’s combined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July 28, 2016</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00" w:type="dxa"/>
            <w:vAlign w:val="bottom"/>
            <w:gridSpan w:val="2"/>
          </w:tcPr>
          <w:p>
            <w:pPr>
              <w:ind w:left="12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26">
              <w:r>
                <w:rPr>
                  <w:rFonts w:ascii="Arial" w:cs="Arial" w:eastAsia="Arial" w:hAnsi="Arial"/>
                  <w:sz w:val="18"/>
                  <w:szCs w:val="18"/>
                  <w:color w:val="0000EE"/>
                  <w:w w:val="86"/>
                </w:rPr>
                <w:t>The Companies</w:t>
              </w:r>
            </w:hyperlink>
          </w:p>
        </w:tc>
        <w:tc>
          <w:tcPr>
            <w:tcW w:w="9920" w:type="dxa"/>
            <w:vAlign w:val="bottom"/>
            <w:gridSpan w:val="10"/>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9920" w:type="dxa"/>
            <w:vAlign w:val="bottom"/>
            <w:gridSpan w:val="10"/>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Caution Concerning Forward-Looking Statements</w:t>
              </w:r>
            </w:hyperlink>
          </w:p>
        </w:tc>
        <w:tc>
          <w:tcPr>
            <w:tcW w:w="7500" w:type="dxa"/>
            <w:vAlign w:val="bottom"/>
            <w:gridSpan w:val="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Dividend Policy</w:t>
              </w:r>
            </w:hyperlink>
          </w:p>
        </w:tc>
        <w:tc>
          <w:tcPr>
            <w:tcW w:w="98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40" w:type="dxa"/>
            <w:vAlign w:val="bottom"/>
            <w:gridSpan w:val="1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Ratios of Earnings to Fixed Charges and of Earnings to Combined Fixed Charges and Preferred 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Description of Debt Securities and Guarantees</w:t>
              </w:r>
            </w:hyperlink>
          </w:p>
        </w:tc>
        <w:tc>
          <w:tcPr>
            <w:tcW w:w="3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Global Securities</w:t>
              </w:r>
            </w:hyperlink>
          </w:p>
        </w:tc>
        <w:tc>
          <w:tcPr>
            <w:tcW w:w="77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Description of Capital Stock</w:t>
              </w:r>
            </w:hyperlink>
          </w:p>
        </w:tc>
        <w:tc>
          <w:tcPr>
            <w:tcW w:w="90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40" w:type="dxa"/>
            <w:vAlign w:val="bottom"/>
            <w:gridSpan w:val="1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Plan of Distribution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96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100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Available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Incorporation of Certain Documents by Reference</w:t>
              </w:r>
            </w:hyperlink>
          </w:p>
        </w:tc>
        <w:tc>
          <w:tcPr>
            <w:tcW w:w="75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have not authorized anyone to provide you any information other than that contained or incorporated by reference in this prospectus. We do not take any responsibility for, nor can we provide any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160" w:firstLine="456"/>
        <w:spacing w:after="0" w:line="352" w:lineRule="auto"/>
        <w:rPr>
          <w:sz w:val="20"/>
          <w:szCs w:val="20"/>
          <w:color w:val="auto"/>
        </w:rPr>
      </w:pPr>
      <w:r>
        <w:rPr>
          <w:rFonts w:ascii="Arial" w:cs="Arial" w:eastAsia="Arial" w:hAnsi="Arial"/>
          <w:sz w:val="15"/>
          <w:szCs w:val="15"/>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1" w:lineRule="exact"/>
        <w:rPr>
          <w:sz w:val="20"/>
          <w:szCs w:val="20"/>
          <w:color w:val="auto"/>
        </w:rPr>
      </w:pPr>
    </w:p>
    <w:p>
      <w:pPr>
        <w:jc w:val="both"/>
        <w:ind w:left="900" w:right="220" w:hanging="325"/>
        <w:spacing w:after="0" w:line="262"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voice services to residential customers under the XFINITY brand, and we also provide these and other services to business customers and sell advertising.</w:t>
      </w:r>
    </w:p>
    <w:p>
      <w:pPr>
        <w:spacing w:after="0" w:line="51"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cable television studio production operations.</w:t>
      </w:r>
    </w:p>
    <w:p>
      <w:pPr>
        <w:spacing w:after="0" w:line="38" w:lineRule="exact"/>
        <w:rPr>
          <w:rFonts w:ascii="Arial" w:cs="Arial" w:eastAsia="Arial" w:hAnsi="Arial"/>
          <w:sz w:val="18"/>
          <w:szCs w:val="18"/>
          <w:color w:val="auto"/>
        </w:rPr>
      </w:pPr>
    </w:p>
    <w:p>
      <w:pPr>
        <w:ind w:left="900" w:right="300" w:hanging="325"/>
        <w:spacing w:after="0" w:line="27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10 NBC and 17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and our broadcast television studio production operations.</w:t>
      </w:r>
    </w:p>
    <w:p>
      <w:pPr>
        <w:spacing w:after="0" w:line="38" w:lineRule="exact"/>
        <w:rPr>
          <w:rFonts w:ascii="Arial" w:cs="Arial" w:eastAsia="Arial" w:hAnsi="Arial"/>
          <w:sz w:val="18"/>
          <w:szCs w:val="18"/>
          <w:color w:val="auto"/>
        </w:rPr>
      </w:pPr>
    </w:p>
    <w:p>
      <w:pPr>
        <w:ind w:left="900" w:right="620" w:hanging="325"/>
        <w:spacing w:after="0" w:line="27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right="180" w:hanging="325"/>
        <w:spacing w:after="0" w:line="27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Florida and Hollywood, California. In November 2015, NBCUniversal</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51% interest in the Universal Studios theme park located in Osaka, Japan.</w:t>
      </w:r>
    </w:p>
    <w:p>
      <w:pPr>
        <w:spacing w:after="0" w:line="12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Guarantor.</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NBCUniversal is one of the world’s leading media and entertainment companies that develops, produces and distributes entertainment, news and information, sports, and other content for global audiences, as well as owns and operates several theme parks worldwide.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97790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2015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consumer behavior driven by alternative methods for viewing content may adversely affect our businesses and challenge existing business models;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video business;</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acquisitions and other strategic initiatives present many risks, and we may not realize the financial and strategic goals that we had contemplated;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Our Board of Directors retains the right to change our dividend policy at any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tbl>
      <w:tblPr>
        <w:tblLayout w:type="fixed"/>
        <w:tblInd w:w="240" w:type="dxa"/>
        <w:tblCellMar>
          <w:top w:w="0" w:type="dxa"/>
          <w:left w:w="0" w:type="dxa"/>
          <w:bottom w:w="0" w:type="dxa"/>
          <w:right w:w="0" w:type="dxa"/>
        </w:tblCellMar>
      </w:tblPr>
      <w:tr>
        <w:trPr>
          <w:trHeight w:val="175"/>
        </w:trPr>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For the Six Months Ended</w:t>
            </w:r>
          </w:p>
        </w:tc>
        <w:tc>
          <w:tcPr>
            <w:tcW w:w="4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3"/>
              </w:rPr>
              <w:t>For the Years Ended December 31,</w:t>
            </w:r>
          </w:p>
        </w:tc>
        <w:tc>
          <w:tcPr>
            <w:tcW w:w="14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29"/>
        </w:trPr>
        <w:tc>
          <w:tcPr>
            <w:tcW w:w="16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 2016</w:t>
            </w:r>
          </w:p>
        </w:tc>
        <w:tc>
          <w:tcPr>
            <w:tcW w:w="460" w:type="dxa"/>
            <w:vAlign w:val="bottom"/>
          </w:tcPr>
          <w:p>
            <w:pPr>
              <w:spacing w:after="0"/>
              <w:rPr>
                <w:sz w:val="11"/>
                <w:szCs w:val="11"/>
                <w:color w:val="auto"/>
              </w:rPr>
            </w:pPr>
          </w:p>
        </w:tc>
        <w:tc>
          <w:tcPr>
            <w:tcW w:w="138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1"/>
                <w:szCs w:val="11"/>
                <w:color w:val="auto"/>
              </w:rPr>
            </w:pPr>
          </w:p>
        </w:tc>
        <w:tc>
          <w:tcPr>
            <w:tcW w:w="138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2014</w:t>
            </w:r>
          </w:p>
        </w:tc>
        <w:tc>
          <w:tcPr>
            <w:tcW w:w="1880" w:type="dxa"/>
            <w:vAlign w:val="bottom"/>
            <w:gridSpan w:val="2"/>
          </w:tcPr>
          <w:p>
            <w:pPr>
              <w:jc w:val="right"/>
              <w:ind w:right="472"/>
              <w:spacing w:after="0" w:line="129"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1"/>
                <w:szCs w:val="11"/>
                <w:color w:val="auto"/>
              </w:rPr>
            </w:pPr>
          </w:p>
        </w:tc>
        <w:tc>
          <w:tcPr>
            <w:tcW w:w="140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1"/>
                <w:szCs w:val="11"/>
                <w:color w:val="auto"/>
              </w:rPr>
            </w:pPr>
          </w:p>
        </w:tc>
        <w:tc>
          <w:tcPr>
            <w:tcW w:w="1400" w:type="dxa"/>
            <w:vAlign w:val="bottom"/>
          </w:tcPr>
          <w:p>
            <w:pPr>
              <w:jc w:val="right"/>
              <w:ind w:right="502"/>
              <w:spacing w:after="0" w:line="129" w:lineRule="exact"/>
              <w:rPr>
                <w:sz w:val="20"/>
                <w:szCs w:val="20"/>
                <w:color w:val="auto"/>
              </w:rPr>
            </w:pPr>
            <w:r>
              <w:rPr>
                <w:rFonts w:ascii="Arial" w:cs="Arial" w:eastAsia="Arial" w:hAnsi="Arial"/>
                <w:sz w:val="14"/>
                <w:szCs w:val="14"/>
                <w:b w:val="1"/>
                <w:bCs w:val="1"/>
                <w:color w:val="auto"/>
              </w:rPr>
              <w:t>2011</w:t>
            </w: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16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5.20x</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5.48x</w:t>
            </w:r>
          </w:p>
        </w:tc>
        <w:tc>
          <w:tcPr>
            <w:tcW w:w="48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5.22x</w:t>
            </w: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4.85x</w:t>
            </w: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4.82x</w:t>
            </w: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4.04x</w:t>
            </w:r>
          </w:p>
        </w:tc>
      </w:tr>
    </w:tbl>
    <w:p>
      <w:pPr>
        <w:spacing w:after="0" w:line="154"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21"/>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64"/>
        <w:spacing w:after="0" w:line="268"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hanging="216"/>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71" w:lineRule="exact"/>
        <w:rPr>
          <w:rFonts w:ascii="Arial" w:cs="Arial" w:eastAsia="Arial" w:hAnsi="Arial"/>
          <w:sz w:val="18"/>
          <w:szCs w:val="18"/>
          <w:color w:val="auto"/>
        </w:rPr>
      </w:pPr>
    </w:p>
    <w:p>
      <w:pPr>
        <w:ind w:right="100" w:firstLine="464"/>
        <w:spacing w:after="0" w:line="268" w:lineRule="auto"/>
        <w:tabs>
          <w:tab w:leader="none" w:pos="7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29"/>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29"/>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r>
        <w:rPr>
          <w:rFonts w:ascii="Arial" w:cs="Arial" w:eastAsia="Arial" w:hAnsi="Arial"/>
          <w:sz w:val="18"/>
          <w:szCs w:val="18"/>
          <w:i w:val="1"/>
          <w:iCs w:val="1"/>
          <w:color w:val="auto"/>
        </w:rPr>
        <w:t>:</w:t>
      </w:r>
    </w:p>
    <w:p>
      <w:pPr>
        <w:spacing w:after="0" w:line="62"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Information. </w:t>
      </w:r>
      <w:r>
        <w:rPr>
          <w:rFonts w:ascii="Arial" w:cs="Arial" w:eastAsia="Arial" w:hAnsi="Arial"/>
          <w:sz w:val="18"/>
          <w:szCs w:val="18"/>
          <w:color w:val="auto"/>
        </w:rPr>
        <w:t>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terminate our obligations and the obligations of the Guarantors under the indenture with respect to the senior debt securities of any series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4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the senior debt securities of such series issued that have not been canceled or delivered to the trustee for cancellation have become due and payable, are by their terms to become due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80"/>
        <w:spacing w:after="0" w:line="256" w:lineRule="auto"/>
        <w:rPr>
          <w:sz w:val="20"/>
          <w:szCs w:val="20"/>
          <w:color w:val="auto"/>
        </w:rPr>
      </w:pPr>
      <w:r>
        <w:rPr>
          <w:rFonts w:ascii="Arial" w:cs="Arial" w:eastAsia="Arial" w:hAnsi="Arial"/>
          <w:sz w:val="18"/>
          <w:szCs w:val="18"/>
          <w:color w:val="auto"/>
        </w:rPr>
        <w:t>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62" w:lineRule="exact"/>
        <w:rPr>
          <w:sz w:val="20"/>
          <w:szCs w:val="20"/>
          <w:color w:val="auto"/>
        </w:rPr>
      </w:pPr>
    </w:p>
    <w:p>
      <w:pPr>
        <w:ind w:left="900" w:right="26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80" w:hanging="325"/>
        <w:spacing w:after="0" w:line="370"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jc w:val="both"/>
        <w:ind w:left="900" w:right="22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w:t>
      </w:r>
      <w:r>
        <w:rPr>
          <w:rFonts w:ascii="Arial" w:cs="Arial" w:eastAsia="Arial" w:hAnsi="Arial"/>
          <w:sz w:val="18"/>
          <w:szCs w:val="18"/>
          <w:i w:val="1"/>
          <w:iCs w:val="1"/>
          <w:color w:val="auto"/>
        </w:rPr>
        <w:t>Events of Default</w:t>
      </w:r>
      <w:r>
        <w:rPr>
          <w:rFonts w:ascii="Arial" w:cs="Arial" w:eastAsia="Arial" w:hAnsi="Arial"/>
          <w:sz w:val="18"/>
          <w:szCs w:val="18"/>
          <w:color w:val="auto"/>
        </w:rPr>
        <w: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6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legal defeasance, we have delivered to the trustee an opinion of counsel stating that, as a result of an Internal Revenue Service (“IRS”) ruling or a change in applicable federal income tax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59" w:lineRule="exact"/>
        <w:rPr>
          <w:sz w:val="20"/>
          <w:szCs w:val="20"/>
          <w:color w:val="auto"/>
        </w:rPr>
      </w:pPr>
    </w:p>
    <w:p>
      <w:pPr>
        <w:ind w:left="900" w:right="140" w:hanging="325"/>
        <w:spacing w:after="0" w:line="335"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7" w:lineRule="exact"/>
        <w:rPr>
          <w:rFonts w:ascii="Arial" w:cs="Arial" w:eastAsia="Arial" w:hAnsi="Arial"/>
          <w:sz w:val="15"/>
          <w:szCs w:val="15"/>
          <w:color w:val="auto"/>
        </w:rPr>
      </w:pPr>
    </w:p>
    <w:p>
      <w:pPr>
        <w:ind w:left="90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22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See “Dividend Policy”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As a general matter, on all matters submitted for a vote to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and holders of our Class B common stock in the aggregate hold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2016, if</w:t>
      </w:r>
    </w:p>
    <w:p>
      <w:pPr>
        <w:spacing w:after="0" w:line="3"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Mr. Roberts were to convert the Class B common stock he beneficially owns into Class A common stock, Mr. Roberts would beneficially own 23,153,804 shares of Class A common stock, which is approximately 1% of the Class A common stock that would be outstanding after the conversion.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Class A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transfer agent and registrar for our Class A common stock is Wells Fargo Shareowner Services, P.O. Box 64874, St. Paul, Minnesota 55164-0874. Its telephone number is (888) 883-8903.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2015, filed on February 5, 2016.</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2016 and June 30, 2016, filed on April 27, 2016 and July 27, 2016, respectively.</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17, 2016, February 23, 2016, March 30, 2016, May 24, 2016, May 26, 2016, May 31, 2016 (other than Item 7.01 thereto), July 1, 2016, July 19, 2016 and July 28, 2016.</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2016 annual meeting of shareholders incorporated by reference in Comcast’s Annual Report on Form 10-K for the year ended December 31, 2015.</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description of our capital stock included in Item 3.02 under the caption “Amended and Restated Description of our Class A Common Stock” in Comcast’s Current Report on Form 8-K filed on December 15, 2015, as the same may be further amended from time to time.</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700405</wp:posOffset>
            </wp:positionV>
            <wp:extent cx="1397635" cy="488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960"/>
        <w:spacing w:after="0"/>
        <w:tabs>
          <w:tab w:leader="none" w:pos="5380" w:val="left"/>
        </w:tabs>
        <w:rPr>
          <w:sz w:val="20"/>
          <w:szCs w:val="20"/>
          <w:color w:val="auto"/>
        </w:rPr>
      </w:pPr>
      <w:r>
        <w:rPr>
          <w:rFonts w:ascii="Arial" w:cs="Arial" w:eastAsia="Arial" w:hAnsi="Arial"/>
          <w:sz w:val="32"/>
          <w:szCs w:val="32"/>
          <w:b w:val="1"/>
          <w:bCs w:val="1"/>
          <w:color w:val="auto"/>
        </w:rPr>
        <w:t>$1,250,000,000</w:t>
      </w:r>
      <w:r>
        <w:rPr>
          <w:sz w:val="20"/>
          <w:szCs w:val="20"/>
          <w:color w:val="auto"/>
        </w:rPr>
        <w:tab/>
      </w:r>
      <w:r>
        <w:rPr>
          <w:rFonts w:ascii="Arial" w:cs="Arial" w:eastAsia="Arial" w:hAnsi="Arial"/>
          <w:sz w:val="29"/>
          <w:szCs w:val="29"/>
          <w:b w:val="1"/>
          <w:bCs w:val="1"/>
          <w:color w:val="auto"/>
        </w:rPr>
        <w:t>3.00% Notes due 2024</w:t>
      </w:r>
    </w:p>
    <w:p>
      <w:pPr>
        <w:spacing w:after="0" w:line="33" w:lineRule="exact"/>
        <w:rPr>
          <w:sz w:val="20"/>
          <w:szCs w:val="20"/>
          <w:color w:val="auto"/>
        </w:rPr>
      </w:pPr>
    </w:p>
    <w:p>
      <w:pPr>
        <w:ind w:left="2960"/>
        <w:spacing w:after="0"/>
        <w:tabs>
          <w:tab w:leader="none" w:pos="5380" w:val="left"/>
        </w:tabs>
        <w:rPr>
          <w:sz w:val="20"/>
          <w:szCs w:val="20"/>
          <w:color w:val="auto"/>
        </w:rPr>
      </w:pPr>
      <w:r>
        <w:rPr>
          <w:rFonts w:ascii="Arial" w:cs="Arial" w:eastAsia="Arial" w:hAnsi="Arial"/>
          <w:sz w:val="32"/>
          <w:szCs w:val="32"/>
          <w:b w:val="1"/>
          <w:bCs w:val="1"/>
          <w:color w:val="auto"/>
        </w:rPr>
        <w:t>$1,250,000,000</w:t>
      </w:r>
      <w:r>
        <w:rPr>
          <w:sz w:val="20"/>
          <w:szCs w:val="20"/>
          <w:color w:val="auto"/>
        </w:rPr>
        <w:tab/>
      </w:r>
      <w:r>
        <w:rPr>
          <w:rFonts w:ascii="Arial" w:cs="Arial" w:eastAsia="Arial" w:hAnsi="Arial"/>
          <w:sz w:val="29"/>
          <w:szCs w:val="29"/>
          <w:b w:val="1"/>
          <w:bCs w:val="1"/>
          <w:color w:val="auto"/>
        </w:rPr>
        <w:t>3.30%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549910</wp:posOffset>
            </wp:positionV>
            <wp:extent cx="15176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3260" w:type="dxa"/>
            <w:vAlign w:val="bottom"/>
          </w:tcPr>
          <w:p>
            <w:pPr>
              <w:spacing w:after="0"/>
              <w:rPr>
                <w:sz w:val="19"/>
                <w:szCs w:val="19"/>
                <w:color w:val="auto"/>
              </w:rPr>
            </w:pPr>
          </w:p>
        </w:tc>
        <w:tc>
          <w:tcPr>
            <w:tcW w:w="4420" w:type="dxa"/>
            <w:vAlign w:val="bottom"/>
            <w:gridSpan w:val="3"/>
          </w:tcPr>
          <w:p>
            <w:pPr>
              <w:jc w:val="center"/>
              <w:ind w:left="172"/>
              <w:spacing w:after="0"/>
              <w:rPr>
                <w:sz w:val="20"/>
                <w:szCs w:val="20"/>
                <w:color w:val="auto"/>
              </w:rPr>
            </w:pPr>
            <w:r>
              <w:rPr>
                <w:rFonts w:ascii="Arial" w:cs="Arial" w:eastAsia="Arial" w:hAnsi="Arial"/>
                <w:sz w:val="18"/>
                <w:szCs w:val="18"/>
                <w:b w:val="1"/>
                <w:bCs w:val="1"/>
                <w:color w:val="auto"/>
                <w:w w:val="95"/>
              </w:rPr>
              <w:t>PROSPECTUS SUPPLEMENT</w:t>
            </w:r>
          </w:p>
        </w:tc>
        <w:tc>
          <w:tcPr>
            <w:tcW w:w="3420" w:type="dxa"/>
            <w:vAlign w:val="bottom"/>
          </w:tcPr>
          <w:p>
            <w:pPr>
              <w:spacing w:after="0"/>
              <w:rPr>
                <w:sz w:val="19"/>
                <w:szCs w:val="19"/>
                <w:color w:val="auto"/>
              </w:rPr>
            </w:pPr>
          </w:p>
        </w:tc>
      </w:tr>
      <w:tr>
        <w:trPr>
          <w:trHeight w:val="286"/>
        </w:trPr>
        <w:tc>
          <w:tcPr>
            <w:tcW w:w="3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70"/>
        </w:trPr>
        <w:tc>
          <w:tcPr>
            <w:tcW w:w="3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80" w:type="dxa"/>
            <w:vAlign w:val="bottom"/>
            <w:gridSpan w:val="2"/>
          </w:tcPr>
          <w:p>
            <w:pPr>
              <w:jc w:val="center"/>
              <w:ind w:right="880"/>
              <w:spacing w:after="0"/>
              <w:rPr>
                <w:sz w:val="20"/>
                <w:szCs w:val="20"/>
                <w:color w:val="auto"/>
              </w:rPr>
            </w:pPr>
            <w:r>
              <w:rPr>
                <w:rFonts w:ascii="Arial" w:cs="Arial" w:eastAsia="Arial" w:hAnsi="Arial"/>
                <w:sz w:val="18"/>
                <w:szCs w:val="18"/>
                <w:i w:val="1"/>
                <w:iCs w:val="1"/>
                <w:color w:val="auto"/>
                <w:w w:val="89"/>
              </w:rPr>
              <w:t>Joint Book-Running Managers</w:t>
            </w:r>
          </w:p>
        </w:tc>
        <w:tc>
          <w:tcPr>
            <w:tcW w:w="3420" w:type="dxa"/>
            <w:vAlign w:val="bottom"/>
          </w:tcPr>
          <w:p>
            <w:pPr>
              <w:spacing w:after="0"/>
              <w:rPr>
                <w:sz w:val="24"/>
                <w:szCs w:val="24"/>
                <w:color w:val="auto"/>
              </w:rPr>
            </w:pPr>
          </w:p>
        </w:tc>
      </w:tr>
      <w:tr>
        <w:trPr>
          <w:trHeight w:val="458"/>
        </w:trPr>
        <w:tc>
          <w:tcPr>
            <w:tcW w:w="3260" w:type="dxa"/>
            <w:vAlign w:val="bottom"/>
          </w:tcPr>
          <w:p>
            <w:pPr>
              <w:spacing w:after="0"/>
              <w:rPr>
                <w:sz w:val="20"/>
                <w:szCs w:val="20"/>
                <w:color w:val="auto"/>
              </w:rPr>
            </w:pPr>
            <w:r>
              <w:rPr>
                <w:rFonts w:ascii="Arial" w:cs="Arial" w:eastAsia="Arial" w:hAnsi="Arial"/>
                <w:sz w:val="22"/>
                <w:szCs w:val="22"/>
                <w:b w:val="1"/>
                <w:bCs w:val="1"/>
                <w:color w:val="auto"/>
              </w:rPr>
              <w:t>BNP PARIBAS</w:t>
            </w:r>
          </w:p>
        </w:tc>
        <w:tc>
          <w:tcPr>
            <w:tcW w:w="1140" w:type="dxa"/>
            <w:vAlign w:val="bottom"/>
          </w:tcPr>
          <w:p>
            <w:pPr>
              <w:spacing w:after="0"/>
              <w:rPr>
                <w:sz w:val="24"/>
                <w:szCs w:val="24"/>
                <w:color w:val="auto"/>
              </w:rPr>
            </w:pPr>
          </w:p>
        </w:tc>
        <w:tc>
          <w:tcPr>
            <w:tcW w:w="3280" w:type="dxa"/>
            <w:vAlign w:val="bottom"/>
            <w:gridSpan w:val="2"/>
          </w:tcPr>
          <w:p>
            <w:pPr>
              <w:jc w:val="center"/>
              <w:ind w:right="920"/>
              <w:spacing w:after="0"/>
              <w:rPr>
                <w:sz w:val="20"/>
                <w:szCs w:val="20"/>
                <w:color w:val="auto"/>
              </w:rPr>
            </w:pPr>
            <w:r>
              <w:rPr>
                <w:rFonts w:ascii="Arial" w:cs="Arial" w:eastAsia="Arial" w:hAnsi="Arial"/>
                <w:sz w:val="22"/>
                <w:szCs w:val="22"/>
                <w:b w:val="1"/>
                <w:bCs w:val="1"/>
                <w:color w:val="auto"/>
                <w:w w:val="85"/>
              </w:rPr>
              <w:t>Credit Suisse</w:t>
            </w:r>
          </w:p>
        </w:tc>
        <w:tc>
          <w:tcPr>
            <w:tcW w:w="3420" w:type="dxa"/>
            <w:vAlign w:val="bottom"/>
          </w:tcPr>
          <w:p>
            <w:pPr>
              <w:jc w:val="right"/>
              <w:spacing w:after="0"/>
              <w:rPr>
                <w:sz w:val="20"/>
                <w:szCs w:val="20"/>
                <w:color w:val="auto"/>
              </w:rPr>
            </w:pPr>
            <w:r>
              <w:rPr>
                <w:rFonts w:ascii="Arial" w:cs="Arial" w:eastAsia="Arial" w:hAnsi="Arial"/>
                <w:sz w:val="22"/>
                <w:szCs w:val="22"/>
                <w:b w:val="1"/>
                <w:bCs w:val="1"/>
                <w:color w:val="auto"/>
              </w:rPr>
              <w:t>Wells Fargo Securities</w:t>
            </w:r>
          </w:p>
        </w:tc>
      </w:tr>
      <w:tr>
        <w:trPr>
          <w:trHeight w:val="351"/>
        </w:trPr>
        <w:tc>
          <w:tcPr>
            <w:tcW w:w="3260" w:type="dxa"/>
            <w:vAlign w:val="bottom"/>
          </w:tcPr>
          <w:p>
            <w:pPr>
              <w:spacing w:after="0"/>
              <w:rPr>
                <w:sz w:val="20"/>
                <w:szCs w:val="20"/>
                <w:color w:val="auto"/>
              </w:rPr>
            </w:pPr>
            <w:r>
              <w:rPr>
                <w:rFonts w:ascii="Arial" w:cs="Arial" w:eastAsia="Arial" w:hAnsi="Arial"/>
                <w:sz w:val="22"/>
                <w:szCs w:val="22"/>
                <w:b w:val="1"/>
                <w:bCs w:val="1"/>
                <w:color w:val="auto"/>
              </w:rPr>
              <w:t>BofA Merrill Lynch</w:t>
            </w:r>
          </w:p>
        </w:tc>
        <w:tc>
          <w:tcPr>
            <w:tcW w:w="1140" w:type="dxa"/>
            <w:vAlign w:val="bottom"/>
          </w:tcPr>
          <w:p>
            <w:pPr>
              <w:spacing w:after="0"/>
              <w:rPr>
                <w:sz w:val="24"/>
                <w:szCs w:val="24"/>
                <w:color w:val="auto"/>
              </w:rPr>
            </w:pPr>
          </w:p>
        </w:tc>
        <w:tc>
          <w:tcPr>
            <w:tcW w:w="3280" w:type="dxa"/>
            <w:vAlign w:val="bottom"/>
            <w:gridSpan w:val="2"/>
          </w:tcPr>
          <w:p>
            <w:pPr>
              <w:jc w:val="center"/>
              <w:ind w:right="920"/>
              <w:spacing w:after="0"/>
              <w:rPr>
                <w:sz w:val="20"/>
                <w:szCs w:val="20"/>
                <w:color w:val="auto"/>
              </w:rPr>
            </w:pPr>
            <w:r>
              <w:rPr>
                <w:rFonts w:ascii="Arial" w:cs="Arial" w:eastAsia="Arial" w:hAnsi="Arial"/>
                <w:sz w:val="22"/>
                <w:szCs w:val="22"/>
                <w:b w:val="1"/>
                <w:bCs w:val="1"/>
                <w:color w:val="auto"/>
                <w:w w:val="94"/>
              </w:rPr>
              <w:t>RBC Capital Markets</w:t>
            </w:r>
          </w:p>
        </w:tc>
        <w:tc>
          <w:tcPr>
            <w:tcW w:w="3420" w:type="dxa"/>
            <w:vAlign w:val="bottom"/>
          </w:tcPr>
          <w:p>
            <w:pPr>
              <w:jc w:val="right"/>
              <w:spacing w:after="0"/>
              <w:rPr>
                <w:sz w:val="20"/>
                <w:szCs w:val="20"/>
                <w:color w:val="auto"/>
              </w:rPr>
            </w:pPr>
            <w:r>
              <w:rPr>
                <w:rFonts w:ascii="Arial" w:cs="Arial" w:eastAsia="Arial" w:hAnsi="Arial"/>
                <w:sz w:val="22"/>
                <w:szCs w:val="22"/>
                <w:b w:val="1"/>
                <w:bCs w:val="1"/>
                <w:color w:val="auto"/>
              </w:rPr>
              <w:t>TD Securities</w:t>
            </w:r>
          </w:p>
        </w:tc>
      </w:tr>
      <w:tr>
        <w:trPr>
          <w:trHeight w:val="368"/>
        </w:trPr>
        <w:tc>
          <w:tcPr>
            <w:tcW w:w="3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70"/>
        </w:trPr>
        <w:tc>
          <w:tcPr>
            <w:tcW w:w="3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80" w:type="dxa"/>
            <w:vAlign w:val="bottom"/>
            <w:gridSpan w:val="2"/>
          </w:tcPr>
          <w:p>
            <w:pPr>
              <w:jc w:val="center"/>
              <w:ind w:right="900"/>
              <w:spacing w:after="0"/>
              <w:rPr>
                <w:sz w:val="20"/>
                <w:szCs w:val="20"/>
                <w:color w:val="auto"/>
              </w:rPr>
            </w:pPr>
            <w:r>
              <w:rPr>
                <w:rFonts w:ascii="Arial" w:cs="Arial" w:eastAsia="Arial" w:hAnsi="Arial"/>
                <w:sz w:val="18"/>
                <w:szCs w:val="18"/>
                <w:i w:val="1"/>
                <w:iCs w:val="1"/>
                <w:color w:val="auto"/>
                <w:w w:val="89"/>
              </w:rPr>
              <w:t>Co-Managers</w:t>
            </w:r>
          </w:p>
        </w:tc>
        <w:tc>
          <w:tcPr>
            <w:tcW w:w="3420" w:type="dxa"/>
            <w:vAlign w:val="bottom"/>
          </w:tcPr>
          <w:p>
            <w:pPr>
              <w:spacing w:after="0"/>
              <w:rPr>
                <w:sz w:val="24"/>
                <w:szCs w:val="24"/>
                <w:color w:val="auto"/>
              </w:rPr>
            </w:pPr>
          </w:p>
        </w:tc>
      </w:tr>
      <w:tr>
        <w:trPr>
          <w:trHeight w:val="458"/>
        </w:trPr>
        <w:tc>
          <w:tcPr>
            <w:tcW w:w="326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1140" w:type="dxa"/>
            <w:vAlign w:val="bottom"/>
          </w:tcPr>
          <w:p>
            <w:pPr>
              <w:spacing w:after="0"/>
              <w:rPr>
                <w:sz w:val="24"/>
                <w:szCs w:val="24"/>
                <w:color w:val="auto"/>
              </w:rPr>
            </w:pPr>
          </w:p>
        </w:tc>
        <w:tc>
          <w:tcPr>
            <w:tcW w:w="3280" w:type="dxa"/>
            <w:vAlign w:val="bottom"/>
            <w:gridSpan w:val="2"/>
          </w:tcPr>
          <w:p>
            <w:pPr>
              <w:jc w:val="center"/>
              <w:ind w:right="920"/>
              <w:spacing w:after="0"/>
              <w:rPr>
                <w:sz w:val="20"/>
                <w:szCs w:val="20"/>
                <w:color w:val="auto"/>
              </w:rPr>
            </w:pPr>
            <w:r>
              <w:rPr>
                <w:rFonts w:ascii="Arial" w:cs="Arial" w:eastAsia="Arial" w:hAnsi="Arial"/>
                <w:sz w:val="22"/>
                <w:szCs w:val="22"/>
                <w:b w:val="1"/>
                <w:bCs w:val="1"/>
                <w:color w:val="auto"/>
                <w:w w:val="89"/>
              </w:rPr>
              <w:t>Citigroup</w:t>
            </w:r>
          </w:p>
        </w:tc>
        <w:tc>
          <w:tcPr>
            <w:tcW w:w="3420" w:type="dxa"/>
            <w:vAlign w:val="bottom"/>
          </w:tcPr>
          <w:p>
            <w:pPr>
              <w:jc w:val="right"/>
              <w:spacing w:after="0"/>
              <w:rPr>
                <w:sz w:val="20"/>
                <w:szCs w:val="20"/>
                <w:color w:val="auto"/>
              </w:rPr>
            </w:pPr>
            <w:r>
              <w:rPr>
                <w:rFonts w:ascii="Arial" w:cs="Arial" w:eastAsia="Arial" w:hAnsi="Arial"/>
                <w:sz w:val="22"/>
                <w:szCs w:val="22"/>
                <w:b w:val="1"/>
                <w:bCs w:val="1"/>
                <w:color w:val="auto"/>
              </w:rPr>
              <w:t>Deutsche Bank Securities</w:t>
            </w:r>
          </w:p>
        </w:tc>
      </w:tr>
      <w:tr>
        <w:trPr>
          <w:trHeight w:val="351"/>
        </w:trPr>
        <w:tc>
          <w:tcPr>
            <w:tcW w:w="3260" w:type="dxa"/>
            <w:vAlign w:val="bottom"/>
          </w:tcPr>
          <w:p>
            <w:pPr>
              <w:spacing w:after="0"/>
              <w:rPr>
                <w:sz w:val="20"/>
                <w:szCs w:val="20"/>
                <w:color w:val="auto"/>
              </w:rPr>
            </w:pPr>
            <w:r>
              <w:rPr>
                <w:rFonts w:ascii="Arial" w:cs="Arial" w:eastAsia="Arial" w:hAnsi="Arial"/>
                <w:sz w:val="22"/>
                <w:szCs w:val="22"/>
                <w:b w:val="1"/>
                <w:bCs w:val="1"/>
                <w:color w:val="auto"/>
              </w:rPr>
              <w:t>Goldman, Sachs &amp; Co.</w:t>
            </w:r>
          </w:p>
        </w:tc>
        <w:tc>
          <w:tcPr>
            <w:tcW w:w="1140" w:type="dxa"/>
            <w:vAlign w:val="bottom"/>
          </w:tcPr>
          <w:p>
            <w:pPr>
              <w:spacing w:after="0"/>
              <w:rPr>
                <w:sz w:val="24"/>
                <w:szCs w:val="24"/>
                <w:color w:val="auto"/>
              </w:rPr>
            </w:pPr>
          </w:p>
        </w:tc>
        <w:tc>
          <w:tcPr>
            <w:tcW w:w="3280" w:type="dxa"/>
            <w:vAlign w:val="bottom"/>
            <w:gridSpan w:val="2"/>
          </w:tcPr>
          <w:p>
            <w:pPr>
              <w:jc w:val="center"/>
              <w:ind w:right="920"/>
              <w:spacing w:after="0"/>
              <w:rPr>
                <w:sz w:val="20"/>
                <w:szCs w:val="20"/>
                <w:color w:val="auto"/>
              </w:rPr>
            </w:pPr>
            <w:r>
              <w:rPr>
                <w:rFonts w:ascii="Arial" w:cs="Arial" w:eastAsia="Arial" w:hAnsi="Arial"/>
                <w:sz w:val="22"/>
                <w:szCs w:val="22"/>
                <w:b w:val="1"/>
                <w:bCs w:val="1"/>
                <w:color w:val="auto"/>
                <w:w w:val="89"/>
              </w:rPr>
              <w:t>J.P. Morgan</w:t>
            </w:r>
          </w:p>
        </w:tc>
        <w:tc>
          <w:tcPr>
            <w:tcW w:w="3420" w:type="dxa"/>
            <w:vAlign w:val="bottom"/>
          </w:tcPr>
          <w:p>
            <w:pPr>
              <w:jc w:val="right"/>
              <w:spacing w:after="0"/>
              <w:rPr>
                <w:sz w:val="20"/>
                <w:szCs w:val="20"/>
                <w:color w:val="auto"/>
              </w:rPr>
            </w:pPr>
            <w:r>
              <w:rPr>
                <w:rFonts w:ascii="Arial" w:cs="Arial" w:eastAsia="Arial" w:hAnsi="Arial"/>
                <w:sz w:val="22"/>
                <w:szCs w:val="22"/>
                <w:b w:val="1"/>
                <w:bCs w:val="1"/>
                <w:color w:val="auto"/>
              </w:rPr>
              <w:t>Mizuho Securities</w:t>
            </w:r>
          </w:p>
        </w:tc>
      </w:tr>
      <w:tr>
        <w:trPr>
          <w:trHeight w:val="351"/>
        </w:trPr>
        <w:tc>
          <w:tcPr>
            <w:tcW w:w="3260" w:type="dxa"/>
            <w:vAlign w:val="bottom"/>
          </w:tcPr>
          <w:p>
            <w:pPr>
              <w:spacing w:after="0"/>
              <w:rPr>
                <w:sz w:val="20"/>
                <w:szCs w:val="20"/>
                <w:color w:val="auto"/>
              </w:rPr>
            </w:pPr>
            <w:r>
              <w:rPr>
                <w:rFonts w:ascii="Arial" w:cs="Arial" w:eastAsia="Arial" w:hAnsi="Arial"/>
                <w:sz w:val="22"/>
                <w:szCs w:val="22"/>
                <w:b w:val="1"/>
                <w:bCs w:val="1"/>
                <w:color w:val="auto"/>
              </w:rPr>
              <w:t>Morgan Stanley</w:t>
            </w:r>
          </w:p>
        </w:tc>
        <w:tc>
          <w:tcPr>
            <w:tcW w:w="1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22"/>
                <w:szCs w:val="22"/>
                <w:b w:val="1"/>
                <w:bCs w:val="1"/>
                <w:color w:val="auto"/>
              </w:rPr>
              <w:t>SMBC Nikko</w:t>
            </w:r>
          </w:p>
        </w:tc>
      </w:tr>
      <w:tr>
        <w:trPr>
          <w:trHeight w:val="272"/>
        </w:trPr>
        <w:tc>
          <w:tcPr>
            <w:tcW w:w="3260" w:type="dxa"/>
            <w:vAlign w:val="bottom"/>
          </w:tcPr>
          <w:p>
            <w:pPr>
              <w:spacing w:after="0"/>
              <w:rPr>
                <w:sz w:val="20"/>
                <w:szCs w:val="20"/>
                <w:color w:val="auto"/>
              </w:rPr>
            </w:pPr>
            <w:r>
              <w:rPr>
                <w:rFonts w:ascii="Arial" w:cs="Arial" w:eastAsia="Arial" w:hAnsi="Arial"/>
                <w:sz w:val="18"/>
                <w:szCs w:val="18"/>
                <w:b w:val="1"/>
                <w:bCs w:val="1"/>
                <w:color w:val="auto"/>
              </w:rPr>
              <w:t>COMMERZBANK</w:t>
            </w:r>
          </w:p>
        </w:tc>
        <w:tc>
          <w:tcPr>
            <w:tcW w:w="11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20" w:type="dxa"/>
            <w:vAlign w:val="bottom"/>
          </w:tcPr>
          <w:p>
            <w:pPr>
              <w:jc w:val="right"/>
              <w:spacing w:after="0"/>
              <w:rPr>
                <w:sz w:val="20"/>
                <w:szCs w:val="20"/>
                <w:color w:val="auto"/>
              </w:rPr>
            </w:pPr>
            <w:r>
              <w:rPr>
                <w:rFonts w:ascii="Arial" w:cs="Arial" w:eastAsia="Arial" w:hAnsi="Arial"/>
                <w:sz w:val="18"/>
                <w:szCs w:val="18"/>
                <w:b w:val="1"/>
                <w:bCs w:val="1"/>
                <w:color w:val="auto"/>
              </w:rPr>
              <w:t>DNB Markets</w:t>
            </w:r>
          </w:p>
        </w:tc>
      </w:tr>
      <w:tr>
        <w:trPr>
          <w:trHeight w:val="311"/>
        </w:trPr>
        <w:tc>
          <w:tcPr>
            <w:tcW w:w="3260" w:type="dxa"/>
            <w:vAlign w:val="bottom"/>
          </w:tcPr>
          <w:p>
            <w:pPr>
              <w:spacing w:after="0"/>
              <w:rPr>
                <w:sz w:val="20"/>
                <w:szCs w:val="20"/>
                <w:color w:val="auto"/>
              </w:rPr>
            </w:pPr>
            <w:r>
              <w:rPr>
                <w:rFonts w:ascii="Arial" w:cs="Arial" w:eastAsia="Arial" w:hAnsi="Arial"/>
                <w:sz w:val="18"/>
                <w:szCs w:val="18"/>
                <w:b w:val="1"/>
                <w:bCs w:val="1"/>
                <w:color w:val="auto"/>
              </w:rPr>
              <w:t>PNC Capital Markets LLC</w:t>
            </w:r>
          </w:p>
        </w:tc>
        <w:tc>
          <w:tcPr>
            <w:tcW w:w="1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18"/>
                <w:szCs w:val="18"/>
                <w:b w:val="1"/>
                <w:bCs w:val="1"/>
                <w:color w:val="auto"/>
              </w:rPr>
              <w:t>US Bancorp</w:t>
            </w:r>
          </w:p>
        </w:tc>
      </w:tr>
      <w:tr>
        <w:trPr>
          <w:trHeight w:val="284"/>
        </w:trPr>
        <w:tc>
          <w:tcPr>
            <w:tcW w:w="3260" w:type="dxa"/>
            <w:vAlign w:val="bottom"/>
          </w:tcPr>
          <w:p>
            <w:pPr>
              <w:spacing w:after="0"/>
              <w:rPr>
                <w:sz w:val="20"/>
                <w:szCs w:val="20"/>
                <w:color w:val="auto"/>
              </w:rPr>
            </w:pPr>
            <w:r>
              <w:rPr>
                <w:rFonts w:ascii="Arial" w:cs="Arial" w:eastAsia="Arial" w:hAnsi="Arial"/>
                <w:sz w:val="18"/>
                <w:szCs w:val="18"/>
                <w:b w:val="1"/>
                <w:bCs w:val="1"/>
                <w:color w:val="auto"/>
              </w:rPr>
              <w:t>ICBC</w:t>
            </w:r>
          </w:p>
        </w:tc>
        <w:tc>
          <w:tcPr>
            <w:tcW w:w="1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18"/>
                <w:szCs w:val="18"/>
                <w:b w:val="1"/>
                <w:bCs w:val="1"/>
                <w:color w:val="auto"/>
              </w:rPr>
              <w:t>SOCIETE GENERALE</w:t>
            </w:r>
          </w:p>
        </w:tc>
      </w:tr>
      <w:tr>
        <w:trPr>
          <w:trHeight w:val="271"/>
        </w:trPr>
        <w:tc>
          <w:tcPr>
            <w:tcW w:w="3260" w:type="dxa"/>
            <w:vAlign w:val="bottom"/>
          </w:tcPr>
          <w:p>
            <w:pPr>
              <w:spacing w:after="0"/>
              <w:rPr>
                <w:sz w:val="20"/>
                <w:szCs w:val="20"/>
                <w:color w:val="auto"/>
              </w:rPr>
            </w:pPr>
            <w:r>
              <w:rPr>
                <w:rFonts w:ascii="Arial" w:cs="Arial" w:eastAsia="Arial" w:hAnsi="Arial"/>
                <w:sz w:val="18"/>
                <w:szCs w:val="18"/>
                <w:b w:val="1"/>
                <w:bCs w:val="1"/>
                <w:color w:val="auto"/>
              </w:rPr>
              <w:t>Allen &amp; Company LLC</w:t>
            </w:r>
          </w:p>
        </w:tc>
        <w:tc>
          <w:tcPr>
            <w:tcW w:w="11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20" w:type="dxa"/>
            <w:vAlign w:val="bottom"/>
          </w:tcPr>
          <w:p>
            <w:pPr>
              <w:jc w:val="right"/>
              <w:spacing w:after="0"/>
              <w:rPr>
                <w:sz w:val="20"/>
                <w:szCs w:val="20"/>
                <w:color w:val="auto"/>
              </w:rPr>
            </w:pPr>
            <w:r>
              <w:rPr>
                <w:rFonts w:ascii="Arial" w:cs="Arial" w:eastAsia="Arial" w:hAnsi="Arial"/>
                <w:sz w:val="18"/>
                <w:szCs w:val="18"/>
                <w:b w:val="1"/>
                <w:bCs w:val="1"/>
                <w:color w:val="auto"/>
              </w:rPr>
              <w:t>Evercore ISI</w:t>
            </w:r>
          </w:p>
        </w:tc>
      </w:tr>
      <w:tr>
        <w:trPr>
          <w:trHeight w:val="228"/>
        </w:trPr>
        <w:tc>
          <w:tcPr>
            <w:tcW w:w="3260" w:type="dxa"/>
            <w:vAlign w:val="bottom"/>
          </w:tcPr>
          <w:p>
            <w:pPr>
              <w:spacing w:after="0"/>
              <w:rPr>
                <w:sz w:val="20"/>
                <w:szCs w:val="20"/>
                <w:color w:val="auto"/>
              </w:rPr>
            </w:pPr>
            <w:r>
              <w:rPr>
                <w:rFonts w:ascii="Arial" w:cs="Arial" w:eastAsia="Arial" w:hAnsi="Arial"/>
                <w:sz w:val="18"/>
                <w:szCs w:val="18"/>
                <w:b w:val="1"/>
                <w:bCs w:val="1"/>
                <w:color w:val="auto"/>
              </w:rPr>
              <w:t>Academy Securities</w:t>
            </w:r>
          </w:p>
        </w:tc>
        <w:tc>
          <w:tcPr>
            <w:tcW w:w="1140" w:type="dxa"/>
            <w:vAlign w:val="bottom"/>
          </w:tcPr>
          <w:p>
            <w:pPr>
              <w:spacing w:after="0"/>
              <w:rPr>
                <w:sz w:val="19"/>
                <w:szCs w:val="19"/>
                <w:color w:val="auto"/>
              </w:rPr>
            </w:pPr>
          </w:p>
        </w:tc>
        <w:tc>
          <w:tcPr>
            <w:tcW w:w="32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8"/>
              </w:rPr>
              <w:t>CastleOak Securities, L.P.</w:t>
            </w:r>
          </w:p>
        </w:tc>
        <w:tc>
          <w:tcPr>
            <w:tcW w:w="3420" w:type="dxa"/>
            <w:vAlign w:val="bottom"/>
          </w:tcPr>
          <w:p>
            <w:pPr>
              <w:jc w:val="right"/>
              <w:spacing w:after="0"/>
              <w:rPr>
                <w:sz w:val="20"/>
                <w:szCs w:val="20"/>
                <w:color w:val="auto"/>
              </w:rPr>
            </w:pPr>
            <w:r>
              <w:rPr>
                <w:rFonts w:ascii="Arial" w:cs="Arial" w:eastAsia="Arial" w:hAnsi="Arial"/>
                <w:sz w:val="18"/>
                <w:szCs w:val="18"/>
                <w:b w:val="1"/>
                <w:bCs w:val="1"/>
                <w:color w:val="auto"/>
              </w:rPr>
              <w:t>C.L. King &amp; Associates</w:t>
            </w:r>
          </w:p>
        </w:tc>
      </w:tr>
      <w:tr>
        <w:trPr>
          <w:trHeight w:val="231"/>
        </w:trPr>
        <w:tc>
          <w:tcPr>
            <w:tcW w:w="3260" w:type="dxa"/>
            <w:vAlign w:val="bottom"/>
          </w:tcPr>
          <w:p>
            <w:pPr>
              <w:spacing w:after="0"/>
              <w:rPr>
                <w:sz w:val="20"/>
                <w:szCs w:val="20"/>
                <w:color w:val="auto"/>
              </w:rPr>
            </w:pPr>
            <w:r>
              <w:rPr>
                <w:rFonts w:ascii="Arial" w:cs="Arial" w:eastAsia="Arial" w:hAnsi="Arial"/>
                <w:sz w:val="18"/>
                <w:szCs w:val="18"/>
                <w:b w:val="1"/>
                <w:bCs w:val="1"/>
                <w:color w:val="auto"/>
              </w:rPr>
              <w:t>Loop Capital Markets</w:t>
            </w:r>
          </w:p>
        </w:tc>
        <w:tc>
          <w:tcPr>
            <w:tcW w:w="1140" w:type="dxa"/>
            <w:vAlign w:val="bottom"/>
          </w:tcPr>
          <w:p>
            <w:pPr>
              <w:spacing w:after="0"/>
              <w:rPr>
                <w:sz w:val="20"/>
                <w:szCs w:val="20"/>
                <w:color w:val="auto"/>
              </w:rPr>
            </w:pPr>
          </w:p>
        </w:tc>
        <w:tc>
          <w:tcPr>
            <w:tcW w:w="32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MFR Securities, Inc.</w:t>
            </w:r>
          </w:p>
        </w:tc>
        <w:tc>
          <w:tcPr>
            <w:tcW w:w="3420" w:type="dxa"/>
            <w:vAlign w:val="bottom"/>
          </w:tcPr>
          <w:p>
            <w:pPr>
              <w:jc w:val="right"/>
              <w:spacing w:after="0"/>
              <w:rPr>
                <w:sz w:val="20"/>
                <w:szCs w:val="20"/>
                <w:color w:val="auto"/>
              </w:rPr>
            </w:pPr>
            <w:r>
              <w:rPr>
                <w:rFonts w:ascii="Arial" w:cs="Arial" w:eastAsia="Arial" w:hAnsi="Arial"/>
                <w:sz w:val="18"/>
                <w:szCs w:val="18"/>
                <w:b w:val="1"/>
                <w:bCs w:val="1"/>
                <w:color w:val="auto"/>
              </w:rPr>
              <w:t>Mischler Financial Group, Inc.</w:t>
            </w:r>
          </w:p>
        </w:tc>
      </w:tr>
      <w:tr>
        <w:trPr>
          <w:trHeight w:val="228"/>
        </w:trPr>
        <w:tc>
          <w:tcPr>
            <w:tcW w:w="3260" w:type="dxa"/>
            <w:vAlign w:val="bottom"/>
          </w:tcPr>
          <w:p>
            <w:pPr>
              <w:spacing w:after="0"/>
              <w:rPr>
                <w:sz w:val="20"/>
                <w:szCs w:val="20"/>
                <w:color w:val="auto"/>
              </w:rPr>
            </w:pPr>
            <w:r>
              <w:rPr>
                <w:rFonts w:ascii="Arial" w:cs="Arial" w:eastAsia="Arial" w:hAnsi="Arial"/>
                <w:sz w:val="18"/>
                <w:szCs w:val="18"/>
                <w:b w:val="1"/>
                <w:bCs w:val="1"/>
                <w:color w:val="auto"/>
              </w:rPr>
              <w:t>Ramirez &amp; Co., Inc.</w:t>
            </w:r>
          </w:p>
        </w:tc>
        <w:tc>
          <w:tcPr>
            <w:tcW w:w="1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20" w:type="dxa"/>
            <w:vAlign w:val="bottom"/>
          </w:tcPr>
          <w:p>
            <w:pPr>
              <w:jc w:val="right"/>
              <w:spacing w:after="0"/>
              <w:rPr>
                <w:sz w:val="20"/>
                <w:szCs w:val="20"/>
                <w:color w:val="auto"/>
              </w:rPr>
            </w:pPr>
            <w:r>
              <w:rPr>
                <w:rFonts w:ascii="Arial" w:cs="Arial" w:eastAsia="Arial" w:hAnsi="Arial"/>
                <w:sz w:val="18"/>
                <w:szCs w:val="18"/>
                <w:b w:val="1"/>
                <w:bCs w:val="1"/>
                <w:color w:val="auto"/>
              </w:rPr>
              <w:t>The Williams Capital Group, L.P.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January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215"/>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lowerLetter"/>
      <w:start w:val="3"/>
    </w:lvl>
  </w:abstractNum>
  <w:abstractNum w:abstractNumId="6">
    <w:nsid w:val="71F32454"/>
    <w:multiLevelType w:val="hybridMultilevel"/>
    <w:lvl w:ilvl="0">
      <w:lvlJc w:val="left"/>
      <w:lvlText w:val="•"/>
      <w:numFmt w:val="bullet"/>
      <w:start w:val="1"/>
    </w:lvl>
    <w:lvl w:ilvl="1">
      <w:lvlJc w:val="left"/>
      <w:lvlText w:val="•"/>
      <w:numFmt w:val="bullet"/>
      <w:start w:val="1"/>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upperLetter"/>
      <w:start w:val="1"/>
    </w:lvl>
  </w:abstractNum>
  <w:abstractNum w:abstractNumId="14">
    <w:nsid w:val="737B8DDC"/>
    <w:multiLevelType w:val="hybridMultilevel"/>
    <w:lvl w:ilvl="0">
      <w:lvlJc w:val="left"/>
      <w:lvlText w:val="(%1)"/>
      <w:numFmt w:val="lowerRoman"/>
      <w:start w:val="1"/>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lowerLetter"/>
      <w:start w:val="3"/>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1)"/>
      <w:numFmt w:val="lowerLetter"/>
      <w:start w:val="2"/>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1)"/>
      <w:numFmt w:val="lowerLetter"/>
      <w:start w:val="3"/>
    </w:lvl>
  </w:abstractNum>
  <w:abstractNum w:abstractNumId="28">
    <w:nsid w:val="2463B9EA"/>
    <w:multiLevelType w:val="hybridMultilevel"/>
    <w:lvl w:ilvl="0">
      <w:lvlJc w:val="left"/>
      <w:lvlText w:val="%1"/>
      <w:numFmt w:val="lowerLetter"/>
      <w:start w:val="1"/>
    </w:lvl>
    <w:lvl w:ilvl="1">
      <w:lvlJc w:val="left"/>
      <w:lvlText w:val="(%2)"/>
      <w:numFmt w:val="lowerLetter"/>
      <w:start w:val="12"/>
    </w:lvl>
  </w:abstractNum>
  <w:abstractNum w:abstractNumId="29">
    <w:nsid w:val="5E884ADC"/>
    <w:multiLevelType w:val="hybridMultilevel"/>
    <w:lvl w:ilvl="0">
      <w:lvlJc w:val="left"/>
      <w:lvlText w:val="(%1)"/>
      <w:numFmt w:val="lowerLetter"/>
      <w:start w:val="61"/>
    </w:lvl>
    <w:lvl w:ilvl="1">
      <w:lvlJc w:val="left"/>
      <w:lvlText w:val="(%2)"/>
      <w:numFmt w:val="lowerLetter"/>
      <w:start w:val="19"/>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
      <w:numFmt w:val="bullet"/>
      <w:start w:val="1"/>
    </w:lvl>
    <w:lvl w:ilvl="1">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lvl w:ilvl="1">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2019-12-06T17:56:02Z</dcterms:created>
  <dcterms:modified xsi:type="dcterms:W3CDTF">2019-12-06T17:56:02Z</dcterms:modified>
</cp:coreProperties>
</file>