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2927350</wp:posOffset>
            </wp:positionH>
            <wp:positionV relativeFrom="page">
              <wp:posOffset>157480</wp:posOffset>
            </wp:positionV>
            <wp:extent cx="17068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6880" cy="7118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7,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Joseph Cascarano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Robert S. Littlepage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Accountant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Telecommunications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Comcast Corporation</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Fiscal Year Ended December 31, 2017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January 31,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10-Q for the Fiscal Quarter Ended September 30, 3018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October 25,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001-32871</w:t>
      </w:r>
    </w:p>
    <w:p>
      <w:pPr>
        <w:spacing w:after="0" w:line="21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NBCUniversal Media, LLC</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the Fiscal Year Ended December 31, 2017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January 31,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10-Q for the Fiscal Quarter Ended September 30,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October 25, 2018</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001-36438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Messrs. Cascarano and Littlepage:</w:t>
      </w:r>
    </w:p>
    <w:p>
      <w:pPr>
        <w:spacing w:after="0" w:line="225" w:lineRule="exact"/>
        <w:rPr>
          <w:sz w:val="24"/>
          <w:szCs w:val="24"/>
          <w:color w:val="auto"/>
        </w:rPr>
      </w:pPr>
    </w:p>
    <w:p>
      <w:pPr>
        <w:ind w:firstLine="654"/>
        <w:spacing w:after="0" w:line="297" w:lineRule="auto"/>
        <w:rPr>
          <w:sz w:val="20"/>
          <w:szCs w:val="20"/>
          <w:color w:val="auto"/>
        </w:rPr>
      </w:pPr>
      <w:r>
        <w:rPr>
          <w:rFonts w:ascii="Arial" w:cs="Arial" w:eastAsia="Arial" w:hAnsi="Arial"/>
          <w:sz w:val="16"/>
          <w:szCs w:val="16"/>
          <w:color w:val="auto"/>
        </w:rPr>
        <w:t>We are writing this letter to respond to the comment letters of the Staff of the Securities and Exchange Commission (the “Staff”) dated November 5, 2018, to Comcast Corporation (“Comcast”) and NBCUniversal Media, LLC (“NBCUniversal”), relating to the review of Comcast’s and NBCUniversal’s combined Form 10-K for the fiscal year ended December 31, 2017 (the “Form 10-K”) and the combined Form 10-Q for the Fiscal Quarter Ended September 30, 2018 (the “Form 10-Q”). Because the questions asked in the comment letters are identical in all respects, except for page number references, we are providing a consolidated response to both letters. In our response, we refer to Comcast and NBCUniversal collectively as “we,” “our” and “us.”</w:t>
      </w:r>
    </w:p>
    <w:p>
      <w:pPr>
        <w:spacing w:after="0" w:line="158" w:lineRule="exact"/>
        <w:rPr>
          <w:sz w:val="24"/>
          <w:szCs w:val="24"/>
          <w:color w:val="auto"/>
        </w:rPr>
      </w:pPr>
    </w:p>
    <w:p>
      <w:pPr>
        <w:ind w:right="640" w:firstLine="654"/>
        <w:spacing w:after="0" w:line="277" w:lineRule="auto"/>
        <w:rPr>
          <w:sz w:val="20"/>
          <w:szCs w:val="20"/>
          <w:color w:val="auto"/>
        </w:rPr>
      </w:pPr>
      <w:r>
        <w:rPr>
          <w:rFonts w:ascii="Arial" w:cs="Arial" w:eastAsia="Arial" w:hAnsi="Arial"/>
          <w:sz w:val="18"/>
          <w:szCs w:val="18"/>
          <w:color w:val="auto"/>
        </w:rPr>
        <w:t>For your convenience, we have reproduced the Staff’s comment in italics preceding our response below. Please let us know if you have any questions or if we can provide additional information or otherwise be of assistance in expediting the review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 w:name="page2"/>
    <w:bookmarkEnd w:id="1"/>
    <w:p>
      <w:pPr>
        <w:spacing w:after="0"/>
        <w:tabs>
          <w:tab w:leader="none" w:pos="1006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November 7,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Corporation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Segments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page 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Media, LLC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page 61</w:t>
      </w:r>
    </w:p>
    <w:p>
      <w:pPr>
        <w:spacing w:after="0" w:line="211" w:lineRule="exact"/>
        <w:rPr>
          <w:sz w:val="20"/>
          <w:szCs w:val="20"/>
          <w:color w:val="auto"/>
        </w:rPr>
      </w:pPr>
    </w:p>
    <w:p>
      <w:pPr>
        <w:ind w:right="120" w:firstLine="8"/>
        <w:spacing w:after="0" w:line="277" w:lineRule="auto"/>
        <w:tabs>
          <w:tab w:leader="none" w:pos="585"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1. Please revise your disclosure in future filings to clarify that you consider your distribution agreements to be functional licenses of intellectual property. Please refer to ASC 606-10-50-12.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consideration of the Staff’s comment, beginning with our Annual Report on Form 10-K for the year ending December 31, 2018, we will revise our disclosure to state that we account for our distribution agreements as functional licenses of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286-6053 with any questions you may have with respect to the foregoing.</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C. Murdock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Controller, Comcast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NBCUniversal Media, LLC</w:t>
      </w:r>
    </w:p>
    <w:p>
      <w:pPr>
        <w:spacing w:after="0" w:line="211" w:lineRule="exact"/>
        <w:rPr>
          <w:sz w:val="20"/>
          <w:szCs w:val="20"/>
          <w:color w:val="auto"/>
        </w:rPr>
      </w:pPr>
    </w:p>
    <w:p>
      <w:pPr>
        <w:ind w:left="360" w:right="6040" w:hanging="352"/>
        <w:spacing w:after="0" w:line="258"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Cavanagh, Chief Financial Officer</w:t>
      </w:r>
    </w:p>
    <w:p>
      <w:pPr>
        <w:spacing w:after="0" w:line="1" w:lineRule="exact"/>
        <w:rPr>
          <w:rFonts w:ascii="Arial" w:cs="Arial" w:eastAsia="Arial" w:hAnsi="Arial"/>
          <w:sz w:val="18"/>
          <w:szCs w:val="18"/>
          <w:color w:val="auto"/>
        </w:rPr>
      </w:pPr>
    </w:p>
    <w:p>
      <w:pPr>
        <w:ind w:left="360" w:right="5680"/>
        <w:spacing w:after="0" w:line="250" w:lineRule="auto"/>
        <w:rPr>
          <w:rFonts w:ascii="Arial" w:cs="Arial" w:eastAsia="Arial" w:hAnsi="Arial"/>
          <w:sz w:val="18"/>
          <w:szCs w:val="18"/>
          <w:color w:val="auto"/>
        </w:rPr>
      </w:pPr>
      <w:r>
        <w:rPr>
          <w:rFonts w:ascii="Arial" w:cs="Arial" w:eastAsia="Arial" w:hAnsi="Arial"/>
          <w:sz w:val="18"/>
          <w:szCs w:val="18"/>
          <w:color w:val="auto"/>
        </w:rPr>
        <w:t>Arthur R. Block, Executive Vice President, General Counsel and Secretary Jeffrey A. Honickman, Director and Chairman of Audit Committee Bruce K. Dallas, Davis Polk &amp; Wardwell LLP</w:t>
      </w:r>
    </w:p>
    <w:p>
      <w:pPr>
        <w:spacing w:after="0" w:line="1" w:lineRule="exact"/>
        <w:rPr>
          <w:rFonts w:ascii="Arial" w:cs="Arial" w:eastAsia="Arial" w:hAnsi="Arial"/>
          <w:sz w:val="18"/>
          <w:szCs w:val="18"/>
          <w:color w:val="auto"/>
        </w:rPr>
      </w:pPr>
    </w:p>
    <w:p>
      <w:pPr>
        <w:ind w:left="360" w:right="7760"/>
        <w:spacing w:after="0" w:line="323" w:lineRule="auto"/>
        <w:rPr>
          <w:rFonts w:ascii="Arial" w:cs="Arial" w:eastAsia="Arial" w:hAnsi="Arial"/>
          <w:sz w:val="18"/>
          <w:szCs w:val="18"/>
          <w:color w:val="auto"/>
        </w:rPr>
      </w:pPr>
      <w:r>
        <w:rPr>
          <w:rFonts w:ascii="Arial" w:cs="Arial" w:eastAsia="Arial" w:hAnsi="Arial"/>
          <w:sz w:val="16"/>
          <w:szCs w:val="16"/>
          <w:color w:val="auto"/>
        </w:rPr>
        <w:t>John Malvisi, Deloitte &amp; Touche LLP Courtney Sachtleben, Deloitte &amp; Touche LLP</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2019-12-06T19:14:26Z</dcterms:created>
  <dcterms:modified xsi:type="dcterms:W3CDTF">2019-12-06T19:14:26Z</dcterms:modified>
</cp:coreProperties>
</file>