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80"/>
        <w:spacing w:after="0"/>
        <w:rPr>
          <w:sz w:val="20"/>
          <w:szCs w:val="20"/>
          <w:color w:val="auto"/>
        </w:rPr>
      </w:pPr>
      <w:r>
        <w:rPr>
          <w:rFonts w:ascii="Courier New" w:cs="Courier New" w:eastAsia="Courier New" w:hAnsi="Courier New"/>
          <w:sz w:val="18"/>
          <w:szCs w:val="18"/>
          <w:color w:val="auto"/>
        </w:rPr>
        <w:t>UNITED STATES</w:t>
      </w:r>
    </w:p>
    <w:p>
      <w:pPr>
        <w:ind w:left="21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Comcast Corporation</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Class A</w:t>
      </w:r>
    </w:p>
    <w:p>
      <w:pPr>
        <w:jc w:val="center"/>
        <w:ind w:right="23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200300101</w:t>
      </w: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54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(CUSIP Number)</w:t>
            </w: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08"/>
        </w:trPr>
        <w:tc>
          <w:tcPr>
            <w:tcW w:w="4380" w:type="dxa"/>
            <w:vAlign w:val="bottom"/>
            <w:gridSpan w:val="3"/>
          </w:tcPr>
          <w:p>
            <w:pPr>
              <w:spacing w:after="0"/>
              <w:rPr>
                <w:sz w:val="20"/>
                <w:szCs w:val="20"/>
                <w:color w:val="auto"/>
              </w:rPr>
            </w:pPr>
            <w:r>
              <w:rPr>
                <w:rFonts w:ascii="Courier New" w:cs="Courier New" w:eastAsia="Courier New" w:hAnsi="Courier New"/>
                <w:sz w:val="18"/>
                <w:szCs w:val="18"/>
                <w:color w:val="auto"/>
                <w:w w:val="98"/>
              </w:rPr>
              <w:t>Check the following box if a fee is being</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paid with</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this statement</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(A fee</w:t>
            </w:r>
          </w:p>
        </w:tc>
        <w:tc>
          <w:tcPr>
            <w:tcW w:w="2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is not required only</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if the filing</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person: (1) has a previous</w:t>
            </w:r>
          </w:p>
        </w:tc>
        <w:tc>
          <w:tcPr>
            <w:tcW w:w="100" w:type="dxa"/>
            <w:vAlign w:val="bottom"/>
          </w:tcPr>
          <w:p>
            <w:pPr>
              <w:spacing w:after="0"/>
              <w:rPr>
                <w:sz w:val="17"/>
                <w:szCs w:val="17"/>
                <w:color w:val="auto"/>
              </w:rPr>
            </w:pP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statement on file reporting</w:t>
            </w:r>
          </w:p>
        </w:tc>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beneficial ownership of</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more than five percent</w:t>
            </w:r>
          </w:p>
        </w:tc>
        <w:tc>
          <w:tcPr>
            <w:tcW w:w="100" w:type="dxa"/>
            <w:vAlign w:val="bottom"/>
          </w:tcPr>
          <w:p>
            <w:pPr>
              <w:spacing w:after="0"/>
              <w:rPr>
                <w:sz w:val="17"/>
                <w:szCs w:val="17"/>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w:t>
            </w:r>
          </w:p>
        </w:tc>
        <w:tc>
          <w:tcPr>
            <w:tcW w:w="4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class of securities described in Item l; and</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 has filed no</w:t>
            </w:r>
          </w:p>
        </w:tc>
        <w:tc>
          <w:tcPr>
            <w:tcW w:w="100" w:type="dxa"/>
            <w:vAlign w:val="bottom"/>
          </w:tcPr>
          <w:p>
            <w:pPr>
              <w:spacing w:after="0"/>
              <w:rPr>
                <w:sz w:val="17"/>
                <w:szCs w:val="17"/>
                <w:color w:val="auto"/>
              </w:rPr>
            </w:pPr>
          </w:p>
        </w:tc>
      </w:tr>
    </w:tbl>
    <w:p>
      <w:pPr>
        <w:spacing w:after="0" w:line="4" w:lineRule="exact"/>
        <w:rPr>
          <w:sz w:val="24"/>
          <w:szCs w:val="24"/>
          <w:color w:val="auto"/>
        </w:rPr>
      </w:pPr>
    </w:p>
    <w:p>
      <w:pPr>
        <w:jc w:val="both"/>
        <w:ind w:right="2319"/>
        <w:spacing w:after="0" w:line="235" w:lineRule="auto"/>
        <w:rPr>
          <w:sz w:val="20"/>
          <w:szCs w:val="20"/>
          <w:color w:val="auto"/>
        </w:rPr>
      </w:pPr>
      <w:r>
        <w:rPr>
          <w:rFonts w:ascii="Courier New" w:cs="Courier New" w:eastAsia="Courier New" w:hAnsi="Courier New"/>
          <w:sz w:val="18"/>
          <w:szCs w:val="18"/>
          <w:color w:val="auto"/>
        </w:rPr>
        <w:t>amendment subsequent thereto reporting beneficial ownership of five percent or less of such class.)(See Rule 13d-7).</w:t>
      </w:r>
    </w:p>
    <w:p>
      <w:pPr>
        <w:spacing w:after="0" w:line="208"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tabs>
          <w:tab w:leader="none" w:pos="3560" w:val="left"/>
          <w:tab w:leader="none" w:pos="5360" w:val="left"/>
        </w:tabs>
        <w:rPr>
          <w:sz w:val="20"/>
          <w:szCs w:val="20"/>
          <w:color w:val="auto"/>
        </w:rPr>
      </w:pPr>
      <w:r>
        <w:rPr>
          <w:rFonts w:ascii="Courier New" w:cs="Courier New" w:eastAsia="Courier New" w:hAnsi="Courier New"/>
          <w:sz w:val="18"/>
          <w:szCs w:val="18"/>
          <w:color w:val="auto"/>
        </w:rPr>
        <w:t>CUSIP No. 200300101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640" w:right="4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Neuberger &amp; Berman, LLC</w:t>
      </w:r>
    </w:p>
    <w:p>
      <w:pPr>
        <w:spacing w:after="0" w:line="1" w:lineRule="exact"/>
        <w:rPr>
          <w:rFonts w:ascii="Courier New" w:cs="Courier New" w:eastAsia="Courier New" w:hAnsi="Courier New"/>
          <w:sz w:val="18"/>
          <w:szCs w:val="18"/>
          <w:color w:val="auto"/>
        </w:rPr>
      </w:pP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13-5521910</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1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80"/>
              <w:spacing w:after="0"/>
              <w:rPr>
                <w:sz w:val="20"/>
                <w:szCs w:val="20"/>
                <w:color w:val="auto"/>
              </w:rPr>
            </w:pPr>
            <w:r>
              <w:rPr>
                <w:rFonts w:ascii="Courier New" w:cs="Courier New" w:eastAsia="Courier New" w:hAnsi="Courier New"/>
                <w:sz w:val="18"/>
                <w:szCs w:val="18"/>
                <w:color w:val="auto"/>
              </w:rPr>
              <w:t>(a)</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/__/</w:t>
            </w:r>
          </w:p>
        </w:tc>
      </w:tr>
      <w:tr>
        <w:trPr>
          <w:trHeight w:val="203"/>
        </w:trPr>
        <w:tc>
          <w:tcPr>
            <w:tcW w:w="38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(b)</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/X/</w:t>
            </w: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w:t>
            </w:r>
          </w:p>
        </w:tc>
        <w:tc>
          <w:tcPr>
            <w:tcW w:w="5900" w:type="dxa"/>
            <w:vAlign w:val="bottom"/>
          </w:tcPr>
          <w:p>
            <w:pPr>
              <w:ind w:left="160"/>
              <w:spacing w:after="0"/>
              <w:rPr>
                <w:sz w:val="20"/>
                <w:szCs w:val="20"/>
                <w:color w:val="auto"/>
              </w:rPr>
            </w:pPr>
            <w:r>
              <w:rPr>
                <w:rFonts w:ascii="Courier New" w:cs="Courier New" w:eastAsia="Courier New" w:hAnsi="Courier New"/>
                <w:sz w:val="18"/>
                <w:szCs w:val="18"/>
                <w:color w:val="auto"/>
              </w:rPr>
              <w:t>SEC USE ONLY</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4)</w:t>
            </w:r>
          </w:p>
        </w:tc>
        <w:tc>
          <w:tcPr>
            <w:tcW w:w="5900" w:type="dxa"/>
            <w:vAlign w:val="bottom"/>
          </w:tcPr>
          <w:p>
            <w:pPr>
              <w:ind w:left="160"/>
              <w:spacing w:after="0"/>
              <w:rPr>
                <w:sz w:val="20"/>
                <w:szCs w:val="20"/>
                <w:color w:val="auto"/>
              </w:rPr>
            </w:pPr>
            <w:r>
              <w:rPr>
                <w:rFonts w:ascii="Courier New" w:cs="Courier New" w:eastAsia="Courier New" w:hAnsi="Courier New"/>
                <w:sz w:val="18"/>
                <w:szCs w:val="18"/>
                <w:color w:val="auto"/>
              </w:rPr>
              <w:t>CITIZENSHIP OR PLACE OF ORGANIZATION</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5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Delaware</w:t>
            </w: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ind w:left="640" w:right="7899" w:hanging="632"/>
        <w:spacing w:after="0" w:line="235" w:lineRule="auto"/>
        <w:tabs>
          <w:tab w:leader="none" w:pos="53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271,734</w:t>
      </w:r>
    </w:p>
    <w:p>
      <w:pPr>
        <w:spacing w:after="0" w:line="208" w:lineRule="exact"/>
        <w:rPr>
          <w:rFonts w:ascii="Courier New" w:cs="Courier New" w:eastAsia="Courier New" w:hAnsi="Courier New"/>
          <w:sz w:val="18"/>
          <w:szCs w:val="18"/>
          <w:color w:val="auto"/>
        </w:rPr>
      </w:pPr>
    </w:p>
    <w:p>
      <w:pPr>
        <w:ind w:left="640" w:right="7679" w:hanging="632"/>
        <w:spacing w:after="0" w:line="235" w:lineRule="auto"/>
        <w:tabs>
          <w:tab w:leader="none" w:pos="53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8" w:lineRule="exact"/>
        <w:rPr>
          <w:rFonts w:ascii="Courier New" w:cs="Courier New" w:eastAsia="Courier New" w:hAnsi="Courier New"/>
          <w:sz w:val="18"/>
          <w:szCs w:val="18"/>
          <w:color w:val="auto"/>
        </w:rPr>
      </w:pPr>
    </w:p>
    <w:p>
      <w:pPr>
        <w:ind w:left="640" w:right="7359" w:hanging="632"/>
        <w:spacing w:after="0" w:line="235" w:lineRule="auto"/>
        <w:tabs>
          <w:tab w:leader="none" w:pos="53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640" w:right="7159" w:hanging="632"/>
        <w:spacing w:after="0" w:line="235" w:lineRule="auto"/>
        <w:tabs>
          <w:tab w:leader="none" w:pos="53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507,651</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3359" w:hanging="632"/>
        <w:spacing w:after="0" w:line="235" w:lineRule="auto"/>
        <w:tabs>
          <w:tab w:leader="none" w:pos="53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507,651</w:t>
      </w:r>
    </w:p>
    <w:p>
      <w:pPr>
        <w:spacing w:after="0" w:line="208"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ectPr>
          <w:pgSz w:w="11900" w:h="16838" w:orient="portrait"/>
          <w:cols w:equalWidth="0" w:num="1">
            <w:col w:w="10219"/>
          </w:cols>
          <w:pgMar w:left="24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22,500</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p>
    <w:p>
      <w:pPr>
        <w:ind w:left="640"/>
        <w:spacing w:after="0" w:line="238" w:lineRule="auto"/>
        <w:rPr>
          <w:sz w:val="20"/>
          <w:szCs w:val="20"/>
          <w:color w:val="auto"/>
        </w:rPr>
      </w:pPr>
      <w:r>
        <w:rPr>
          <w:rFonts w:ascii="Courier New" w:cs="Courier New" w:eastAsia="Courier New" w:hAnsi="Courier New"/>
          <w:sz w:val="18"/>
          <w:szCs w:val="18"/>
          <w:color w:val="auto"/>
        </w:rPr>
        <w:t>1.6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gridSpan w:val="4"/>
          </w:tcPr>
          <w:p>
            <w:pPr>
              <w:spacing w:after="0"/>
              <w:rPr>
                <w:sz w:val="20"/>
                <w:szCs w:val="20"/>
                <w:color w:val="auto"/>
              </w:rPr>
            </w:pPr>
            <w:r>
              <w:rPr>
                <w:rFonts w:ascii="Courier New" w:cs="Courier New" w:eastAsia="Courier New" w:hAnsi="Courier New"/>
                <w:sz w:val="18"/>
                <w:szCs w:val="18"/>
                <w:color w:val="auto"/>
              </w:rPr>
              <w:t>12)   TYPE OF REPORTING PERSON*</w:t>
            </w:r>
          </w:p>
        </w:tc>
        <w:tc>
          <w:tcPr>
            <w:tcW w:w="2520" w:type="dxa"/>
            <w:vAlign w:val="bottom"/>
          </w:tcPr>
          <w:p>
            <w:pPr>
              <w:spacing w:after="0"/>
              <w:rPr>
                <w:sz w:val="17"/>
                <w:szCs w:val="17"/>
                <w:color w:val="auto"/>
              </w:rPr>
            </w:pPr>
          </w:p>
        </w:tc>
      </w:tr>
      <w:tr>
        <w:trPr>
          <w:trHeight w:val="608"/>
        </w:trPr>
        <w:tc>
          <w:tcPr>
            <w:tcW w:w="144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BD/IA</w:t>
            </w: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608"/>
        </w:trPr>
        <w:tc>
          <w:tcPr>
            <w:tcW w:w="2000" w:type="dxa"/>
            <w:vAlign w:val="bottom"/>
            <w:gridSpan w:val="3"/>
          </w:tcPr>
          <w:p>
            <w:pPr>
              <w:spacing w:after="0"/>
              <w:rPr>
                <w:sz w:val="20"/>
                <w:szCs w:val="20"/>
                <w:color w:val="auto"/>
              </w:rPr>
            </w:pPr>
            <w:r>
              <w:rPr>
                <w:rFonts w:ascii="Courier New" w:cs="Courier New" w:eastAsia="Courier New" w:hAnsi="Courier New"/>
                <w:sz w:val="18"/>
                <w:szCs w:val="18"/>
                <w:color w:val="auto"/>
                <w:w w:val="96"/>
              </w:rPr>
              <w:t>CUSIP No. 200300101</w:t>
            </w:r>
          </w:p>
        </w:tc>
        <w:tc>
          <w:tcPr>
            <w:tcW w:w="3380" w:type="dxa"/>
            <w:vAlign w:val="bottom"/>
          </w:tcPr>
          <w:p>
            <w:pPr>
              <w:ind w:left="1580"/>
              <w:spacing w:after="0"/>
              <w:rPr>
                <w:sz w:val="20"/>
                <w:szCs w:val="20"/>
                <w:color w:val="auto"/>
              </w:rPr>
            </w:pPr>
            <w:r>
              <w:rPr>
                <w:rFonts w:ascii="Courier New" w:cs="Courier New" w:eastAsia="Courier New" w:hAnsi="Courier New"/>
                <w:sz w:val="18"/>
                <w:szCs w:val="18"/>
                <w:color w:val="auto"/>
              </w:rPr>
              <w:t>13G</w:t>
            </w:r>
          </w:p>
        </w:tc>
        <w:tc>
          <w:tcPr>
            <w:tcW w:w="2520" w:type="dxa"/>
            <w:vAlign w:val="bottom"/>
          </w:tcPr>
          <w:p>
            <w:pPr>
              <w:jc w:val="right"/>
              <w:ind w:right="632"/>
              <w:spacing w:after="0"/>
              <w:rPr>
                <w:sz w:val="20"/>
                <w:szCs w:val="20"/>
                <w:color w:val="auto"/>
              </w:rPr>
            </w:pPr>
            <w:r>
              <w:rPr>
                <w:rFonts w:ascii="Courier New" w:cs="Courier New" w:eastAsia="Courier New" w:hAnsi="Courier New"/>
                <w:sz w:val="18"/>
                <w:szCs w:val="18"/>
                <w:color w:val="auto"/>
                <w:w w:val="96"/>
              </w:rPr>
              <w:t>Page 3 of 5 Pages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(a)</w:t>
            </w:r>
          </w:p>
        </w:tc>
        <w:tc>
          <w:tcPr>
            <w:tcW w:w="39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Name of Issuer:</w:t>
            </w:r>
          </w:p>
        </w:tc>
        <w:tc>
          <w:tcPr>
            <w:tcW w:w="2520" w:type="dxa"/>
            <w:vAlign w:val="bottom"/>
          </w:tcPr>
          <w:p>
            <w:pPr>
              <w:spacing w:after="0"/>
              <w:rPr>
                <w:sz w:val="17"/>
                <w:szCs w:val="17"/>
                <w:color w:val="auto"/>
              </w:rPr>
            </w:pP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Comcast Corporation</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(b)</w:t>
            </w:r>
          </w:p>
        </w:tc>
        <w:tc>
          <w:tcPr>
            <w:tcW w:w="6460" w:type="dxa"/>
            <w:vAlign w:val="bottom"/>
            <w:gridSpan w:val="3"/>
          </w:tcPr>
          <w:p>
            <w:pPr>
              <w:ind w:left="14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7"/>
              </w:rPr>
              <w:t>1500 Market Street, Philadelphia, PA</w:t>
            </w:r>
          </w:p>
        </w:tc>
        <w:tc>
          <w:tcPr>
            <w:tcW w:w="252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19102</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(a)</w:t>
            </w: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Name of Person Filing:</w:t>
            </w:r>
          </w:p>
        </w:tc>
        <w:tc>
          <w:tcPr>
            <w:tcW w:w="25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Neuberger &amp; Berman, LLC</w:t>
            </w:r>
          </w:p>
        </w:tc>
        <w:tc>
          <w:tcPr>
            <w:tcW w:w="25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3"/>
          </w:tcPr>
          <w:p>
            <w:pPr>
              <w:ind w:left="140"/>
              <w:spacing w:after="0" w:line="203" w:lineRule="exact"/>
              <w:rPr>
                <w:sz w:val="20"/>
                <w:szCs w:val="20"/>
                <w:color w:val="auto"/>
              </w:rPr>
            </w:pPr>
            <w:r>
              <w:rPr>
                <w:rFonts w:ascii="Courier New" w:cs="Courier New" w:eastAsia="Courier New" w:hAnsi="Courier New"/>
                <w:sz w:val="18"/>
                <w:szCs w:val="18"/>
                <w:color w:val="auto"/>
              </w:rPr>
              <w:t>Neuberger &amp; Berman Management Incorporated</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(b)</w:t>
            </w:r>
          </w:p>
        </w:tc>
        <w:tc>
          <w:tcPr>
            <w:tcW w:w="6460" w:type="dxa"/>
            <w:vAlign w:val="bottom"/>
            <w:gridSpan w:val="3"/>
          </w:tcPr>
          <w:p>
            <w:pPr>
              <w:ind w:left="140"/>
              <w:spacing w:after="0"/>
              <w:rPr>
                <w:sz w:val="20"/>
                <w:szCs w:val="20"/>
                <w:color w:val="auto"/>
              </w:rPr>
            </w:pPr>
            <w:r>
              <w:rPr>
                <w:rFonts w:ascii="Courier New" w:cs="Courier New" w:eastAsia="Courier New" w:hAnsi="Courier New"/>
                <w:sz w:val="18"/>
                <w:szCs w:val="18"/>
                <w:color w:val="auto"/>
              </w:rPr>
              <w:t>Address of Principal Business Office:</w:t>
            </w: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605</w:t>
            </w:r>
          </w:p>
        </w:tc>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Third Ave., New York, NY, 10158-3698</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(c)</w:t>
            </w: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Citizenship:</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USA</w:t>
            </w:r>
          </w:p>
        </w:tc>
        <w:tc>
          <w:tcPr>
            <w:tcW w:w="3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(d)</w:t>
            </w: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Title of Class of Securities:</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Class A</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(e)</w:t>
            </w: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CUSIP Number:</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200300101</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(a)</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/X/</w:t>
            </w:r>
          </w:p>
        </w:tc>
        <w:tc>
          <w:tcPr>
            <w:tcW w:w="590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6"/>
              </w:rPr>
              <w:t>Broker or Dealer registered under Section 15 of the Act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(b)</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/X/</w:t>
            </w:r>
          </w:p>
        </w:tc>
        <w:tc>
          <w:tcPr>
            <w:tcW w:w="590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8"/>
              </w:rPr>
              <w:t>Investment Adviser registered under Section 203 of the</w:t>
            </w:r>
          </w:p>
        </w:tc>
      </w:tr>
      <w:tr>
        <w:trPr>
          <w:trHeight w:val="203"/>
        </w:trPr>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Investment Advisers Act of 1940</w:t>
            </w:r>
          </w:p>
        </w:tc>
        <w:tc>
          <w:tcPr>
            <w:tcW w:w="25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(c)</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/X/</w:t>
            </w:r>
          </w:p>
        </w:tc>
        <w:tc>
          <w:tcPr>
            <w:tcW w:w="59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Investment Company registered under Section 8 of the</w:t>
            </w:r>
          </w:p>
        </w:tc>
      </w:tr>
      <w:tr>
        <w:trPr>
          <w:trHeight w:val="203"/>
        </w:trPr>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Company Act.</w:t>
            </w:r>
          </w:p>
        </w:tc>
        <w:tc>
          <w:tcPr>
            <w:tcW w:w="25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640" w:type="dxa"/>
            <w:vAlign w:val="bottom"/>
          </w:tcPr>
          <w:p>
            <w:pPr>
              <w:spacing w:after="0"/>
              <w:rPr>
                <w:sz w:val="24"/>
                <w:szCs w:val="2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Ownership:</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(a)</w:t>
            </w: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Amount Beneficially Owned:</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507,651</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(b)</w:t>
            </w: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Percent of Class:</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1.6</w:t>
            </w:r>
          </w:p>
        </w:tc>
        <w:tc>
          <w:tcPr>
            <w:tcW w:w="338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pacing w:after="0" w:line="201" w:lineRule="exact"/>
        <w:rPr>
          <w:sz w:val="20"/>
          <w:szCs w:val="20"/>
          <w:color w:val="auto"/>
        </w:rPr>
      </w:pPr>
    </w:p>
    <w:p>
      <w:pPr>
        <w:spacing w:after="0"/>
        <w:tabs>
          <w:tab w:leader="none" w:pos="3560" w:val="left"/>
          <w:tab w:leader="none" w:pos="5360" w:val="left"/>
        </w:tabs>
        <w:rPr>
          <w:sz w:val="20"/>
          <w:szCs w:val="20"/>
          <w:color w:val="auto"/>
        </w:rPr>
      </w:pPr>
      <w:r>
        <w:rPr>
          <w:rFonts w:ascii="Courier New" w:cs="Courier New" w:eastAsia="Courier New" w:hAnsi="Courier New"/>
          <w:sz w:val="18"/>
          <w:szCs w:val="18"/>
          <w:color w:val="auto"/>
        </w:rPr>
        <w:t>CUSIP No. 200300101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 Pages</w:t>
      </w:r>
    </w:p>
    <w:p>
      <w:pPr>
        <w:spacing w:after="0" w:line="201" w:lineRule="exact"/>
        <w:rPr>
          <w:sz w:val="20"/>
          <w:szCs w:val="20"/>
          <w:color w:val="auto"/>
        </w:rPr>
      </w:pPr>
    </w:p>
    <w:p>
      <w:pPr>
        <w:ind w:left="740" w:hanging="732"/>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800" w:right="4739" w:hanging="739"/>
        <w:spacing w:after="0" w:line="235" w:lineRule="auto"/>
        <w:tabs>
          <w:tab w:leader="none" w:pos="18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271,734</w:t>
      </w:r>
    </w:p>
    <w:p>
      <w:pPr>
        <w:spacing w:after="0" w:line="208" w:lineRule="exact"/>
        <w:rPr>
          <w:sz w:val="20"/>
          <w:szCs w:val="20"/>
          <w:color w:val="auto"/>
        </w:rPr>
      </w:pPr>
    </w:p>
    <w:p>
      <w:pPr>
        <w:ind w:left="1800" w:right="4519" w:hanging="739"/>
        <w:spacing w:after="0" w:line="235" w:lineRule="auto"/>
        <w:tabs>
          <w:tab w:leader="none" w:pos="18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8" w:lineRule="exact"/>
        <w:rPr>
          <w:rFonts w:ascii="Courier New" w:cs="Courier New" w:eastAsia="Courier New" w:hAnsi="Courier New"/>
          <w:sz w:val="18"/>
          <w:szCs w:val="18"/>
          <w:color w:val="auto"/>
        </w:rPr>
      </w:pPr>
    </w:p>
    <w:p>
      <w:pPr>
        <w:ind w:left="1800" w:right="3159" w:hanging="739"/>
        <w:spacing w:after="0" w:line="235" w:lineRule="auto"/>
        <w:tabs>
          <w:tab w:leader="none" w:pos="18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8" w:lineRule="exact"/>
        <w:rPr>
          <w:rFonts w:ascii="Courier New" w:cs="Courier New" w:eastAsia="Courier New" w:hAnsi="Courier New"/>
          <w:sz w:val="18"/>
          <w:szCs w:val="18"/>
          <w:color w:val="auto"/>
        </w:rPr>
      </w:pPr>
    </w:p>
    <w:p>
      <w:pPr>
        <w:ind w:left="1800" w:right="2939" w:hanging="739"/>
        <w:spacing w:after="0" w:line="235" w:lineRule="auto"/>
        <w:tabs>
          <w:tab w:leader="none" w:pos="18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507,651</w:t>
      </w:r>
    </w:p>
    <w:p>
      <w:pPr>
        <w:spacing w:after="0" w:line="200" w:lineRule="exact"/>
        <w:rPr>
          <w:sz w:val="20"/>
          <w:szCs w:val="20"/>
          <w:color w:val="auto"/>
        </w:rPr>
      </w:pPr>
    </w:p>
    <w:p>
      <w:pPr>
        <w:spacing w:after="0" w:line="20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4" w:lineRule="exact"/>
        <w:rPr>
          <w:sz w:val="20"/>
          <w:szCs w:val="20"/>
          <w:color w:val="auto"/>
        </w:rPr>
      </w:pPr>
    </w:p>
    <w:p>
      <w:pPr>
        <w:ind w:left="1580" w:right="2319"/>
        <w:spacing w:after="0" w:line="268" w:lineRule="auto"/>
        <w:rPr>
          <w:sz w:val="20"/>
          <w:szCs w:val="20"/>
          <w:color w:val="auto"/>
        </w:rPr>
      </w:pPr>
      <w:r>
        <w:rPr>
          <w:rFonts w:ascii="Courier New" w:cs="Courier New" w:eastAsia="Courier New" w:hAnsi="Courier New"/>
          <w:sz w:val="16"/>
          <w:szCs w:val="16"/>
          <w:color w:val="auto"/>
        </w:rPr>
        <w:t>This statement is being filed to report the fact, that as of the date hereof, Neuberger &amp; Berman, LLC has ceased to be</w:t>
      </w:r>
    </w:p>
    <w:p>
      <w:pPr>
        <w:spacing w:after="0" w:line="233" w:lineRule="auto"/>
        <w:rPr>
          <w:sz w:val="20"/>
          <w:szCs w:val="20"/>
          <w:color w:val="auto"/>
        </w:rPr>
      </w:pPr>
      <w:r>
        <w:rPr>
          <w:rFonts w:ascii="Courier New" w:cs="Courier New" w:eastAsia="Courier New" w:hAnsi="Courier New"/>
          <w:sz w:val="18"/>
          <w:szCs w:val="18"/>
          <w:color w:val="auto"/>
        </w:rPr>
        <w:t>the</w:t>
      </w:r>
    </w:p>
    <w:p>
      <w:pPr>
        <w:spacing w:after="0" w:line="5" w:lineRule="exact"/>
        <w:rPr>
          <w:sz w:val="20"/>
          <w:szCs w:val="20"/>
          <w:color w:val="auto"/>
        </w:rPr>
      </w:pPr>
    </w:p>
    <w:p>
      <w:pPr>
        <w:ind w:left="1580" w:right="251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w:t>
      </w:r>
    </w:p>
    <w:p>
      <w:pPr>
        <w:spacing w:after="0"/>
        <w:tabs>
          <w:tab w:leader="none" w:pos="15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w:t>
      </w:r>
    </w:p>
    <w:p>
      <w:pPr>
        <w:sectPr>
          <w:pgSz w:w="11900" w:h="16838" w:orient="portrait"/>
          <w:cols w:equalWidth="0" w:num="1">
            <w:col w:w="10219"/>
          </w:cols>
          <w:pgMar w:left="240" w:top="136" w:right="1440" w:bottom="0" w:gutter="0" w:footer="0" w:header="0"/>
        </w:sectPr>
      </w:pPr>
    </w:p>
    <w:bookmarkStart w:id="2" w:name="page3"/>
    <w:bookmarkEnd w:id="2"/>
    <w:p>
      <w:pPr>
        <w:ind w:right="2319"/>
        <w:spacing w:after="0" w:line="237" w:lineRule="auto"/>
        <w:rPr>
          <w:sz w:val="20"/>
          <w:szCs w:val="20"/>
          <w:color w:val="auto"/>
        </w:rPr>
      </w:pPr>
      <w:r>
        <w:rPr>
          <w:rFonts w:ascii="Courier New" w:cs="Courier New" w:eastAsia="Courier New" w:hAnsi="Courier New"/>
          <w:sz w:val="18"/>
          <w:szCs w:val="18"/>
          <w:color w:val="auto"/>
        </w:rPr>
        <w:t>Neuberger &amp; Berman, LLC is deemed to be a beneficial owner for purpose of Rule 13(d) since it has shared power to make decisions whether to retain or dispose of, and in some cases the sole power to vote, the securities of many unrelated clients. Neuberger &amp; Berman, LLC does not, however have any economic interest in the securities of those clients. The clients are the actual owners of the securities and have the sole right to receive and the power to direct the receipt of dividends from or proceeds from the sale of such securities.</w:t>
      </w:r>
    </w:p>
    <w:p>
      <w:pPr>
        <w:spacing w:after="0" w:line="212"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Principal(s) of Neuberger &amp; Berman, LLC own 22,500 shares. Principal(s) own these shares in their own personal securities accounts. Neuberger &amp; Berman LLC disclaims beneficial ownership of these shares since; these shares were purchased with each principal(s)' personal funds and each principal has exclusive dispositive and voting power over the shares held in their respective accounts.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No other Neuberger &amp; Berman, LLC advisory client has an interest of more than 5% of the issuer.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It should be further</w:t>
            </w:r>
          </w:p>
        </w:tc>
        <w:tc>
          <w:tcPr>
            <w:tcW w:w="564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noted that the share calculation under item 4.(c)(IV)</w:t>
            </w:r>
          </w:p>
        </w:tc>
      </w:tr>
      <w:tr>
        <w:trPr>
          <w:trHeight w:val="203"/>
        </w:trPr>
        <w:tc>
          <w:tcPr>
            <w:tcW w:w="69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is derived from a total combination of the shares set forth under</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Item</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4.(c)(I and II). The</w:t>
            </w:r>
          </w:p>
        </w:tc>
        <w:tc>
          <w:tcPr>
            <w:tcW w:w="3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remaining balance of shares, if any,</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are for</w:t>
            </w:r>
          </w:p>
        </w:tc>
        <w:tc>
          <w:tcPr>
            <w:tcW w:w="900" w:type="dxa"/>
            <w:vAlign w:val="bottom"/>
          </w:tcPr>
          <w:p>
            <w:pPr>
              <w:spacing w:after="0"/>
              <w:rPr>
                <w:sz w:val="17"/>
                <w:szCs w:val="17"/>
                <w:color w:val="auto"/>
              </w:rPr>
            </w:pPr>
          </w:p>
        </w:tc>
      </w:tr>
      <w:tr>
        <w:trPr>
          <w:trHeight w:val="203"/>
        </w:trPr>
        <w:tc>
          <w:tcPr>
            <w:tcW w:w="6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individual client accounts over which Neuberger &amp; Berman,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LLC has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power to dispose but</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 vote shares.</w:t>
            </w: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No. 200300101</w:t>
            </w:r>
          </w:p>
        </w:tc>
        <w:tc>
          <w:tcPr>
            <w:tcW w:w="24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13G</w:t>
            </w:r>
          </w:p>
        </w:tc>
        <w:tc>
          <w:tcPr>
            <w:tcW w:w="1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Page 5</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5 Pages</w:t>
            </w:r>
          </w:p>
        </w:tc>
      </w:tr>
    </w:tbl>
    <w:p>
      <w:pPr>
        <w:spacing w:after="0" w:line="207" w:lineRule="exact"/>
        <w:rPr>
          <w:sz w:val="20"/>
          <w:szCs w:val="20"/>
          <w:color w:val="auto"/>
        </w:rPr>
      </w:pPr>
    </w:p>
    <w:p>
      <w:pPr>
        <w:ind w:left="1800" w:right="2419" w:hanging="1790"/>
        <w:spacing w:after="0" w:line="236" w:lineRule="auto"/>
        <w:tabs>
          <w:tab w:leader="none" w:pos="17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10,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540"/>
        <w:spacing w:after="0" w:line="238" w:lineRule="auto"/>
        <w:rPr>
          <w:sz w:val="20"/>
          <w:szCs w:val="20"/>
          <w:color w:val="auto"/>
        </w:rPr>
      </w:pPr>
      <w:r>
        <w:rPr>
          <w:rFonts w:ascii="Courier New" w:cs="Courier New" w:eastAsia="Courier New" w:hAnsi="Courier New"/>
          <w:sz w:val="18"/>
          <w:szCs w:val="18"/>
          <w:color w:val="auto"/>
        </w:rPr>
        <w:t>C. Carl Randolph</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Principal/General Counsel</w:t>
      </w:r>
    </w:p>
    <w:p>
      <w:pPr>
        <w:ind w:left="540"/>
        <w:spacing w:after="0" w:line="238"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75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lowerLetter"/>
      <w:start w:val="3"/>
    </w:lvl>
    <w:lvl w:ilvl="1">
      <w:lvlJc w:val="left"/>
      <w:lvlText w:val="(%2)"/>
      <w:numFmt w:val="upperLetter"/>
      <w:start w:val="9"/>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2019-12-12T23:01:19Z</dcterms:created>
  <dcterms:modified xsi:type="dcterms:W3CDTF">2019-12-12T23:01:19Z</dcterms:modified>
</cp:coreProperties>
</file>