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9360"/>
        <w:spacing w:after="0"/>
        <w:rPr>
          <w:sz w:val="20"/>
          <w:szCs w:val="20"/>
          <w:color w:val="auto"/>
        </w:rPr>
      </w:pPr>
      <w:r>
        <w:rPr>
          <w:rFonts w:ascii="Arial" w:cs="Arial" w:eastAsia="Arial" w:hAnsi="Arial"/>
          <w:sz w:val="17"/>
          <w:szCs w:val="17"/>
          <w:color w:val="auto"/>
        </w:rPr>
        <w:t>on Form S-4: 333-194698</w:t>
      </w:r>
    </w:p>
    <w:p>
      <w:pPr>
        <w:spacing w:after="0" w:line="200" w:lineRule="exact"/>
        <w:rPr>
          <w:sz w:val="24"/>
          <w:szCs w:val="24"/>
          <w:color w:val="auto"/>
        </w:rPr>
      </w:pPr>
    </w:p>
    <w:p>
      <w:pPr>
        <w:spacing w:after="0" w:line="2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1200"/>
        <w:spacing w:after="0" w:line="271" w:lineRule="auto"/>
        <w:rPr>
          <w:sz w:val="20"/>
          <w:szCs w:val="20"/>
          <w:color w:val="auto"/>
        </w:rPr>
      </w:pPr>
      <w:r>
        <w:rPr>
          <w:rFonts w:ascii="Arial" w:cs="Arial" w:eastAsia="Arial" w:hAnsi="Arial"/>
          <w:sz w:val="18"/>
          <w:szCs w:val="18"/>
          <w:b w:val="1"/>
          <w:bCs w:val="1"/>
          <w:color w:val="auto"/>
        </w:rPr>
        <w:t xml:space="preserve">Tweet: </w:t>
      </w:r>
      <w:r>
        <w:rPr>
          <w:rFonts w:ascii="Arial" w:cs="Arial" w:eastAsia="Arial" w:hAnsi="Arial"/>
          <w:sz w:val="18"/>
          <w:szCs w:val="18"/>
          <w:color w:val="292F33"/>
        </w:rPr>
        <w:t>Comcast responds to</w:t>
      </w:r>
      <w:r>
        <w:rPr>
          <w:rFonts w:ascii="Arial" w:cs="Arial" w:eastAsia="Arial" w:hAnsi="Arial"/>
          <w:sz w:val="18"/>
          <w:szCs w:val="18"/>
          <w:b w:val="1"/>
          <w:bCs w:val="1"/>
          <w:color w:val="auto"/>
        </w:rPr>
        <w:t xml:space="preserve"> </w:t>
      </w:r>
      <w:r>
        <w:rPr>
          <w:rFonts w:ascii="Arial" w:cs="Arial" w:eastAsia="Arial" w:hAnsi="Arial"/>
          <w:sz w:val="18"/>
          <w:szCs w:val="18"/>
          <w:color w:val="auto"/>
        </w:rPr>
        <w:t>@Netflix [link to http://corporate.comcast.com/comcast-voices/comcast-response-to-netflix]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http://corporate.comcast.com/images/comcast-twc-legend-april-14-update.pdf]</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4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4"/>
          <w:szCs w:val="24"/>
          <w:color w:val="auto"/>
        </w:rPr>
      </w:pPr>
    </w:p>
    <w:p>
      <w:pPr>
        <w:ind w:right="60"/>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and its preliminary proxy statement for its 2014 annual meeting of stockholders, which was filed with the SEC on April 8, 2014. Information about the directors and executive officers of Comcast is set forth in its Annual Report on Form 10-K for the year ended December 31, 2013, which was filed with the SEC on February 12, 2014, and its proxy statement for its 2014 annual meeting of shareholders, which was filed with the SEC on April 11,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filed with the SEC and will be contained in the definitive joint proxy statement/prospectus and other relevant materials to be filed with the SEC when they become available.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sectPr>
      <w:pgSz w:w="11900" w:h="16838" w:orient="portrait"/>
      <w:cols w:equalWidth="0" w:num="1">
        <w:col w:w="11400"/>
      </w:cols>
      <w:pgMar w:left="240" w:top="7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2019-12-16T10:39:21Z</dcterms:created>
  <dcterms:modified xsi:type="dcterms:W3CDTF">2019-12-16T10:39:21Z</dcterms:modified>
</cp:coreProperties>
</file>