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366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3660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ROBERTS BRIAN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03/02/2010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Chairman of Board, Pres. &amp; CEO</w:t>
      </w:r>
    </w:p>
    <w:p>
      <w:pPr>
        <w:spacing w:after="0" w:line="290"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8"/>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900" w:type="dxa"/>
            <w:vAlign w:val="bottom"/>
            <w:gridSpan w:val="8"/>
            <w:vMerge w:val="continue"/>
          </w:tcPr>
          <w:p>
            <w:pPr>
              <w:spacing w:after="0"/>
              <w:rPr>
                <w:sz w:val="11"/>
                <w:szCs w:val="11"/>
                <w:color w:val="auto"/>
              </w:rPr>
            </w:pPr>
          </w:p>
        </w:tc>
        <w:tc>
          <w:tcPr>
            <w:tcW w:w="36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gridSpan w:val="4"/>
          </w:tcPr>
          <w:p>
            <w:pPr>
              <w:ind w:left="240"/>
              <w:spacing w:after="0" w:line="155" w:lineRule="exact"/>
              <w:rPr>
                <w:sz w:val="20"/>
                <w:szCs w:val="20"/>
                <w:color w:val="auto"/>
              </w:rPr>
            </w:pPr>
            <w:r>
              <w:rPr>
                <w:rFonts w:ascii="Arial" w:cs="Arial" w:eastAsia="Arial" w:hAnsi="Arial"/>
                <w:sz w:val="14"/>
                <w:szCs w:val="14"/>
                <w:color w:val="auto"/>
              </w:rPr>
              <w:t>Line)</w:t>
            </w: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0000FF"/>
              </w:rPr>
              <w:t>PHILADELPHIA PA</w:t>
            </w:r>
          </w:p>
        </w:tc>
        <w:tc>
          <w:tcPr>
            <w:tcW w:w="1260" w:type="dxa"/>
            <w:vAlign w:val="bottom"/>
          </w:tcPr>
          <w:p>
            <w:pPr>
              <w:ind w:left="40"/>
              <w:spacing w:after="0"/>
              <w:rPr>
                <w:sz w:val="20"/>
                <w:szCs w:val="20"/>
                <w:color w:val="auto"/>
              </w:rPr>
            </w:pPr>
            <w:r>
              <w:rPr>
                <w:rFonts w:ascii="Arial" w:cs="Arial" w:eastAsia="Arial" w:hAnsi="Arial"/>
                <w:sz w:val="18"/>
                <w:szCs w:val="18"/>
                <w:color w:val="0000FF"/>
              </w:rPr>
              <w:t>19103</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vMerge w:val="restart"/>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256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5"/>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8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2"/>
          </w:tcPr>
          <w:p>
            <w:pPr>
              <w:jc w:val="center"/>
              <w:ind w:left="567"/>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4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Class A Special Common Stock</w:t>
            </w:r>
          </w:p>
        </w:tc>
        <w:tc>
          <w:tcPr>
            <w:tcW w:w="1840" w:type="dxa"/>
            <w:vAlign w:val="bottom"/>
            <w:tcBorders>
              <w:bottom w:val="single" w:sz="8" w:color="2C2C2C"/>
            </w:tcBorders>
            <w:gridSpan w:val="2"/>
          </w:tcPr>
          <w:p>
            <w:pPr>
              <w:jc w:val="center"/>
              <w:ind w:left="567"/>
              <w:spacing w:after="0"/>
              <w:rPr>
                <w:sz w:val="20"/>
                <w:szCs w:val="20"/>
                <w:color w:val="auto"/>
              </w:rPr>
            </w:pPr>
            <w:r>
              <w:rPr>
                <w:rFonts w:ascii="Arial" w:cs="Arial" w:eastAsia="Arial" w:hAnsi="Arial"/>
                <w:sz w:val="18"/>
                <w:szCs w:val="18"/>
                <w:color w:val="0000FF"/>
                <w:w w:val="88"/>
              </w:rPr>
              <w:t>03/02/2010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1120" w:type="dxa"/>
            <w:vAlign w:val="bottom"/>
            <w:tcBorders>
              <w:bottom w:val="single" w:sz="8" w:color="2C2C2C"/>
            </w:tcBorders>
            <w:gridSpan w:val="2"/>
          </w:tcPr>
          <w:p>
            <w:pPr>
              <w:jc w:val="center"/>
              <w:ind w:right="79"/>
              <w:spacing w:after="0"/>
              <w:rPr>
                <w:sz w:val="20"/>
                <w:szCs w:val="20"/>
                <w:color w:val="auto"/>
              </w:rPr>
            </w:pPr>
            <w:r>
              <w:rPr>
                <w:rFonts w:ascii="Arial" w:cs="Arial" w:eastAsia="Arial" w:hAnsi="Arial"/>
                <w:sz w:val="18"/>
                <w:szCs w:val="18"/>
                <w:color w:val="0000FF"/>
                <w:w w:val="89"/>
              </w:rPr>
              <w:t>176,408</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44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1440" w:type="dxa"/>
            <w:vAlign w:val="bottom"/>
            <w:tcBorders>
              <w:bottom w:val="single" w:sz="8" w:color="2C2C2C"/>
            </w:tcBorders>
            <w:gridSpan w:val="3"/>
          </w:tcPr>
          <w:p>
            <w:pPr>
              <w:jc w:val="center"/>
              <w:ind w:left="52"/>
              <w:spacing w:after="0"/>
              <w:rPr>
                <w:sz w:val="20"/>
                <w:szCs w:val="20"/>
                <w:color w:val="auto"/>
              </w:rPr>
            </w:pPr>
            <w:r>
              <w:rPr>
                <w:rFonts w:ascii="Arial" w:cs="Arial" w:eastAsia="Arial" w:hAnsi="Arial"/>
                <w:sz w:val="18"/>
                <w:szCs w:val="18"/>
                <w:color w:val="0000FF"/>
                <w:w w:val="83"/>
              </w:rPr>
              <w:t>8,741,472</w:t>
            </w:r>
            <w:r>
              <w:rPr>
                <w:rFonts w:ascii="Arial" w:cs="Arial" w:eastAsia="Arial" w:hAnsi="Arial"/>
                <w:sz w:val="22"/>
                <w:szCs w:val="22"/>
                <w:color w:val="008000"/>
                <w:w w:val="83"/>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By LLC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Class A Special Common Stock</w:t>
            </w:r>
          </w:p>
        </w:tc>
        <w:tc>
          <w:tcPr>
            <w:tcW w:w="1840" w:type="dxa"/>
            <w:vAlign w:val="bottom"/>
            <w:tcBorders>
              <w:bottom w:val="single" w:sz="8" w:color="2C2C2C"/>
            </w:tcBorders>
            <w:gridSpan w:val="2"/>
          </w:tcPr>
          <w:p>
            <w:pPr>
              <w:jc w:val="center"/>
              <w:ind w:left="567"/>
              <w:spacing w:after="0"/>
              <w:rPr>
                <w:sz w:val="20"/>
                <w:szCs w:val="20"/>
                <w:color w:val="auto"/>
              </w:rPr>
            </w:pPr>
            <w:r>
              <w:rPr>
                <w:rFonts w:ascii="Arial" w:cs="Arial" w:eastAsia="Arial" w:hAnsi="Arial"/>
                <w:sz w:val="18"/>
                <w:szCs w:val="18"/>
                <w:color w:val="0000FF"/>
                <w:w w:val="88"/>
              </w:rPr>
              <w:t>03/02/2010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(2)</w:t>
            </w:r>
          </w:p>
        </w:tc>
        <w:tc>
          <w:tcPr>
            <w:tcW w:w="1120" w:type="dxa"/>
            <w:vAlign w:val="bottom"/>
            <w:tcBorders>
              <w:bottom w:val="single" w:sz="8" w:color="2C2C2C"/>
            </w:tcBorders>
            <w:gridSpan w:val="2"/>
          </w:tcPr>
          <w:p>
            <w:pPr>
              <w:jc w:val="center"/>
              <w:ind w:right="79"/>
              <w:spacing w:after="0"/>
              <w:rPr>
                <w:sz w:val="20"/>
                <w:szCs w:val="20"/>
                <w:color w:val="auto"/>
              </w:rPr>
            </w:pPr>
            <w:r>
              <w:rPr>
                <w:rFonts w:ascii="Arial" w:cs="Arial" w:eastAsia="Arial" w:hAnsi="Arial"/>
                <w:sz w:val="18"/>
                <w:szCs w:val="18"/>
                <w:color w:val="0000FF"/>
                <w:w w:val="87"/>
              </w:rPr>
              <w:t>1,685,149</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44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1440" w:type="dxa"/>
            <w:vAlign w:val="bottom"/>
            <w:tcBorders>
              <w:bottom w:val="single" w:sz="8" w:color="2C2C2C"/>
            </w:tcBorders>
            <w:gridSpan w:val="3"/>
          </w:tcPr>
          <w:p>
            <w:pPr>
              <w:jc w:val="center"/>
              <w:ind w:left="52"/>
              <w:spacing w:after="0"/>
              <w:rPr>
                <w:sz w:val="20"/>
                <w:szCs w:val="20"/>
                <w:color w:val="auto"/>
              </w:rPr>
            </w:pPr>
            <w:r>
              <w:rPr>
                <w:rFonts w:ascii="Arial" w:cs="Arial" w:eastAsia="Arial" w:hAnsi="Arial"/>
                <w:sz w:val="18"/>
                <w:szCs w:val="18"/>
                <w:color w:val="0000FF"/>
                <w:w w:val="83"/>
              </w:rPr>
              <w:t>7,056,323</w:t>
            </w:r>
            <w:r>
              <w:rPr>
                <w:rFonts w:ascii="Arial" w:cs="Arial" w:eastAsia="Arial" w:hAnsi="Arial"/>
                <w:sz w:val="22"/>
                <w:szCs w:val="22"/>
                <w:color w:val="008000"/>
                <w:w w:val="83"/>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By LLC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Class B Common Stock</w:t>
            </w:r>
          </w:p>
        </w:tc>
        <w:tc>
          <w:tcPr>
            <w:tcW w:w="1840" w:type="dxa"/>
            <w:vAlign w:val="bottom"/>
            <w:tcBorders>
              <w:bottom w:val="single" w:sz="8" w:color="2C2C2C"/>
            </w:tcBorders>
            <w:gridSpan w:val="2"/>
          </w:tcPr>
          <w:p>
            <w:pPr>
              <w:jc w:val="center"/>
              <w:ind w:left="567"/>
              <w:spacing w:after="0"/>
              <w:rPr>
                <w:sz w:val="20"/>
                <w:szCs w:val="20"/>
                <w:color w:val="auto"/>
              </w:rPr>
            </w:pPr>
            <w:r>
              <w:rPr>
                <w:rFonts w:ascii="Arial" w:cs="Arial" w:eastAsia="Arial" w:hAnsi="Arial"/>
                <w:sz w:val="18"/>
                <w:szCs w:val="18"/>
                <w:color w:val="0000FF"/>
                <w:w w:val="88"/>
              </w:rPr>
              <w:t>03/02/2010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1120" w:type="dxa"/>
            <w:vAlign w:val="bottom"/>
            <w:tcBorders>
              <w:bottom w:val="single" w:sz="8" w:color="2C2C2C"/>
            </w:tcBorders>
            <w:gridSpan w:val="2"/>
          </w:tcPr>
          <w:p>
            <w:pPr>
              <w:jc w:val="center"/>
              <w:ind w:right="79"/>
              <w:spacing w:after="0"/>
              <w:rPr>
                <w:sz w:val="20"/>
                <w:szCs w:val="20"/>
                <w:color w:val="auto"/>
              </w:rPr>
            </w:pPr>
            <w:r>
              <w:rPr>
                <w:rFonts w:ascii="Arial" w:cs="Arial" w:eastAsia="Arial" w:hAnsi="Arial"/>
                <w:sz w:val="18"/>
                <w:szCs w:val="18"/>
                <w:color w:val="0000FF"/>
                <w:w w:val="89"/>
              </w:rPr>
              <w:t>225,992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44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1440" w:type="dxa"/>
            <w:vAlign w:val="bottom"/>
            <w:tcBorders>
              <w:bottom w:val="single" w:sz="8" w:color="2C2C2C"/>
            </w:tcBorders>
            <w:gridSpan w:val="3"/>
          </w:tcPr>
          <w:p>
            <w:pPr>
              <w:jc w:val="center"/>
              <w:ind w:left="52"/>
              <w:spacing w:after="0"/>
              <w:rPr>
                <w:sz w:val="20"/>
                <w:szCs w:val="20"/>
                <w:color w:val="auto"/>
              </w:rPr>
            </w:pPr>
            <w:r>
              <w:rPr>
                <w:rFonts w:ascii="Arial" w:cs="Arial" w:eastAsia="Arial" w:hAnsi="Arial"/>
                <w:sz w:val="18"/>
                <w:szCs w:val="18"/>
                <w:color w:val="0000FF"/>
                <w:w w:val="83"/>
              </w:rPr>
              <w:t>11,198,462</w:t>
            </w:r>
            <w:r>
              <w:rPr>
                <w:rFonts w:ascii="Arial" w:cs="Arial" w:eastAsia="Arial" w:hAnsi="Arial"/>
                <w:sz w:val="22"/>
                <w:szCs w:val="22"/>
                <w:color w:val="008000"/>
                <w:w w:val="83"/>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By LLC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gridSpan w:val="4"/>
          </w:tcPr>
          <w:p>
            <w:pPr>
              <w:ind w:left="60"/>
              <w:spacing w:after="0"/>
              <w:rPr>
                <w:sz w:val="20"/>
                <w:szCs w:val="20"/>
                <w:color w:val="auto"/>
              </w:rPr>
            </w:pPr>
            <w:r>
              <w:rPr>
                <w:rFonts w:ascii="Arial" w:cs="Arial" w:eastAsia="Arial" w:hAnsi="Arial"/>
                <w:sz w:val="18"/>
                <w:szCs w:val="18"/>
                <w:color w:val="0000FF"/>
              </w:rPr>
              <w:t>Class B Common Stock</w:t>
            </w:r>
          </w:p>
        </w:tc>
        <w:tc>
          <w:tcPr>
            <w:tcW w:w="1840" w:type="dxa"/>
            <w:vAlign w:val="bottom"/>
            <w:gridSpan w:val="2"/>
          </w:tcPr>
          <w:p>
            <w:pPr>
              <w:jc w:val="center"/>
              <w:ind w:left="567"/>
              <w:spacing w:after="0"/>
              <w:rPr>
                <w:sz w:val="20"/>
                <w:szCs w:val="20"/>
                <w:color w:val="auto"/>
              </w:rPr>
            </w:pPr>
            <w:r>
              <w:rPr>
                <w:rFonts w:ascii="Arial" w:cs="Arial" w:eastAsia="Arial" w:hAnsi="Arial"/>
                <w:sz w:val="18"/>
                <w:szCs w:val="18"/>
                <w:color w:val="0000FF"/>
                <w:w w:val="88"/>
              </w:rPr>
              <w:t>03/02/2010</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(2)</w:t>
            </w:r>
          </w:p>
        </w:tc>
        <w:tc>
          <w:tcPr>
            <w:tcW w:w="1120" w:type="dxa"/>
            <w:vAlign w:val="bottom"/>
            <w:gridSpan w:val="2"/>
          </w:tcPr>
          <w:p>
            <w:pPr>
              <w:jc w:val="center"/>
              <w:ind w:right="79"/>
              <w:spacing w:after="0"/>
              <w:rPr>
                <w:sz w:val="20"/>
                <w:szCs w:val="20"/>
                <w:color w:val="auto"/>
              </w:rPr>
            </w:pPr>
            <w:r>
              <w:rPr>
                <w:rFonts w:ascii="Arial" w:cs="Arial" w:eastAsia="Arial" w:hAnsi="Arial"/>
                <w:sz w:val="18"/>
                <w:szCs w:val="18"/>
                <w:color w:val="0000FF"/>
                <w:w w:val="87"/>
              </w:rPr>
              <w:t>2,158,799</w:t>
            </w:r>
          </w:p>
        </w:tc>
        <w:tc>
          <w:tcPr>
            <w:tcW w:w="340" w:type="dxa"/>
            <w:vAlign w:val="bottom"/>
          </w:tcPr>
          <w:p>
            <w:pPr>
              <w:ind w:left="20"/>
              <w:spacing w:after="0"/>
              <w:rPr>
                <w:sz w:val="20"/>
                <w:szCs w:val="20"/>
                <w:color w:val="auto"/>
              </w:rPr>
            </w:pPr>
            <w:r>
              <w:rPr>
                <w:rFonts w:ascii="Arial" w:cs="Arial" w:eastAsia="Arial" w:hAnsi="Arial"/>
                <w:sz w:val="18"/>
                <w:szCs w:val="18"/>
                <w:color w:val="0000FF"/>
              </w:rPr>
              <w:t>D</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1440" w:type="dxa"/>
            <w:vAlign w:val="bottom"/>
            <w:gridSpan w:val="3"/>
          </w:tcPr>
          <w:p>
            <w:pPr>
              <w:jc w:val="center"/>
              <w:ind w:left="52"/>
              <w:spacing w:after="0"/>
              <w:rPr>
                <w:sz w:val="20"/>
                <w:szCs w:val="20"/>
                <w:color w:val="auto"/>
              </w:rPr>
            </w:pPr>
            <w:r>
              <w:rPr>
                <w:rFonts w:ascii="Arial" w:cs="Arial" w:eastAsia="Arial" w:hAnsi="Arial"/>
                <w:sz w:val="18"/>
                <w:szCs w:val="18"/>
                <w:color w:val="0000FF"/>
                <w:w w:val="83"/>
              </w:rPr>
              <w:t>9,039,663</w:t>
            </w:r>
            <w:r>
              <w:rPr>
                <w:rFonts w:ascii="Arial" w:cs="Arial" w:eastAsia="Arial" w:hAnsi="Arial"/>
                <w:sz w:val="22"/>
                <w:szCs w:val="22"/>
                <w:color w:val="008000"/>
                <w:w w:val="83"/>
                <w:vertAlign w:val="superscript"/>
              </w:rPr>
              <w:t>(2)</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LLC</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color w:val="0000FF"/>
              </w:rPr>
              <w:t>Class A Special Common Stock</w:t>
            </w:r>
          </w:p>
        </w:tc>
        <w:tc>
          <w:tcPr>
            <w:tcW w:w="126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1440" w:type="dxa"/>
            <w:vAlign w:val="bottom"/>
            <w:tcBorders>
              <w:top w:val="single" w:sz="8" w:color="2C2C2C"/>
            </w:tcBorders>
            <w:gridSpan w:val="3"/>
          </w:tcPr>
          <w:p>
            <w:pPr>
              <w:jc w:val="center"/>
              <w:ind w:left="52"/>
              <w:spacing w:after="0"/>
              <w:rPr>
                <w:sz w:val="20"/>
                <w:szCs w:val="20"/>
                <w:color w:val="auto"/>
              </w:rPr>
            </w:pPr>
            <w:r>
              <w:rPr>
                <w:rFonts w:ascii="Arial" w:cs="Arial" w:eastAsia="Arial" w:hAnsi="Arial"/>
                <w:sz w:val="18"/>
                <w:szCs w:val="18"/>
                <w:color w:val="0000FF"/>
                <w:w w:val="87"/>
              </w:rPr>
              <w:t>1,002,633</w:t>
            </w:r>
          </w:p>
        </w:tc>
        <w:tc>
          <w:tcPr>
            <w:tcW w:w="92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Class A Special Common Stock</w:t>
            </w:r>
          </w:p>
        </w:tc>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3"/>
            <w:vMerge w:val="restart"/>
          </w:tcPr>
          <w:p>
            <w:pPr>
              <w:jc w:val="center"/>
              <w:ind w:left="52"/>
              <w:spacing w:after="0"/>
              <w:rPr>
                <w:sz w:val="20"/>
                <w:szCs w:val="20"/>
                <w:color w:val="auto"/>
              </w:rPr>
            </w:pPr>
            <w:r>
              <w:rPr>
                <w:rFonts w:ascii="Arial" w:cs="Arial" w:eastAsia="Arial" w:hAnsi="Arial"/>
                <w:sz w:val="18"/>
                <w:szCs w:val="18"/>
                <w:color w:val="0000FF"/>
                <w:w w:val="86"/>
              </w:rPr>
              <w:t>63,536.722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4"/>
            <w:vMerge w:val="continue"/>
          </w:tcPr>
          <w:p>
            <w:pPr>
              <w:spacing w:after="0"/>
              <w:rPr>
                <w:sz w:val="9"/>
                <w:szCs w:val="9"/>
                <w:color w:val="auto"/>
              </w:rPr>
            </w:pPr>
          </w:p>
        </w:tc>
        <w:tc>
          <w:tcPr>
            <w:tcW w:w="1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Class A Special Common Stock</w:t>
            </w:r>
          </w:p>
        </w:tc>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vMerge w:val="restart"/>
          </w:tcPr>
          <w:p>
            <w:pPr>
              <w:jc w:val="center"/>
              <w:ind w:right="354"/>
              <w:spacing w:after="0"/>
              <w:rPr>
                <w:sz w:val="20"/>
                <w:szCs w:val="20"/>
                <w:color w:val="auto"/>
              </w:rPr>
            </w:pPr>
            <w:r>
              <w:rPr>
                <w:rFonts w:ascii="Arial" w:cs="Arial" w:eastAsia="Arial" w:hAnsi="Arial"/>
                <w:sz w:val="18"/>
                <w:szCs w:val="18"/>
                <w:color w:val="0000FF"/>
                <w:w w:val="86"/>
              </w:rPr>
              <w:t>240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4"/>
            <w:vMerge w:val="continue"/>
          </w:tcPr>
          <w:p>
            <w:pPr>
              <w:spacing w:after="0"/>
              <w:rPr>
                <w:sz w:val="9"/>
                <w:szCs w:val="9"/>
                <w:color w:val="auto"/>
              </w:rPr>
            </w:pPr>
          </w:p>
        </w:tc>
        <w:tc>
          <w:tcPr>
            <w:tcW w:w="1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Daughter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Class A Special Common Stock</w:t>
            </w:r>
          </w:p>
        </w:tc>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vMerge w:val="restart"/>
          </w:tcPr>
          <w:p>
            <w:pPr>
              <w:jc w:val="center"/>
              <w:ind w:right="354"/>
              <w:spacing w:after="0"/>
              <w:rPr>
                <w:sz w:val="20"/>
                <w:szCs w:val="20"/>
                <w:color w:val="auto"/>
              </w:rPr>
            </w:pPr>
            <w:r>
              <w:rPr>
                <w:rFonts w:ascii="Arial" w:cs="Arial" w:eastAsia="Arial" w:hAnsi="Arial"/>
                <w:sz w:val="18"/>
                <w:szCs w:val="18"/>
                <w:color w:val="0000FF"/>
                <w:w w:val="84"/>
              </w:rPr>
              <w:t>4,068</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4"/>
            <w:vMerge w:val="continue"/>
          </w:tcPr>
          <w:p>
            <w:pPr>
              <w:spacing w:after="0"/>
              <w:rPr>
                <w:sz w:val="9"/>
                <w:szCs w:val="9"/>
                <w:color w:val="auto"/>
              </w:rPr>
            </w:pPr>
          </w:p>
        </w:tc>
        <w:tc>
          <w:tcPr>
            <w:tcW w:w="1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Class A Special Common Stock</w:t>
            </w:r>
          </w:p>
        </w:tc>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3"/>
            <w:vMerge w:val="restart"/>
          </w:tcPr>
          <w:p>
            <w:pPr>
              <w:jc w:val="center"/>
              <w:ind w:left="52"/>
              <w:spacing w:after="0"/>
              <w:rPr>
                <w:sz w:val="20"/>
                <w:szCs w:val="20"/>
                <w:color w:val="auto"/>
              </w:rPr>
            </w:pPr>
            <w:r>
              <w:rPr>
                <w:rFonts w:ascii="Arial" w:cs="Arial" w:eastAsia="Arial" w:hAnsi="Arial"/>
                <w:sz w:val="18"/>
                <w:szCs w:val="18"/>
                <w:color w:val="0000FF"/>
                <w:w w:val="87"/>
              </w:rPr>
              <w:t>1,222,065</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4"/>
            <w:vMerge w:val="continue"/>
          </w:tcPr>
          <w:p>
            <w:pPr>
              <w:spacing w:after="0"/>
              <w:rPr>
                <w:sz w:val="9"/>
                <w:szCs w:val="9"/>
                <w:color w:val="auto"/>
              </w:rPr>
            </w:pPr>
          </w:p>
        </w:tc>
        <w:tc>
          <w:tcPr>
            <w:tcW w:w="1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3"/>
            <w:vMerge w:val="restart"/>
          </w:tcPr>
          <w:p>
            <w:pPr>
              <w:jc w:val="center"/>
              <w:ind w:left="52"/>
              <w:spacing w:after="0"/>
              <w:rPr>
                <w:sz w:val="20"/>
                <w:szCs w:val="20"/>
                <w:color w:val="auto"/>
              </w:rPr>
            </w:pPr>
            <w:r>
              <w:rPr>
                <w:rFonts w:ascii="Arial" w:cs="Arial" w:eastAsia="Arial" w:hAnsi="Arial"/>
                <w:sz w:val="18"/>
                <w:szCs w:val="18"/>
                <w:color w:val="0000FF"/>
                <w:w w:val="89"/>
              </w:rPr>
              <w:t>404,712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4"/>
            <w:vMerge w:val="continue"/>
          </w:tcPr>
          <w:p>
            <w:pPr>
              <w:spacing w:after="0"/>
              <w:rPr>
                <w:sz w:val="9"/>
                <w:szCs w:val="9"/>
                <w:color w:val="auto"/>
              </w:rPr>
            </w:pPr>
          </w:p>
        </w:tc>
        <w:tc>
          <w:tcPr>
            <w:tcW w:w="1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2"/>
          </w:tcPr>
          <w:p>
            <w:pPr>
              <w:spacing w:after="0"/>
              <w:rPr>
                <w:sz w:val="8"/>
                <w:szCs w:val="8"/>
                <w:color w:val="auto"/>
              </w:rPr>
            </w:pPr>
          </w:p>
        </w:tc>
        <w:tc>
          <w:tcPr>
            <w:tcW w:w="1680" w:type="dxa"/>
            <w:vAlign w:val="bottom"/>
            <w:tcBorders>
              <w:bottom w:val="single" w:sz="8" w:color="2C2C2C"/>
            </w:tcBorders>
            <w:gridSpan w:val="4"/>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jc w:val="center"/>
              <w:ind w:left="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0" w:type="dxa"/>
            <w:vAlign w:val="bottom"/>
            <w:gridSpan w:val="11"/>
          </w:tcPr>
          <w:p>
            <w:pPr>
              <w:jc w:val="center"/>
              <w:ind w:left="447"/>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2, 2010, the reporting person transferred to a family trust 17.3144 units, or a 2.5% interest in, BRCC Holdings LLC, which conveyed to the trust an indirect interest in 176,408 shares of Class A Special Common Stock and 225,992 shares of Class B Common Stock. The reporting person continues to have an indirect pecuniary interest in the transferred interest and shares. At the time of the transfer, the trust transferred to the reporting person an amount in cash and forgave certain debt owed by the reporting person to the trust.</w:t>
      </w:r>
    </w:p>
    <w:p>
      <w:pPr>
        <w:spacing w:after="0" w:line="2" w:lineRule="exact"/>
        <w:rPr>
          <w:rFonts w:ascii="Arial" w:cs="Arial" w:eastAsia="Arial" w:hAnsi="Arial"/>
          <w:sz w:val="12"/>
          <w:szCs w:val="12"/>
          <w:color w:val="008000"/>
        </w:rPr>
      </w:pPr>
    </w:p>
    <w:p>
      <w:pPr>
        <w:ind w:left="40" w:right="8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2, 2010, the reporting person established a grantor retained annuity trust (GRAT) and transferred to the GRAT 165.3967 units of, or a 23.881% interest in, BRCC Holdings LLC, which conveyed to the GRAT an indirect interest in 1,685,149 shares of Class A Special Common Stock and 2,158,799 shares of Class B Common Stock. The reporting person continues to have an indirect pecuniary interest in the transferred interest and shares. At the time of the transfer to the GRAT, a family trust holding the remainder interest in the GRAT transferred an amount in cash to the reporting person.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0000FF"/>
                <w:w w:val="89"/>
              </w:rPr>
              <w:t>/s/ Brian L. Roberts</w:t>
            </w:r>
          </w:p>
        </w:tc>
        <w:tc>
          <w:tcPr>
            <w:tcW w:w="72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03/03/2010</w:t>
            </w:r>
          </w:p>
        </w:tc>
      </w:tr>
      <w:tr>
        <w:trPr>
          <w:trHeight w:val="20"/>
        </w:trPr>
        <w:tc>
          <w:tcPr>
            <w:tcW w:w="1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63948"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2019-12-18T07:43:22Z</dcterms:created>
  <dcterms:modified xsi:type="dcterms:W3CDTF">2019-12-18T07:43:22Z</dcterms:modified>
</cp:coreProperties>
</file>