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8"/>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pacing w:after="0" w:line="188" w:lineRule="exact"/>
        <w:rPr>
          <w:sz w:val="24"/>
          <w:szCs w:val="24"/>
          <w:color w:val="auto"/>
        </w:rPr>
      </w:pPr>
    </w:p>
    <w:p>
      <w:pPr>
        <w:ind w:left="762" w:right="3260" w:hanging="762"/>
        <w:spacing w:after="0" w:line="239" w:lineRule="auto"/>
        <w:tabs>
          <w:tab w:leader="none" w:pos="7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3" w:lineRule="exact"/>
        <w:rPr>
          <w:sz w:val="24"/>
          <w:szCs w:val="24"/>
          <w:color w:val="auto"/>
        </w:rPr>
      </w:pPr>
    </w:p>
    <w:p>
      <w:pPr>
        <w:jc w:val="right"/>
        <w:ind w:left="762" w:right="3260" w:hanging="762"/>
        <w:spacing w:after="0" w:line="259" w:lineRule="auto"/>
        <w:tabs>
          <w:tab w:leader="none" w:pos="1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Transition  Report  pursuant  to Section  13 or 15(d) of the  Securities Exchange  Act of  1934  for  the  Transition  Period  from  ________  to</w:t>
      </w: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w:t>
      </w:r>
    </w:p>
    <w:p>
      <w:pPr>
        <w:spacing w:after="0" w:line="186"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Commission File Number 001-15471</w:t>
      </w:r>
    </w:p>
    <w:p>
      <w:pPr>
        <w:spacing w:after="0" w:line="186"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COMCAST HOLDINGS CORPORATION</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862"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102" w:right="4200" w:hanging="94"/>
        <w:spacing w:after="0"/>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(I.R.S. Employer incorporation or organization) Identification No.)</w:t>
      </w:r>
    </w:p>
    <w:p>
      <w:pPr>
        <w:spacing w:after="0" w:line="366"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9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(Zip Code)</w:t>
      </w:r>
    </w:p>
    <w:p>
      <w:pPr>
        <w:spacing w:after="0" w:line="186" w:lineRule="exact"/>
        <w:rPr>
          <w:sz w:val="24"/>
          <w:szCs w:val="24"/>
          <w:color w:val="auto"/>
        </w:rPr>
      </w:pPr>
    </w:p>
    <w:p>
      <w:pPr>
        <w:ind w:left="2"/>
        <w:spacing w:after="0"/>
        <w:tabs>
          <w:tab w:leader="none" w:pos="5042"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__________________________</w:t>
      </w:r>
    </w:p>
    <w:p>
      <w:pPr>
        <w:spacing w:after="0" w:line="188" w:lineRule="exact"/>
        <w:rPr>
          <w:sz w:val="24"/>
          <w:szCs w:val="24"/>
          <w:color w:val="auto"/>
        </w:rPr>
      </w:pPr>
    </w:p>
    <w:p>
      <w:pPr>
        <w:jc w:val="both"/>
        <w:ind w:left="2" w:right="3260"/>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882"/>
          </w:cols>
          <w:pgMar w:left="238" w:top="237" w:right="779" w:bottom="0" w:gutter="0" w:footer="0" w:header="0"/>
        </w:sectPr>
      </w:pPr>
    </w:p>
    <w:p>
      <w:pPr>
        <w:spacing w:after="0" w:line="190" w:lineRule="exact"/>
        <w:rPr>
          <w:sz w:val="24"/>
          <w:szCs w:val="24"/>
          <w:color w:val="auto"/>
        </w:rPr>
      </w:pPr>
    </w:p>
    <w:p>
      <w:pPr>
        <w:ind w:left="862"/>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w:t>
      </w:r>
    </w:p>
    <w:p>
      <w:pPr>
        <w:spacing w:after="0" w:line="13" w:lineRule="exact"/>
        <w:rPr>
          <w:sz w:val="24"/>
          <w:szCs w:val="24"/>
          <w:color w:val="auto"/>
        </w:rPr>
      </w:pPr>
    </w:p>
    <w:p>
      <w:pPr>
        <w:sectPr>
          <w:pgSz w:w="11900" w:h="16838" w:orient="portrait"/>
          <w:cols w:equalWidth="0" w:num="4">
            <w:col w:w="1142" w:space="200"/>
            <w:col w:w="4140" w:space="720"/>
            <w:col w:w="180" w:space="200"/>
            <w:col w:w="4300"/>
          </w:cols>
          <w:pgMar w:left="238" w:top="237" w:right="779" w:bottom="0" w:gutter="0" w:footer="0" w:header="0"/>
          <w:type w:val="continuous"/>
        </w:sectPr>
      </w:pPr>
    </w:p>
    <w:p>
      <w:pPr>
        <w:ind w:left="2582"/>
        <w:spacing w:after="0"/>
        <w:rPr>
          <w:sz w:val="20"/>
          <w:szCs w:val="20"/>
          <w:color w:val="auto"/>
        </w:rPr>
      </w:pPr>
      <w:r>
        <w:rPr>
          <w:rFonts w:ascii="Courier New" w:cs="Courier New" w:eastAsia="Courier New" w:hAnsi="Courier New"/>
          <w:sz w:val="15"/>
          <w:szCs w:val="15"/>
          <w:color w:val="auto"/>
        </w:rPr>
        <w:t>__________________________</w:t>
      </w:r>
    </w:p>
    <w:p>
      <w:pPr>
        <w:sectPr>
          <w:pgSz w:w="11900" w:h="16838" w:orient="portrait"/>
          <w:cols w:equalWidth="0" w:num="1">
            <w:col w:w="10882"/>
          </w:cols>
          <w:pgMar w:left="238" w:top="237" w:right="779" w:bottom="0" w:gutter="0" w:footer="0" w:header="0"/>
          <w:type w:val="continuous"/>
        </w:sectPr>
      </w:pPr>
    </w:p>
    <w:p>
      <w:pPr>
        <w:spacing w:after="0" w:line="197" w:lineRule="exact"/>
        <w:rPr>
          <w:sz w:val="24"/>
          <w:szCs w:val="24"/>
          <w:color w:val="auto"/>
        </w:rPr>
      </w:pPr>
    </w:p>
    <w:p>
      <w:pPr>
        <w:ind w:left="2"/>
        <w:spacing w:after="0" w:line="271" w:lineRule="auto"/>
        <w:rPr>
          <w:sz w:val="20"/>
          <w:szCs w:val="20"/>
          <w:color w:val="auto"/>
        </w:rPr>
      </w:pPr>
      <w:r>
        <w:rPr>
          <w:rFonts w:ascii="Courier New" w:cs="Courier New" w:eastAsia="Courier New" w:hAnsi="Courier New"/>
          <w:sz w:val="15"/>
          <w:szCs w:val="15"/>
          <w:color w:val="auto"/>
        </w:rPr>
        <w:t>Indicate by check mark whether the registrant defined in Rule 12-b2 of the Exchange Act). Yes ___</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is an</w:t>
        <w:tab/>
        <w:t>accelerated</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No X</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filer (as</w:t>
      </w:r>
    </w:p>
    <w:p>
      <w:pPr>
        <w:spacing w:after="0" w:line="379" w:lineRule="exact"/>
        <w:rPr>
          <w:sz w:val="24"/>
          <w:szCs w:val="24"/>
          <w:color w:val="auto"/>
        </w:rPr>
      </w:pPr>
    </w:p>
    <w:p>
      <w:pPr>
        <w:sectPr>
          <w:pgSz w:w="11900" w:h="16838" w:orient="portrait"/>
          <w:cols w:equalWidth="0" w:num="3">
            <w:col w:w="4862" w:space="0"/>
            <w:col w:w="1720" w:space="180"/>
            <w:col w:w="4120"/>
          </w:cols>
          <w:pgMar w:left="238" w:top="237" w:right="779" w:bottom="0" w:gutter="0" w:footer="0" w:header="0"/>
          <w:type w:val="continuous"/>
        </w:sectPr>
      </w:pPr>
    </w:p>
    <w:p>
      <w:pPr>
        <w:jc w:val="both"/>
        <w:ind w:left="2" w:right="3260"/>
        <w:spacing w:after="0"/>
        <w:rPr>
          <w:sz w:val="20"/>
          <w:szCs w:val="20"/>
          <w:color w:val="auto"/>
        </w:rPr>
      </w:pPr>
      <w:r>
        <w:rPr>
          <w:rFonts w:ascii="Courier New" w:cs="Courier New" w:eastAsia="Courier New" w:hAnsi="Courier New"/>
          <w:sz w:val="16"/>
          <w:szCs w:val="16"/>
          <w:color w:val="auto"/>
        </w:rPr>
        <w:t>As of June 30, 2004, there were 21,591,115 shares of Class A Common Stock, 916,198,519 shares of Class A Special Common Stock and 9,444,375 shares of Class B Common Stock outstanding.</w:t>
      </w:r>
    </w:p>
    <w:p>
      <w:pPr>
        <w:spacing w:after="0" w:line="4"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__________________________</w:t>
      </w:r>
    </w:p>
    <w:p>
      <w:pPr>
        <w:spacing w:after="0" w:line="188" w:lineRule="exact"/>
        <w:rPr>
          <w:sz w:val="24"/>
          <w:szCs w:val="24"/>
          <w:color w:val="auto"/>
        </w:rPr>
      </w:pPr>
    </w:p>
    <w:p>
      <w:pPr>
        <w:jc w:val="both"/>
        <w:ind w:left="2" w:right="3260"/>
        <w:spacing w:after="0"/>
        <w:rPr>
          <w:sz w:val="20"/>
          <w:szCs w:val="20"/>
          <w:color w:val="auto"/>
        </w:rPr>
      </w:pPr>
      <w:r>
        <w:rPr>
          <w:rFonts w:ascii="Courier New" w:cs="Courier New" w:eastAsia="Courier New" w:hAnsi="Courier New"/>
          <w:sz w:val="16"/>
          <w:szCs w:val="16"/>
          <w:color w:val="auto"/>
        </w:rPr>
        <w:t>The Registrant meets the conditions set forth in General Instructions H(1)(a) and (b) of Form 10-Q and is therefore filing this Form with the reduced disclosure format.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4"/>
          <w:szCs w:val="24"/>
          <w:color w:val="auto"/>
        </w:rPr>
      </w:pPr>
    </w:p>
    <w:p>
      <w:pPr>
        <w:ind w:left="506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4202"/>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4"/>
          <w:szCs w:val="24"/>
          <w:color w:val="auto"/>
        </w:rPr>
      </w:pPr>
    </w:p>
    <w:p>
      <w:pPr>
        <w:ind w:left="4682"/>
        <w:spacing w:after="0"/>
        <w:rPr>
          <w:sz w:val="20"/>
          <w:szCs w:val="20"/>
          <w:color w:val="auto"/>
        </w:rPr>
      </w:pPr>
      <w:r>
        <w:rPr>
          <w:rFonts w:ascii="Courier New" w:cs="Courier New" w:eastAsia="Courier New" w:hAnsi="Courier New"/>
          <w:sz w:val="16"/>
          <w:szCs w:val="16"/>
          <w:color w:val="auto"/>
        </w:rPr>
        <w:t>TABLE OF CONTENTS</w:t>
      </w:r>
    </w:p>
    <w:p>
      <w:pPr>
        <w:spacing w:after="0" w:line="2" w:lineRule="exact"/>
        <w:rPr>
          <w:sz w:val="24"/>
          <w:szCs w:val="24"/>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186"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2" w:lineRule="exact"/>
        <w:rPr>
          <w:sz w:val="24"/>
          <w:szCs w:val="24"/>
          <w:color w:val="auto"/>
        </w:rPr>
      </w:pPr>
    </w:p>
    <w:p>
      <w:pPr>
        <w:ind w:left="1042"/>
        <w:spacing w:after="0"/>
        <w:tabs>
          <w:tab w:leader="none" w:pos="208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Balance Sheet as of June 30, 2004</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and December 31, 2003 (Unaudited)</w:t>
      </w:r>
      <w:r>
        <w:rPr>
          <w:sz w:val="20"/>
          <w:szCs w:val="20"/>
          <w:color w:val="auto"/>
        </w:rPr>
        <w:tab/>
      </w:r>
      <w:r>
        <w:rPr>
          <w:rFonts w:ascii="Courier New" w:cs="Courier New" w:eastAsia="Courier New" w:hAnsi="Courier New"/>
          <w:sz w:val="12"/>
          <w:szCs w:val="12"/>
          <w:color w:val="auto"/>
        </w:rPr>
        <w:t>2</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Statement of Operations for the Three and Six Months</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Ended June 30, 2004 and 2003 (Unaudited)</w:t>
      </w:r>
      <w:r>
        <w:rPr>
          <w:sz w:val="20"/>
          <w:szCs w:val="20"/>
          <w:color w:val="auto"/>
        </w:rPr>
        <w:tab/>
      </w:r>
      <w:r>
        <w:rPr>
          <w:rFonts w:ascii="Courier New" w:cs="Courier New" w:eastAsia="Courier New" w:hAnsi="Courier New"/>
          <w:sz w:val="12"/>
          <w:szCs w:val="12"/>
          <w:color w:val="auto"/>
        </w:rPr>
        <w:t>3</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Statement of Cash Flows for the Six Months</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Ended June 30, 2004 and 2003 (Unaudited)</w:t>
      </w:r>
      <w:r>
        <w:rPr>
          <w:sz w:val="20"/>
          <w:szCs w:val="20"/>
          <w:color w:val="auto"/>
        </w:rPr>
        <w:tab/>
      </w:r>
      <w:r>
        <w:rPr>
          <w:rFonts w:ascii="Courier New" w:cs="Courier New" w:eastAsia="Courier New" w:hAnsi="Courier New"/>
          <w:sz w:val="12"/>
          <w:szCs w:val="12"/>
          <w:color w:val="auto"/>
        </w:rPr>
        <w:t>4</w:t>
      </w:r>
    </w:p>
    <w:p>
      <w:pPr>
        <w:spacing w:after="0" w:line="186"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2"/>
          <w:szCs w:val="12"/>
          <w:color w:val="auto"/>
        </w:rPr>
        <w:t>5</w:t>
      </w:r>
    </w:p>
    <w:p>
      <w:pPr>
        <w:spacing w:after="0" w:line="186" w:lineRule="exact"/>
        <w:rPr>
          <w:sz w:val="24"/>
          <w:szCs w:val="24"/>
          <w:color w:val="auto"/>
        </w:rPr>
      </w:pPr>
    </w:p>
    <w:p>
      <w:pPr>
        <w:ind w:left="1042"/>
        <w:spacing w:after="0"/>
        <w:tabs>
          <w:tab w:leader="none" w:pos="208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2" w:lineRule="exact"/>
        <w:rPr>
          <w:sz w:val="24"/>
          <w:szCs w:val="24"/>
          <w:color w:val="auto"/>
        </w:rPr>
      </w:pPr>
    </w:p>
    <w:p>
      <w:pPr>
        <w:ind w:left="2102"/>
        <w:spacing w:after="0"/>
        <w:tabs>
          <w:tab w:leader="dot" w:pos="10282"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15</w:t>
      </w:r>
    </w:p>
    <w:p>
      <w:pPr>
        <w:spacing w:after="0" w:line="186" w:lineRule="exact"/>
        <w:rPr>
          <w:sz w:val="24"/>
          <w:szCs w:val="24"/>
          <w:color w:val="auto"/>
        </w:rPr>
      </w:pPr>
    </w:p>
    <w:p>
      <w:pPr>
        <w:ind w:left="1042"/>
        <w:spacing w:after="0"/>
        <w:tabs>
          <w:tab w:leader="none" w:pos="2082" w:val="left"/>
          <w:tab w:leader="dot" w:pos="10282"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19</w:t>
      </w:r>
    </w:p>
    <w:p>
      <w:pPr>
        <w:spacing w:after="0" w:line="186" w:lineRule="exact"/>
        <w:rPr>
          <w:sz w:val="24"/>
          <w:szCs w:val="24"/>
          <w:color w:val="auto"/>
        </w:rPr>
      </w:pPr>
    </w:p>
    <w:p>
      <w:pPr>
        <w:ind w:left="1042"/>
        <w:spacing w:after="0"/>
        <w:tabs>
          <w:tab w:leader="none" w:pos="2082" w:val="left"/>
          <w:tab w:leader="dot" w:pos="10282"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r>
        <w:rPr>
          <w:sz w:val="20"/>
          <w:szCs w:val="20"/>
          <w:color w:val="auto"/>
        </w:rPr>
        <w:tab/>
      </w:r>
      <w:r>
        <w:rPr>
          <w:rFonts w:ascii="Courier New" w:cs="Courier New" w:eastAsia="Courier New" w:hAnsi="Courier New"/>
          <w:sz w:val="15"/>
          <w:szCs w:val="15"/>
          <w:color w:val="auto"/>
        </w:rPr>
        <w:t>19</w:t>
      </w:r>
    </w:p>
    <w:p>
      <w:pPr>
        <w:spacing w:after="0" w:line="186"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ectPr>
          <w:pgSz w:w="11900" w:h="16838" w:orient="portrait"/>
          <w:cols w:equalWidth="0" w:num="1">
            <w:col w:w="10882"/>
          </w:cols>
          <w:pgMar w:left="238" w:top="237" w:right="779" w:bottom="0" w:gutter="0" w:footer="0" w:header="0"/>
          <w:type w:val="continuous"/>
        </w:sectPr>
      </w:pPr>
    </w:p>
    <w:bookmarkStart w:id="1" w:name="page2"/>
    <w:bookmarkEnd w:id="1"/>
    <w:tbl>
      <w:tblPr>
        <w:tblLayout w:type="fixed"/>
        <w:tblInd w:w="1040"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7"/>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7"/>
        </w:trPr>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67"/>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tcPr>
          <w:p>
            <w:pPr>
              <w:jc w:val="right"/>
              <w:ind w:right="3061"/>
              <w:spacing w:after="0"/>
              <w:rPr>
                <w:sz w:val="20"/>
                <w:szCs w:val="20"/>
                <w:color w:val="auto"/>
              </w:rPr>
            </w:pPr>
            <w:r>
              <w:rPr>
                <w:rFonts w:ascii="Courier New" w:cs="Courier New" w:eastAsia="Courier New" w:hAnsi="Courier New"/>
                <w:sz w:val="16"/>
                <w:szCs w:val="16"/>
                <w:color w:val="auto"/>
              </w:rPr>
              <w:t>___________________________________</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This Quarterly Report on Form 10-Q is for the three and six months ended June 30, 2004.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and "our" refer to Comcast Holdings Corporation and its subsidiaries, and "Comcast" refers to Comcast Corporation.</w:t>
      </w:r>
    </w:p>
    <w:p>
      <w:pPr>
        <w:spacing w:after="0" w:line="188"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w:t>
      </w:r>
    </w:p>
    <w:p>
      <w:pPr>
        <w:spacing w:after="0" w:line="4" w:lineRule="exact"/>
        <w:rPr>
          <w:sz w:val="20"/>
          <w:szCs w:val="20"/>
          <w:color w:val="auto"/>
        </w:rPr>
      </w:pPr>
    </w:p>
    <w:p>
      <w:pPr>
        <w:jc w:val="both"/>
        <w:ind w:right="2860"/>
        <w:spacing w:after="0" w:line="261" w:lineRule="auto"/>
        <w:rPr>
          <w:sz w:val="20"/>
          <w:szCs w:val="20"/>
          <w:color w:val="auto"/>
        </w:rPr>
      </w:pPr>
      <w:r>
        <w:rPr>
          <w:rFonts w:ascii="Courier New" w:cs="Courier New" w:eastAsia="Courier New" w:hAnsi="Courier New"/>
          <w:sz w:val="15"/>
          <w:szCs w:val="15"/>
          <w:color w:val="auto"/>
        </w:rPr>
        <w:t>"should,"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businesses may be affected by, among other things:</w:t>
      </w:r>
    </w:p>
    <w:p>
      <w:pPr>
        <w:spacing w:after="0" w:line="186" w:lineRule="exact"/>
        <w:rPr>
          <w:sz w:val="20"/>
          <w:szCs w:val="20"/>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4" w:lineRule="exact"/>
        <w:rPr>
          <w:rFonts w:ascii="Courier New" w:cs="Courier New" w:eastAsia="Courier New" w:hAnsi="Courier New"/>
          <w:sz w:val="16"/>
          <w:szCs w:val="16"/>
          <w:color w:val="auto"/>
        </w:rPr>
      </w:pPr>
    </w:p>
    <w:p>
      <w:pPr>
        <w:jc w:val="both"/>
        <w:ind w:left="960" w:right="28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6" w:lineRule="exact"/>
        <w:rPr>
          <w:rFonts w:ascii="Courier New" w:cs="Courier New" w:eastAsia="Courier New" w:hAnsi="Courier New"/>
          <w:sz w:val="16"/>
          <w:szCs w:val="16"/>
          <w:color w:val="auto"/>
        </w:rPr>
      </w:pPr>
    </w:p>
    <w:p>
      <w:pPr>
        <w:ind w:left="960" w:right="2860" w:hanging="485"/>
        <w:spacing w:after="0" w:line="23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pacing w:after="0" w:line="188"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As more fully described elsewhere in this Quarterly Report and in our Annual Report on Form 10-K for the year ended December 31, 2003, on September 17, 2003, we sold to Liberty Media Corporation our approximate 57% interest in QVC, Inc., which markets a wide variety of products directly to consumers primarily on merchandise-focused television programs. Accordingly, financial information related to QVC is presented as a discontinued operation in our financial statements.</w:t>
      </w:r>
    </w:p>
    <w:p>
      <w:pPr>
        <w:sectPr>
          <w:pgSz w:w="11900" w:h="16838" w:orient="portrait"/>
          <w:cols w:equalWidth="0" w:num="1">
            <w:col w:w="10480"/>
          </w:cols>
          <w:pgMar w:left="240" w:top="322"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Courier New" w:cs="Courier New" w:eastAsia="Courier New" w:hAnsi="Courier New"/>
                <w:sz w:val="16"/>
                <w:szCs w:val="16"/>
                <w:color w:val="auto"/>
              </w:rPr>
              <w:t>COMCAST HOLDINGS CORPORATION AND SUBSIDIARIES</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5960" w:type="dxa"/>
            <w:vAlign w:val="bottom"/>
          </w:tcPr>
          <w:p>
            <w:pPr>
              <w:jc w:val="right"/>
              <w:ind w:right="3321"/>
              <w:spacing w:after="0"/>
              <w:rPr>
                <w:sz w:val="20"/>
                <w:szCs w:val="20"/>
                <w:color w:val="auto"/>
              </w:rPr>
            </w:pPr>
            <w:r>
              <w:rPr>
                <w:rFonts w:ascii="Courier New" w:cs="Courier New" w:eastAsia="Courier New" w:hAnsi="Courier New"/>
                <w:sz w:val="16"/>
                <w:szCs w:val="16"/>
                <w:color w:val="auto"/>
              </w:rPr>
              <w:t>FORM 10-Q</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5960" w:type="dxa"/>
            <w:vAlign w:val="bottom"/>
          </w:tcPr>
          <w:p>
            <w:pPr>
              <w:jc w:val="right"/>
              <w:ind w:right="2461"/>
              <w:spacing w:after="0"/>
              <w:rPr>
                <w:sz w:val="20"/>
                <w:szCs w:val="20"/>
                <w:color w:val="auto"/>
              </w:rPr>
            </w:pPr>
            <w:r>
              <w:rPr>
                <w:rFonts w:ascii="Courier New" w:cs="Courier New" w:eastAsia="Courier New" w:hAnsi="Courier New"/>
                <w:sz w:val="16"/>
                <w:szCs w:val="16"/>
                <w:color w:val="auto"/>
              </w:rPr>
              <w:t>QUARTER ENDED JUNE 30, 2004</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67"/>
        </w:trPr>
        <w:tc>
          <w:tcPr>
            <w:tcW w:w="17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96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jc w:val="right"/>
              <w:ind w:right="37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96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67"/>
        </w:trPr>
        <w:tc>
          <w:tcPr>
            <w:tcW w:w="1720" w:type="dxa"/>
            <w:vAlign w:val="bottom"/>
          </w:tcPr>
          <w:p>
            <w:pPr>
              <w:spacing w:after="0"/>
              <w:rPr>
                <w:sz w:val="24"/>
                <w:szCs w:val="24"/>
                <w:color w:val="auto"/>
              </w:rPr>
            </w:pPr>
          </w:p>
        </w:tc>
        <w:tc>
          <w:tcPr>
            <w:tcW w:w="5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CONDENSED CONSOLIDATED BALANCE SHEET</w:t>
            </w:r>
          </w:p>
        </w:tc>
        <w:tc>
          <w:tcPr>
            <w:tcW w:w="1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3"/>
        </w:trPr>
        <w:tc>
          <w:tcPr>
            <w:tcW w:w="1720" w:type="dxa"/>
            <w:vAlign w:val="bottom"/>
          </w:tcPr>
          <w:p>
            <w:pPr>
              <w:spacing w:after="0"/>
              <w:rPr>
                <w:sz w:val="15"/>
                <w:szCs w:val="15"/>
                <w:color w:val="auto"/>
              </w:rPr>
            </w:pPr>
          </w:p>
        </w:tc>
        <w:tc>
          <w:tcPr>
            <w:tcW w:w="5960" w:type="dxa"/>
            <w:vAlign w:val="bottom"/>
          </w:tcPr>
          <w:p>
            <w:pPr>
              <w:jc w:val="right"/>
              <w:ind w:right="1501"/>
              <w:spacing w:after="0"/>
              <w:rPr>
                <w:sz w:val="20"/>
                <w:szCs w:val="20"/>
                <w:color w:val="auto"/>
              </w:rPr>
            </w:pPr>
            <w:r>
              <w:rPr>
                <w:rFonts w:ascii="Courier New" w:cs="Courier New" w:eastAsia="Courier New" w:hAnsi="Courier New"/>
                <w:sz w:val="16"/>
                <w:szCs w:val="16"/>
                <w:color w:val="auto"/>
              </w:rPr>
              <w:t>(Unaudited)</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734"/>
        </w:trPr>
        <w:tc>
          <w:tcPr>
            <w:tcW w:w="17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(Dollars in millions, except share data)</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June 30,</w:t>
            </w:r>
          </w:p>
        </w:tc>
        <w:tc>
          <w:tcPr>
            <w:tcW w:w="20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2004</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2003</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ASSETS</w:t>
            </w:r>
          </w:p>
        </w:tc>
        <w:tc>
          <w:tcPr>
            <w:tcW w:w="5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3"/>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CURRENT ASSETS</w:t>
            </w:r>
          </w:p>
        </w:tc>
        <w:tc>
          <w:tcPr>
            <w:tcW w:w="5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Cash and cash equivalents..................................................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$578</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$1,509</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Investments................................................................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181</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Accounts receivable, less allowance for doubtful accounts of $71 and $74...</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466</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453</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Other current assets.......................................................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179</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1,408</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2,280</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RECEIVABLE FROM AFFILIATES..............................................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4,143</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3,310</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DUE FROM AFFILIATES, net......................................................</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1,530</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943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3,228</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3,363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 AND EQUIPMENT, net of accumulated depreciation of $4,940 and $4,456..</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6,450</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6,571</w:t>
            </w:r>
          </w:p>
        </w:tc>
      </w:tr>
      <w:tr>
        <w:trPr>
          <w:trHeight w:val="183"/>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w w:val="98"/>
              </w:rPr>
              <w:t>FRANCHISE RIGHTS</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16,625</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16,620</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GOODWILL......................................................................</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5,667</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5,663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INTANGIBLE ASSETS, net of accumulated amortization of $1,180 and $1,022.</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1,723</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1,350</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NONCURRENT ASSETS, net..................................................</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269</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302</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$41,043</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$40,402</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LIABILITIES AND STOCKHOLDERS' EQUITY</w:t>
            </w:r>
          </w:p>
        </w:tc>
        <w:tc>
          <w:tcPr>
            <w:tcW w:w="1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CURRENT LIABILITIES</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$281</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1,895</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2,014</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26</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Current portion of long-term debt..........................................</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373</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2,210</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2,716</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DEBT, less current portion..........................................</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7,534</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7,828</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PAYABLE TO AFFILIATES...................................................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641</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61</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8,657</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8,288</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NONCURRENT LIABILITIES..................................................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2,262</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2,289</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405</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316</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COMMITMENTS AND CONTINGENCIES (NOTE 8)</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STOCKHOLDERS' EQUITY</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Preferred stock - authorized, 20,000,000 shares; issued, zero..............</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A common stock, $1.00 par value - authorized,</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200,000,000 shares; issued, 21,591,115 ..................................</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A special common stock, $1.00 par value - authorized,</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2,500,000,000 shares; issued, 916,198,519................................</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916</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916</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B common stock, $1.00 par value - authorized, 50,000,000 shares;</w:t>
            </w:r>
          </w:p>
        </w:tc>
        <w:tc>
          <w:tcPr>
            <w:tcW w:w="1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issued, 9,444,375........................................................</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capital.........................................................</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12,357</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12,353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6,035</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5,623</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1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w:t>
            </w:r>
          </w:p>
        </w:tc>
        <w:tc>
          <w:tcPr>
            <w:tcW w:w="20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(19)</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19,334</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18,904</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$41,043</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$40,402</w:t>
            </w:r>
          </w:p>
        </w:tc>
      </w:tr>
      <w:tr>
        <w:trPr>
          <w:trHeight w:val="183"/>
        </w:trPr>
        <w:tc>
          <w:tcPr>
            <w:tcW w:w="17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76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1031" w:right="139" w:bottom="938" w:gutter="0" w:footer="0" w:header="0"/>
        </w:sectPr>
      </w:pPr>
    </w:p>
    <w:bookmarkStart w:id="3" w:name="page4"/>
    <w:bookmarkEnd w:id="3"/>
    <w:p>
      <w:pPr>
        <w:ind w:left="33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3340" w:type="dxa"/>
            <w:vAlign w:val="bottom"/>
          </w:tcPr>
          <w:p>
            <w:pPr>
              <w:jc w:val="right"/>
              <w:ind w:right="2221"/>
              <w:spacing w:after="0"/>
              <w:rPr>
                <w:sz w:val="20"/>
                <w:szCs w:val="20"/>
                <w:color w:val="auto"/>
              </w:rPr>
            </w:pPr>
            <w:r>
              <w:rPr>
                <w:rFonts w:ascii="Courier New" w:cs="Courier New" w:eastAsia="Courier New" w:hAnsi="Courier New"/>
                <w:sz w:val="16"/>
                <w:szCs w:val="16"/>
                <w:color w:val="auto"/>
                <w:w w:val="96"/>
              </w:rPr>
              <w:t>(Unaudited)</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34"/>
        </w:trPr>
        <w:tc>
          <w:tcPr>
            <w:tcW w:w="4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8"/>
              </w:rPr>
              <w:t>(Dollars in millions)</w:t>
            </w:r>
          </w:p>
        </w:tc>
        <w:tc>
          <w:tcPr>
            <w:tcW w:w="880" w:type="dxa"/>
            <w:vAlign w:val="bottom"/>
          </w:tcPr>
          <w:p>
            <w:pPr>
              <w:spacing w:after="0"/>
              <w:rPr>
                <w:sz w:val="24"/>
                <w:szCs w:val="24"/>
                <w:color w:val="auto"/>
              </w:rPr>
            </w:pPr>
          </w:p>
        </w:tc>
      </w:tr>
      <w:tr>
        <w:trPr>
          <w:trHeight w:val="183"/>
        </w:trPr>
        <w:tc>
          <w:tcPr>
            <w:tcW w:w="4960" w:type="dxa"/>
            <w:vAlign w:val="bottom"/>
          </w:tcPr>
          <w:p>
            <w:pPr>
              <w:spacing w:after="0"/>
              <w:rPr>
                <w:sz w:val="15"/>
                <w:szCs w:val="15"/>
                <w:color w:val="auto"/>
              </w:rPr>
            </w:pPr>
          </w:p>
        </w:tc>
        <w:tc>
          <w:tcPr>
            <w:tcW w:w="46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Three Months Ended</w:t>
            </w:r>
          </w:p>
        </w:tc>
        <w:tc>
          <w:tcPr>
            <w:tcW w:w="19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4960" w:type="dxa"/>
            <w:vAlign w:val="bottom"/>
          </w:tcPr>
          <w:p>
            <w:pPr>
              <w:spacing w:after="0"/>
              <w:rPr>
                <w:sz w:val="15"/>
                <w:szCs w:val="15"/>
                <w:color w:val="auto"/>
              </w:rPr>
            </w:pPr>
          </w:p>
        </w:tc>
        <w:tc>
          <w:tcPr>
            <w:tcW w:w="462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June 30,</w:t>
            </w:r>
          </w:p>
        </w:tc>
        <w:tc>
          <w:tcPr>
            <w:tcW w:w="194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496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2004</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2003</w:t>
            </w: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2004</w:t>
            </w:r>
          </w:p>
        </w:tc>
        <w:tc>
          <w:tcPr>
            <w:tcW w:w="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5"/>
                <w:szCs w:val="15"/>
                <w:color w:val="auto"/>
                <w:w w:val="73"/>
              </w:rPr>
              <w:t>REVENUES...................................................................</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$2,148</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$1,932</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$4,237</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$3,813</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Operating (excluding depreciation).....................................</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709</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664</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1,500</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1,384</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Selling, general and administrative....................................</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1,101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979</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Depreciation...........................................................</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329</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635</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633</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Amortization...........................................................</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3"/>
        </w:trPr>
        <w:tc>
          <w:tcPr>
            <w:tcW w:w="4960" w:type="dxa"/>
            <w:vAlign w:val="bottom"/>
          </w:tcPr>
          <w:p>
            <w:pPr>
              <w:spacing w:after="0"/>
              <w:rPr>
                <w:sz w:val="15"/>
                <w:szCs w:val="15"/>
                <w:color w:val="auto"/>
              </w:rPr>
            </w:pP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1,607</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1,536</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3,326</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3,085</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73"/>
              </w:rPr>
              <w:t>OPERATING INCOME...........................................................</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396</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728</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Interest expense.......................................................</w:t>
            </w:r>
          </w:p>
        </w:tc>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Interest income on affiliate notes, net................................</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Investment income (loss), net..........................................</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Equity in net losses of affiliates.....................................</w:t>
            </w:r>
          </w:p>
        </w:tc>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Other income...........................................................</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3"/>
        </w:trPr>
        <w:tc>
          <w:tcPr>
            <w:tcW w:w="4960" w:type="dxa"/>
            <w:vAlign w:val="bottom"/>
          </w:tcPr>
          <w:p>
            <w:pPr>
              <w:spacing w:after="0"/>
              <w:rPr>
                <w:sz w:val="15"/>
                <w:szCs w:val="15"/>
                <w:color w:val="auto"/>
              </w:rPr>
            </w:pP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(387)</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INCOME TAXES AND MINORITY INTEREST.....................................</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768</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341</w:t>
            </w:r>
          </w:p>
        </w:tc>
      </w:tr>
      <w:tr>
        <w:trPr>
          <w:trHeight w:val="367"/>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73"/>
              </w:rPr>
              <w:t>INCOME TAX EXPENSE.........................................................</w:t>
            </w:r>
          </w:p>
        </w:tc>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72"/>
              </w:rPr>
              <w:t>MINORITY INTEREST......................................................</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431</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209</w:t>
            </w:r>
          </w:p>
        </w:tc>
      </w:tr>
      <w:tr>
        <w:trPr>
          <w:trHeight w:val="367"/>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73"/>
              </w:rPr>
              <w:t>MINORITY INTEREST..........................................................</w:t>
            </w:r>
          </w:p>
        </w:tc>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73"/>
              </w:rPr>
              <w:t>INCOME FROM CONTINUING OPERATIONS..........................................</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412</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net of tax</w:t>
            </w:r>
          </w:p>
        </w:tc>
        <w:tc>
          <w:tcPr>
            <w:tcW w:w="3340" w:type="dxa"/>
            <w:vAlign w:val="bottom"/>
          </w:tcPr>
          <w:p>
            <w:pPr>
              <w:spacing w:after="0"/>
              <w:rPr>
                <w:sz w:val="24"/>
                <w:szCs w:val="24"/>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w:t>
            </w:r>
          </w:p>
        </w:tc>
        <w:tc>
          <w:tcPr>
            <w:tcW w:w="10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73"/>
              </w:rPr>
              <w:t>NET INCOME ................................................................</w:t>
            </w:r>
          </w:p>
        </w:tc>
        <w:tc>
          <w:tcPr>
            <w:tcW w:w="3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$203</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$412</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$318</w:t>
            </w:r>
          </w:p>
        </w:tc>
      </w:tr>
      <w:tr>
        <w:trPr>
          <w:trHeight w:val="183"/>
        </w:trPr>
        <w:tc>
          <w:tcPr>
            <w:tcW w:w="4960" w:type="dxa"/>
            <w:vAlign w:val="bottom"/>
          </w:tcPr>
          <w:p>
            <w:pPr>
              <w:spacing w:after="0"/>
              <w:rPr>
                <w:sz w:val="15"/>
                <w:szCs w:val="15"/>
                <w:color w:val="auto"/>
              </w:rPr>
            </w:pPr>
          </w:p>
        </w:tc>
        <w:tc>
          <w:tcPr>
            <w:tcW w:w="6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848" w:right="139" w:bottom="144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80" w:type="dxa"/>
            <w:vAlign w:val="bottom"/>
          </w:tcPr>
          <w:p>
            <w:pPr>
              <w:jc w:val="right"/>
              <w:ind w:right="1301"/>
              <w:spacing w:after="0"/>
              <w:rPr>
                <w:sz w:val="20"/>
                <w:szCs w:val="20"/>
                <w:color w:val="auto"/>
              </w:rPr>
            </w:pPr>
            <w:r>
              <w:rPr>
                <w:rFonts w:ascii="Courier New" w:cs="Courier New" w:eastAsia="Courier New" w:hAnsi="Courier New"/>
                <w:sz w:val="16"/>
                <w:szCs w:val="16"/>
                <w:color w:val="auto"/>
              </w:rPr>
              <w:t>(Unaudited)</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734"/>
        </w:trPr>
        <w:tc>
          <w:tcPr>
            <w:tcW w:w="7380" w:type="dxa"/>
            <w:vAlign w:val="bottom"/>
          </w:tcPr>
          <w:p>
            <w:pPr>
              <w:spacing w:after="0"/>
              <w:rPr>
                <w:sz w:val="24"/>
                <w:szCs w:val="24"/>
                <w:color w:val="auto"/>
              </w:rPr>
            </w:pP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(Dollars</w:t>
            </w: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w w:val="97"/>
              </w:rPr>
              <w:t>in millions)</w:t>
            </w:r>
          </w:p>
        </w:tc>
      </w:tr>
      <w:tr>
        <w:trPr>
          <w:trHeight w:val="183"/>
        </w:trPr>
        <w:tc>
          <w:tcPr>
            <w:tcW w:w="7380" w:type="dxa"/>
            <w:vAlign w:val="bottom"/>
          </w:tcPr>
          <w:p>
            <w:pPr>
              <w:spacing w:after="0"/>
              <w:rPr>
                <w:sz w:val="15"/>
                <w:szCs w:val="15"/>
                <w:color w:val="auto"/>
              </w:rPr>
            </w:pP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Six Months</w:t>
            </w: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8"/>
              </w:rPr>
              <w:t>Ended June 30,</w:t>
            </w:r>
          </w:p>
        </w:tc>
      </w:tr>
      <w:tr>
        <w:trPr>
          <w:trHeight w:val="183"/>
        </w:trPr>
        <w:tc>
          <w:tcPr>
            <w:tcW w:w="7380" w:type="dxa"/>
            <w:vAlign w:val="bottom"/>
          </w:tcPr>
          <w:p>
            <w:pPr>
              <w:spacing w:after="0"/>
              <w:rPr>
                <w:sz w:val="15"/>
                <w:szCs w:val="15"/>
                <w:color w:val="auto"/>
              </w:rPr>
            </w:pP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8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5401"/>
              <w:spacing w:after="0"/>
              <w:rPr>
                <w:sz w:val="20"/>
                <w:szCs w:val="20"/>
                <w:color w:val="auto"/>
              </w:rPr>
            </w:pPr>
            <w:r>
              <w:rPr>
                <w:rFonts w:ascii="Courier New" w:cs="Courier New" w:eastAsia="Courier New" w:hAnsi="Courier New"/>
                <w:sz w:val="16"/>
                <w:szCs w:val="16"/>
                <w:color w:val="auto"/>
                <w:w w:val="97"/>
              </w:rPr>
              <w:t>OPERATING ACTIVITIES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from discontinued operations......................................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from continuing operations........................................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w:t>
            </w:r>
          </w:p>
        </w:tc>
      </w:tr>
      <w:tr>
        <w:trPr>
          <w:trHeight w:val="367"/>
        </w:trPr>
        <w:tc>
          <w:tcPr>
            <w:tcW w:w="73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Adjustments to reconcile  net income from  continuing  operations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7380" w:type="dxa"/>
            <w:vAlign w:val="bottom"/>
          </w:tcPr>
          <w:p>
            <w:pPr>
              <w:ind w:left="480"/>
              <w:spacing w:after="0"/>
              <w:rPr>
                <w:sz w:val="20"/>
                <w:szCs w:val="20"/>
                <w:color w:val="auto"/>
              </w:rPr>
            </w:pPr>
            <w:r>
              <w:rPr>
                <w:rFonts w:ascii="Courier New" w:cs="Courier New" w:eastAsia="Courier New" w:hAnsi="Courier New"/>
                <w:sz w:val="16"/>
                <w:szCs w:val="16"/>
                <w:color w:val="auto"/>
                <w:w w:val="99"/>
              </w:rPr>
              <w:t>to net cash provided by operating activities from continuing operations: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635</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633</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Non-cash interest expense, net.........................................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Non-cash interest (income) expense on affiliate notes, net.............</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(82)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in net losses of affiliates.....................................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Non-cash contribution expense..........................................</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Minority interest......................................................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r>
      <w:tr>
        <w:trPr>
          <w:trHeight w:val="367"/>
        </w:trPr>
        <w:tc>
          <w:tcPr>
            <w:tcW w:w="7380" w:type="dxa"/>
            <w:vAlign w:val="bottom"/>
          </w:tcPr>
          <w:p>
            <w:pPr>
              <w:ind w:left="480"/>
              <w:spacing w:after="0"/>
              <w:rPr>
                <w:sz w:val="20"/>
                <w:szCs w:val="20"/>
                <w:color w:val="auto"/>
              </w:rPr>
            </w:pPr>
            <w:r>
              <w:rPr>
                <w:rFonts w:ascii="Courier New" w:cs="Courier New" w:eastAsia="Courier New" w:hAnsi="Courier New"/>
                <w:sz w:val="16"/>
                <w:szCs w:val="16"/>
                <w:color w:val="auto"/>
              </w:rPr>
              <w:t>Changes in operating assets and liabilities, net of effects of</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7380" w:type="dxa"/>
            <w:vAlign w:val="bottom"/>
          </w:tcPr>
          <w:p>
            <w:pPr>
              <w:jc w:val="right"/>
              <w:ind w:right="3861"/>
              <w:spacing w:after="0"/>
              <w:rPr>
                <w:sz w:val="20"/>
                <w:szCs w:val="20"/>
                <w:color w:val="auto"/>
              </w:rPr>
            </w:pPr>
            <w:r>
              <w:rPr>
                <w:rFonts w:ascii="Courier New" w:cs="Courier New" w:eastAsia="Courier New" w:hAnsi="Courier New"/>
                <w:sz w:val="16"/>
                <w:szCs w:val="16"/>
                <w:color w:val="auto"/>
              </w:rPr>
              <w:t>acquisitions and divestitures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Change in accounts receivable, net...................................</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Change in accounts payable...........................................</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Change in other operating assets and liabilities.....................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provided by operating activities from continuing operations.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1,313</w:t>
            </w:r>
          </w:p>
        </w:tc>
        <w:tc>
          <w:tcPr>
            <w:tcW w:w="1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1,223</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5401"/>
              <w:spacing w:after="0"/>
              <w:rPr>
                <w:sz w:val="20"/>
                <w:szCs w:val="20"/>
                <w:color w:val="auto"/>
              </w:rPr>
            </w:pPr>
            <w:r>
              <w:rPr>
                <w:rFonts w:ascii="Courier New" w:cs="Courier New" w:eastAsia="Courier New" w:hAnsi="Courier New"/>
                <w:sz w:val="16"/>
                <w:szCs w:val="16"/>
                <w:color w:val="auto"/>
                <w:w w:val="97"/>
              </w:rPr>
              <w:t>FINANCING ACTIVITIES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borrowings.................................................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710</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Retirements and repayments of debt.......................................</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(570)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(1,570)</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transactions with affiliates.........................................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(704)</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631</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financing activities from continuing operations.....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(1,270)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5401"/>
              <w:spacing w:after="0"/>
              <w:rPr>
                <w:sz w:val="20"/>
                <w:szCs w:val="20"/>
                <w:color w:val="auto"/>
              </w:rPr>
            </w:pPr>
            <w:r>
              <w:rPr>
                <w:rFonts w:ascii="Courier New" w:cs="Courier New" w:eastAsia="Courier New" w:hAnsi="Courier New"/>
                <w:sz w:val="16"/>
                <w:szCs w:val="16"/>
                <w:color w:val="auto"/>
                <w:w w:val="97"/>
              </w:rPr>
              <w:t>INVESTING ACTIVITIES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Acquisitions, net of cash acquired.......................................</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(304)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(purchases) of short-term investments, net...........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of investments.......................................</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c>
          <w:tcPr>
            <w:tcW w:w="1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212</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Purchases of investments.................................................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(55)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 expenditures.....................................................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(618)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r>
      <w:tr>
        <w:trPr>
          <w:trHeight w:val="183"/>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(48)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investing activities from continuing operations.....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(974)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(604)</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(DECREASE) INCREASE IN CASH AND CASH EQUIVALENTS............................</w:t>
            </w: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(931)</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w:t>
            </w:r>
          </w:p>
        </w:tc>
      </w:tr>
      <w:tr>
        <w:trPr>
          <w:trHeight w:val="367"/>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1,509</w:t>
            </w:r>
          </w:p>
        </w:tc>
        <w:tc>
          <w:tcPr>
            <w:tcW w:w="1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w:t>
            </w:r>
          </w:p>
        </w:tc>
      </w:tr>
      <w:tr>
        <w:trPr>
          <w:trHeight w:val="183"/>
        </w:trPr>
        <w:tc>
          <w:tcPr>
            <w:tcW w:w="7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$578</w:t>
            </w:r>
          </w:p>
        </w:tc>
        <w:tc>
          <w:tcPr>
            <w:tcW w:w="1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$790</w:t>
            </w:r>
          </w:p>
        </w:tc>
      </w:tr>
      <w:tr>
        <w:trPr>
          <w:trHeight w:val="183"/>
        </w:trPr>
        <w:tc>
          <w:tcPr>
            <w:tcW w:w="7380" w:type="dxa"/>
            <w:vAlign w:val="bottom"/>
          </w:tcPr>
          <w:p>
            <w:pPr>
              <w:spacing w:after="0"/>
              <w:rPr>
                <w:sz w:val="15"/>
                <w:szCs w:val="15"/>
                <w:color w:val="auto"/>
              </w:rPr>
            </w:pP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00"/>
          </w:cols>
          <w:pgMar w:left="240" w:top="848" w:right="1359" w:bottom="755" w:gutter="0" w:footer="0" w:header="0"/>
        </w:sectPr>
      </w:pPr>
    </w:p>
    <w:bookmarkStart w:id="5" w:name="page6"/>
    <w:bookmarkEnd w:id="5"/>
    <w:p>
      <w:pPr>
        <w:jc w:val="center"/>
        <w:ind w:right="2497"/>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prepared these unaudited condensed consolidated financial statements based upon Securities and Exchange Commission ("SEC") rules that permit reduced disclosure for interim periods. We are an indirect wholly owned subsidiary of Comcast Corporation ("Comcast"). Our presentation differs from the consolidated financial statements of Comcast by excluding both Comcast's corporate operations and certain cable operations, primarily those acquired from AT&amp;T in November 2002 (the "Broadband acquisition"). Subsequent to the Broadband acquisition, all of our and Comcast's cable operations are operated as a single integrated cable business unit. Our condensed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Note 10. All significant intercompany accounts and transactions within our financial statements have been eliminated.</w:t>
      </w:r>
    </w:p>
    <w:p>
      <w:pPr>
        <w:spacing w:after="0" w:line="193"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90"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190" w:lineRule="exact"/>
        <w:rPr>
          <w:rFonts w:ascii="Courier New" w:cs="Courier New" w:eastAsia="Courier New" w:hAnsi="Courier New"/>
          <w:sz w:val="16"/>
          <w:szCs w:val="16"/>
          <w:color w:val="auto"/>
        </w:rPr>
      </w:pPr>
    </w:p>
    <w:p>
      <w:pPr>
        <w:jc w:val="both"/>
        <w:ind w:left="4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our accounting policies and certain other information, refer to the financial statements included in our Annual Report on Form 10-K for the year ended December 31, 2003.</w:t>
      </w:r>
    </w:p>
    <w:p>
      <w:pPr>
        <w:spacing w:after="0" w:line="189"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17, 2003, we completed the sale of our approximate 57% interest in QVC, Inc. ("QVC"). Accordingly, QVC has been presented as a discontinued operation pursuant to Statement of Financial Accounting Standards ("SFAS") No. 144, "Accounting for the Impairment or Disposal of Long-Lived Assets."</w:t>
      </w:r>
    </w:p>
    <w:p>
      <w:pPr>
        <w:spacing w:after="0" w:line="190" w:lineRule="exact"/>
        <w:rPr>
          <w:rFonts w:ascii="Courier New" w:cs="Courier New" w:eastAsia="Courier New" w:hAnsi="Courier New"/>
          <w:sz w:val="16"/>
          <w:szCs w:val="16"/>
          <w:color w:val="auto"/>
        </w:rPr>
      </w:pPr>
    </w:p>
    <w:p>
      <w:pPr>
        <w:ind w:left="48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of QVC included within income from discontinued operations, net of tax are as follows (in millions):</w:t>
      </w:r>
    </w:p>
    <w:p>
      <w:pPr>
        <w:sectPr>
          <w:pgSz w:w="11900" w:h="16838" w:orient="portrait"/>
          <w:cols w:equalWidth="0" w:num="1">
            <w:col w:w="10221"/>
          </w:cols>
          <w:pgMar w:left="238" w:top="848" w:right="1440" w:bottom="388" w:gutter="0" w:footer="0" w:header="0"/>
        </w:sectPr>
      </w:pPr>
    </w:p>
    <w:p>
      <w:pPr>
        <w:spacing w:after="0" w:line="370" w:lineRule="exact"/>
        <w:rPr>
          <w:sz w:val="20"/>
          <w:szCs w:val="20"/>
          <w:color w:val="auto"/>
        </w:rPr>
      </w:pPr>
    </w:p>
    <w:p>
      <w:pPr>
        <w:ind w:left="6382"/>
        <w:spacing w:after="0"/>
        <w:rPr>
          <w:sz w:val="20"/>
          <w:szCs w:val="20"/>
          <w:color w:val="auto"/>
        </w:rPr>
      </w:pPr>
      <w:r>
        <w:rPr>
          <w:rFonts w:ascii="Courier New" w:cs="Courier New" w:eastAsia="Courier New" w:hAnsi="Courier New"/>
          <w:sz w:val="16"/>
          <w:szCs w:val="16"/>
          <w:color w:val="auto"/>
        </w:rPr>
        <w:t>Three Months</w:t>
      </w:r>
    </w:p>
    <w:p>
      <w:pPr>
        <w:spacing w:after="0" w:line="2" w:lineRule="exact"/>
        <w:rPr>
          <w:sz w:val="20"/>
          <w:szCs w:val="20"/>
          <w:color w:val="auto"/>
        </w:rPr>
      </w:pPr>
    </w:p>
    <w:p>
      <w:pPr>
        <w:ind w:left="6682"/>
        <w:spacing w:after="0"/>
        <w:rPr>
          <w:sz w:val="20"/>
          <w:szCs w:val="20"/>
          <w:color w:val="auto"/>
        </w:rPr>
      </w:pPr>
      <w:r>
        <w:rPr>
          <w:rFonts w:ascii="Courier New" w:cs="Courier New" w:eastAsia="Courier New" w:hAnsi="Courier New"/>
          <w:sz w:val="16"/>
          <w:szCs w:val="16"/>
          <w:color w:val="auto"/>
        </w:rPr>
        <w:t>Ended</w:t>
      </w:r>
    </w:p>
    <w:p>
      <w:pPr>
        <w:spacing w:after="0" w:line="2" w:lineRule="exact"/>
        <w:rPr>
          <w:sz w:val="20"/>
          <w:szCs w:val="20"/>
          <w:color w:val="auto"/>
        </w:rPr>
      </w:pPr>
    </w:p>
    <w:p>
      <w:pPr>
        <w:ind w:left="6302"/>
        <w:spacing w:after="0"/>
        <w:rPr>
          <w:sz w:val="20"/>
          <w:szCs w:val="20"/>
          <w:color w:val="auto"/>
        </w:rPr>
      </w:pPr>
      <w:r>
        <w:rPr>
          <w:rFonts w:ascii="Courier New" w:cs="Courier New" w:eastAsia="Courier New" w:hAnsi="Courier New"/>
          <w:sz w:val="16"/>
          <w:szCs w:val="16"/>
          <w:color w:val="auto"/>
        </w:rPr>
        <w:t>June 30, 2003</w:t>
      </w:r>
    </w:p>
    <w:p>
      <w:pPr>
        <w:spacing w:after="0" w:line="5" w:lineRule="exact"/>
        <w:rPr>
          <w:sz w:val="20"/>
          <w:szCs w:val="20"/>
          <w:color w:val="auto"/>
        </w:rPr>
      </w:pPr>
    </w:p>
    <w:p>
      <w:pPr>
        <w:ind w:left="620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6"/>
          <w:szCs w:val="16"/>
          <w:color w:val="auto"/>
        </w:rPr>
        <w:t>Six Months</w:t>
      </w:r>
    </w:p>
    <w:p>
      <w:pPr>
        <w:spacing w:after="0" w:line="2"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6"/>
          <w:szCs w:val="16"/>
          <w:color w:val="auto"/>
        </w:rPr>
        <w:t>Ended</w:t>
      </w:r>
    </w:p>
    <w:p>
      <w:pPr>
        <w:spacing w:after="0" w:line="2"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6"/>
          <w:szCs w:val="16"/>
          <w:color w:val="auto"/>
        </w:rPr>
        <w:t>June 30, 2003</w:t>
      </w:r>
    </w:p>
    <w:p>
      <w:pPr>
        <w:spacing w:after="0" w:line="5"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7822" w:space="180"/>
            <w:col w:w="2219"/>
          </w:cols>
          <w:pgMar w:left="238" w:top="848" w:right="1440" w:bottom="388" w:gutter="0" w:footer="0" w:header="0"/>
          <w:type w:val="continuous"/>
        </w:sectPr>
      </w:pPr>
    </w:p>
    <w:p>
      <w:pPr>
        <w:ind w:left="662"/>
        <w:spacing w:after="0"/>
        <w:rPr>
          <w:sz w:val="20"/>
          <w:szCs w:val="20"/>
          <w:color w:val="auto"/>
        </w:rPr>
      </w:pPr>
      <w:r>
        <w:rPr>
          <w:rFonts w:ascii="Courier New" w:cs="Courier New" w:eastAsia="Courier New" w:hAnsi="Courier New"/>
          <w:sz w:val="15"/>
          <w:szCs w:val="15"/>
          <w:color w:val="auto"/>
        </w:rPr>
        <w:t>Revenues..................................................</w:t>
      </w:r>
    </w:p>
    <w:p>
      <w:pPr>
        <w:spacing w:after="0" w:line="13"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Income before income taxes and minority interest..........</w:t>
      </w:r>
    </w:p>
    <w:p>
      <w:pPr>
        <w:spacing w:after="0" w:line="13" w:lineRule="exact"/>
        <w:rPr>
          <w:sz w:val="20"/>
          <w:szCs w:val="20"/>
          <w:color w:val="auto"/>
        </w:rPr>
      </w:pPr>
    </w:p>
    <w:p>
      <w:pPr>
        <w:ind w:left="662"/>
        <w:spacing w:after="0"/>
        <w:rPr>
          <w:sz w:val="20"/>
          <w:szCs w:val="20"/>
          <w:color w:val="auto"/>
        </w:rPr>
      </w:pPr>
      <w:r>
        <w:rPr>
          <w:rFonts w:ascii="Courier New" w:cs="Courier New" w:eastAsia="Courier New" w:hAnsi="Courier New"/>
          <w:sz w:val="15"/>
          <w:szCs w:val="15"/>
          <w:color w:val="auto"/>
        </w:rPr>
        <w:t>Income tax expense........................................</w:t>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Courier New" w:cs="Courier New" w:eastAsia="Courier New" w:hAnsi="Courier New"/>
          <w:sz w:val="15"/>
          <w:szCs w:val="15"/>
          <w:color w:val="auto"/>
        </w:rPr>
        <w:t>$1,101</w:t>
      </w:r>
    </w:p>
    <w:p>
      <w:pPr>
        <w:spacing w:after="0" w:line="11"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$199</w:t>
      </w:r>
    </w:p>
    <w:p>
      <w:pPr>
        <w:spacing w:after="0" w:line="2"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6"/>
          <w:szCs w:val="16"/>
          <w:color w:val="auto"/>
        </w:rPr>
        <w:t>$64</w:t>
      </w:r>
    </w:p>
    <w:p>
      <w:pPr>
        <w:spacing w:after="0" w:line="20" w:lineRule="exact"/>
        <w:rPr>
          <w:sz w:val="20"/>
          <w:szCs w:val="20"/>
          <w:color w:val="auto"/>
        </w:rPr>
      </w:pPr>
      <w:r>
        <w:rPr>
          <w:sz w:val="20"/>
          <w:szCs w:val="20"/>
          <w:color w:val="auto"/>
        </w:rPr>
        <w:br w:type="column"/>
      </w:r>
    </w:p>
    <w:p>
      <w:pPr>
        <w:jc w:val="right"/>
        <w:ind w:right="879"/>
        <w:spacing w:after="0"/>
        <w:rPr>
          <w:sz w:val="20"/>
          <w:szCs w:val="20"/>
          <w:color w:val="auto"/>
        </w:rPr>
      </w:pPr>
      <w:r>
        <w:rPr>
          <w:rFonts w:ascii="Courier New" w:cs="Courier New" w:eastAsia="Courier New" w:hAnsi="Courier New"/>
          <w:sz w:val="15"/>
          <w:szCs w:val="15"/>
          <w:color w:val="auto"/>
        </w:rPr>
        <w:t>$2,163</w:t>
      </w:r>
    </w:p>
    <w:p>
      <w:pPr>
        <w:spacing w:after="0" w:line="11"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6"/>
          <w:szCs w:val="16"/>
          <w:color w:val="auto"/>
        </w:rPr>
        <w:t>$371</w:t>
      </w:r>
    </w:p>
    <w:p>
      <w:pPr>
        <w:spacing w:after="0" w:line="2"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6"/>
          <w:szCs w:val="16"/>
          <w:color w:val="auto"/>
        </w:rPr>
        <w:t>$137</w:t>
      </w:r>
    </w:p>
    <w:p>
      <w:pPr>
        <w:spacing w:after="0" w:line="200" w:lineRule="exact"/>
        <w:rPr>
          <w:sz w:val="20"/>
          <w:szCs w:val="20"/>
          <w:color w:val="auto"/>
        </w:rPr>
      </w:pPr>
    </w:p>
    <w:p>
      <w:pPr>
        <w:sectPr>
          <w:pgSz w:w="11900" w:h="16838" w:orient="portrait"/>
          <w:cols w:equalWidth="0" w:num="3">
            <w:col w:w="6342" w:space="720"/>
            <w:col w:w="1000" w:space="720"/>
            <w:col w:w="1439"/>
          </w:cols>
          <w:pgMar w:left="238" w:top="848" w:right="1440" w:bottom="388" w:gutter="0" w:footer="0" w:header="0"/>
          <w:type w:val="continuous"/>
        </w:sectPr>
      </w:pPr>
    </w:p>
    <w:p>
      <w:pPr>
        <w:spacing w:after="0" w:line="1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ind w:left="482" w:right="2599"/>
        <w:spacing w:after="0" w:line="239" w:lineRule="auto"/>
        <w:rPr>
          <w:sz w:val="20"/>
          <w:szCs w:val="20"/>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2004.</w:t>
      </w:r>
    </w:p>
    <w:p>
      <w:pPr>
        <w:spacing w:after="0" w:line="186" w:lineRule="exact"/>
        <w:rPr>
          <w:sz w:val="20"/>
          <w:szCs w:val="20"/>
          <w:color w:val="auto"/>
        </w:rPr>
      </w:pPr>
    </w:p>
    <w:p>
      <w:pPr>
        <w:ind w:left="482" w:hanging="482"/>
        <w:spacing w:after="0"/>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 46/FIN 46R</w:t>
      </w:r>
    </w:p>
    <w:p>
      <w:pPr>
        <w:spacing w:after="0" w:line="4"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8" w:top="848" w:right="1440" w:bottom="388" w:gutter="0" w:footer="0" w:header="0"/>
          <w:type w:val="continuous"/>
        </w:sectPr>
      </w:pPr>
    </w:p>
    <w:bookmarkStart w:id="6" w:name="page7"/>
    <w:bookmarkEnd w:id="6"/>
    <w:p>
      <w:pPr>
        <w:jc w:val="center"/>
        <w:ind w:right="30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15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jc w:val="both"/>
        <w:ind w:left="482" w:right="3160"/>
        <w:spacing w:after="0" w:line="239" w:lineRule="auto"/>
        <w:rPr>
          <w:sz w:val="20"/>
          <w:szCs w:val="20"/>
          <w:color w:val="auto"/>
        </w:rPr>
      </w:pPr>
      <w:r>
        <w:rPr>
          <w:rFonts w:ascii="Courier New" w:cs="Courier New" w:eastAsia="Courier New" w:hAnsi="Courier New"/>
          <w:sz w:val="16"/>
          <w:szCs w:val="16"/>
          <w:color w:val="auto"/>
        </w:rPr>
        <w:t>entities that are not SPEs. The adoption of FIN 46R did not have a material impact on our financial condition or results of operations.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EITF 03-16</w:t>
      </w:r>
    </w:p>
    <w:p>
      <w:pPr>
        <w:spacing w:after="0" w:line="5" w:lineRule="exact"/>
        <w:rPr>
          <w:sz w:val="20"/>
          <w:szCs w:val="20"/>
          <w:color w:val="auto"/>
        </w:rPr>
      </w:pPr>
    </w:p>
    <w:p>
      <w:pPr>
        <w:jc w:val="both"/>
        <w:ind w:left="482" w:right="3160"/>
        <w:spacing w:after="0" w:line="242" w:lineRule="auto"/>
        <w:rPr>
          <w:sz w:val="20"/>
          <w:szCs w:val="20"/>
          <w:color w:val="auto"/>
        </w:rPr>
      </w:pPr>
      <w:r>
        <w:rPr>
          <w:rFonts w:ascii="Courier New" w:cs="Courier New" w:eastAsia="Courier New" w:hAnsi="Courier New"/>
          <w:sz w:val="16"/>
          <w:szCs w:val="16"/>
          <w:color w:val="auto"/>
        </w:rPr>
        <w:t>In March 2004, the Emerging Issues Task Force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would be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The adoption of EITF 03-16 will not have a material impact on our financial condition or results of operations.</w:t>
      </w:r>
    </w:p>
    <w:p>
      <w:pPr>
        <w:spacing w:after="0" w:line="189" w:lineRule="exact"/>
        <w:rPr>
          <w:sz w:val="20"/>
          <w:szCs w:val="20"/>
          <w:color w:val="auto"/>
        </w:rPr>
      </w:pPr>
    </w:p>
    <w:p>
      <w:pPr>
        <w:ind w:left="482" w:hanging="482"/>
        <w:spacing w:after="0"/>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w:t>
      </w:r>
    </w:p>
    <w:p>
      <w:pPr>
        <w:spacing w:after="0" w:line="188"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May 10, 2004, we completed the purchase of TechTV, Inc. ("TechTV") by acquiring all outstanding common and preferred stock of TechTV from Vulcan Programming, Inc. for approximately $300 million in cash, funded with borrowings under a note payable to affiliate. Substantially all of the purchase price has been recorded as an intangible asset pending the completion of a formal valuation. The results of TechTV are not material for pro forma presentation. On May 28, 2004, G4 and TechTV began operating as one network called G4techTV, which is available to approximately 42 million cable and satellite homes nationwide. We have classified G4techTV as part of our content business segment (see Note 9).</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369"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June 30,</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2004</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(in millions)</w:t>
            </w:r>
          </w:p>
        </w:tc>
      </w:tr>
      <w:tr>
        <w:trPr>
          <w:trHeight w:val="367"/>
        </w:trPr>
        <w:tc>
          <w:tcPr>
            <w:tcW w:w="1720" w:type="dxa"/>
            <w:vAlign w:val="bottom"/>
          </w:tcPr>
          <w:p>
            <w:pPr>
              <w:spacing w:after="0"/>
              <w:rPr>
                <w:sz w:val="20"/>
                <w:szCs w:val="20"/>
                <w:color w:val="auto"/>
              </w:rPr>
            </w:pPr>
            <w:r>
              <w:rPr>
                <w:rFonts w:ascii="Courier New" w:cs="Courier New" w:eastAsia="Courier New" w:hAnsi="Courier New"/>
                <w:sz w:val="16"/>
                <w:szCs w:val="16"/>
                <w:color w:val="auto"/>
              </w:rPr>
              <w:t>Fair value method</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41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73"/>
              </w:rPr>
              <w:t>Liberty Media Corporation...............................</w:t>
            </w: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$1,981</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$2,644</w:t>
            </w:r>
          </w:p>
        </w:tc>
      </w:tr>
      <w:tr>
        <w:trPr>
          <w:trHeight w:val="183"/>
        </w:trPr>
        <w:tc>
          <w:tcPr>
            <w:tcW w:w="41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73"/>
              </w:rPr>
              <w:t>Liberty Media International.............................</w:t>
            </w: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407</w:t>
            </w:r>
          </w:p>
        </w:tc>
        <w:tc>
          <w:tcPr>
            <w:tcW w:w="1720" w:type="dxa"/>
            <w:vAlign w:val="bottom"/>
          </w:tcPr>
          <w:p>
            <w:pPr>
              <w:spacing w:after="0"/>
              <w:rPr>
                <w:sz w:val="15"/>
                <w:szCs w:val="15"/>
                <w:color w:val="auto"/>
              </w:rPr>
            </w:pPr>
          </w:p>
        </w:tc>
      </w:tr>
      <w:tr>
        <w:trPr>
          <w:trHeight w:val="183"/>
        </w:trPr>
        <w:tc>
          <w:tcPr>
            <w:tcW w:w="31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4"/>
              </w:rPr>
              <w:t>Sprint..................................................</w:t>
            </w:r>
          </w:p>
        </w:tc>
        <w:tc>
          <w:tcPr>
            <w:tcW w:w="960" w:type="dxa"/>
            <w:vAlign w:val="bottom"/>
          </w:tcPr>
          <w:p>
            <w:pPr>
              <w:spacing w:after="0"/>
              <w:rPr>
                <w:sz w:val="15"/>
                <w:szCs w:val="15"/>
                <w:color w:val="auto"/>
              </w:rPr>
            </w:pP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515</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w:t>
            </w:r>
          </w:p>
        </w:tc>
      </w:tr>
      <w:tr>
        <w:trPr>
          <w:trHeight w:val="183"/>
        </w:trPr>
        <w:tc>
          <w:tcPr>
            <w:tcW w:w="31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4"/>
              </w:rPr>
              <w:t>Other...................................................</w:t>
            </w:r>
          </w:p>
        </w:tc>
        <w:tc>
          <w:tcPr>
            <w:tcW w:w="960" w:type="dxa"/>
            <w:vAlign w:val="bottom"/>
          </w:tcPr>
          <w:p>
            <w:pPr>
              <w:spacing w:after="0"/>
              <w:rPr>
                <w:sz w:val="15"/>
                <w:szCs w:val="15"/>
                <w:color w:val="auto"/>
              </w:rPr>
            </w:pP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2,948</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3,034</w:t>
            </w:r>
          </w:p>
        </w:tc>
      </w:tr>
      <w:tr>
        <w:trPr>
          <w:trHeight w:val="367"/>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2"/>
              </w:rPr>
              <w:t>Equity method...............................................</w:t>
            </w:r>
          </w:p>
        </w:tc>
        <w:tc>
          <w:tcPr>
            <w:tcW w:w="960" w:type="dxa"/>
            <w:vAlign w:val="bottom"/>
          </w:tcPr>
          <w:p>
            <w:pPr>
              <w:spacing w:after="0"/>
              <w:rPr>
                <w:sz w:val="24"/>
                <w:szCs w:val="24"/>
                <w:color w:val="auto"/>
              </w:rPr>
            </w:pP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338</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w:t>
            </w: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2"/>
              </w:rPr>
              <w:t>Cost method.................................................</w:t>
            </w:r>
          </w:p>
        </w:tc>
        <w:tc>
          <w:tcPr>
            <w:tcW w:w="960" w:type="dxa"/>
            <w:vAlign w:val="bottom"/>
          </w:tcPr>
          <w:p>
            <w:pPr>
              <w:spacing w:after="0"/>
              <w:rPr>
                <w:sz w:val="15"/>
                <w:szCs w:val="15"/>
                <w:color w:val="auto"/>
              </w:rPr>
            </w:pP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73"/>
              </w:rPr>
              <w:t>Total investments.......................................</w:t>
            </w: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3,409</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3,502</w:t>
            </w:r>
          </w:p>
        </w:tc>
      </w:tr>
      <w:tr>
        <w:trPr>
          <w:trHeight w:val="367"/>
        </w:trPr>
        <w:tc>
          <w:tcPr>
            <w:tcW w:w="4100" w:type="dxa"/>
            <w:vAlign w:val="bottom"/>
            <w:gridSpan w:val="3"/>
          </w:tcPr>
          <w:p>
            <w:pPr>
              <w:spacing w:after="0"/>
              <w:rPr>
                <w:sz w:val="20"/>
                <w:szCs w:val="20"/>
                <w:color w:val="auto"/>
              </w:rPr>
            </w:pPr>
            <w:r>
              <w:rPr>
                <w:rFonts w:ascii="Courier New" w:cs="Courier New" w:eastAsia="Courier New" w:hAnsi="Courier New"/>
                <w:sz w:val="16"/>
                <w:szCs w:val="16"/>
                <w:color w:val="auto"/>
                <w:w w:val="70"/>
              </w:rPr>
              <w:t>Less, current investments...................................</w:t>
            </w: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181</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gridSpan w:val="3"/>
          </w:tcPr>
          <w:p>
            <w:pPr>
              <w:spacing w:after="0"/>
              <w:rPr>
                <w:sz w:val="20"/>
                <w:szCs w:val="20"/>
                <w:color w:val="auto"/>
              </w:rPr>
            </w:pPr>
            <w:r>
              <w:rPr>
                <w:rFonts w:ascii="Courier New" w:cs="Courier New" w:eastAsia="Courier New" w:hAnsi="Courier New"/>
                <w:sz w:val="16"/>
                <w:szCs w:val="16"/>
                <w:color w:val="auto"/>
                <w:w w:val="70"/>
              </w:rPr>
              <w:t>Noncurrent investments......................................</w:t>
            </w:r>
          </w:p>
        </w:tc>
        <w:tc>
          <w:tcPr>
            <w:tcW w:w="4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$3,228</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$3,363</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1720" w:type="dxa"/>
            <w:vAlign w:val="bottom"/>
          </w:tcPr>
          <w:p>
            <w:pPr>
              <w:spacing w:after="0"/>
              <w:rPr>
                <w:sz w:val="20"/>
                <w:szCs w:val="20"/>
                <w:color w:val="auto"/>
              </w:rPr>
            </w:pPr>
            <w:r>
              <w:rPr>
                <w:rFonts w:ascii="Courier New" w:cs="Courier New" w:eastAsia="Courier New" w:hAnsi="Courier New"/>
                <w:sz w:val="16"/>
                <w:szCs w:val="16"/>
                <w:color w:val="auto"/>
              </w:rPr>
              <w:t>Fair Value Method</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We hold unrestricted equity investments,  which we account for as available</w:t>
            </w:r>
          </w:p>
        </w:tc>
        <w:tc>
          <w:tcPr>
            <w:tcW w:w="1720" w:type="dxa"/>
            <w:vAlign w:val="bottom"/>
          </w:tcPr>
          <w:p>
            <w:pPr>
              <w:spacing w:after="0"/>
              <w:rPr>
                <w:sz w:val="15"/>
                <w:szCs w:val="15"/>
                <w:color w:val="auto"/>
              </w:rPr>
            </w:pP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for sale or trading securities,</w:t>
            </w:r>
          </w:p>
        </w:tc>
        <w:tc>
          <w:tcPr>
            <w:tcW w:w="5440" w:type="dxa"/>
            <w:vAlign w:val="bottom"/>
            <w:gridSpan w:val="2"/>
          </w:tcPr>
          <w:p>
            <w:pPr>
              <w:jc w:val="right"/>
              <w:ind w:right="1361"/>
              <w:spacing w:after="0"/>
              <w:rPr>
                <w:sz w:val="20"/>
                <w:szCs w:val="20"/>
                <w:color w:val="auto"/>
              </w:rPr>
            </w:pPr>
            <w:r>
              <w:rPr>
                <w:rFonts w:ascii="Courier New" w:cs="Courier New" w:eastAsia="Courier New" w:hAnsi="Courier New"/>
                <w:sz w:val="16"/>
                <w:szCs w:val="16"/>
                <w:color w:val="auto"/>
                <w:w w:val="98"/>
              </w:rPr>
              <w:t>in certain publicly traded companies.  The</w:t>
            </w:r>
          </w:p>
        </w:tc>
        <w:tc>
          <w:tcPr>
            <w:tcW w:w="1720" w:type="dxa"/>
            <w:vAlign w:val="bottom"/>
          </w:tcPr>
          <w:p>
            <w:pPr>
              <w:spacing w:after="0"/>
              <w:rPr>
                <w:sz w:val="15"/>
                <w:szCs w:val="15"/>
                <w:color w:val="auto"/>
              </w:rPr>
            </w:pPr>
          </w:p>
        </w:tc>
      </w:tr>
      <w:tr>
        <w:trPr>
          <w:trHeight w:val="183"/>
        </w:trPr>
        <w:tc>
          <w:tcPr>
            <w:tcW w:w="4100" w:type="dxa"/>
            <w:vAlign w:val="bottom"/>
            <w:gridSpan w:val="3"/>
          </w:tcPr>
          <w:p>
            <w:pPr>
              <w:spacing w:after="0"/>
              <w:rPr>
                <w:sz w:val="20"/>
                <w:szCs w:val="20"/>
                <w:color w:val="auto"/>
              </w:rPr>
            </w:pPr>
            <w:r>
              <w:rPr>
                <w:rFonts w:ascii="Courier New" w:cs="Courier New" w:eastAsia="Courier New" w:hAnsi="Courier New"/>
                <w:sz w:val="16"/>
                <w:szCs w:val="16"/>
                <w:color w:val="auto"/>
                <w:w w:val="98"/>
              </w:rPr>
              <w:t>net unrealized pre-tax gains on investments</w:t>
            </w:r>
          </w:p>
        </w:tc>
        <w:tc>
          <w:tcPr>
            <w:tcW w:w="448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accounted for as available for</w:t>
            </w:r>
          </w:p>
        </w:tc>
        <w:tc>
          <w:tcPr>
            <w:tcW w:w="172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sale  securities</w:t>
            </w:r>
          </w:p>
        </w:tc>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as of June 30, 2004 and</w:t>
            </w:r>
          </w:p>
        </w:tc>
        <w:tc>
          <w:tcPr>
            <w:tcW w:w="4480" w:type="dxa"/>
            <w:vAlign w:val="bottom"/>
          </w:tcPr>
          <w:p>
            <w:pPr>
              <w:jc w:val="right"/>
              <w:ind w:right="1361"/>
              <w:spacing w:after="0"/>
              <w:rPr>
                <w:sz w:val="20"/>
                <w:szCs w:val="20"/>
                <w:color w:val="auto"/>
              </w:rPr>
            </w:pPr>
            <w:r>
              <w:rPr>
                <w:rFonts w:ascii="Courier New" w:cs="Courier New" w:eastAsia="Courier New" w:hAnsi="Courier New"/>
                <w:sz w:val="16"/>
                <w:szCs w:val="16"/>
                <w:color w:val="auto"/>
                <w:w w:val="98"/>
              </w:rPr>
              <w:t>December 31, 2003 of $38 million</w:t>
            </w:r>
          </w:p>
        </w:tc>
        <w:tc>
          <w:tcPr>
            <w:tcW w:w="172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and $42  million,</w:t>
            </w:r>
          </w:p>
        </w:tc>
        <w:tc>
          <w:tcPr>
            <w:tcW w:w="1420" w:type="dxa"/>
            <w:vAlign w:val="bottom"/>
          </w:tcPr>
          <w:p>
            <w:pPr>
              <w:ind w:left="80"/>
              <w:spacing w:after="0"/>
              <w:rPr>
                <w:sz w:val="20"/>
                <w:szCs w:val="20"/>
                <w:color w:val="auto"/>
              </w:rPr>
            </w:pPr>
            <w:r>
              <w:rPr>
                <w:rFonts w:ascii="Courier New" w:cs="Courier New" w:eastAsia="Courier New" w:hAnsi="Courier New"/>
                <w:sz w:val="16"/>
                <w:szCs w:val="16"/>
                <w:color w:val="auto"/>
              </w:rPr>
              <w:t>respectively,</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w w:val="97"/>
              </w:rPr>
              <w:t>have been</w:t>
            </w:r>
          </w:p>
        </w:tc>
        <w:tc>
          <w:tcPr>
            <w:tcW w:w="448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reported  in our  consolidated</w:t>
            </w:r>
          </w:p>
        </w:tc>
        <w:tc>
          <w:tcPr>
            <w:tcW w:w="1720" w:type="dxa"/>
            <w:vAlign w:val="bottom"/>
          </w:tcPr>
          <w:p>
            <w:pPr>
              <w:spacing w:after="0"/>
              <w:rPr>
                <w:sz w:val="15"/>
                <w:szCs w:val="15"/>
                <w:color w:val="auto"/>
              </w:rPr>
            </w:pPr>
          </w:p>
        </w:tc>
      </w:tr>
    </w:tbl>
    <w:p>
      <w:pPr>
        <w:spacing w:after="0" w:line="5" w:lineRule="exact"/>
        <w:rPr>
          <w:sz w:val="20"/>
          <w:szCs w:val="20"/>
          <w:color w:val="auto"/>
        </w:rPr>
      </w:pPr>
    </w:p>
    <w:p>
      <w:pPr>
        <w:jc w:val="both"/>
        <w:ind w:left="482" w:right="3160"/>
        <w:spacing w:after="0"/>
        <w:rPr>
          <w:sz w:val="20"/>
          <w:szCs w:val="20"/>
          <w:color w:val="auto"/>
        </w:rPr>
      </w:pPr>
      <w:r>
        <w:rPr>
          <w:rFonts w:ascii="Courier New" w:cs="Courier New" w:eastAsia="Courier New" w:hAnsi="Courier New"/>
          <w:sz w:val="16"/>
          <w:szCs w:val="16"/>
          <w:color w:val="auto"/>
        </w:rPr>
        <w:t>balance sheet principally as a component of accumulated other comprehensive loss, net of related deferred income taxes of $13 million and $15 million, respectively.</w:t>
      </w:r>
    </w:p>
    <w:p>
      <w:pPr>
        <w:spacing w:after="0" w:line="190" w:lineRule="exact"/>
        <w:rPr>
          <w:sz w:val="20"/>
          <w:szCs w:val="20"/>
          <w:color w:val="auto"/>
        </w:rPr>
      </w:pPr>
    </w:p>
    <w:p>
      <w:pPr>
        <w:jc w:val="both"/>
        <w:ind w:left="482" w:right="3160"/>
        <w:spacing w:after="0" w:line="265" w:lineRule="auto"/>
        <w:rPr>
          <w:sz w:val="20"/>
          <w:szCs w:val="20"/>
          <w:color w:val="auto"/>
        </w:rPr>
      </w:pPr>
      <w:r>
        <w:rPr>
          <w:rFonts w:ascii="Courier New" w:cs="Courier New" w:eastAsia="Courier New" w:hAnsi="Courier New"/>
          <w:sz w:val="15"/>
          <w:szCs w:val="15"/>
          <w:color w:val="auto"/>
        </w:rPr>
        <w:t>On June 7, 2004, we received approximately 11 million shares of Liberty Media International, Inc. ("Liberty International") Series A common stock in connection with the spin-off by Liberty Media Corporation ("Liberty")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82"/>
          </w:cols>
          <w:pgMar w:left="238" w:top="848" w:right="879" w:bottom="205" w:gutter="0" w:footer="0" w:header="0"/>
        </w:sectPr>
      </w:pPr>
    </w:p>
    <w:bookmarkStart w:id="7" w:name="page8"/>
    <w:bookmarkEnd w:id="7"/>
    <w:p>
      <w:pPr>
        <w:jc w:val="center"/>
        <w:ind w:right="30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15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7200" w:type="dxa"/>
            <w:vAlign w:val="bottom"/>
            <w:gridSpan w:val="5"/>
          </w:tcPr>
          <w:p>
            <w:pPr>
              <w:spacing w:after="0"/>
              <w:rPr>
                <w:sz w:val="20"/>
                <w:szCs w:val="20"/>
                <w:color w:val="auto"/>
              </w:rPr>
            </w:pPr>
            <w:r>
              <w:rPr>
                <w:rFonts w:ascii="Courier New" w:cs="Courier New" w:eastAsia="Courier New" w:hAnsi="Courier New"/>
                <w:sz w:val="16"/>
                <w:szCs w:val="16"/>
                <w:color w:val="auto"/>
                <w:w w:val="99"/>
              </w:rPr>
              <w:t>Liberty International.  In the spin-off, each share of Liberty Series A and</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200" w:type="dxa"/>
            <w:vAlign w:val="bottom"/>
            <w:gridSpan w:val="5"/>
          </w:tcPr>
          <w:p>
            <w:pPr>
              <w:spacing w:after="0"/>
              <w:rPr>
                <w:sz w:val="20"/>
                <w:szCs w:val="20"/>
                <w:color w:val="auto"/>
              </w:rPr>
            </w:pPr>
            <w:r>
              <w:rPr>
                <w:rFonts w:ascii="Courier New" w:cs="Courier New" w:eastAsia="Courier New" w:hAnsi="Courier New"/>
                <w:sz w:val="16"/>
                <w:szCs w:val="16"/>
                <w:color w:val="auto"/>
                <w:w w:val="99"/>
              </w:rPr>
              <w:t>Series B common stock received 0.05 shares of the new Liberty International</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960" w:type="dxa"/>
            <w:vAlign w:val="bottom"/>
            <w:gridSpan w:val="3"/>
          </w:tcPr>
          <w:p>
            <w:pPr>
              <w:spacing w:after="0"/>
              <w:rPr>
                <w:sz w:val="20"/>
                <w:szCs w:val="20"/>
                <w:color w:val="auto"/>
              </w:rPr>
            </w:pPr>
            <w:r>
              <w:rPr>
                <w:rFonts w:ascii="Courier New" w:cs="Courier New" w:eastAsia="Courier New" w:hAnsi="Courier New"/>
                <w:sz w:val="16"/>
                <w:szCs w:val="16"/>
                <w:color w:val="auto"/>
                <w:w w:val="98"/>
              </w:rPr>
              <w:t>Series A common stock.  As of June 30, 2004, we have</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classified all of the</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shares of Liberty</w:t>
            </w:r>
          </w:p>
        </w:tc>
        <w:tc>
          <w:tcPr>
            <w:tcW w:w="54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International  Series A common stock that we received as</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trading  securities</w:t>
            </w:r>
          </w:p>
        </w:tc>
        <w:tc>
          <w:tcPr>
            <w:tcW w:w="41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recorded at fair value within noncurrent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w w:val="98"/>
              </w:rPr>
              <w:t>Approximately 5 million of these shares</w:t>
            </w:r>
          </w:p>
        </w:tc>
        <w:tc>
          <w:tcPr>
            <w:tcW w:w="3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collateralize a portion of the ten</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year prepaid  forward sale of Liberty</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that we entered into in</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December 2003.</w:t>
            </w: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cost,  fair  value and  unrealized</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gains and</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losses  related  to our</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rPr>
              <w:t>available for sale securities are as follows (in millions):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c>
          <w:tcPr>
            <w:tcW w:w="22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06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2003</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367"/>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4"/>
              </w:rPr>
              <w:t>Cost.......................................................</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701"/>
              <w:spacing w:after="0"/>
              <w:rPr>
                <w:sz w:val="20"/>
                <w:szCs w:val="20"/>
                <w:color w:val="auto"/>
              </w:rPr>
            </w:pPr>
            <w:r>
              <w:rPr>
                <w:rFonts w:ascii="Courier New" w:cs="Courier New" w:eastAsia="Courier New" w:hAnsi="Courier New"/>
                <w:sz w:val="16"/>
                <w:szCs w:val="16"/>
                <w:color w:val="auto"/>
                <w:w w:val="90"/>
              </w:rPr>
              <w:t>$32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r>
      <w:tr>
        <w:trPr>
          <w:trHeight w:val="183"/>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4"/>
              </w:rPr>
              <w:t>Unrealized gains...........................................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38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w:t>
            </w:r>
          </w:p>
        </w:tc>
      </w:tr>
      <w:tr>
        <w:trPr>
          <w:trHeight w:val="183"/>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4"/>
              </w:rPr>
              <w:t>Unrealized losses..........................................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367"/>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4"/>
              </w:rPr>
              <w:t>Fair value.................................................</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701"/>
              <w:spacing w:after="0"/>
              <w:rPr>
                <w:sz w:val="20"/>
                <w:szCs w:val="20"/>
                <w:color w:val="auto"/>
              </w:rPr>
            </w:pPr>
            <w:r>
              <w:rPr>
                <w:rFonts w:ascii="Courier New" w:cs="Courier New" w:eastAsia="Courier New" w:hAnsi="Courier New"/>
                <w:sz w:val="16"/>
                <w:szCs w:val="16"/>
                <w:color w:val="auto"/>
                <w:w w:val="90"/>
              </w:rPr>
              <w:t>$70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550"/>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 (Loss), Net</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rPr>
              <w:t>Investment  income  (loss),  net  for  the  interim  periods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7"/>
              </w:rPr>
              <w:t>includes  the</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following (in millions):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c>
          <w:tcPr>
            <w:tcW w:w="2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June 30,</w:t>
            </w:r>
          </w:p>
        </w:tc>
        <w:tc>
          <w:tcPr>
            <w:tcW w:w="220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2003</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w w:val="98"/>
              </w:rPr>
              <w:t>Interest, dividend and other investment income (expense)......</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3"/>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w w:val="98"/>
              </w:rPr>
              <w:t>(Losses) gains on sales and exchanges of investments, net.....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3"/>
        </w:trPr>
        <w:tc>
          <w:tcPr>
            <w:tcW w:w="4960" w:type="dxa"/>
            <w:vAlign w:val="bottom"/>
            <w:gridSpan w:val="3"/>
          </w:tcPr>
          <w:p>
            <w:pPr>
              <w:spacing w:after="0"/>
              <w:rPr>
                <w:sz w:val="20"/>
                <w:szCs w:val="20"/>
                <w:color w:val="auto"/>
              </w:rPr>
            </w:pPr>
            <w:r>
              <w:rPr>
                <w:rFonts w:ascii="Courier New" w:cs="Courier New" w:eastAsia="Courier New" w:hAnsi="Courier New"/>
                <w:sz w:val="16"/>
                <w:szCs w:val="16"/>
                <w:color w:val="auto"/>
                <w:w w:val="82"/>
              </w:rPr>
              <w:t>Investment impairment losses..................................</w:t>
            </w:r>
          </w:p>
        </w:tc>
        <w:tc>
          <w:tcPr>
            <w:tcW w:w="94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3"/>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w w:val="98"/>
              </w:rPr>
              <w:t>Mark to market adjustments on trading securities..............</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w:t>
            </w:r>
          </w:p>
        </w:tc>
      </w:tr>
      <w:tr>
        <w:trPr>
          <w:trHeight w:val="183"/>
        </w:trPr>
        <w:tc>
          <w:tcPr>
            <w:tcW w:w="4960" w:type="dxa"/>
            <w:vAlign w:val="bottom"/>
            <w:gridSpan w:val="3"/>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9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81"/>
              </w:rPr>
              <w:t>to trading securities....................................</w:t>
            </w:r>
          </w:p>
        </w:tc>
        <w:tc>
          <w:tcPr>
            <w:tcW w:w="94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3"/>
        </w:trPr>
        <w:tc>
          <w:tcPr>
            <w:tcW w:w="5900" w:type="dxa"/>
            <w:vAlign w:val="bottom"/>
            <w:gridSpan w:val="4"/>
          </w:tcPr>
          <w:p>
            <w:pPr>
              <w:spacing w:after="0"/>
              <w:rPr>
                <w:sz w:val="20"/>
                <w:szCs w:val="20"/>
                <w:color w:val="auto"/>
              </w:rPr>
            </w:pPr>
            <w:r>
              <w:rPr>
                <w:rFonts w:ascii="Courier New" w:cs="Courier New" w:eastAsia="Courier New" w:hAnsi="Courier New"/>
                <w:sz w:val="16"/>
                <w:szCs w:val="16"/>
                <w:color w:val="auto"/>
                <w:w w:val="98"/>
              </w:rPr>
              <w:t>Mark to market adjustments on derivatives and hedged items....</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60" w:type="dxa"/>
            <w:vAlign w:val="bottom"/>
            <w:gridSpan w:val="3"/>
          </w:tcPr>
          <w:p>
            <w:pPr>
              <w:spacing w:after="0"/>
              <w:rPr>
                <w:sz w:val="20"/>
                <w:szCs w:val="20"/>
                <w:color w:val="auto"/>
              </w:rPr>
            </w:pPr>
            <w:r>
              <w:rPr>
                <w:rFonts w:ascii="Courier New" w:cs="Courier New" w:eastAsia="Courier New" w:hAnsi="Courier New"/>
                <w:sz w:val="16"/>
                <w:szCs w:val="16"/>
                <w:color w:val="auto"/>
                <w:w w:val="82"/>
              </w:rPr>
              <w:t>Investment income (loss), net.................................</w:t>
            </w:r>
          </w:p>
        </w:tc>
        <w:tc>
          <w:tcPr>
            <w:tcW w:w="940" w:type="dxa"/>
            <w:vAlign w:val="bottom"/>
          </w:tcPr>
          <w:p>
            <w:pPr>
              <w:spacing w:after="0"/>
              <w:rPr>
                <w:sz w:val="24"/>
                <w:szCs w:val="24"/>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hanging="482"/>
        <w:spacing w:after="0"/>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Cross-Guarantee Structure</w:t>
      </w:r>
    </w:p>
    <w:p>
      <w:pPr>
        <w:spacing w:after="0" w:line="5"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simplify Comcast's capital structure, Comcast and certain of its cable holding company subsidiaries, including our wholly owned subsidiary Comcast Cable Communications, LLC ("Comcast Cable"), have unconditionally guaranteed each other's debt securities and indebtedness for borrowed money. As of June 30, 2004, $20.675 billion of Comcast's debt securities were entitled to the benefits of the cross-guarantee structure, including $6.317 billion of Comcast Cable's debt securities.</w:t>
      </w:r>
    </w:p>
    <w:p>
      <w:pPr>
        <w:spacing w:after="0" w:line="187" w:lineRule="exact"/>
        <w:rPr>
          <w:rFonts w:ascii="Courier New" w:cs="Courier New" w:eastAsia="Courier New" w:hAnsi="Courier New"/>
          <w:sz w:val="16"/>
          <w:szCs w:val="16"/>
          <w:color w:val="auto"/>
        </w:rPr>
      </w:pPr>
    </w:p>
    <w:p>
      <w:pPr>
        <w:jc w:val="both"/>
        <w:ind w:left="482" w:right="3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 is not a guarantor, and none of its debt is guaranteed. As of June 30, 2004, $981 million of debt was outstanding at Comcast Holdings Corporation.</w:t>
      </w:r>
    </w:p>
    <w:p>
      <w:pPr>
        <w:spacing w:after="0" w:line="187"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Repayments of Senior Notes</w:t>
      </w:r>
    </w:p>
    <w:p>
      <w:pPr>
        <w:spacing w:after="0" w:line="4" w:lineRule="exact"/>
        <w:rPr>
          <w:rFonts w:ascii="Courier New" w:cs="Courier New" w:eastAsia="Courier New" w:hAnsi="Courier New"/>
          <w:sz w:val="16"/>
          <w:szCs w:val="16"/>
          <w:color w:val="auto"/>
        </w:rPr>
      </w:pPr>
    </w:p>
    <w:p>
      <w:pPr>
        <w:jc w:val="both"/>
        <w:ind w:left="482" w:right="3160"/>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31, 2004, we repaid all $250 million principal amount of our 8.875% senior notes due 2007. On May 1, 2004, we repaid all $300 million principal amount of our 8.125% senior notes due 2004. The repayments were both financed with available cash.</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2"/>
          </w:cols>
          <w:pgMar w:left="238" w:top="481" w:right="879" w:bottom="938" w:gutter="0" w:footer="0" w:header="0"/>
        </w:sectPr>
      </w:pPr>
    </w:p>
    <w:bookmarkStart w:id="8" w:name="page9"/>
    <w:bookmarkEnd w:id="8"/>
    <w:p>
      <w:pPr>
        <w:jc w:val="center"/>
        <w:ind w:right="29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At maturity, holders of our 2.0% Exchangeable Subordinated Debentures due 2029 (the "ZONES") are entitled to receive in cash an amount equal to the higher of the principal amount of the ZONES or the market value of Sprint common stock. Prior to maturity, each ZONES is exchangeable at the holders' option for an amount of cash equal to 95% of the market value of Sprint common stock. As of June 30, 2004, the number of Sprint shares we held exceeded the number of ZONES outstanding.</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We separated the accounting for the ZONES into derivative and debt components. We record the change in the fair value of the derivative component of the ZONES and the change in the carrying value of the debt component of the ZONES as follows (in millions):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ZONES</w:t>
            </w:r>
          </w:p>
        </w:tc>
        <w:tc>
          <w:tcPr>
            <w:tcW w:w="820" w:type="dxa"/>
            <w:vAlign w:val="bottom"/>
          </w:tcPr>
          <w:p>
            <w:pPr>
              <w:spacing w:after="0"/>
              <w:rPr>
                <w:sz w:val="15"/>
                <w:szCs w:val="15"/>
                <w:color w:val="auto"/>
              </w:rPr>
            </w:pPr>
          </w:p>
        </w:tc>
      </w:tr>
      <w:tr>
        <w:trPr>
          <w:trHeight w:val="183"/>
        </w:trPr>
        <w:tc>
          <w:tcPr>
            <w:tcW w:w="62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240" w:type="dxa"/>
            <w:vAlign w:val="bottom"/>
          </w:tcPr>
          <w:p>
            <w:pPr>
              <w:spacing w:after="0"/>
              <w:rPr>
                <w:sz w:val="15"/>
                <w:szCs w:val="15"/>
                <w:color w:val="auto"/>
              </w:rPr>
            </w:pPr>
          </w:p>
        </w:tc>
        <w:tc>
          <w:tcPr>
            <w:tcW w:w="2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6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5"/>
                <w:szCs w:val="15"/>
                <w:color w:val="auto"/>
              </w:rPr>
            </w:pPr>
          </w:p>
        </w:tc>
      </w:tr>
      <w:tr>
        <w:trPr>
          <w:trHeight w:val="183"/>
        </w:trPr>
        <w:tc>
          <w:tcPr>
            <w:tcW w:w="6240" w:type="dxa"/>
            <w:vAlign w:val="bottom"/>
          </w:tcPr>
          <w:p>
            <w:pPr>
              <w:spacing w:after="0"/>
              <w:rPr>
                <w:sz w:val="15"/>
                <w:szCs w:val="15"/>
                <w:color w:val="auto"/>
              </w:rPr>
            </w:pP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2004</w:t>
            </w:r>
          </w:p>
        </w:tc>
        <w:tc>
          <w:tcPr>
            <w:tcW w:w="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62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6240" w:type="dxa"/>
            <w:vAlign w:val="bottom"/>
          </w:tcPr>
          <w:p>
            <w:pPr>
              <w:ind w:left="660"/>
              <w:spacing w:after="0"/>
              <w:rPr>
                <w:sz w:val="20"/>
                <w:szCs w:val="20"/>
                <w:color w:val="auto"/>
              </w:rPr>
            </w:pPr>
            <w:r>
              <w:rPr>
                <w:rFonts w:ascii="Courier New" w:cs="Courier New" w:eastAsia="Courier New" w:hAnsi="Courier New"/>
                <w:sz w:val="16"/>
                <w:szCs w:val="16"/>
                <w:color w:val="auto"/>
              </w:rPr>
              <w:t>Balance at Beginning of Period:</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Debt component.......................................</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$515</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$491</w:t>
            </w: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Derivative component.................................</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268</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w:t>
            </w:r>
          </w:p>
        </w:tc>
      </w:tr>
      <w:tr>
        <w:trPr>
          <w:trHeight w:val="183"/>
        </w:trPr>
        <w:tc>
          <w:tcPr>
            <w:tcW w:w="62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783</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699</w:t>
            </w:r>
          </w:p>
        </w:tc>
      </w:tr>
      <w:tr>
        <w:trPr>
          <w:trHeight w:val="367"/>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Change in debt component to interest expense.............</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3"/>
        </w:trPr>
        <w:tc>
          <w:tcPr>
            <w:tcW w:w="6240" w:type="dxa"/>
            <w:vAlign w:val="bottom"/>
          </w:tcPr>
          <w:p>
            <w:pPr>
              <w:ind w:left="660"/>
              <w:spacing w:after="0"/>
              <w:rPr>
                <w:sz w:val="20"/>
                <w:szCs w:val="20"/>
                <w:color w:val="auto"/>
              </w:rPr>
            </w:pPr>
            <w:r>
              <w:rPr>
                <w:rFonts w:ascii="Courier New" w:cs="Courier New" w:eastAsia="Courier New" w:hAnsi="Courier New"/>
                <w:sz w:val="16"/>
                <w:szCs w:val="16"/>
                <w:color w:val="auto"/>
              </w:rPr>
              <w:t>Change in derivative component to investment income</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(loss), net..........................................</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w:t>
            </w:r>
          </w:p>
        </w:tc>
      </w:tr>
      <w:tr>
        <w:trPr>
          <w:trHeight w:val="367"/>
        </w:trPr>
        <w:tc>
          <w:tcPr>
            <w:tcW w:w="6240" w:type="dxa"/>
            <w:vAlign w:val="bottom"/>
          </w:tcPr>
          <w:p>
            <w:pPr>
              <w:ind w:left="660"/>
              <w:spacing w:after="0"/>
              <w:rPr>
                <w:sz w:val="20"/>
                <w:szCs w:val="20"/>
                <w:color w:val="auto"/>
              </w:rPr>
            </w:pPr>
            <w:r>
              <w:rPr>
                <w:rFonts w:ascii="Courier New" w:cs="Courier New" w:eastAsia="Courier New" w:hAnsi="Courier New"/>
                <w:sz w:val="16"/>
                <w:szCs w:val="16"/>
                <w:color w:val="auto"/>
              </w:rPr>
              <w:t>Balance at End of Period:</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Debt component.......................................</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528</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503</w:t>
            </w:r>
          </w:p>
        </w:tc>
      </w:tr>
      <w:tr>
        <w:trPr>
          <w:trHeight w:val="183"/>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Derivative component.................................</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212</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273</w:t>
            </w:r>
          </w:p>
        </w:tc>
      </w:tr>
      <w:tr>
        <w:trPr>
          <w:trHeight w:val="183"/>
        </w:trPr>
        <w:tc>
          <w:tcPr>
            <w:tcW w:w="62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6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$740</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$776</w:t>
            </w:r>
          </w:p>
        </w:tc>
      </w:tr>
      <w:tr>
        <w:trPr>
          <w:trHeight w:val="183"/>
        </w:trPr>
        <w:tc>
          <w:tcPr>
            <w:tcW w:w="62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734"/>
        </w:trPr>
        <w:tc>
          <w:tcPr>
            <w:tcW w:w="6240" w:type="dxa"/>
            <w:vAlign w:val="bottom"/>
          </w:tcPr>
          <w:p>
            <w:pPr>
              <w:spacing w:after="0"/>
              <w:rPr>
                <w:sz w:val="20"/>
                <w:szCs w:val="20"/>
                <w:color w:val="auto"/>
              </w:rPr>
            </w:pPr>
            <w:r>
              <w:rPr>
                <w:rFonts w:ascii="Courier New" w:cs="Courier New" w:eastAsia="Courier New" w:hAnsi="Courier New"/>
                <w:sz w:val="16"/>
                <w:szCs w:val="16"/>
                <w:color w:val="auto"/>
              </w:rPr>
              <w:t>Interest Rates</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Excluding the derivative component of the ZONES whose changes in fair value</w:t>
            </w:r>
          </w:p>
        </w:tc>
        <w:tc>
          <w:tcPr>
            <w:tcW w:w="820" w:type="dxa"/>
            <w:vAlign w:val="bottom"/>
          </w:tcPr>
          <w:p>
            <w:pPr>
              <w:spacing w:after="0"/>
              <w:rPr>
                <w:sz w:val="15"/>
                <w:szCs w:val="15"/>
                <w:color w:val="auto"/>
              </w:rPr>
            </w:pPr>
          </w:p>
        </w:tc>
      </w:tr>
      <w:tr>
        <w:trPr>
          <w:trHeight w:val="183"/>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are recorded to  investment  income  (loss),  net, our  effective</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weighted</w:t>
            </w:r>
          </w:p>
        </w:tc>
        <w:tc>
          <w:tcPr>
            <w:tcW w:w="820" w:type="dxa"/>
            <w:vAlign w:val="bottom"/>
          </w:tcPr>
          <w:p>
            <w:pPr>
              <w:spacing w:after="0"/>
              <w:rPr>
                <w:sz w:val="15"/>
                <w:szCs w:val="15"/>
                <w:color w:val="auto"/>
              </w:rPr>
            </w:pPr>
          </w:p>
        </w:tc>
      </w:tr>
    </w:tbl>
    <w:p>
      <w:pPr>
        <w:spacing w:after="0" w:line="5"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average interest rate was 7.51% and 7.56% as of June 30, 2004 and December 31, 2003,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As of June 30, 2004, we and certain of our subsidiaries had unused lines of credit of $287 million under our respective credit facilities.</w:t>
      </w:r>
    </w:p>
    <w:p>
      <w:pPr>
        <w:spacing w:after="0" w:line="18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As of June 30, 2004, we and certain of our subsidiaries had unused irrevocable standby letters of credit totaling $13 million to cover potential fundings under various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9"/>
          </w:cols>
          <w:pgMar w:left="720" w:top="665" w:right="1440" w:bottom="1440" w:gutter="0" w:footer="0" w:header="0"/>
        </w:sectPr>
      </w:pPr>
    </w:p>
    <w:bookmarkStart w:id="9" w:name="page10"/>
    <w:bookmarkEnd w:id="9"/>
    <w:p>
      <w:pPr>
        <w:jc w:val="center"/>
        <w:ind w:right="30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15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4"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the stock at the date of the grant over the amount an employee must pay to acquire the stock. We record compensation expense for restricted stock awards based on the quoted market price of the stock at the date of the grant and the vesting period. We record compensation expense for stock appreciation rights based on the changes in quoted market prices of the stock or other determinants of fair value.</w:t>
      </w:r>
    </w:p>
    <w:p>
      <w:pPr>
        <w:spacing w:after="0" w:line="190"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illustrates the effect that applying the fair value recognition provisions of SFAS No. 123 to stock-based compensation would have had on net income.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(in millions):</w:t>
      </w:r>
    </w:p>
    <w:p>
      <w:pPr>
        <w:spacing w:after="0" w:line="200" w:lineRule="exact"/>
        <w:rPr>
          <w:sz w:val="20"/>
          <w:szCs w:val="20"/>
          <w:color w:val="auto"/>
        </w:rPr>
      </w:pPr>
    </w:p>
    <w:p>
      <w:pPr>
        <w:spacing w:after="0" w:line="353" w:lineRule="exact"/>
        <w:rPr>
          <w:sz w:val="20"/>
          <w:szCs w:val="20"/>
          <w:color w:val="auto"/>
        </w:rPr>
      </w:pPr>
    </w:p>
    <w:tbl>
      <w:tblPr>
        <w:tblLayout w:type="fixed"/>
        <w:tblInd w:w="1142"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22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Three Months Ended</w:t>
            </w:r>
          </w:p>
        </w:tc>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540" w:type="dxa"/>
            <w:vAlign w:val="bottom"/>
          </w:tcPr>
          <w:p>
            <w:pPr>
              <w:spacing w:after="0"/>
              <w:rPr>
                <w:sz w:val="15"/>
                <w:szCs w:val="15"/>
                <w:color w:val="auto"/>
              </w:rPr>
            </w:pPr>
          </w:p>
        </w:tc>
        <w:tc>
          <w:tcPr>
            <w:tcW w:w="2240" w:type="dxa"/>
            <w:vAlign w:val="bottom"/>
            <w:gridSpan w:val="2"/>
          </w:tcPr>
          <w:p>
            <w:pPr>
              <w:jc w:val="right"/>
              <w:ind w:right="841"/>
              <w:spacing w:after="0"/>
              <w:rPr>
                <w:sz w:val="20"/>
                <w:szCs w:val="20"/>
                <w:color w:val="auto"/>
              </w:rPr>
            </w:pPr>
            <w:r>
              <w:rPr>
                <w:rFonts w:ascii="Courier New" w:cs="Courier New" w:eastAsia="Courier New" w:hAnsi="Courier New"/>
                <w:sz w:val="16"/>
                <w:szCs w:val="16"/>
                <w:color w:val="auto"/>
              </w:rPr>
              <w:t>June 30,</w:t>
            </w:r>
          </w:p>
        </w:tc>
        <w:tc>
          <w:tcPr>
            <w:tcW w:w="18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554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2004</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54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2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 as reported...................................</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$314</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$203</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w:t>
            </w:r>
          </w:p>
        </w:tc>
      </w:tr>
      <w:tr>
        <w:trPr>
          <w:trHeight w:val="367"/>
        </w:trPr>
        <w:tc>
          <w:tcPr>
            <w:tcW w:w="5540" w:type="dxa"/>
            <w:vAlign w:val="bottom"/>
          </w:tcPr>
          <w:p>
            <w:pPr>
              <w:spacing w:after="0"/>
              <w:rPr>
                <w:sz w:val="20"/>
                <w:szCs w:val="20"/>
                <w:color w:val="auto"/>
              </w:rPr>
            </w:pPr>
            <w:r>
              <w:rPr>
                <w:rFonts w:ascii="Courier New" w:cs="Courier New" w:eastAsia="Courier New" w:hAnsi="Courier New"/>
                <w:sz w:val="16"/>
                <w:szCs w:val="16"/>
                <w:color w:val="auto"/>
              </w:rPr>
              <w:t>Add:Total stock-based compensation expense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w w:val="99"/>
              </w:rPr>
              <w:t>included in net income, as reported above........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367"/>
        </w:trPr>
        <w:tc>
          <w:tcPr>
            <w:tcW w:w="5540" w:type="dxa"/>
            <w:vAlign w:val="bottom"/>
          </w:tcPr>
          <w:p>
            <w:pPr>
              <w:spacing w:after="0"/>
              <w:rPr>
                <w:sz w:val="20"/>
                <w:szCs w:val="20"/>
                <w:color w:val="auto"/>
              </w:rPr>
            </w:pPr>
            <w:r>
              <w:rPr>
                <w:rFonts w:ascii="Courier New" w:cs="Courier New" w:eastAsia="Courier New" w:hAnsi="Courier New"/>
                <w:sz w:val="16"/>
                <w:szCs w:val="16"/>
                <w:color w:val="auto"/>
              </w:rPr>
              <w:t>Deduct:  Total stock-based compensation expense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determined under fair value based method</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for all awards relating to continuing</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w w:val="99"/>
              </w:rPr>
              <w:t>operations, net of related tax effects...........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367"/>
        </w:trPr>
        <w:tc>
          <w:tcPr>
            <w:tcW w:w="5540" w:type="dxa"/>
            <w:vAlign w:val="bottom"/>
          </w:tcPr>
          <w:p>
            <w:pPr>
              <w:spacing w:after="0"/>
              <w:rPr>
                <w:sz w:val="20"/>
                <w:szCs w:val="20"/>
                <w:color w:val="auto"/>
              </w:rPr>
            </w:pPr>
            <w:r>
              <w:rPr>
                <w:rFonts w:ascii="Courier New" w:cs="Courier New" w:eastAsia="Courier New" w:hAnsi="Courier New"/>
                <w:sz w:val="16"/>
                <w:szCs w:val="16"/>
                <w:color w:val="auto"/>
              </w:rPr>
              <w:t>Deduct:  Total stock-based compensation expense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determined under fair value based method for</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all awards relating to discontinued operations,</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w w:val="99"/>
              </w:rPr>
              <w:t>net of related tax effects.......................</w:t>
            </w:r>
          </w:p>
        </w:tc>
        <w:tc>
          <w:tcPr>
            <w:tcW w:w="104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w:t>
            </w:r>
          </w:p>
        </w:tc>
        <w:tc>
          <w:tcPr>
            <w:tcW w:w="1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554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2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Pro forma, net income.....................................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$272</w:t>
            </w:r>
          </w:p>
        </w:tc>
      </w:tr>
      <w:tr>
        <w:trPr>
          <w:trHeight w:val="183"/>
        </w:trPr>
        <w:tc>
          <w:tcPr>
            <w:tcW w:w="554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2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both"/>
        <w:ind w:left="482" w:right="3160"/>
        <w:spacing w:after="0"/>
        <w:rPr>
          <w:sz w:val="20"/>
          <w:szCs w:val="20"/>
          <w:color w:val="auto"/>
        </w:rPr>
      </w:pPr>
      <w:r>
        <w:rPr>
          <w:rFonts w:ascii="Courier New" w:cs="Courier New" w:eastAsia="Courier New" w:hAnsi="Courier New"/>
          <w:sz w:val="16"/>
          <w:szCs w:val="16"/>
          <w:color w:val="auto"/>
        </w:rPr>
        <w:t>The pro forma effect on net income for the interim periods by applying SFAS No. 123 may not be indicative of the effect on net income or loss in future years because additional awards in future years are anticipated.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782"/>
          </w:cols>
          <w:pgMar w:left="238" w:top="665" w:right="879" w:bottom="1440" w:gutter="0" w:footer="0" w:header="0"/>
        </w:sectPr>
      </w:pPr>
    </w:p>
    <w:bookmarkStart w:id="10" w:name="page11"/>
    <w:bookmarkEnd w:id="10"/>
    <w:p>
      <w:pPr>
        <w:jc w:val="center"/>
        <w:ind w:right="27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7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75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285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2758"/>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Comprehensive Income</w:t>
      </w:r>
    </w:p>
    <w:p>
      <w:pPr>
        <w:spacing w:after="0" w:line="5" w:lineRule="exact"/>
        <w:rPr>
          <w:sz w:val="20"/>
          <w:szCs w:val="20"/>
          <w:color w:val="auto"/>
        </w:rPr>
      </w:pPr>
    </w:p>
    <w:p>
      <w:pPr>
        <w:ind w:left="482" w:right="2860"/>
        <w:spacing w:after="0" w:line="239" w:lineRule="auto"/>
        <w:rPr>
          <w:sz w:val="20"/>
          <w:szCs w:val="20"/>
          <w:color w:val="auto"/>
        </w:rPr>
      </w:pPr>
      <w:r>
        <w:rPr>
          <w:rFonts w:ascii="Courier New" w:cs="Courier New" w:eastAsia="Courier New" w:hAnsi="Courier New"/>
          <w:sz w:val="16"/>
          <w:szCs w:val="16"/>
          <w:color w:val="auto"/>
        </w:rPr>
        <w:t>Our total comprehensive income for the interim periods was as follows (in millions):</w:t>
      </w:r>
    </w:p>
    <w:p>
      <w:pPr>
        <w:spacing w:after="0" w:line="200" w:lineRule="exact"/>
        <w:rPr>
          <w:sz w:val="20"/>
          <w:szCs w:val="20"/>
          <w:color w:val="auto"/>
        </w:rPr>
      </w:pPr>
    </w:p>
    <w:p>
      <w:pPr>
        <w:spacing w:after="0" w:line="353" w:lineRule="exact"/>
        <w:rPr>
          <w:sz w:val="20"/>
          <w:szCs w:val="20"/>
          <w:color w:val="auto"/>
        </w:rPr>
      </w:pPr>
    </w:p>
    <w:tbl>
      <w:tblPr>
        <w:tblLayout w:type="fixed"/>
        <w:tblInd w:w="662"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Three Months Ended</w:t>
            </w:r>
          </w:p>
        </w:tc>
        <w:tc>
          <w:tcPr>
            <w:tcW w:w="2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160" w:type="dxa"/>
            <w:vAlign w:val="bottom"/>
          </w:tcPr>
          <w:p>
            <w:pPr>
              <w:spacing w:after="0"/>
              <w:rPr>
                <w:sz w:val="15"/>
                <w:szCs w:val="15"/>
                <w:color w:val="auto"/>
              </w:rPr>
            </w:pP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June 30,</w:t>
            </w:r>
          </w:p>
        </w:tc>
        <w:tc>
          <w:tcPr>
            <w:tcW w:w="21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516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rPr>
              <w:t>2004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16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w:t>
            </w:r>
          </w:p>
        </w:tc>
      </w:tr>
      <w:tr>
        <w:trPr>
          <w:trHeight w:val="183"/>
        </w:trPr>
        <w:tc>
          <w:tcPr>
            <w:tcW w:w="5160" w:type="dxa"/>
            <w:vAlign w:val="bottom"/>
          </w:tcPr>
          <w:p>
            <w:pPr>
              <w:spacing w:after="0"/>
              <w:rPr>
                <w:sz w:val="20"/>
                <w:szCs w:val="20"/>
                <w:color w:val="auto"/>
              </w:rPr>
            </w:pPr>
            <w:r>
              <w:rPr>
                <w:rFonts w:ascii="Courier New" w:cs="Courier New" w:eastAsia="Courier New" w:hAnsi="Courier New"/>
                <w:sz w:val="16"/>
                <w:szCs w:val="16"/>
                <w:color w:val="auto"/>
              </w:rPr>
              <w:t>Unrealized losses on marketable securities..........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3"/>
        </w:trPr>
        <w:tc>
          <w:tcPr>
            <w:tcW w:w="516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 (gains)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160" w:type="dxa"/>
            <w:vAlign w:val="bottom"/>
          </w:tcPr>
          <w:p>
            <w:pPr>
              <w:ind w:left="380"/>
              <w:spacing w:after="0"/>
              <w:rPr>
                <w:sz w:val="20"/>
                <w:szCs w:val="20"/>
                <w:color w:val="auto"/>
              </w:rPr>
            </w:pPr>
            <w:r>
              <w:rPr>
                <w:rFonts w:ascii="Courier New" w:cs="Courier New" w:eastAsia="Courier New" w:hAnsi="Courier New"/>
                <w:sz w:val="16"/>
                <w:szCs w:val="16"/>
                <w:color w:val="auto"/>
              </w:rPr>
              <w:t>included in net income..........................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3"/>
        </w:trPr>
        <w:tc>
          <w:tcPr>
            <w:tcW w:w="51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w:t>
            </w:r>
          </w:p>
        </w:tc>
        <w:tc>
          <w:tcPr>
            <w:tcW w:w="11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r>
      <w:tr>
        <w:trPr>
          <w:trHeight w:val="183"/>
        </w:trPr>
        <w:tc>
          <w:tcPr>
            <w:tcW w:w="516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w:t>
            </w:r>
          </w:p>
        </w:tc>
      </w:tr>
      <w:tr>
        <w:trPr>
          <w:trHeight w:val="183"/>
        </w:trPr>
        <w:tc>
          <w:tcPr>
            <w:tcW w:w="516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8" w:lineRule="exact"/>
        <w:rPr>
          <w:rFonts w:ascii="Courier New" w:cs="Courier New" w:eastAsia="Courier New" w:hAnsi="Courier New"/>
          <w:sz w:val="16"/>
          <w:szCs w:val="16"/>
          <w:color w:val="auto"/>
        </w:rPr>
      </w:pPr>
    </w:p>
    <w:p>
      <w:pPr>
        <w:ind w:left="482" w:right="286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made cash payments for interest and income taxes during the interim periods as follows (in millions):</w:t>
      </w:r>
    </w:p>
    <w:p>
      <w:pPr>
        <w:spacing w:after="0" w:line="200" w:lineRule="exact"/>
        <w:rPr>
          <w:sz w:val="20"/>
          <w:szCs w:val="20"/>
          <w:color w:val="auto"/>
        </w:rPr>
      </w:pPr>
    </w:p>
    <w:p>
      <w:pPr>
        <w:spacing w:after="0" w:line="353"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15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Months Ended</w:t>
            </w:r>
          </w:p>
        </w:tc>
        <w:tc>
          <w:tcPr>
            <w:tcW w:w="2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6"/>
              </w:rPr>
              <w:t>June 30,</w:t>
            </w:r>
          </w:p>
        </w:tc>
        <w:tc>
          <w:tcPr>
            <w:tcW w:w="238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5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34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jc w:val="center"/>
              <w:spacing w:after="0"/>
              <w:rPr>
                <w:sz w:val="20"/>
                <w:szCs w:val="20"/>
                <w:color w:val="auto"/>
              </w:rPr>
            </w:pPr>
            <w:r>
              <w:rPr>
                <w:rFonts w:ascii="Courier New" w:cs="Courier New" w:eastAsia="Courier New" w:hAnsi="Courier New"/>
                <w:sz w:val="16"/>
                <w:szCs w:val="16"/>
                <w:color w:val="auto"/>
                <w:w w:val="99"/>
              </w:rPr>
              <w:t>Interest............................................</w:t>
            </w: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$194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$226</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$331</w:t>
            </w:r>
          </w:p>
        </w:tc>
      </w:tr>
      <w:tr>
        <w:trPr>
          <w:trHeight w:val="183"/>
        </w:trPr>
        <w:tc>
          <w:tcPr>
            <w:tcW w:w="5380" w:type="dxa"/>
            <w:vAlign w:val="bottom"/>
          </w:tcPr>
          <w:p>
            <w:pPr>
              <w:jc w:val="center"/>
              <w:spacing w:after="0"/>
              <w:rPr>
                <w:sz w:val="20"/>
                <w:szCs w:val="20"/>
                <w:color w:val="auto"/>
              </w:rPr>
            </w:pPr>
            <w:r>
              <w:rPr>
                <w:rFonts w:ascii="Courier New" w:cs="Courier New" w:eastAsia="Courier New" w:hAnsi="Courier New"/>
                <w:sz w:val="16"/>
                <w:szCs w:val="16"/>
                <w:color w:val="auto"/>
                <w:w w:val="99"/>
              </w:rPr>
              <w:t>Income taxes........................................</w:t>
            </w: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$86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$103</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w:t>
            </w:r>
          </w:p>
        </w:tc>
      </w:tr>
      <w:tr>
        <w:trPr>
          <w:trHeight w:val="550"/>
        </w:trPr>
        <w:tc>
          <w:tcPr>
            <w:tcW w:w="5380" w:type="dxa"/>
            <w:vAlign w:val="bottom"/>
          </w:tcPr>
          <w:p>
            <w:pPr>
              <w:spacing w:after="0"/>
              <w:rPr>
                <w:sz w:val="20"/>
                <w:szCs w:val="20"/>
                <w:color w:val="auto"/>
              </w:rPr>
            </w:pPr>
            <w:r>
              <w:rPr>
                <w:rFonts w:ascii="Courier New" w:cs="Courier New" w:eastAsia="Courier New" w:hAnsi="Courier New"/>
                <w:sz w:val="16"/>
                <w:szCs w:val="16"/>
                <w:color w:val="auto"/>
              </w:rPr>
              <w:t>During the three and six month interim periods in 2004,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Comcast</w:t>
            </w:r>
          </w:p>
        </w:tc>
        <w:tc>
          <w:tcPr>
            <w:tcW w:w="15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received a</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5380" w:type="dxa"/>
            <w:vAlign w:val="bottom"/>
          </w:tcPr>
          <w:p>
            <w:pPr>
              <w:jc w:val="center"/>
              <w:spacing w:after="0"/>
              <w:rPr>
                <w:sz w:val="20"/>
                <w:szCs w:val="20"/>
                <w:color w:val="auto"/>
              </w:rPr>
            </w:pPr>
            <w:r>
              <w:rPr>
                <w:rFonts w:ascii="Courier New" w:cs="Courier New" w:eastAsia="Courier New" w:hAnsi="Courier New"/>
                <w:sz w:val="16"/>
                <w:szCs w:val="16"/>
                <w:color w:val="auto"/>
                <w:w w:val="99"/>
              </w:rPr>
              <w:t>federal income tax refund of approximately $536 million.</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8" w:lineRule="exact"/>
        <w:rPr>
          <w:sz w:val="20"/>
          <w:szCs w:val="20"/>
          <w:color w:val="auto"/>
        </w:rPr>
      </w:pPr>
    </w:p>
    <w:p>
      <w:pPr>
        <w:jc w:val="both"/>
        <w:ind w:left="482" w:right="2860"/>
        <w:spacing w:after="0" w:line="242" w:lineRule="auto"/>
        <w:rPr>
          <w:sz w:val="20"/>
          <w:szCs w:val="20"/>
          <w:color w:val="auto"/>
        </w:rPr>
      </w:pPr>
      <w:r>
        <w:rPr>
          <w:rFonts w:ascii="Courier New" w:cs="Courier New" w:eastAsia="Courier New" w:hAnsi="Courier New"/>
          <w:sz w:val="16"/>
          <w:szCs w:val="16"/>
          <w:color w:val="auto"/>
        </w:rPr>
        <w:t>During the six months ended June 30, 2004, property, plant and equipment allocations were made to another Comcast subsidiary through non-cash intercompany transactions in the amount of $107 million. During the six months ended June 30, 2004, we recorded additional liabilities of approximately $32 million relating to a subsidiary of Comcast, a transaction that is considered a non-cash financing activity. This additional liability resulted in a corresponding increase to due from affiliates, net, in our consolidated balance sheet.</w:t>
      </w:r>
    </w:p>
    <w:p>
      <w:pPr>
        <w:spacing w:after="0" w:line="189" w:lineRule="exact"/>
        <w:rPr>
          <w:sz w:val="20"/>
          <w:szCs w:val="20"/>
          <w:color w:val="auto"/>
        </w:rPr>
      </w:pPr>
    </w:p>
    <w:p>
      <w:pPr>
        <w:jc w:val="both"/>
        <w:ind w:left="482" w:right="2860"/>
        <w:spacing w:after="0" w:line="241" w:lineRule="auto"/>
        <w:rPr>
          <w:sz w:val="20"/>
          <w:szCs w:val="20"/>
          <w:color w:val="auto"/>
        </w:rPr>
      </w:pPr>
      <w:r>
        <w:rPr>
          <w:rFonts w:ascii="Courier New" w:cs="Courier New" w:eastAsia="Courier New" w:hAnsi="Courier New"/>
          <w:sz w:val="16"/>
          <w:szCs w:val="16"/>
          <w:color w:val="auto"/>
        </w:rPr>
        <w:t>During the three months ended June 30, 2004, in connection with the acquisition of TechTV (see Note 3), we issued shares in G4techTV with a value of approximately $70 million, which is considered a non-cash financing and investing activity.</w:t>
      </w:r>
    </w:p>
    <w:p>
      <w:pPr>
        <w:spacing w:after="0" w:line="189" w:lineRule="exact"/>
        <w:rPr>
          <w:sz w:val="20"/>
          <w:szCs w:val="20"/>
          <w:color w:val="auto"/>
        </w:rPr>
      </w:pPr>
    </w:p>
    <w:p>
      <w:pPr>
        <w:ind w:left="482" w:right="7240" w:hanging="482"/>
        <w:spacing w:after="0" w:line="481"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Contingencies</w:t>
      </w:r>
    </w:p>
    <w:p>
      <w:pPr>
        <w:spacing w:after="0" w:line="4"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 Home</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482" w:right="2860"/>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w:t>
      </w:r>
    </w:p>
    <w:p>
      <w:pPr>
        <w:spacing w:after="0" w:line="5" w:lineRule="exact"/>
        <w:rPr>
          <w:rFonts w:ascii="Courier New" w:cs="Courier New" w:eastAsia="Courier New" w:hAnsi="Courier New"/>
          <w:sz w:val="16"/>
          <w:szCs w:val="16"/>
          <w:color w:val="auto"/>
        </w:rPr>
      </w:pPr>
    </w:p>
    <w:p>
      <w:pPr>
        <w:jc w:val="both"/>
        <w:ind w:left="482" w:right="2860" w:hanging="5"/>
        <w:spacing w:after="0" w:line="242" w:lineRule="auto"/>
        <w:tabs>
          <w:tab w:leader="none" w:pos="8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w:t>
      </w:r>
    </w:p>
    <w:p>
      <w:pPr>
        <w:spacing w:after="0" w:line="200" w:lineRule="exact"/>
        <w:rPr>
          <w:sz w:val="20"/>
          <w:szCs w:val="20"/>
          <w:color w:val="auto"/>
        </w:rPr>
      </w:pPr>
    </w:p>
    <w:p>
      <w:pPr>
        <w:spacing w:after="0" w:line="35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482"/>
          </w:cols>
          <w:pgMar w:left="238" w:top="481" w:right="1179" w:bottom="388" w:gutter="0" w:footer="0" w:header="0"/>
        </w:sectPr>
      </w:pPr>
    </w:p>
    <w:bookmarkStart w:id="11" w:name="page12"/>
    <w:bookmarkEnd w:id="11"/>
    <w:p>
      <w:pPr>
        <w:jc w:val="center"/>
        <w:ind w:right="29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9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481" w:right="1440" w:bottom="1440" w:gutter="0" w:footer="0" w:header="0"/>
        </w:sectPr>
      </w:pPr>
    </w:p>
    <w:bookmarkStart w:id="12" w:name="page13"/>
    <w:bookmarkEnd w:id="12"/>
    <w:p>
      <w:pPr>
        <w:jc w:val="center"/>
        <w:ind w:right="257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57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57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267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2578"/>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8" w:lineRule="exact"/>
        <w:rPr>
          <w:rFonts w:ascii="Courier New" w:cs="Courier New" w:eastAsia="Courier New" w:hAnsi="Courier New"/>
          <w:sz w:val="16"/>
          <w:szCs w:val="16"/>
          <w:color w:val="auto"/>
        </w:rPr>
      </w:pPr>
    </w:p>
    <w:p>
      <w:pPr>
        <w:jc w:val="both"/>
        <w:ind w:left="482" w:right="268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reportable segments consist of our Cable and Content businesses. Beginning in the first quarter of 2004, although they do not meet the quantitative disclosure requirements of SFAS No. 131, "Disclosures About Segments of an Enterprise and Related Information," we elected to disclose our content businesses separately as a reportable segment. Our content segment consists of our national networks E! Entertainment, Style Network, The Golf Channel, Outdoor Life Network and G4techTV. As a result of this change, we have presented the comparable 2003 Content segment amounts. In evaluating our segments' profitability, the components of net income (loss) below operating income (loss) before depreciation and amortization are not separately evaluated by our management (amounts in millions).</w:t>
      </w:r>
    </w:p>
    <w:p>
      <w:pPr>
        <w:spacing w:after="0" w:line="37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Corporate</w:t>
            </w: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and</w:t>
            </w: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Cable (1)</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Content</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 (2)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52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2004</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$1,902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$2,148</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(4)...........................</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846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294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552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2003</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$1,716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$159</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$1,932</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(4)...........................</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738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768</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325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372</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413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396</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356</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Six Months Ended June 30, 2004</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$3,721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$375</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$141</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$4,237</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(4)...........................</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1,585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1,636</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725</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962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911</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595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618</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Six Months Ended June 30, 2003</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$3,361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$3,813</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(4)...........................</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1,413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1,450</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722</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789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685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695</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 of June 30, 2004</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$35,755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$2,460</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$2,828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$41,043</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 of December 31, 2003</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$34,952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$2,110</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$3,340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$40,402</w:t>
            </w:r>
          </w:p>
        </w:tc>
      </w:tr>
      <w:tr>
        <w:trPr>
          <w:trHeight w:val="917"/>
        </w:trPr>
        <w:tc>
          <w:tcPr>
            <w:tcW w:w="5240" w:type="dxa"/>
            <w:vAlign w:val="bottom"/>
          </w:tcPr>
          <w:p>
            <w:pPr>
              <w:ind w:left="3720"/>
              <w:spacing w:after="0"/>
              <w:rPr>
                <w:sz w:val="20"/>
                <w:szCs w:val="20"/>
                <w:color w:val="auto"/>
              </w:rPr>
            </w:pPr>
            <w:r>
              <w:rPr>
                <w:rFonts w:ascii="Courier New" w:cs="Courier New" w:eastAsia="Courier New" w:hAnsi="Courier New"/>
                <w:sz w:val="16"/>
                <w:szCs w:val="16"/>
                <w:color w:val="auto"/>
              </w:rPr>
              <w:t>12</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302"/>
          </w:cols>
          <w:pgMar w:left="238" w:top="665" w:right="1359" w:bottom="1440" w:gutter="0" w:footer="0" w:header="0"/>
        </w:sectPr>
      </w:pPr>
    </w:p>
    <w:bookmarkStart w:id="13" w:name="page14"/>
    <w:bookmarkEnd w:id="13"/>
    <w:p>
      <w:pPr>
        <w:jc w:val="center"/>
        <w:ind w:right="30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15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jc w:val="center"/>
        <w:ind w:right="3058"/>
        <w:spacing w:after="0"/>
        <w:rPr>
          <w:sz w:val="20"/>
          <w:szCs w:val="20"/>
          <w:color w:val="auto"/>
        </w:rPr>
      </w:pPr>
      <w:r>
        <w:rPr>
          <w:rFonts w:ascii="Courier New" w:cs="Courier New" w:eastAsia="Courier New" w:hAnsi="Courier New"/>
          <w:sz w:val="16"/>
          <w:szCs w:val="16"/>
          <w:color w:val="auto"/>
        </w:rPr>
        <w:t>(Unaudited)</w:t>
      </w:r>
    </w:p>
    <w:p>
      <w:pPr>
        <w:spacing w:after="0" w:line="3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_______________</w:t>
      </w:r>
    </w:p>
    <w:p>
      <w:pPr>
        <w:spacing w:after="0" w:line="188" w:lineRule="exact"/>
        <w:rPr>
          <w:sz w:val="20"/>
          <w:szCs w:val="20"/>
          <w:color w:val="auto"/>
        </w:rPr>
      </w:pPr>
    </w:p>
    <w:p>
      <w:pPr>
        <w:jc w:val="both"/>
        <w:ind w:left="862" w:right="3160" w:hanging="385"/>
        <w:spacing w:after="0"/>
        <w:tabs>
          <w:tab w:leader="none" w:pos="86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regional programming networks Comcast SportsNet, Comcast SportsNet Mid-Atlantic, Comcast SportsNet Chicago, Cable Sports Southeast and CN8-The Comcast Network are included in our cable segment.</w:t>
      </w:r>
    </w:p>
    <w:p>
      <w:pPr>
        <w:spacing w:after="0" w:line="6" w:lineRule="exact"/>
        <w:rPr>
          <w:rFonts w:ascii="Courier New" w:cs="Courier New" w:eastAsia="Courier New" w:hAnsi="Courier New"/>
          <w:sz w:val="16"/>
          <w:szCs w:val="16"/>
          <w:color w:val="auto"/>
        </w:rPr>
      </w:pPr>
    </w:p>
    <w:p>
      <w:pPr>
        <w:jc w:val="both"/>
        <w:ind w:left="862" w:right="3160" w:hanging="385"/>
        <w:spacing w:after="0" w:line="241" w:lineRule="auto"/>
        <w:tabs>
          <w:tab w:leader="none" w:pos="86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corporate activities, elimination entries and all other businesses not presented in our cable or content segments. Assets included in this caption consist primarily of our investments (see Note 4).</w:t>
      </w:r>
    </w:p>
    <w:p>
      <w:pPr>
        <w:spacing w:after="0" w:line="5" w:lineRule="exact"/>
        <w:rPr>
          <w:rFonts w:ascii="Courier New" w:cs="Courier New" w:eastAsia="Courier New" w:hAnsi="Courier New"/>
          <w:sz w:val="16"/>
          <w:szCs w:val="16"/>
          <w:color w:val="auto"/>
        </w:rPr>
      </w:pPr>
    </w:p>
    <w:p>
      <w:pPr>
        <w:ind w:left="862" w:right="3160" w:hanging="385"/>
        <w:spacing w:after="0" w:line="239" w:lineRule="auto"/>
        <w:tabs>
          <w:tab w:leader="none" w:pos="86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Non-US revenues were not significant in any period. No single customer accounted for a significant amount of our revenue in any period.</w:t>
      </w:r>
    </w:p>
    <w:p>
      <w:pPr>
        <w:spacing w:after="0" w:line="5" w:lineRule="exact"/>
        <w:rPr>
          <w:rFonts w:ascii="Courier New" w:cs="Courier New" w:eastAsia="Courier New" w:hAnsi="Courier New"/>
          <w:sz w:val="16"/>
          <w:szCs w:val="16"/>
          <w:color w:val="auto"/>
        </w:rPr>
      </w:pPr>
    </w:p>
    <w:p>
      <w:pPr>
        <w:jc w:val="both"/>
        <w:ind w:left="862" w:right="3160" w:hanging="385"/>
        <w:spacing w:after="0" w:line="242" w:lineRule="auto"/>
        <w:tabs>
          <w:tab w:leader="none" w:pos="86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94"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8" w:lineRule="exact"/>
        <w:rPr>
          <w:rFonts w:ascii="Courier New" w:cs="Courier New" w:eastAsia="Courier New" w:hAnsi="Courier New"/>
          <w:sz w:val="16"/>
          <w:szCs w:val="16"/>
          <w:color w:val="auto"/>
        </w:rPr>
      </w:pPr>
    </w:p>
    <w:p>
      <w:pPr>
        <w:ind w:left="482" w:right="316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related party transactions for the interim periods presented are as follows (in millions):</w:t>
      </w:r>
    </w:p>
    <w:p>
      <w:pPr>
        <w:spacing w:after="0" w:line="200" w:lineRule="exact"/>
        <w:rPr>
          <w:sz w:val="20"/>
          <w:szCs w:val="20"/>
          <w:color w:val="auto"/>
        </w:rPr>
      </w:pPr>
    </w:p>
    <w:p>
      <w:pPr>
        <w:spacing w:after="0" w:line="353"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2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Three Months Ended</w:t>
            </w:r>
          </w:p>
        </w:tc>
        <w:tc>
          <w:tcPr>
            <w:tcW w:w="2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18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20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June 30,</w:t>
            </w:r>
          </w:p>
        </w:tc>
        <w:tc>
          <w:tcPr>
            <w:tcW w:w="210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8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2004</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8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Content affiliation agreement revenue.........................</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Comcast management</w:t>
            </w:r>
          </w:p>
        </w:tc>
        <w:tc>
          <w:tcPr>
            <w:tcW w:w="4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fees.......................................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Comcast cost sharing charges:</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800" w:type="dxa"/>
            <w:vAlign w:val="bottom"/>
          </w:tcPr>
          <w:p>
            <w:pPr>
              <w:ind w:left="480"/>
              <w:spacing w:after="0"/>
              <w:rPr>
                <w:sz w:val="20"/>
                <w:szCs w:val="20"/>
                <w:color w:val="auto"/>
              </w:rPr>
            </w:pPr>
            <w:r>
              <w:rPr>
                <w:rFonts w:ascii="Courier New" w:cs="Courier New" w:eastAsia="Courier New" w:hAnsi="Courier New"/>
                <w:sz w:val="16"/>
                <w:szCs w:val="16"/>
                <w:color w:val="auto"/>
              </w:rPr>
              <w:t>Cable-related</w:t>
            </w:r>
          </w:p>
        </w:tc>
        <w:tc>
          <w:tcPr>
            <w:tcW w:w="4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costs......................................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r>
      <w:tr>
        <w:trPr>
          <w:trHeight w:val="183"/>
        </w:trPr>
        <w:tc>
          <w:tcPr>
            <w:tcW w:w="6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costs..............................................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97</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w:t>
            </w: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Software licensing</w:t>
            </w:r>
          </w:p>
        </w:tc>
        <w:tc>
          <w:tcPr>
            <w:tcW w:w="4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fees.......................................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Interest income on</w:t>
            </w:r>
          </w:p>
        </w:tc>
        <w:tc>
          <w:tcPr>
            <w:tcW w:w="4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affiliate notes, net.......................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bl>
    <w:p>
      <w:pPr>
        <w:spacing w:after="0" w:line="372" w:lineRule="exact"/>
        <w:rPr>
          <w:sz w:val="20"/>
          <w:szCs w:val="20"/>
          <w:color w:val="auto"/>
        </w:rPr>
      </w:pPr>
    </w:p>
    <w:p>
      <w:pPr>
        <w:jc w:val="both"/>
        <w:ind w:left="482" w:right="3160"/>
        <w:spacing w:after="0" w:line="242" w:lineRule="auto"/>
        <w:rPr>
          <w:sz w:val="20"/>
          <w:szCs w:val="20"/>
          <w:color w:val="auto"/>
        </w:rPr>
      </w:pPr>
      <w:r>
        <w:rPr>
          <w:rFonts w:ascii="Courier New" w:cs="Courier New" w:eastAsia="Courier New" w:hAnsi="Courier New"/>
          <w:sz w:val="16"/>
          <w:szCs w:val="16"/>
          <w:color w:val="auto"/>
        </w:rPr>
        <w:t>Our content businesses generate a portion of their revenues through the sale of subscriber services under affiliation agreements with cable subsidiaries of Comcast. These amounts are included in service revenues in our consolidated statement of operations. Amounts related to similar affiliation agreements between our content businesses and our wholly owned subsidiaries are eliminated in our consolidated financial statements.</w:t>
      </w:r>
    </w:p>
    <w:p>
      <w:pPr>
        <w:spacing w:after="0" w:line="187" w:lineRule="exact"/>
        <w:rPr>
          <w:sz w:val="20"/>
          <w:szCs w:val="20"/>
          <w:color w:val="auto"/>
        </w:rPr>
      </w:pPr>
    </w:p>
    <w:p>
      <w:pPr>
        <w:jc w:val="both"/>
        <w:ind w:left="482" w:right="3160"/>
        <w:spacing w:after="0" w:line="242" w:lineRule="auto"/>
        <w:rPr>
          <w:sz w:val="20"/>
          <w:szCs w:val="20"/>
          <w:color w:val="auto"/>
        </w:rPr>
      </w:pPr>
      <w:r>
        <w:rPr>
          <w:rFonts w:ascii="Courier New" w:cs="Courier New" w:eastAsia="Courier New" w:hAnsi="Courier New"/>
          <w:sz w:val="16"/>
          <w:szCs w:val="16"/>
          <w:color w:val="auto"/>
        </w:rPr>
        <w:t>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are included in selling, general and administrative expenses in our consolidated statement of operations.</w:t>
      </w:r>
    </w:p>
    <w:p>
      <w:pPr>
        <w:spacing w:after="0" w:line="189" w:lineRule="exact"/>
        <w:rPr>
          <w:sz w:val="20"/>
          <w:szCs w:val="20"/>
          <w:color w:val="auto"/>
        </w:rPr>
      </w:pPr>
    </w:p>
    <w:p>
      <w:pPr>
        <w:jc w:val="both"/>
        <w:ind w:left="482" w:right="3160"/>
        <w:spacing w:after="0"/>
        <w:rPr>
          <w:sz w:val="20"/>
          <w:szCs w:val="20"/>
          <w:color w:val="auto"/>
        </w:rPr>
      </w:pPr>
      <w:r>
        <w:rPr>
          <w:rFonts w:ascii="Courier New" w:cs="Courier New" w:eastAsia="Courier New" w:hAnsi="Courier New"/>
          <w:sz w:val="16"/>
          <w:szCs w:val="16"/>
          <w:color w:val="auto"/>
        </w:rPr>
        <w:t>We reimburse Comcast for certain cable-related costs under a cost sharing agreement. These charges are included in selling, general and administrative expenses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782"/>
          </w:cols>
          <w:pgMar w:left="238" w:top="481" w:right="879" w:bottom="205" w:gutter="0" w:footer="0" w:header="0"/>
        </w:sectPr>
      </w:pPr>
    </w:p>
    <w:bookmarkStart w:id="14" w:name="page15"/>
    <w:bookmarkEnd w:id="14"/>
    <w:p>
      <w:pPr>
        <w:jc w:val="center"/>
        <w:ind w:right="3915"/>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3915"/>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3915"/>
        <w:spacing w:after="0"/>
        <w:rPr>
          <w:sz w:val="20"/>
          <w:szCs w:val="20"/>
          <w:color w:val="auto"/>
        </w:rPr>
      </w:pPr>
      <w:r>
        <w:rPr>
          <w:rFonts w:ascii="Courier New" w:cs="Courier New" w:eastAsia="Courier New" w:hAnsi="Courier New"/>
          <w:sz w:val="16"/>
          <w:szCs w:val="16"/>
          <w:color w:val="auto"/>
        </w:rPr>
        <w:t>QUARTER ENDED JUNE 30, 2004</w:t>
      </w:r>
    </w:p>
    <w:p>
      <w:pPr>
        <w:spacing w:after="0" w:line="2"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2" w:lineRule="exact"/>
        <w:rPr>
          <w:sz w:val="20"/>
          <w:szCs w:val="20"/>
          <w:color w:val="auto"/>
        </w:rPr>
      </w:pPr>
    </w:p>
    <w:p>
      <w:pPr>
        <w:jc w:val="center"/>
        <w:ind w:right="3915"/>
        <w:spacing w:after="0"/>
        <w:rPr>
          <w:sz w:val="20"/>
          <w:szCs w:val="20"/>
          <w:color w:val="auto"/>
        </w:rPr>
      </w:pPr>
      <w:r>
        <w:rPr>
          <w:rFonts w:ascii="Courier New" w:cs="Courier New" w:eastAsia="Courier New" w:hAnsi="Courier New"/>
          <w:sz w:val="16"/>
          <w:szCs w:val="16"/>
          <w:color w:val="auto"/>
        </w:rPr>
        <w:t>(Unaudited)</w:t>
      </w:r>
    </w:p>
    <w:p>
      <w:pPr>
        <w:spacing w:after="0" w:line="372" w:lineRule="exact"/>
        <w:rPr>
          <w:sz w:val="20"/>
          <w:szCs w:val="20"/>
          <w:color w:val="auto"/>
        </w:rPr>
      </w:pPr>
    </w:p>
    <w:p>
      <w:pPr>
        <w:jc w:val="both"/>
        <w:ind w:left="5" w:right="3540"/>
        <w:spacing w:after="0" w:line="241" w:lineRule="auto"/>
        <w:rPr>
          <w:sz w:val="20"/>
          <w:szCs w:val="20"/>
          <w:color w:val="auto"/>
        </w:rPr>
      </w:pPr>
      <w:r>
        <w:rPr>
          <w:rFonts w:ascii="Courier New" w:cs="Courier New" w:eastAsia="Courier New" w:hAnsi="Courier New"/>
          <w:sz w:val="16"/>
          <w:szCs w:val="16"/>
          <w:color w:val="auto"/>
        </w:rPr>
        <w:t>We purchase certain other services from Comcast under cost sharing arrangements on terms that reflect Comcast's actual cost. These charges are included in selling, general and administrative expenses in our consolidated statement of operations.</w:t>
      </w:r>
    </w:p>
    <w:p>
      <w:pPr>
        <w:spacing w:after="0" w:line="189" w:lineRule="exact"/>
        <w:rPr>
          <w:sz w:val="20"/>
          <w:szCs w:val="20"/>
          <w:color w:val="auto"/>
        </w:rPr>
      </w:pPr>
    </w:p>
    <w:p>
      <w:pPr>
        <w:jc w:val="both"/>
        <w:ind w:left="5" w:right="3540"/>
        <w:spacing w:after="0" w:line="259" w:lineRule="auto"/>
        <w:rPr>
          <w:sz w:val="20"/>
          <w:szCs w:val="20"/>
          <w:color w:val="auto"/>
        </w:rPr>
      </w:pPr>
      <w:r>
        <w:rPr>
          <w:rFonts w:ascii="Courier New" w:cs="Courier New" w:eastAsia="Courier New" w:hAnsi="Courier New"/>
          <w:sz w:val="15"/>
          <w:szCs w:val="15"/>
          <w:color w:val="auto"/>
        </w:rPr>
        <w:t>Comcast has purchased long-term, non-exclusive patent and software licenses to use on Comcast's and our interactive program guides. Comcast charges us</w:t>
      </w:r>
    </w:p>
    <w:p>
      <w:pPr>
        <w:jc w:val="both"/>
        <w:ind w:left="5" w:right="3540" w:hanging="5"/>
        <w:spacing w:after="0"/>
        <w:tabs>
          <w:tab w:leader="none" w:pos="29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licensing fee for use of this software. This charge is included in selling, general and administrative expenses in our consolidated statement of operations.</w:t>
      </w:r>
    </w:p>
    <w:p>
      <w:pPr>
        <w:spacing w:after="0" w:line="190" w:lineRule="exact"/>
        <w:rPr>
          <w:sz w:val="20"/>
          <w:szCs w:val="20"/>
          <w:color w:val="auto"/>
        </w:rPr>
      </w:pPr>
    </w:p>
    <w:p>
      <w:pPr>
        <w:jc w:val="both"/>
        <w:ind w:left="5" w:right="3540"/>
        <w:spacing w:after="0" w:line="242" w:lineRule="auto"/>
        <w:rPr>
          <w:sz w:val="20"/>
          <w:szCs w:val="20"/>
          <w:color w:val="auto"/>
        </w:rPr>
      </w:pPr>
      <w:r>
        <w:rPr>
          <w:rFonts w:ascii="Courier New" w:cs="Courier New" w:eastAsia="Courier New" w:hAnsi="Courier New"/>
          <w:sz w:val="16"/>
          <w:szCs w:val="16"/>
          <w:color w:val="auto"/>
        </w:rPr>
        <w:t>Comcast Financial Agency Corporation ("CFAC"), an indirect wholly owned subsidiary of ours, provides cash management services to Comcast and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during the 2004 or 2003 interim periods.</w:t>
      </w:r>
    </w:p>
    <w:p>
      <w:pPr>
        <w:spacing w:after="0" w:line="188" w:lineRule="exact"/>
        <w:rPr>
          <w:sz w:val="20"/>
          <w:szCs w:val="20"/>
          <w:color w:val="auto"/>
        </w:rPr>
      </w:pPr>
    </w:p>
    <w:p>
      <w:pPr>
        <w:jc w:val="both"/>
        <w:ind w:left="5" w:right="3540"/>
        <w:spacing w:after="0" w:line="262" w:lineRule="auto"/>
        <w:rPr>
          <w:sz w:val="20"/>
          <w:szCs w:val="20"/>
          <w:color w:val="auto"/>
        </w:rPr>
      </w:pPr>
      <w:r>
        <w:rPr>
          <w:rFonts w:ascii="Courier New" w:cs="Courier New" w:eastAsia="Courier New" w:hAnsi="Courier New"/>
          <w:sz w:val="15"/>
          <w:szCs w:val="15"/>
          <w:color w:val="auto"/>
        </w:rPr>
        <w:t>With the exception of cash payments related to interest and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73" w:lineRule="exact"/>
        <w:rPr>
          <w:sz w:val="20"/>
          <w:szCs w:val="20"/>
          <w:color w:val="auto"/>
        </w:rPr>
      </w:pPr>
    </w:p>
    <w:p>
      <w:pPr>
        <w:jc w:val="both"/>
        <w:ind w:left="5" w:right="3540"/>
        <w:spacing w:after="0" w:line="242" w:lineRule="auto"/>
        <w:rPr>
          <w:sz w:val="20"/>
          <w:szCs w:val="20"/>
          <w:color w:val="auto"/>
        </w:rPr>
      </w:pPr>
      <w:r>
        <w:rPr>
          <w:rFonts w:ascii="Courier New" w:cs="Courier New" w:eastAsia="Courier New" w:hAnsi="Courier New"/>
          <w:sz w:val="16"/>
          <w:szCs w:val="16"/>
          <w:color w:val="auto"/>
        </w:rPr>
        <w:t>As of June 30, 2004 and December 31, 2003, due from affiliates in our consolidated balance sheet primarily consists of amounts due from Comcast and from certain cable subsidiaries of Comcast for advances we made for working capital and capital expenditures in the ordinary course of business. Also, included within accrued expenses and other current liabilities as of June 30, 2004 and December 31, 2003 is approximately $560 million and $528 million, respectively, related to other Comcast subsidiaries.</w:t>
      </w:r>
    </w:p>
    <w:p>
      <w:pPr>
        <w:spacing w:after="0" w:line="189" w:lineRule="exact"/>
        <w:rPr>
          <w:sz w:val="20"/>
          <w:szCs w:val="20"/>
          <w:color w:val="auto"/>
        </w:rPr>
      </w:pPr>
    </w:p>
    <w:p>
      <w:pPr>
        <w:jc w:val="both"/>
        <w:ind w:left="5" w:right="3540"/>
        <w:spacing w:after="0" w:line="242" w:lineRule="auto"/>
        <w:rPr>
          <w:sz w:val="20"/>
          <w:szCs w:val="20"/>
          <w:color w:val="auto"/>
        </w:rPr>
      </w:pPr>
      <w:r>
        <w:rPr>
          <w:rFonts w:ascii="Courier New" w:cs="Courier New" w:eastAsia="Courier New" w:hAnsi="Courier New"/>
          <w:sz w:val="16"/>
          <w:szCs w:val="16"/>
          <w:color w:val="auto"/>
        </w:rPr>
        <w:t>QVC, a discontinued operation, has an affiliation agreement with certain cable subsidiaries of Comcast to carry QVC's programming. In return for carrying QVC programming, QVC pays these Comcast subsidiaries an allocated portion, based upon market share, of a percentage of net sales of merchandise sold to QVC customers located in their service areas. These amounts are not significant and are included in income from discontinued operations in our consolidated statement of operations. Amounts related to a similar affiliation agreement between QVC and our wholly owned subsidiaries are not significant and are included in service revenues and income from discontinued operations in our consolidated statement of operations.</w:t>
      </w:r>
    </w:p>
    <w:p>
      <w:pPr>
        <w:spacing w:after="0" w:line="191" w:lineRule="exact"/>
        <w:rPr>
          <w:sz w:val="20"/>
          <w:szCs w:val="20"/>
          <w:color w:val="auto"/>
        </w:rPr>
      </w:pPr>
    </w:p>
    <w:p>
      <w:pPr>
        <w:jc w:val="both"/>
        <w:ind w:left="5" w:right="3540"/>
        <w:spacing w:after="0" w:line="242" w:lineRule="auto"/>
        <w:rPr>
          <w:sz w:val="20"/>
          <w:szCs w:val="20"/>
          <w:color w:val="auto"/>
        </w:rPr>
      </w:pPr>
      <w:r>
        <w:rPr>
          <w:rFonts w:ascii="Courier New" w:cs="Courier New" w:eastAsia="Courier New" w:hAnsi="Courier New"/>
          <w:sz w:val="16"/>
          <w:szCs w:val="16"/>
          <w:color w:val="auto"/>
        </w:rPr>
        <w:t>As of June 30, 2004 and December 31, 2003, notes receivable from affiliates and notes payable to affiliates consist of notes receivable from and notes payable to Comcast and certain cable subsidiaries of Comcast. Our notes receivable and notes payable, whose interest receivable and payable are included in our condensed consolidated balance sheet, have the following characteristics (amounts in millions):</w:t>
      </w:r>
    </w:p>
    <w:p>
      <w:pPr>
        <w:spacing w:after="0" w:line="200" w:lineRule="exact"/>
        <w:rPr>
          <w:sz w:val="20"/>
          <w:szCs w:val="20"/>
          <w:color w:val="auto"/>
        </w:rPr>
      </w:pPr>
    </w:p>
    <w:p>
      <w:pPr>
        <w:spacing w:after="0" w:line="35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2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June 30, 2004</w:t>
            </w:r>
          </w:p>
        </w:tc>
        <w:tc>
          <w:tcPr>
            <w:tcW w:w="960" w:type="dxa"/>
            <w:vAlign w:val="bottom"/>
          </w:tcPr>
          <w:p>
            <w:pPr>
              <w:spacing w:after="0"/>
              <w:rPr>
                <w:sz w:val="15"/>
                <w:szCs w:val="15"/>
                <w:color w:val="auto"/>
              </w:rPr>
            </w:pPr>
          </w:p>
        </w:tc>
        <w:tc>
          <w:tcPr>
            <w:tcW w:w="386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December 31, 2003</w:t>
            </w:r>
          </w:p>
        </w:tc>
      </w:tr>
      <w:tr>
        <w:trPr>
          <w:trHeight w:val="183"/>
        </w:trPr>
        <w:tc>
          <w:tcPr>
            <w:tcW w:w="3000" w:type="dxa"/>
            <w:vAlign w:val="bottom"/>
          </w:tcPr>
          <w:p>
            <w:pPr>
              <w:spacing w:after="0"/>
              <w:rPr>
                <w:sz w:val="15"/>
                <w:szCs w:val="15"/>
                <w:color w:val="auto"/>
              </w:rPr>
            </w:pPr>
          </w:p>
        </w:tc>
        <w:tc>
          <w:tcPr>
            <w:tcW w:w="76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3000" w:type="dxa"/>
            <w:vAlign w:val="bottom"/>
          </w:tcPr>
          <w:p>
            <w:pPr>
              <w:spacing w:after="0"/>
              <w:rPr>
                <w:sz w:val="15"/>
                <w:szCs w:val="15"/>
                <w:color w:val="auto"/>
              </w:rPr>
            </w:pPr>
          </w:p>
        </w:tc>
        <w:tc>
          <w:tcPr>
            <w:tcW w:w="210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Notes Receivable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Payable</w:t>
            </w:r>
          </w:p>
        </w:tc>
        <w:tc>
          <w:tcPr>
            <w:tcW w:w="2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Notes Receivable</w:t>
            </w:r>
          </w:p>
        </w:tc>
        <w:tc>
          <w:tcPr>
            <w:tcW w:w="1860" w:type="dxa"/>
            <w:vAlign w:val="bottom"/>
          </w:tcPr>
          <w:p>
            <w:pPr>
              <w:ind w:left="340"/>
              <w:spacing w:after="0"/>
              <w:rPr>
                <w:sz w:val="20"/>
                <w:szCs w:val="20"/>
                <w:color w:val="auto"/>
              </w:rPr>
            </w:pPr>
            <w:r>
              <w:rPr>
                <w:rFonts w:ascii="Courier New" w:cs="Courier New" w:eastAsia="Courier New" w:hAnsi="Courier New"/>
                <w:sz w:val="16"/>
                <w:szCs w:val="16"/>
                <w:color w:val="auto"/>
              </w:rPr>
              <w:t>Notes Payable</w:t>
            </w:r>
          </w:p>
        </w:tc>
      </w:tr>
      <w:tr>
        <w:trPr>
          <w:trHeight w:val="183"/>
        </w:trPr>
        <w:tc>
          <w:tcPr>
            <w:tcW w:w="3000" w:type="dxa"/>
            <w:vAlign w:val="bottom"/>
          </w:tcPr>
          <w:p>
            <w:pPr>
              <w:spacing w:after="0"/>
              <w:rPr>
                <w:sz w:val="15"/>
                <w:szCs w:val="15"/>
                <w:color w:val="auto"/>
              </w:rPr>
            </w:pPr>
          </w:p>
        </w:tc>
        <w:tc>
          <w:tcPr>
            <w:tcW w:w="2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72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000" w:type="dxa"/>
            <w:vAlign w:val="bottom"/>
          </w:tcPr>
          <w:p>
            <w:pPr>
              <w:spacing w:after="0"/>
              <w:rPr>
                <w:sz w:val="20"/>
                <w:szCs w:val="20"/>
                <w:color w:val="auto"/>
              </w:rPr>
            </w:pPr>
            <w:r>
              <w:rPr>
                <w:rFonts w:ascii="Courier New" w:cs="Courier New" w:eastAsia="Courier New" w:hAnsi="Courier New"/>
                <w:sz w:val="16"/>
                <w:szCs w:val="16"/>
                <w:color w:val="auto"/>
              </w:rPr>
              <w:t>Principal balance</w:t>
            </w:r>
          </w:p>
        </w:tc>
        <w:tc>
          <w:tcPr>
            <w:tcW w:w="2100" w:type="dxa"/>
            <w:vAlign w:val="bottom"/>
          </w:tcPr>
          <w:p>
            <w:pPr>
              <w:jc w:val="center"/>
              <w:ind w:left="201"/>
              <w:spacing w:after="0"/>
              <w:rPr>
                <w:sz w:val="20"/>
                <w:szCs w:val="20"/>
                <w:color w:val="auto"/>
              </w:rPr>
            </w:pPr>
            <w:r>
              <w:rPr>
                <w:rFonts w:ascii="Courier New" w:cs="Courier New" w:eastAsia="Courier New" w:hAnsi="Courier New"/>
                <w:sz w:val="16"/>
                <w:szCs w:val="16"/>
                <w:color w:val="auto"/>
              </w:rPr>
              <w:t>$4,107</w:t>
            </w:r>
          </w:p>
        </w:tc>
        <w:tc>
          <w:tcPr>
            <w:tcW w:w="17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$629</w:t>
            </w:r>
          </w:p>
        </w:tc>
        <w:tc>
          <w:tcPr>
            <w:tcW w:w="2000" w:type="dxa"/>
            <w:vAlign w:val="bottom"/>
          </w:tcPr>
          <w:p>
            <w:pPr>
              <w:jc w:val="center"/>
              <w:spacing w:after="0"/>
              <w:rPr>
                <w:sz w:val="20"/>
                <w:szCs w:val="20"/>
                <w:color w:val="auto"/>
              </w:rPr>
            </w:pPr>
            <w:r>
              <w:rPr>
                <w:rFonts w:ascii="Courier New" w:cs="Courier New" w:eastAsia="Courier New" w:hAnsi="Courier New"/>
                <w:sz w:val="16"/>
                <w:szCs w:val="16"/>
                <w:color w:val="auto"/>
              </w:rPr>
              <w:t>$3,284</w:t>
            </w: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$58</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Interest receivable (payable)</w:t>
            </w:r>
          </w:p>
        </w:tc>
        <w:tc>
          <w:tcPr>
            <w:tcW w:w="21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$36</w:t>
            </w:r>
          </w:p>
        </w:tc>
        <w:tc>
          <w:tcPr>
            <w:tcW w:w="17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($12)</w:t>
            </w:r>
          </w:p>
        </w:tc>
        <w:tc>
          <w:tcPr>
            <w:tcW w:w="20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$26</w:t>
            </w: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Interest rate range</w:t>
            </w:r>
          </w:p>
        </w:tc>
        <w:tc>
          <w:tcPr>
            <w:tcW w:w="210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5.0% to 7.5%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 7.5%</w:t>
            </w:r>
          </w:p>
        </w:tc>
        <w:tc>
          <w:tcPr>
            <w:tcW w:w="2000" w:type="dxa"/>
            <w:vAlign w:val="bottom"/>
          </w:tcPr>
          <w:p>
            <w:pPr>
              <w:jc w:val="center"/>
              <w:spacing w:after="0"/>
              <w:rPr>
                <w:sz w:val="20"/>
                <w:szCs w:val="20"/>
                <w:color w:val="auto"/>
              </w:rPr>
            </w:pPr>
            <w:r>
              <w:rPr>
                <w:rFonts w:ascii="Courier New" w:cs="Courier New" w:eastAsia="Courier New" w:hAnsi="Courier New"/>
                <w:sz w:val="16"/>
                <w:szCs w:val="16"/>
                <w:color w:val="auto"/>
                <w:w w:val="98"/>
              </w:rPr>
              <w:t>5.0% to 7.5%</w:t>
            </w:r>
          </w:p>
        </w:tc>
        <w:tc>
          <w:tcPr>
            <w:tcW w:w="1860" w:type="dxa"/>
            <w:vAlign w:val="bottom"/>
          </w:tcPr>
          <w:p>
            <w:pPr>
              <w:ind w:left="340"/>
              <w:spacing w:after="0"/>
              <w:rPr>
                <w:sz w:val="20"/>
                <w:szCs w:val="20"/>
                <w:color w:val="auto"/>
              </w:rPr>
            </w:pPr>
            <w:r>
              <w:rPr>
                <w:rFonts w:ascii="Courier New" w:cs="Courier New" w:eastAsia="Courier New" w:hAnsi="Courier New"/>
                <w:sz w:val="16"/>
                <w:szCs w:val="16"/>
                <w:color w:val="auto"/>
              </w:rPr>
              <w:t>5.0% to 7.5%</w:t>
            </w:r>
          </w:p>
        </w:tc>
      </w:tr>
      <w:tr>
        <w:trPr>
          <w:trHeight w:val="183"/>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Maturity date range</w:t>
            </w:r>
          </w:p>
        </w:tc>
        <w:tc>
          <w:tcPr>
            <w:tcW w:w="2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2009-2014</w:t>
            </w:r>
          </w:p>
        </w:tc>
        <w:tc>
          <w:tcPr>
            <w:tcW w:w="17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2012-2014</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2012-2013</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2012-2013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685"/>
          </w:cols>
          <w:pgMar w:left="715" w:top="848" w:right="499" w:bottom="1122" w:gutter="0" w:footer="0" w:header="0"/>
        </w:sectPr>
      </w:pPr>
    </w:p>
    <w:bookmarkStart w:id="15" w:name="page16"/>
    <w:bookmarkEnd w:id="15"/>
    <w:p>
      <w:pPr>
        <w:jc w:val="center"/>
        <w:ind w:right="249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QUARTER ENDED JUNE 30, 2004</w:t>
      </w:r>
    </w:p>
    <w:p>
      <w:pPr>
        <w:spacing w:after="0" w:line="372" w:lineRule="exact"/>
        <w:rPr>
          <w:sz w:val="20"/>
          <w:szCs w:val="20"/>
          <w:color w:val="auto"/>
        </w:rPr>
      </w:pPr>
    </w:p>
    <w:p>
      <w:pPr>
        <w:ind w:left="760" w:right="3459" w:hanging="762"/>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9"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Information for this item is omitted pursuant to SEC General Instruction H to Form 10-Q, except as noted below.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are an indirect wholly owned subsidiary of Comcast Corporation ("Comcast"). We are principally involved in the management and operation of broadband communications networks (our cable segment) and in the management of programming content over cable and satellite television networks (our content segment). During the six months ended June 30, 2004, we received over 87%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91"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We have historically met our cash needs for operations through our cash flows from operating activities. We have generally financed our acquisitions and capital expenditures through issuances of common stock, borrowings of long-term debt, sales of investments and from existing cash, cash equivalents and short-term investments.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Developments</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On July 28, 2004, Comcast and Liberty Media Corporation ("Liberty") completed their previously announced agreement in which Liberty redeemed 120.3 million shares of its Series A common stock we held in exchange for 100% of the stock of a Liberty subsidiary that held Liberty's 10% ownership interest in E! Entertainment Television, Inc., its 100% ownership interest in International Channel Networks, all of Liberty's rights, benefits and obligations under a TCI Music contribution agreement, and approximately $545 million of cash (the "Liberty transaction"). The Liberty transaction also removed all litigation pending between Comcast and Liberty regarding the TCI Music contribution agreement, which Comcast assumed as part of its acquisition of Broadband in November 2002.</w:t>
      </w:r>
    </w:p>
    <w:p>
      <w:pPr>
        <w:spacing w:after="0" w:line="191"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Refer to Note 3 to our financial statements included in Item 1 for a discussion of our acquisition.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Continuing Operations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Consolidated revenues for the three and six month interim periods in 2004 increased $216 million and $424 million, respectively, from the same periods in 2003. Of these increases, $186 million and $360 million relate to our cable segment, which is discussed separately below. The remaining increases are primarily the result of our content segment, which achieved combined revenue growth of 25.3% and 23.4%, respectively, during the three and six month interim periods in 2004 compared to the same periods in 2003. These increases in our content segment were the result of increases in distribution revenue and advertising revenue.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Consolidated operating, selling, general and administrative expenses for the three and six month interim periods in 2004 increased $98 million and $238 million, respectively, from the same periods in 2003. Of these increases, $78 million and $188 million, respectively, relate to our cable segment, which is discussed separately below. The remaining increases for the three month interim period relate primarily to increases in our content divisions' expenses while the remaining increases for the six month interim period relate to increases in both our content divisions' expenses and to corporate expenses.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w:t>
      </w:r>
    </w:p>
    <w:p>
      <w:pPr>
        <w:spacing w:after="0" w:line="188"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Depreciation expense decreased $27 million and increased $2 million, respectively, for the three and six month interim periods in 2004 compared to the same periods in 2003. The changes are primarily attributable to our cable segment and are principally due to the allocations of property, plant and equipment to other Comcast subsidiaries during the 2004 interim periods.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Amortization</w:t>
      </w:r>
    </w:p>
    <w:p>
      <w:pPr>
        <w:spacing w:after="0" w:line="188"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Amortization expense remained consistent for the three and six month interim periods in 2004 compared to the same periods in 2003.</w:t>
      </w:r>
    </w:p>
    <w:p>
      <w:pPr>
        <w:sectPr>
          <w:pgSz w:w="11900" w:h="16838" w:orient="portrait"/>
          <w:cols w:equalWidth="0" w:num="1">
            <w:col w:w="10219"/>
          </w:cols>
          <w:pgMar w:left="240" w:top="848" w:right="1440" w:bottom="0" w:gutter="0" w:footer="0" w:header="0"/>
        </w:sectPr>
      </w:pPr>
    </w:p>
    <w:bookmarkStart w:id="16" w:name="page17"/>
    <w:bookmarkEnd w:id="16"/>
    <w:p>
      <w:pPr>
        <w:ind w:left="25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1242" w:right="1440" w:bottom="1440" w:gutter="0" w:footer="0" w:header="0"/>
        </w:sectPr>
      </w:pPr>
    </w:p>
    <w:bookmarkStart w:id="17" w:name="page18"/>
    <w:bookmarkEnd w:id="17"/>
    <w:p>
      <w:pPr>
        <w:jc w:val="center"/>
        <w:ind w:right="27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7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758"/>
        <w:spacing w:after="0"/>
        <w:rPr>
          <w:sz w:val="20"/>
          <w:szCs w:val="20"/>
          <w:color w:val="auto"/>
        </w:rPr>
      </w:pPr>
      <w:r>
        <w:rPr>
          <w:rFonts w:ascii="Courier New" w:cs="Courier New" w:eastAsia="Courier New" w:hAnsi="Courier New"/>
          <w:sz w:val="16"/>
          <w:szCs w:val="16"/>
          <w:color w:val="auto"/>
        </w:rPr>
        <w:t>QUARTER ENDED JUNE 30, 2004</w:t>
      </w:r>
    </w:p>
    <w:p>
      <w:pPr>
        <w:spacing w:after="0" w:line="369"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_________</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Cable Segment Operating Results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7"/>
        </w:trPr>
        <w:tc>
          <w:tcPr>
            <w:tcW w:w="6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The following table presents our cable segment  operating</w:t>
            </w: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results (dollars</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34"/>
        </w:trPr>
        <w:tc>
          <w:tcPr>
            <w:tcW w:w="6000" w:type="dxa"/>
            <w:vAlign w:val="bottom"/>
          </w:tcPr>
          <w:p>
            <w:pPr>
              <w:spacing w:after="0"/>
              <w:rPr>
                <w:sz w:val="24"/>
                <w:szCs w:val="24"/>
                <w:color w:val="auto"/>
              </w:rPr>
            </w:pPr>
          </w:p>
        </w:tc>
        <w:tc>
          <w:tcPr>
            <w:tcW w:w="23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6000" w:type="dxa"/>
            <w:vAlign w:val="bottom"/>
          </w:tcPr>
          <w:p>
            <w:pPr>
              <w:spacing w:after="0"/>
              <w:rPr>
                <w:sz w:val="15"/>
                <w:szCs w:val="15"/>
                <w:color w:val="auto"/>
              </w:rPr>
            </w:pPr>
          </w:p>
        </w:tc>
        <w:tc>
          <w:tcPr>
            <w:tcW w:w="23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June 30,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w:t>
            </w:r>
          </w:p>
        </w:tc>
        <w:tc>
          <w:tcPr>
            <w:tcW w:w="660" w:type="dxa"/>
            <w:vAlign w:val="bottom"/>
          </w:tcPr>
          <w:p>
            <w:pPr>
              <w:spacing w:after="0"/>
              <w:rPr>
                <w:sz w:val="15"/>
                <w:szCs w:val="15"/>
                <w:color w:val="auto"/>
              </w:rPr>
            </w:pPr>
          </w:p>
        </w:tc>
      </w:tr>
      <w:tr>
        <w:trPr>
          <w:trHeight w:val="183"/>
        </w:trPr>
        <w:tc>
          <w:tcPr>
            <w:tcW w:w="600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Video........................................................</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$1,330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$1,257</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High-speed Internet..........................................</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85</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37.1</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Advertising sales............................................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18.3</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Other........................................................</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Franchise fees...............................................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Revenues..................................................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1,902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1,716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186</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Operating, selling, general and administrative expenses......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Operating income before depreciation and amortization (a)....</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6000" w:type="dxa"/>
            <w:vAlign w:val="bottom"/>
          </w:tcPr>
          <w:p>
            <w:pPr>
              <w:spacing w:after="0"/>
              <w:rPr>
                <w:sz w:val="24"/>
                <w:szCs w:val="24"/>
                <w:color w:val="auto"/>
              </w:rPr>
            </w:pPr>
          </w:p>
        </w:tc>
        <w:tc>
          <w:tcPr>
            <w:tcW w:w="23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Six Months Ended</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6000" w:type="dxa"/>
            <w:vAlign w:val="bottom"/>
          </w:tcPr>
          <w:p>
            <w:pPr>
              <w:spacing w:after="0"/>
              <w:rPr>
                <w:sz w:val="15"/>
                <w:szCs w:val="15"/>
                <w:color w:val="auto"/>
              </w:rPr>
            </w:pPr>
          </w:p>
        </w:tc>
        <w:tc>
          <w:tcPr>
            <w:tcW w:w="23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June 30,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Increase</w:t>
            </w:r>
          </w:p>
        </w:tc>
        <w:tc>
          <w:tcPr>
            <w:tcW w:w="660" w:type="dxa"/>
            <w:vAlign w:val="bottom"/>
          </w:tcPr>
          <w:p>
            <w:pPr>
              <w:spacing w:after="0"/>
              <w:rPr>
                <w:sz w:val="15"/>
                <w:szCs w:val="15"/>
                <w:color w:val="auto"/>
              </w:rPr>
            </w:pPr>
          </w:p>
        </w:tc>
      </w:tr>
      <w:tr>
        <w:trPr>
          <w:trHeight w:val="183"/>
        </w:trPr>
        <w:tc>
          <w:tcPr>
            <w:tcW w:w="600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Video........................................................</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$2,630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$2,486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High-speed Internet..........................................</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433</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38.8</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Advertising sales............................................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Other........................................................</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Franchise fees...............................................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104</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Revenues..................................................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3,361</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360</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Operating, selling, general and administrative expenses......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2,136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60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Operating income before depreciation and amortization (a)....</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$1,585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$1,413</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83"/>
        </w:trPr>
        <w:tc>
          <w:tcPr>
            <w:tcW w:w="60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w:t>
      </w:r>
    </w:p>
    <w:p>
      <w:pPr>
        <w:spacing w:after="0" w:line="5" w:lineRule="exact"/>
        <w:rPr>
          <w:sz w:val="20"/>
          <w:szCs w:val="20"/>
          <w:color w:val="auto"/>
        </w:rPr>
      </w:pPr>
    </w:p>
    <w:p>
      <w:pPr>
        <w:jc w:val="both"/>
        <w:ind w:left="482" w:right="2860" w:hanging="482"/>
        <w:spacing w:after="0" w:line="242" w:lineRule="auto"/>
        <w:tabs>
          <w:tab w:leader="none" w:pos="4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19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82"/>
          </w:cols>
          <w:pgMar w:left="238" w:top="481" w:right="1179" w:bottom="1440" w:gutter="0" w:footer="0" w:header="0"/>
        </w:sectPr>
      </w:pPr>
    </w:p>
    <w:bookmarkStart w:id="18" w:name="page19"/>
    <w:bookmarkEnd w:id="18"/>
    <w:p>
      <w:pPr>
        <w:jc w:val="center"/>
        <w:ind w:right="76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QUARTER ENDED JUNE 30, 2004</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jc w:val="both"/>
        <w:ind w:right="860" w:firstLine="477"/>
        <w:spacing w:after="0" w:line="242"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cable services. The increases in video revenue for the interim periods from 2003 to 2004 are primarily due to the effects of rate increases in our traditional video service and growth in digital subscribers. From June 30, 2003 to June 30, 2004, we added approximately 412,000 digital subscribers, or a 17.0% increase in digital subscribers. We expect continued growth in our video services revenue.</w:t>
      </w:r>
    </w:p>
    <w:p>
      <w:pPr>
        <w:spacing w:after="0" w:line="188" w:lineRule="exact"/>
        <w:rPr>
          <w:sz w:val="20"/>
          <w:szCs w:val="20"/>
          <w:color w:val="auto"/>
        </w:rPr>
      </w:pPr>
    </w:p>
    <w:p>
      <w:pPr>
        <w:jc w:val="both"/>
        <w:ind w:right="860" w:firstLine="477"/>
        <w:spacing w:after="0" w:line="242"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2003 to 2004 are primarily due to the addition of approximately 593,000 high-speed Internet subscribers from June 30, 2003 to June 30, 2004, or a 31.5% increase in high-speed Internet subscribers. We expect continued high-speed Internet revenue growth as overall demand for our services continues to increase.</w:t>
      </w:r>
    </w:p>
    <w:p>
      <w:pPr>
        <w:spacing w:after="0" w:line="187" w:lineRule="exact"/>
        <w:rPr>
          <w:sz w:val="20"/>
          <w:szCs w:val="20"/>
          <w:color w:val="auto"/>
        </w:rPr>
      </w:pPr>
    </w:p>
    <w:p>
      <w:pPr>
        <w:jc w:val="both"/>
        <w:ind w:right="860" w:firstLine="477"/>
        <w:spacing w:after="0" w:line="241"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2003 to 2004 are primarily due to the effects of growth in regional/national advertising as a result of the continuing success of our regional interconnects and a stronger local advertising market.</w:t>
      </w:r>
    </w:p>
    <w:p>
      <w:pPr>
        <w:spacing w:after="0" w:line="189" w:lineRule="exact"/>
        <w:rPr>
          <w:sz w:val="20"/>
          <w:szCs w:val="20"/>
          <w:color w:val="auto"/>
        </w:rPr>
      </w:pPr>
    </w:p>
    <w:p>
      <w:pPr>
        <w:jc w:val="both"/>
        <w:ind w:right="860" w:firstLine="477"/>
        <w:spacing w:after="0" w:line="241"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revenue from our regional programming networks, commercial data revenue, revenue from other product offerings and phone revenues.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Expenses</w:t>
      </w:r>
    </w:p>
    <w:p>
      <w:pPr>
        <w:spacing w:after="0" w:line="188" w:lineRule="exact"/>
        <w:rPr>
          <w:sz w:val="20"/>
          <w:szCs w:val="20"/>
          <w:color w:val="auto"/>
        </w:rPr>
      </w:pPr>
    </w:p>
    <w:p>
      <w:pPr>
        <w:jc w:val="both"/>
        <w:ind w:right="860" w:firstLine="477"/>
        <w:spacing w:after="0" w:line="241" w:lineRule="auto"/>
        <w:rPr>
          <w:sz w:val="20"/>
          <w:szCs w:val="20"/>
          <w:color w:val="auto"/>
        </w:rPr>
      </w:pPr>
      <w:r>
        <w:rPr>
          <w:rFonts w:ascii="Courier New" w:cs="Courier New" w:eastAsia="Courier New" w:hAnsi="Courier New"/>
          <w:sz w:val="16"/>
          <w:szCs w:val="16"/>
          <w:color w:val="auto"/>
        </w:rPr>
        <w:t>Total operating, selling, general and administrative expenses increased for the interim periods from 2003 to 2004 primarily as a result of increases in the costs of cable programming, increases in labor and other volume related expenses associated with the growth in our high-speed Internet and digital cable services, and increases in charges from cost-sharing arrangements.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Income (Expense) Items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88" w:lineRule="exact"/>
        <w:rPr>
          <w:sz w:val="20"/>
          <w:szCs w:val="20"/>
          <w:color w:val="auto"/>
        </w:rPr>
      </w:pPr>
    </w:p>
    <w:p>
      <w:pPr>
        <w:jc w:val="both"/>
        <w:ind w:right="860" w:firstLine="477"/>
        <w:spacing w:after="0"/>
        <w:rPr>
          <w:sz w:val="20"/>
          <w:szCs w:val="20"/>
          <w:color w:val="auto"/>
        </w:rPr>
      </w:pPr>
      <w:r>
        <w:rPr>
          <w:rFonts w:ascii="Courier New" w:cs="Courier New" w:eastAsia="Courier New" w:hAnsi="Courier New"/>
          <w:sz w:val="16"/>
          <w:szCs w:val="16"/>
          <w:color w:val="auto"/>
        </w:rPr>
        <w:t>The changes in interest expense for the interim periods from 2003 to 2004 are due to our decreased amount of debt outstanding as a result of our debt reduction during 2003.</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Income on Affiliate Notes, Net</w:t>
      </w:r>
    </w:p>
    <w:p>
      <w:pPr>
        <w:spacing w:after="0" w:line="188" w:lineRule="exact"/>
        <w:rPr>
          <w:sz w:val="20"/>
          <w:szCs w:val="20"/>
          <w:color w:val="auto"/>
        </w:rPr>
      </w:pPr>
    </w:p>
    <w:p>
      <w:pPr>
        <w:jc w:val="both"/>
        <w:ind w:right="860" w:firstLine="477"/>
        <w:spacing w:after="0"/>
        <w:rPr>
          <w:sz w:val="20"/>
          <w:szCs w:val="20"/>
          <w:color w:val="auto"/>
        </w:rPr>
      </w:pPr>
      <w:r>
        <w:rPr>
          <w:rFonts w:ascii="Courier New" w:cs="Courier New" w:eastAsia="Courier New" w:hAnsi="Courier New"/>
          <w:sz w:val="16"/>
          <w:szCs w:val="16"/>
          <w:color w:val="auto"/>
        </w:rPr>
        <w:t>The changes in interest income on affiliate notes, net for the interim periods from 2003 to 2004 are principally due to an increase in our notes receivable from affiliates during 2003 and 2004.</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900" w:type="dxa"/>
            <w:vAlign w:val="bottom"/>
          </w:tcPr>
          <w:p>
            <w:pPr>
              <w:ind w:left="2760"/>
              <w:spacing w:after="0"/>
              <w:rPr>
                <w:sz w:val="20"/>
                <w:szCs w:val="20"/>
                <w:color w:val="auto"/>
              </w:rPr>
            </w:pPr>
            <w:r>
              <w:rPr>
                <w:rFonts w:ascii="Courier New" w:cs="Courier New" w:eastAsia="Courier New" w:hAnsi="Courier New"/>
                <w:sz w:val="16"/>
                <w:szCs w:val="16"/>
                <w:color w:val="auto"/>
              </w:rPr>
              <w:t>____________</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Investment Income (Loss), Net</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686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  (loss),  net  for  the  interim  periods  includes</w:t>
            </w:r>
          </w:p>
        </w:tc>
        <w:tc>
          <w:tcPr>
            <w:tcW w:w="114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0"/>
              </w:rPr>
              <w:t>the</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rPr>
              <w:t>following (in millions):</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50"/>
        </w:trPr>
        <w:tc>
          <w:tcPr>
            <w:tcW w:w="5900" w:type="dxa"/>
            <w:vAlign w:val="bottom"/>
          </w:tcPr>
          <w:p>
            <w:pPr>
              <w:spacing w:after="0"/>
              <w:rPr>
                <w:sz w:val="24"/>
                <w:szCs w:val="24"/>
                <w:color w:val="auto"/>
              </w:rPr>
            </w:pPr>
          </w:p>
        </w:tc>
        <w:tc>
          <w:tcPr>
            <w:tcW w:w="21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5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30,</w:t>
            </w:r>
          </w:p>
        </w:tc>
      </w:tr>
      <w:tr>
        <w:trPr>
          <w:trHeight w:val="183"/>
        </w:trPr>
        <w:tc>
          <w:tcPr>
            <w:tcW w:w="590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Interest, dividend and other investment income (expense)......</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(Losses) gains on sales and exchanges of investments, net.....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Investment impairment losses..................................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Mark to market adjustments on trading securities..............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w w:val="98"/>
              </w:rPr>
              <w:t>related to trading securities............................</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3"/>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Mark to market adjustments on derivatives and hedged items....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w:t>
            </w:r>
          </w:p>
        </w:tc>
      </w:tr>
      <w:tr>
        <w:trPr>
          <w:trHeight w:val="183"/>
        </w:trPr>
        <w:tc>
          <w:tcPr>
            <w:tcW w:w="5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w w:val="98"/>
              </w:rPr>
              <w:t>Investment income (loss), net............................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5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Six Months Ended</w:t>
      </w:r>
    </w:p>
    <w:p>
      <w:pPr>
        <w:spacing w:after="0" w:line="1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June 30,</w:t>
      </w:r>
    </w:p>
    <w:p>
      <w:pPr>
        <w:spacing w:after="0" w:line="2" w:lineRule="exact"/>
        <w:rPr>
          <w:sz w:val="20"/>
          <w:szCs w:val="20"/>
          <w:color w:val="auto"/>
        </w:rPr>
      </w:pPr>
    </w:p>
    <w:p>
      <w:pPr>
        <w:ind w:left="180"/>
        <w:spacing w:after="0"/>
        <w:tabs>
          <w:tab w:leader="none" w:pos="1220"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460"/>
        <w:spacing w:after="0"/>
        <w:tabs>
          <w:tab w:leader="none" w:pos="160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5"/>
          <w:szCs w:val="15"/>
          <w:color w:val="auto"/>
        </w:rPr>
        <w:t>$8</w:t>
      </w:r>
    </w:p>
    <w:p>
      <w:pPr>
        <w:spacing w:after="0" w:line="2" w:lineRule="exact"/>
        <w:rPr>
          <w:sz w:val="20"/>
          <w:szCs w:val="20"/>
          <w:color w:val="auto"/>
        </w:rPr>
      </w:pPr>
    </w:p>
    <w:p>
      <w:pPr>
        <w:ind w:left="1620" w:hanging="1056"/>
        <w:spacing w:after="0"/>
        <w:tabs>
          <w:tab w:leader="none" w:pos="16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1520" w:hanging="956"/>
        <w:spacing w:after="0"/>
        <w:tabs>
          <w:tab w:leader="none" w:pos="1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w:t>
      </w:r>
    </w:p>
    <w:p>
      <w:pPr>
        <w:spacing w:after="0" w:line="11" w:lineRule="exact"/>
        <w:rPr>
          <w:sz w:val="20"/>
          <w:szCs w:val="20"/>
          <w:color w:val="auto"/>
        </w:rPr>
      </w:pPr>
    </w:p>
    <w:p>
      <w:pPr>
        <w:ind w:left="1620" w:hanging="1151"/>
        <w:spacing w:after="0"/>
        <w:tabs>
          <w:tab w:leader="none" w:pos="1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w:t>
      </w:r>
    </w:p>
    <w:p>
      <w:pPr>
        <w:spacing w:after="0" w:line="188" w:lineRule="exact"/>
        <w:rPr>
          <w:sz w:val="20"/>
          <w:szCs w:val="20"/>
          <w:color w:val="auto"/>
        </w:rPr>
      </w:pPr>
    </w:p>
    <w:p>
      <w:pPr>
        <w:ind w:left="1520" w:hanging="1051"/>
        <w:spacing w:after="0"/>
        <w:tabs>
          <w:tab w:leader="none" w:pos="1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w:t>
      </w:r>
    </w:p>
    <w:p>
      <w:pPr>
        <w:spacing w:after="0" w:line="10" w:lineRule="exact"/>
        <w:rPr>
          <w:rFonts w:ascii="Courier New" w:cs="Courier New" w:eastAsia="Courier New" w:hAnsi="Courier New"/>
          <w:sz w:val="15"/>
          <w:szCs w:val="15"/>
          <w:color w:val="auto"/>
        </w:rPr>
      </w:pPr>
    </w:p>
    <w:p>
      <w:pPr>
        <w:ind w:left="6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jc w:val="right"/>
        <w:spacing w:after="0"/>
        <w:tabs>
          <w:tab w:leader="none" w:pos="46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8480" w:space="300"/>
            <w:col w:w="1900"/>
          </w:cols>
          <w:pgMar w:left="240" w:top="665" w:right="979" w:bottom="205" w:gutter="0" w:footer="0" w:header="0"/>
        </w:sectPr>
      </w:pPr>
    </w:p>
    <w:bookmarkStart w:id="19" w:name="page20"/>
    <w:bookmarkEnd w:id="19"/>
    <w:p>
      <w:pPr>
        <w:jc w:val="center"/>
        <w:ind w:right="249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QUARTER ENDED JUNE 30, 2004</w:t>
      </w:r>
    </w:p>
    <w:p>
      <w:pPr>
        <w:spacing w:after="0" w:line="200" w:lineRule="exact"/>
        <w:rPr>
          <w:sz w:val="20"/>
          <w:szCs w:val="20"/>
          <w:color w:val="auto"/>
        </w:rPr>
      </w:pPr>
    </w:p>
    <w:p>
      <w:pPr>
        <w:spacing w:after="0" w:line="355"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was substantially offset by the changes in the fair value of the related derivatives, except for the mark to market adjustments on our investment in Sprint, 116 million shares of Liberty and 6 million shares of Liberty International for the three and six months ended June 30, 2004.</w:t>
      </w:r>
    </w:p>
    <w:p>
      <w:pPr>
        <w:spacing w:after="0" w:line="190"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During the three months ended June 30, 2004, investment income (loss), net includes $224 million of investment income related to the decrease in the fair value of the derivative component of the ZONES debt. This fair value adjustment results principally from the change in the common stock underlying the ZONES debt from the non-dividend paying Sprint PCS tracking stock to the dividend paying Sprint FON common stock as a result of the elimination by Sprint of its tracking stock in April 2004. In the future, we expect that changes in the fair value of the derivative component of the ZONES debt will be substantially offset by changes in the fair value of the Sprint FON common stock we hold and account for as a trading security.</w:t>
      </w:r>
    </w:p>
    <w:p>
      <w:pPr>
        <w:spacing w:after="0" w:line="190"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are exposed to changes in the fair value of approximately 116 million shares of Liberty common stock through the closing date of the Liberty transaction and we will continue to be exposed to changes in the fair value of approximately 6 million shares of Liberty International common stock we hold and account for as trading securities because we have not entered into a corresponding derivative to hedge either of these market exposures.</w:t>
      </w:r>
    </w:p>
    <w:p>
      <w:pPr>
        <w:spacing w:after="0" w:line="187"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Accordingly, our investment income (loss) is affected by fluctuations in the fair values of the Liberty and Liberty International common stocks. Investment income (loss), net for the three and six month interim periods in 2004 includes losses of $8 million and $118 million, respectively, related to these financial instruments.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changes in income tax expenses for the interim periods from 2003 to 2004 are primarily the result of the effects of the increases in our income from continuing operations before taxes and minority interest.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changes in minority interest for the interim periods from 2003 to 2004 are attributable to the effects of changes in the net income or loss of our less than wholly owned consolidated subsidiaries.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5" w:right="1440" w:bottom="1440" w:gutter="0" w:footer="0" w:header="0"/>
        </w:sectPr>
      </w:pPr>
    </w:p>
    <w:bookmarkStart w:id="20" w:name="page21"/>
    <w:bookmarkEnd w:id="20"/>
    <w:p>
      <w:pPr>
        <w:jc w:val="center"/>
        <w:ind w:right="249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QUARTER ENDED JUNE 30, 2004</w:t>
      </w:r>
    </w:p>
    <w:p>
      <w:pPr>
        <w:spacing w:after="0" w:line="200" w:lineRule="exact"/>
        <w:rPr>
          <w:sz w:val="20"/>
          <w:szCs w:val="20"/>
          <w:color w:val="auto"/>
        </w:rPr>
      </w:pPr>
    </w:p>
    <w:p>
      <w:pPr>
        <w:spacing w:after="0" w:line="35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8" w:lineRule="exact"/>
        <w:rPr>
          <w:sz w:val="20"/>
          <w:szCs w:val="20"/>
          <w:color w:val="auto"/>
        </w:rPr>
      </w:pPr>
    </w:p>
    <w:p>
      <w:pPr>
        <w:jc w:val="both"/>
        <w:ind w:left="660" w:right="2599"/>
        <w:spacing w:after="0" w:line="239" w:lineRule="auto"/>
        <w:rPr>
          <w:sz w:val="20"/>
          <w:szCs w:val="20"/>
          <w:color w:val="auto"/>
        </w:rPr>
      </w:pPr>
      <w:r>
        <w:rPr>
          <w:rFonts w:ascii="Courier New" w:cs="Courier New" w:eastAsia="Courier New" w:hAnsi="Courier New"/>
          <w:sz w:val="16"/>
          <w:szCs w:val="16"/>
          <w:color w:val="auto"/>
        </w:rPr>
        <w:t>There have been no significant changes to the information required under this Item from what was disclosed in our 2003 Form 10-K.</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CONTROLS AND PROCEDURES</w:t>
      </w:r>
    </w:p>
    <w:p>
      <w:pPr>
        <w:spacing w:after="0" w:line="188" w:lineRule="exact"/>
        <w:rPr>
          <w:sz w:val="20"/>
          <w:szCs w:val="20"/>
          <w:color w:val="auto"/>
        </w:rPr>
      </w:pPr>
    </w:p>
    <w:p>
      <w:pPr>
        <w:jc w:val="both"/>
        <w:ind w:left="660" w:right="2599"/>
        <w:spacing w:after="0" w:line="242" w:lineRule="auto"/>
        <w:rPr>
          <w:sz w:val="20"/>
          <w:szCs w:val="20"/>
          <w:color w:val="auto"/>
        </w:rPr>
      </w:pPr>
      <w:r>
        <w:rPr>
          <w:rFonts w:ascii="Courier New" w:cs="Courier New" w:eastAsia="Courier New" w:hAnsi="Courier New"/>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 to ensure that material information relating to us and our consolidated subsidiaries would be made known to them by others within those entities.</w:t>
      </w:r>
    </w:p>
    <w:p>
      <w:pPr>
        <w:spacing w:after="0" w:line="189" w:lineRule="exact"/>
        <w:rPr>
          <w:sz w:val="20"/>
          <w:szCs w:val="20"/>
          <w:color w:val="auto"/>
        </w:rPr>
      </w:pPr>
    </w:p>
    <w:p>
      <w:pPr>
        <w:jc w:val="both"/>
        <w:ind w:left="660" w:right="2599"/>
        <w:spacing w:after="0" w:line="242" w:lineRule="auto"/>
        <w:rPr>
          <w:sz w:val="20"/>
          <w:szCs w:val="20"/>
          <w:color w:val="auto"/>
        </w:rPr>
      </w:pPr>
      <w:r>
        <w:rPr>
          <w:rFonts w:ascii="Courier New" w:cs="Courier New" w:eastAsia="Courier New" w:hAnsi="Courier New"/>
          <w:sz w:val="16"/>
          <w:szCs w:val="16"/>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8" w:lineRule="exact"/>
        <w:rPr>
          <w:sz w:val="20"/>
          <w:szCs w:val="20"/>
          <w:color w:val="auto"/>
        </w:rPr>
      </w:pPr>
    </w:p>
    <w:p>
      <w:pPr>
        <w:jc w:val="both"/>
        <w:ind w:left="660" w:right="2599"/>
        <w:spacing w:after="0"/>
        <w:rPr>
          <w:sz w:val="20"/>
          <w:szCs w:val="20"/>
          <w:color w:val="auto"/>
        </w:rPr>
      </w:pPr>
      <w:r>
        <w:rPr>
          <w:rFonts w:ascii="Courier New" w:cs="Courier New" w:eastAsia="Courier New" w:hAnsi="Courier New"/>
          <w:sz w:val="16"/>
          <w:szCs w:val="16"/>
          <w:color w:val="auto"/>
        </w:rPr>
        <w:t>Refer to Note 8 to our condensed consolidated financial statements included in Item 1 of this Quarterly Report on Form 10-Q for a discussion of recent developments related to our legal proceedings.</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88" w:lineRule="exact"/>
        <w:rPr>
          <w:sz w:val="20"/>
          <w:szCs w:val="20"/>
          <w:color w:val="auto"/>
        </w:rPr>
      </w:pPr>
    </w:p>
    <w:p>
      <w:pPr>
        <w:jc w:val="both"/>
        <w:ind w:left="1420" w:right="2599" w:hanging="468"/>
        <w:spacing w:after="0"/>
        <w:tabs>
          <w:tab w:leader="none" w:pos="14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of Chief Executive Officer and Co-Chief Financial Officers pursuant to Section 302 of the Sarbanes-Oxley Act of 2002.</w:t>
      </w:r>
    </w:p>
    <w:p>
      <w:pPr>
        <w:spacing w:after="0" w:line="189" w:lineRule="exact"/>
        <w:rPr>
          <w:rFonts w:ascii="Courier New" w:cs="Courier New" w:eastAsia="Courier New" w:hAnsi="Courier New"/>
          <w:sz w:val="16"/>
          <w:szCs w:val="16"/>
          <w:color w:val="auto"/>
        </w:rPr>
      </w:pPr>
    </w:p>
    <w:p>
      <w:pPr>
        <w:jc w:val="both"/>
        <w:ind w:left="1420" w:right="2599" w:hanging="468"/>
        <w:spacing w:after="0"/>
        <w:tabs>
          <w:tab w:leader="none" w:pos="14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Chief Executive Officer and Co-Chief Financial Officers pursuant to Section 906 of the Sarbanes-Oxley Act of 2002.</w:t>
      </w:r>
    </w:p>
    <w:p>
      <w:pPr>
        <w:spacing w:after="0" w:line="187" w:lineRule="exact"/>
        <w:rPr>
          <w:rFonts w:ascii="Courier New" w:cs="Courier New" w:eastAsia="Courier New" w:hAnsi="Courier New"/>
          <w:sz w:val="16"/>
          <w:szCs w:val="16"/>
          <w:color w:val="auto"/>
        </w:rPr>
      </w:pPr>
    </w:p>
    <w:p>
      <w:pPr>
        <w:ind w:left="660" w:hanging="376"/>
        <w:spacing w:after="0"/>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1" w:right="1440" w:bottom="1440" w:gutter="0" w:footer="0" w:header="0"/>
        </w:sectPr>
      </w:pPr>
    </w:p>
    <w:bookmarkStart w:id="21" w:name="page22"/>
    <w:bookmarkEnd w:id="21"/>
    <w:p>
      <w:pPr>
        <w:jc w:val="center"/>
        <w:ind w:right="249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QUARTER ENDED JUNE 30, 2004</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COMCAST HOLDINGS CORPORATION</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LAWRENCE J. SALVA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Lawrence J. Salva</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Senior Vice President, Chief Accounting</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Officer and Controller</w:t>
      </w:r>
    </w:p>
    <w:p>
      <w:pPr>
        <w:spacing w:after="0" w:line="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(Principal Accounting Officer)</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Date: August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81"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6582"/>
        <w:spacing w:after="0"/>
        <w:rPr>
          <w:sz w:val="20"/>
          <w:szCs w:val="20"/>
          <w:color w:val="auto"/>
        </w:rPr>
      </w:pPr>
      <w:r>
        <w:rPr>
          <w:rFonts w:ascii="Courier New" w:cs="Courier New" w:eastAsia="Courier New" w:hAnsi="Courier New"/>
          <w:sz w:val="16"/>
          <w:szCs w:val="16"/>
          <w:color w:val="auto"/>
        </w:rPr>
        <w:t>Exhibit 31</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CERTIFICATIONS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Brian L. Roberts,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2" w:right="2599" w:hanging="482"/>
        <w:spacing w:after="0" w:line="265" w:lineRule="auto"/>
        <w:tabs>
          <w:tab w:leader="none" w:pos="4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August 11,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Brian L. Roberts</w:t>
      </w:r>
    </w:p>
    <w:p>
      <w:pPr>
        <w:spacing w:after="0" w:line="2" w:lineRule="exact"/>
        <w:rPr>
          <w:sz w:val="20"/>
          <w:szCs w:val="20"/>
          <w:color w:val="auto"/>
        </w:rPr>
      </w:pPr>
    </w:p>
    <w:p>
      <w:pPr>
        <w:ind w:left="182" w:hanging="182"/>
        <w:spacing w:after="0"/>
        <w:tabs>
          <w:tab w:leader="none" w:pos="1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01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Lawrence S. Smith,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1900" w:h="16838" w:orient="portrait"/>
          <w:cols w:equalWidth="0" w:num="1">
            <w:col w:w="10221"/>
          </w:cols>
          <w:pgMar w:left="238" w:top="139" w:right="1440" w:bottom="0" w:gutter="0" w:footer="0" w:header="0"/>
        </w:sectPr>
      </w:pPr>
    </w:p>
    <w:bookmarkStart w:id="24" w:name="page25"/>
    <w:bookmarkEnd w:id="24"/>
    <w:p>
      <w:pPr>
        <w:ind w:left="482" w:right="2599" w:hanging="482"/>
        <w:spacing w:after="0" w:line="265" w:lineRule="auto"/>
        <w:tabs>
          <w:tab w:leader="none" w:pos="4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August 11,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Lawrence S. Smith</w:t>
      </w:r>
    </w:p>
    <w:p>
      <w:pPr>
        <w:spacing w:after="0" w:line="2" w:lineRule="exact"/>
        <w:rPr>
          <w:sz w:val="20"/>
          <w:szCs w:val="20"/>
          <w:color w:val="auto"/>
        </w:rPr>
      </w:pPr>
    </w:p>
    <w:p>
      <w:pPr>
        <w:ind w:left="182" w:hanging="182"/>
        <w:spacing w:after="0"/>
        <w:tabs>
          <w:tab w:leader="none" w:pos="1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ectPr>
          <w:pgSz w:w="11900" w:h="16838" w:orient="portrait"/>
          <w:cols w:equalWidth="0" w:num="1">
            <w:col w:w="10221"/>
          </w:cols>
          <w:pgMar w:left="238" w:top="142" w:right="1440" w:bottom="1440" w:gutter="0" w:footer="0" w:header="0"/>
        </w:sectPr>
      </w:pPr>
    </w:p>
    <w:bookmarkStart w:id="25" w:name="page26"/>
    <w:bookmarkEnd w:id="25"/>
    <w:p>
      <w:pPr>
        <w:ind w:left="2"/>
        <w:spacing w:after="0"/>
        <w:rPr>
          <w:sz w:val="20"/>
          <w:szCs w:val="20"/>
          <w:color w:val="auto"/>
        </w:rPr>
      </w:pPr>
      <w:r>
        <w:rPr>
          <w:rFonts w:ascii="Courier New" w:cs="Courier New" w:eastAsia="Courier New" w:hAnsi="Courier New"/>
          <w:sz w:val="16"/>
          <w:szCs w:val="16"/>
          <w:color w:val="auto"/>
        </w:rPr>
        <w:t>I, John R. Alchin,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2" w:right="2599" w:hanging="482"/>
        <w:spacing w:after="0" w:line="265" w:lineRule="auto"/>
        <w:tabs>
          <w:tab w:leader="none" w:pos="48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August 11,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John R. Alchin</w:t>
      </w:r>
    </w:p>
    <w:p>
      <w:pPr>
        <w:spacing w:after="0" w:line="2" w:lineRule="exact"/>
        <w:rPr>
          <w:sz w:val="20"/>
          <w:szCs w:val="20"/>
          <w:color w:val="auto"/>
        </w:rPr>
      </w:pPr>
    </w:p>
    <w:p>
      <w:pPr>
        <w:ind w:left="182" w:hanging="182"/>
        <w:spacing w:after="0"/>
        <w:tabs>
          <w:tab w:leader="none" w:pos="1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1"/>
          </w:cols>
          <w:pgMar w:left="238" w:top="1031" w:right="1440" w:bottom="1440" w:gutter="0" w:footer="0" w:header="0"/>
        </w:sectPr>
      </w:pPr>
    </w:p>
    <w:bookmarkStart w:id="26" w:name="page27"/>
    <w:bookmarkEnd w:id="26"/>
    <w:p>
      <w:pPr>
        <w:ind w:left="6302"/>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86" w:lineRule="exact"/>
        <w:rPr>
          <w:sz w:val="20"/>
          <w:szCs w:val="20"/>
          <w:color w:val="auto"/>
        </w:rPr>
      </w:pPr>
    </w:p>
    <w:p>
      <w:pPr>
        <w:ind w:left="6102"/>
        <w:spacing w:after="0"/>
        <w:rPr>
          <w:sz w:val="20"/>
          <w:szCs w:val="20"/>
          <w:color w:val="auto"/>
        </w:rPr>
      </w:pPr>
      <w:r>
        <w:rPr>
          <w:rFonts w:ascii="Courier New" w:cs="Courier New" w:eastAsia="Courier New" w:hAnsi="Courier New"/>
          <w:sz w:val="16"/>
          <w:szCs w:val="16"/>
          <w:color w:val="auto"/>
        </w:rPr>
        <w:t>August 11, 2004</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450 Fifth Street, N.W.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90" w:lineRule="exact"/>
        <w:rPr>
          <w:sz w:val="20"/>
          <w:szCs w:val="20"/>
          <w:color w:val="auto"/>
        </w:rPr>
      </w:pPr>
    </w:p>
    <w:p>
      <w:pPr>
        <w:ind w:left="2" w:right="2679"/>
        <w:spacing w:after="0" w:line="265" w:lineRule="auto"/>
        <w:rPr>
          <w:sz w:val="20"/>
          <w:szCs w:val="20"/>
          <w:color w:val="auto"/>
        </w:rPr>
      </w:pPr>
      <w:r>
        <w:rPr>
          <w:rFonts w:ascii="Courier New" w:cs="Courier New" w:eastAsia="Courier New" w:hAnsi="Courier New"/>
          <w:sz w:val="15"/>
          <w:szCs w:val="15"/>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71" w:lineRule="exact"/>
        <w:rPr>
          <w:sz w:val="20"/>
          <w:szCs w:val="20"/>
          <w:color w:val="auto"/>
        </w:rPr>
      </w:pPr>
    </w:p>
    <w:p>
      <w:pPr>
        <w:ind w:left="862" w:right="2979" w:hanging="385"/>
        <w:spacing w:after="0" w:line="239" w:lineRule="auto"/>
        <w:tabs>
          <w:tab w:leader="none" w:pos="86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9" w:lineRule="exact"/>
        <w:rPr>
          <w:rFonts w:ascii="Courier New" w:cs="Courier New" w:eastAsia="Courier New" w:hAnsi="Courier New"/>
          <w:sz w:val="16"/>
          <w:szCs w:val="16"/>
          <w:color w:val="auto"/>
        </w:rPr>
      </w:pPr>
    </w:p>
    <w:p>
      <w:pPr>
        <w:ind w:left="862" w:right="2599" w:hanging="385"/>
        <w:spacing w:after="0"/>
        <w:tabs>
          <w:tab w:leader="none" w:pos="86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Brian L. Roberts</w:t>
      </w:r>
    </w:p>
    <w:p>
      <w:pPr>
        <w:spacing w:after="0" w:line="2" w:lineRule="exact"/>
        <w:rPr>
          <w:sz w:val="20"/>
          <w:szCs w:val="20"/>
          <w:color w:val="auto"/>
        </w:rPr>
      </w:pPr>
    </w:p>
    <w:p>
      <w:pPr>
        <w:ind w:left="182" w:hanging="182"/>
        <w:spacing w:after="0"/>
        <w:tabs>
          <w:tab w:leader="none" w:pos="1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01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34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Lawrence S. Smith</w:t>
      </w:r>
    </w:p>
    <w:p>
      <w:pPr>
        <w:spacing w:after="0" w:line="2" w:lineRule="exact"/>
        <w:rPr>
          <w:sz w:val="20"/>
          <w:szCs w:val="20"/>
          <w:color w:val="auto"/>
        </w:rPr>
      </w:pPr>
    </w:p>
    <w:p>
      <w:pPr>
        <w:ind w:left="182" w:hanging="182"/>
        <w:spacing w:after="0"/>
        <w:tabs>
          <w:tab w:leader="none" w:pos="18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 w:right="77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pacing w:after="0" w:line="34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John R. Alchin</w:t>
      </w:r>
    </w:p>
    <w:p>
      <w:pPr>
        <w:spacing w:after="0" w:line="2" w:lineRule="exact"/>
        <w:rPr>
          <w:sz w:val="20"/>
          <w:szCs w:val="20"/>
          <w:color w:val="auto"/>
        </w:rPr>
      </w:pPr>
    </w:p>
    <w:p>
      <w:pPr>
        <w:ind w:left="182" w:hanging="182"/>
        <w:spacing w:after="0"/>
        <w:tabs>
          <w:tab w:leader="none" w:pos="18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sectPr>
      <w:pgSz w:w="11900" w:h="16838" w:orient="portrait"/>
      <w:cols w:equalWidth="0" w:num="1">
        <w:col w:w="10221"/>
      </w:cols>
      <w:pgMar w:left="238"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o"/>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lvl w:ilvl="1">
      <w:lvlJc w:val="left"/>
      <w:lvlText w:val="(%2)"/>
      <w:numFmt w:val="lowerRoman"/>
      <w:start w:val="1"/>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
    </w:lvl>
    <w:lvl w:ilvl="1">
      <w:lvlJc w:val="left"/>
      <w:lvlText w:val="(%2)"/>
      <w:numFmt w:val="decimal"/>
      <w:start w:val="1"/>
    </w:lvl>
  </w:abstractNum>
  <w:abstractNum w:abstractNumId="13">
    <w:nsid w:val="6763845E"/>
    <w:multiLevelType w:val="hybridMultilevel"/>
    <w:lvl w:ilvl="0">
      <w:lvlJc w:val="left"/>
      <w:lvlText w:val="%1."/>
      <w:numFmt w:val="decimal"/>
      <w:start w:val="10"/>
    </w:lvl>
    <w:lvl w:ilvl="1">
      <w:lvlJc w:val="left"/>
      <w:lvlText w:val="%2"/>
      <w:numFmt w:val="decimal"/>
      <w:start w:val="1"/>
    </w:lvl>
  </w:abstractNum>
  <w:abstractNum w:abstractNumId="14">
    <w:nsid w:val="75A2A8D4"/>
    <w:multiLevelType w:val="hybridMultilevel"/>
    <w:lvl w:ilvl="0">
      <w:lvlJc w:val="left"/>
      <w:lvlText w:val="a"/>
      <w:numFmt w:val="bullet"/>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55"/>
    </w:lvl>
  </w:abstractNum>
  <w:abstractNum w:abstractNumId="19">
    <w:nsid w:val="189A769B"/>
    <w:multiLevelType w:val="hybridMultilevel"/>
    <w:lvl w:ilvl="0">
      <w:lvlJc w:val="left"/>
      <w:lvlText w:val="%1"/>
      <w:numFmt w:val="decimal"/>
      <w:start w:val="159"/>
    </w:lvl>
  </w:abstractNum>
  <w:abstractNum w:abstractNumId="20">
    <w:nsid w:val="54E49EB4"/>
    <w:multiLevelType w:val="hybridMultilevel"/>
    <w:lvl w:ilvl="0">
      <w:lvlJc w:val="left"/>
      <w:lvlText w:val="%1"/>
      <w:numFmt w:val="lowerLetter"/>
      <w:start w:val="1"/>
    </w:lvl>
    <w:lvl w:ilvl="1">
      <w:lvlJc w:val="left"/>
      <w:lvlText w:val="%2"/>
      <w:numFmt w:val="decimal"/>
      <w:start w:val="31"/>
    </w:lvl>
  </w:abstractNum>
  <w:abstractNum w:abstractNumId="21">
    <w:nsid w:val="71F32454"/>
    <w:multiLevelType w:val="hybridMultilevel"/>
    <w:lvl w:ilvl="0">
      <w:lvlJc w:val="left"/>
      <w:lvlText w:val="(%1)"/>
      <w:numFmt w:val="lowerLetter"/>
      <w:start w:val="2"/>
    </w:lvl>
    <w:lvl w:ilvl="1">
      <w:lvlJc w:val="left"/>
      <w:lvlText w:val="%2"/>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4"/>
    </w:lvl>
    <w:lvl w:ilvl="1">
      <w:lvlJc w:val="left"/>
      <w:lvlText w:val="%2)"/>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2019-12-12T23:00:44Z</dcterms:created>
  <dcterms:modified xsi:type="dcterms:W3CDTF">2019-12-12T23:00:44Z</dcterms:modified>
</cp:coreProperties>
</file>