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333-132750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August 20, 2007</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8700" w:type="dxa"/>
            <w:vAlign w:val="bottom"/>
          </w:tcPr>
          <w:p>
            <w:pPr>
              <w:ind w:left="184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b w:val="1"/>
                <w:bCs w:val="1"/>
                <w:color w:val="auto"/>
              </w:rPr>
              <w:t>$1,000,000,000 6.30% Senior Notes due 2017</w:t>
            </w:r>
          </w:p>
        </w:tc>
      </w:tr>
      <w:tr>
        <w:trPr>
          <w:trHeight w:val="234"/>
        </w:trPr>
        <w:tc>
          <w:tcPr>
            <w:tcW w:w="2720" w:type="dxa"/>
            <w:vAlign w:val="bottom"/>
          </w:tcPr>
          <w:p>
            <w:pPr>
              <w:spacing w:after="0"/>
              <w:rPr>
                <w:sz w:val="20"/>
                <w:szCs w:val="20"/>
                <w:color w:val="auto"/>
              </w:rPr>
            </w:pPr>
          </w:p>
        </w:tc>
        <w:tc>
          <w:tcPr>
            <w:tcW w:w="8700" w:type="dxa"/>
            <w:vAlign w:val="bottom"/>
          </w:tcPr>
          <w:p>
            <w:pPr>
              <w:ind w:left="1280"/>
              <w:spacing w:after="0"/>
              <w:rPr>
                <w:sz w:val="20"/>
                <w:szCs w:val="20"/>
                <w:color w:val="auto"/>
              </w:rPr>
            </w:pPr>
            <w:r>
              <w:rPr>
                <w:rFonts w:ascii="Arial" w:cs="Arial" w:eastAsia="Arial" w:hAnsi="Arial"/>
                <w:sz w:val="18"/>
                <w:szCs w:val="18"/>
                <w:b w:val="1"/>
                <w:bCs w:val="1"/>
                <w:color w:val="auto"/>
              </w:rPr>
              <w:t>$2,000,000,000 6.95% Senior Notes due 2037</w:t>
            </w:r>
          </w:p>
        </w:tc>
      </w:tr>
      <w:tr>
        <w:trPr>
          <w:trHeight w:val="540"/>
        </w:trPr>
        <w:tc>
          <w:tcPr>
            <w:tcW w:w="2720" w:type="dxa"/>
            <w:vAlign w:val="bottom"/>
          </w:tcPr>
          <w:p>
            <w:pPr>
              <w:spacing w:after="0"/>
              <w:rPr>
                <w:sz w:val="24"/>
                <w:szCs w:val="24"/>
                <w:color w:val="auto"/>
              </w:rPr>
            </w:pPr>
          </w:p>
        </w:tc>
        <w:tc>
          <w:tcPr>
            <w:tcW w:w="8700" w:type="dxa"/>
            <w:vAlign w:val="bottom"/>
          </w:tcPr>
          <w:p>
            <w:pPr>
              <w:ind w:left="2340"/>
              <w:spacing w:after="0"/>
              <w:rPr>
                <w:sz w:val="20"/>
                <w:szCs w:val="20"/>
                <w:color w:val="auto"/>
              </w:rPr>
            </w:pPr>
            <w:r>
              <w:rPr>
                <w:rFonts w:ascii="Arial" w:cs="Arial" w:eastAsia="Arial" w:hAnsi="Arial"/>
                <w:sz w:val="18"/>
                <w:szCs w:val="18"/>
                <w:b w:val="1"/>
                <w:bCs w:val="1"/>
                <w:color w:val="auto"/>
              </w:rPr>
              <w:t>Final Term Sheet</w:t>
            </w:r>
          </w:p>
        </w:tc>
      </w:tr>
      <w:tr>
        <w:trPr>
          <w:trHeight w:val="432"/>
        </w:trPr>
        <w:tc>
          <w:tcPr>
            <w:tcW w:w="2720" w:type="dxa"/>
            <w:vAlign w:val="bottom"/>
          </w:tcPr>
          <w:p>
            <w:pPr>
              <w:spacing w:after="0"/>
              <w:rPr>
                <w:sz w:val="20"/>
                <w:szCs w:val="20"/>
                <w:color w:val="auto"/>
              </w:rPr>
            </w:pPr>
            <w:r>
              <w:rPr>
                <w:rFonts w:ascii="Arial" w:cs="Arial" w:eastAsia="Arial" w:hAnsi="Arial"/>
                <w:sz w:val="18"/>
                <w:szCs w:val="18"/>
                <w:b w:val="1"/>
                <w:bCs w:val="1"/>
                <w:color w:val="auto"/>
              </w:rPr>
              <w:t>Issuer:</w:t>
            </w:r>
          </w:p>
        </w:tc>
        <w:tc>
          <w:tcPr>
            <w:tcW w:w="8700" w:type="dxa"/>
            <w:vAlign w:val="bottom"/>
          </w:tcPr>
          <w:p>
            <w:pPr>
              <w:ind w:left="128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418"/>
        </w:trPr>
        <w:tc>
          <w:tcPr>
            <w:tcW w:w="27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700" w:type="dxa"/>
            <w:vAlign w:val="bottom"/>
          </w:tcPr>
          <w:p>
            <w:pPr>
              <w:ind w:left="1280"/>
              <w:spacing w:after="0"/>
              <w:rPr>
                <w:sz w:val="20"/>
                <w:szCs w:val="20"/>
                <w:color w:val="auto"/>
              </w:rPr>
            </w:pPr>
            <w:r>
              <w:rPr>
                <w:rFonts w:ascii="Arial" w:cs="Arial" w:eastAsia="Arial" w:hAnsi="Arial"/>
                <w:sz w:val="18"/>
                <w:szCs w:val="18"/>
                <w:color w:val="auto"/>
              </w:rPr>
              <w:t>Comcast Cable Communications, LLC</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Comcast Cable Communications Holdings, Inc.</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Comcast Cable Holdings, LLC</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Comcast MO Group, Inc.</w:t>
            </w:r>
          </w:p>
        </w:tc>
      </w:tr>
      <w:tr>
        <w:trPr>
          <w:trHeight w:val="230"/>
        </w:trPr>
        <w:tc>
          <w:tcPr>
            <w:tcW w:w="2720" w:type="dxa"/>
            <w:vAlign w:val="bottom"/>
          </w:tcPr>
          <w:p>
            <w:pPr>
              <w:spacing w:after="0"/>
              <w:rPr>
                <w:sz w:val="20"/>
                <w:szCs w:val="20"/>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Comcast MO of Delaware, LLC</w:t>
            </w:r>
          </w:p>
        </w:tc>
      </w:tr>
      <w:tr>
        <w:trPr>
          <w:trHeight w:val="432"/>
        </w:trPr>
        <w:tc>
          <w:tcPr>
            <w:tcW w:w="2720" w:type="dxa"/>
            <w:vAlign w:val="bottom"/>
          </w:tcPr>
          <w:p>
            <w:pPr>
              <w:spacing w:after="0"/>
              <w:rPr>
                <w:sz w:val="20"/>
                <w:szCs w:val="20"/>
                <w:color w:val="auto"/>
              </w:rPr>
            </w:pPr>
            <w:r>
              <w:rPr>
                <w:rFonts w:ascii="Arial" w:cs="Arial" w:eastAsia="Arial" w:hAnsi="Arial"/>
                <w:sz w:val="18"/>
                <w:szCs w:val="18"/>
                <w:b w:val="1"/>
                <w:bCs w:val="1"/>
                <w:color w:val="auto"/>
              </w:rPr>
              <w:t>Issue of Securities:</w:t>
            </w:r>
          </w:p>
        </w:tc>
        <w:tc>
          <w:tcPr>
            <w:tcW w:w="8700" w:type="dxa"/>
            <w:vAlign w:val="bottom"/>
          </w:tcPr>
          <w:p>
            <w:pPr>
              <w:ind w:left="1280"/>
              <w:spacing w:after="0"/>
              <w:rPr>
                <w:sz w:val="20"/>
                <w:szCs w:val="20"/>
                <w:color w:val="auto"/>
              </w:rPr>
            </w:pPr>
            <w:r>
              <w:rPr>
                <w:rFonts w:ascii="Arial" w:cs="Arial" w:eastAsia="Arial" w:hAnsi="Arial"/>
                <w:sz w:val="18"/>
                <w:szCs w:val="18"/>
                <w:color w:val="auto"/>
              </w:rPr>
              <w:t>6.30% Notes due 2017</w:t>
            </w:r>
          </w:p>
        </w:tc>
      </w:tr>
      <w:tr>
        <w:trPr>
          <w:trHeight w:val="432"/>
        </w:trPr>
        <w:tc>
          <w:tcPr>
            <w:tcW w:w="2720" w:type="dxa"/>
            <w:vAlign w:val="bottom"/>
          </w:tcPr>
          <w:p>
            <w:pPr>
              <w:spacing w:after="0"/>
              <w:rPr>
                <w:sz w:val="24"/>
                <w:szCs w:val="24"/>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6.95% Notes due 2037</w:t>
            </w:r>
          </w:p>
        </w:tc>
      </w:tr>
      <w:tr>
        <w:trPr>
          <w:trHeight w:val="432"/>
        </w:trPr>
        <w:tc>
          <w:tcPr>
            <w:tcW w:w="2720" w:type="dxa"/>
            <w:vAlign w:val="bottom"/>
          </w:tcPr>
          <w:p>
            <w:pPr>
              <w:spacing w:after="0"/>
              <w:rPr>
                <w:sz w:val="20"/>
                <w:szCs w:val="20"/>
                <w:color w:val="auto"/>
              </w:rPr>
            </w:pPr>
            <w:r>
              <w:rPr>
                <w:rFonts w:ascii="Arial" w:cs="Arial" w:eastAsia="Arial" w:hAnsi="Arial"/>
                <w:sz w:val="18"/>
                <w:szCs w:val="18"/>
                <w:b w:val="1"/>
                <w:bCs w:val="1"/>
                <w:color w:val="auto"/>
              </w:rPr>
              <w:t>Denomination:</w:t>
            </w:r>
          </w:p>
        </w:tc>
        <w:tc>
          <w:tcPr>
            <w:tcW w:w="8700" w:type="dxa"/>
            <w:vAlign w:val="bottom"/>
          </w:tcPr>
          <w:p>
            <w:pPr>
              <w:ind w:left="1280"/>
              <w:spacing w:after="0"/>
              <w:rPr>
                <w:sz w:val="20"/>
                <w:szCs w:val="20"/>
                <w:color w:val="auto"/>
              </w:rPr>
            </w:pPr>
            <w:r>
              <w:rPr>
                <w:rFonts w:ascii="Arial" w:cs="Arial" w:eastAsia="Arial" w:hAnsi="Arial"/>
                <w:sz w:val="18"/>
                <w:szCs w:val="18"/>
                <w:color w:val="auto"/>
              </w:rPr>
              <w:t>$2,000 and multiples of $1,000 in excess thereof</w:t>
            </w:r>
          </w:p>
        </w:tc>
      </w:tr>
      <w:tr>
        <w:trPr>
          <w:trHeight w:val="418"/>
        </w:trPr>
        <w:tc>
          <w:tcPr>
            <w:tcW w:w="272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8700" w:type="dxa"/>
            <w:vAlign w:val="bottom"/>
          </w:tcPr>
          <w:p>
            <w:pPr>
              <w:ind w:left="1280"/>
              <w:spacing w:after="0"/>
              <w:rPr>
                <w:sz w:val="20"/>
                <w:szCs w:val="20"/>
                <w:color w:val="auto"/>
              </w:rPr>
            </w:pPr>
            <w:r>
              <w:rPr>
                <w:rFonts w:ascii="Arial" w:cs="Arial" w:eastAsia="Arial" w:hAnsi="Arial"/>
                <w:sz w:val="18"/>
                <w:szCs w:val="18"/>
                <w:color w:val="auto"/>
                <w:w w:val="89"/>
              </w:rPr>
              <w:t>The Company intends to use the proceeds from this offering, after deducting fees and expenses related</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8"/>
              </w:rPr>
              <w:t>to this offering, for working capital and general corporate purposes, which may include funding</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0"/>
              </w:rPr>
              <w:t>repayment of commercial paper as well as bank indebtedness used to fund the acquisition of certain of</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8"/>
              </w:rPr>
              <w:t>Patriot Media’s cable systems. As of August 20, 2007, the Company’s commercial paper had a</w:t>
            </w:r>
          </w:p>
        </w:tc>
      </w:tr>
      <w:tr>
        <w:trPr>
          <w:trHeight w:val="216"/>
        </w:trPr>
        <w:tc>
          <w:tcPr>
            <w:tcW w:w="2720" w:type="dxa"/>
            <w:vAlign w:val="bottom"/>
          </w:tcPr>
          <w:p>
            <w:pPr>
              <w:spacing w:after="0"/>
              <w:rPr>
                <w:sz w:val="18"/>
                <w:szCs w:val="18"/>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2"/>
              </w:rPr>
              <w:t>weighted average interest rate of 6.02% and an average maturity of 3 days and the Company’s bank</w:t>
            </w:r>
          </w:p>
        </w:tc>
      </w:tr>
      <w:tr>
        <w:trPr>
          <w:trHeight w:val="230"/>
        </w:trPr>
        <w:tc>
          <w:tcPr>
            <w:tcW w:w="2720" w:type="dxa"/>
            <w:vAlign w:val="bottom"/>
          </w:tcPr>
          <w:p>
            <w:pPr>
              <w:spacing w:after="0"/>
              <w:rPr>
                <w:sz w:val="20"/>
                <w:szCs w:val="20"/>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5"/>
              </w:rPr>
              <w:t>indebtedness had a weighted average interest rate of 5.81% and an average maturity of 63 days.</w:t>
            </w:r>
          </w:p>
        </w:tc>
      </w:tr>
      <w:tr>
        <w:trPr>
          <w:trHeight w:val="414"/>
        </w:trPr>
        <w:tc>
          <w:tcPr>
            <w:tcW w:w="2720" w:type="dxa"/>
            <w:vAlign w:val="bottom"/>
          </w:tcPr>
          <w:p>
            <w:pPr>
              <w:spacing w:after="0"/>
              <w:rPr>
                <w:sz w:val="20"/>
                <w:szCs w:val="20"/>
                <w:color w:val="auto"/>
              </w:rPr>
            </w:pPr>
            <w:r>
              <w:rPr>
                <w:rFonts w:ascii="Arial" w:cs="Arial" w:eastAsia="Arial" w:hAnsi="Arial"/>
                <w:sz w:val="18"/>
                <w:szCs w:val="18"/>
                <w:b w:val="1"/>
                <w:bCs w:val="1"/>
                <w:color w:val="auto"/>
              </w:rPr>
              <w:t>Indenture:</w:t>
            </w:r>
          </w:p>
        </w:tc>
        <w:tc>
          <w:tcPr>
            <w:tcW w:w="8700" w:type="dxa"/>
            <w:vAlign w:val="bottom"/>
          </w:tcPr>
          <w:p>
            <w:pPr>
              <w:ind w:left="1280"/>
              <w:spacing w:after="0"/>
              <w:rPr>
                <w:sz w:val="20"/>
                <w:szCs w:val="20"/>
                <w:color w:val="auto"/>
              </w:rPr>
            </w:pPr>
            <w:r>
              <w:rPr>
                <w:rFonts w:ascii="Arial" w:cs="Arial" w:eastAsia="Arial" w:hAnsi="Arial"/>
                <w:sz w:val="18"/>
                <w:szCs w:val="18"/>
                <w:color w:val="auto"/>
                <w:w w:val="91"/>
              </w:rPr>
              <w:t>Indenture dated as of January 7, 2003 by and among the Company, the Cable Guarantors (other than</w:t>
            </w:r>
          </w:p>
        </w:tc>
      </w:tr>
      <w:tr>
        <w:trPr>
          <w:trHeight w:val="220"/>
        </w:trPr>
        <w:tc>
          <w:tcPr>
            <w:tcW w:w="2720" w:type="dxa"/>
            <w:vAlign w:val="bottom"/>
          </w:tcPr>
          <w:p>
            <w:pPr>
              <w:spacing w:after="0"/>
              <w:rPr>
                <w:sz w:val="19"/>
                <w:szCs w:val="19"/>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w w:val="92"/>
              </w:rPr>
              <w:t>Comcast MO of Delaware, LLC) and the Bank of New York, as Trustee (the “</w:t>
            </w:r>
            <w:r>
              <w:rPr>
                <w:rFonts w:ascii="Arial" w:cs="Arial" w:eastAsia="Arial" w:hAnsi="Arial"/>
                <w:sz w:val="18"/>
                <w:szCs w:val="18"/>
                <w:b w:val="1"/>
                <w:bCs w:val="1"/>
                <w:color w:val="auto"/>
                <w:w w:val="92"/>
              </w:rPr>
              <w:t>Trustee</w:t>
            </w:r>
            <w:r>
              <w:rPr>
                <w:rFonts w:ascii="Arial" w:cs="Arial" w:eastAsia="Arial" w:hAnsi="Arial"/>
                <w:sz w:val="18"/>
                <w:szCs w:val="18"/>
                <w:color w:val="auto"/>
                <w:w w:val="92"/>
              </w:rPr>
              <w:t>”), as amended</w:t>
            </w:r>
          </w:p>
        </w:tc>
      </w:tr>
      <w:tr>
        <w:trPr>
          <w:trHeight w:val="230"/>
        </w:trPr>
        <w:tc>
          <w:tcPr>
            <w:tcW w:w="2720" w:type="dxa"/>
            <w:vAlign w:val="bottom"/>
          </w:tcPr>
          <w:p>
            <w:pPr>
              <w:spacing w:after="0"/>
              <w:rPr>
                <w:sz w:val="20"/>
                <w:szCs w:val="20"/>
                <w:color w:val="auto"/>
              </w:rPr>
            </w:pPr>
          </w:p>
        </w:tc>
        <w:tc>
          <w:tcPr>
            <w:tcW w:w="8700" w:type="dxa"/>
            <w:vAlign w:val="bottom"/>
          </w:tcPr>
          <w:p>
            <w:pPr>
              <w:ind w:left="1280"/>
              <w:spacing w:after="0"/>
              <w:rPr>
                <w:sz w:val="20"/>
                <w:szCs w:val="20"/>
                <w:color w:val="auto"/>
              </w:rPr>
            </w:pPr>
            <w:r>
              <w:rPr>
                <w:rFonts w:ascii="Arial" w:cs="Arial" w:eastAsia="Arial" w:hAnsi="Arial"/>
                <w:sz w:val="18"/>
                <w:szCs w:val="18"/>
                <w:color w:val="auto"/>
              </w:rPr>
              <w:t>by the First Supplemental Indenture dated</w:t>
            </w:r>
          </w:p>
        </w:tc>
      </w:tr>
      <w:tr>
        <w:trPr>
          <w:trHeight w:val="632"/>
        </w:trPr>
        <w:tc>
          <w:tcPr>
            <w:tcW w:w="2720" w:type="dxa"/>
            <w:vAlign w:val="bottom"/>
            <w:tcBorders>
              <w:bottom w:val="single" w:sz="8" w:color="808080"/>
            </w:tcBorders>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as of March 25, 2003 by and among the Company, the Cable Guarantors and the Trustee</w:t>
            </w: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Trustee:</w:t>
            </w:r>
          </w:p>
        </w:tc>
        <w:tc>
          <w:tcPr>
            <w:tcW w:w="8580" w:type="dxa"/>
            <w:vAlign w:val="bottom"/>
          </w:tcPr>
          <w:p>
            <w:pPr>
              <w:ind w:left="1160"/>
              <w:spacing w:after="0"/>
              <w:rPr>
                <w:sz w:val="20"/>
                <w:szCs w:val="20"/>
                <w:color w:val="auto"/>
              </w:rPr>
            </w:pPr>
            <w:r>
              <w:rPr>
                <w:rFonts w:ascii="Arial" w:cs="Arial" w:eastAsia="Arial" w:hAnsi="Arial"/>
                <w:sz w:val="18"/>
                <w:szCs w:val="18"/>
                <w:color w:val="auto"/>
              </w:rPr>
              <w:t>The Bank of New York</w:t>
            </w: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Expected Ratings:</w:t>
            </w:r>
          </w:p>
        </w:tc>
        <w:tc>
          <w:tcPr>
            <w:tcW w:w="8580" w:type="dxa"/>
            <w:vAlign w:val="bottom"/>
          </w:tcPr>
          <w:p>
            <w:pPr>
              <w:ind w:left="1160"/>
              <w:spacing w:after="0"/>
              <w:rPr>
                <w:sz w:val="20"/>
                <w:szCs w:val="20"/>
                <w:color w:val="auto"/>
              </w:rPr>
            </w:pPr>
            <w:r>
              <w:rPr>
                <w:rFonts w:ascii="Arial" w:cs="Arial" w:eastAsia="Arial" w:hAnsi="Arial"/>
                <w:sz w:val="18"/>
                <w:szCs w:val="18"/>
                <w:color w:val="auto"/>
              </w:rPr>
              <w:t>Moody’s: Baa2; S&amp;P: BBB+; Fitch: BBB+</w:t>
            </w:r>
          </w:p>
        </w:tc>
      </w:tr>
      <w:tr>
        <w:trPr>
          <w:trHeight w:val="414"/>
        </w:trPr>
        <w:tc>
          <w:tcPr>
            <w:tcW w:w="2840" w:type="dxa"/>
            <w:vAlign w:val="bottom"/>
          </w:tcPr>
          <w:p>
            <w:pPr>
              <w:spacing w:after="0"/>
              <w:rPr>
                <w:sz w:val="20"/>
                <w:szCs w:val="20"/>
                <w:color w:val="auto"/>
              </w:rPr>
            </w:pPr>
            <w:r>
              <w:rPr>
                <w:rFonts w:ascii="Arial" w:cs="Arial" w:eastAsia="Arial" w:hAnsi="Arial"/>
                <w:sz w:val="18"/>
                <w:szCs w:val="18"/>
                <w:b w:val="1"/>
                <w:bCs w:val="1"/>
                <w:color w:val="auto"/>
              </w:rPr>
              <w:t>Joint Book-Running</w:t>
            </w:r>
          </w:p>
        </w:tc>
        <w:tc>
          <w:tcPr>
            <w:tcW w:w="8580" w:type="dxa"/>
            <w:vAlign w:val="bottom"/>
          </w:tcPr>
          <w:p>
            <w:pPr>
              <w:ind w:left="1160"/>
              <w:spacing w:after="0"/>
              <w:rPr>
                <w:sz w:val="20"/>
                <w:szCs w:val="20"/>
                <w:color w:val="auto"/>
              </w:rPr>
            </w:pPr>
            <w:r>
              <w:rPr>
                <w:rFonts w:ascii="Arial" w:cs="Arial" w:eastAsia="Arial" w:hAnsi="Arial"/>
                <w:sz w:val="18"/>
                <w:szCs w:val="18"/>
                <w:color w:val="auto"/>
              </w:rPr>
              <w:t>Barclays Capital Inc.</w:t>
            </w:r>
          </w:p>
        </w:tc>
      </w:tr>
      <w:tr>
        <w:trPr>
          <w:trHeight w:val="220"/>
        </w:trPr>
        <w:tc>
          <w:tcPr>
            <w:tcW w:w="2840" w:type="dxa"/>
            <w:vAlign w:val="bottom"/>
          </w:tcPr>
          <w:p>
            <w:pPr>
              <w:spacing w:after="0"/>
              <w:rPr>
                <w:sz w:val="20"/>
                <w:szCs w:val="20"/>
                <w:color w:val="auto"/>
              </w:rPr>
            </w:pPr>
            <w:r>
              <w:rPr>
                <w:rFonts w:ascii="Arial" w:cs="Arial" w:eastAsia="Arial" w:hAnsi="Arial"/>
                <w:sz w:val="18"/>
                <w:szCs w:val="18"/>
                <w:b w:val="1"/>
                <w:bCs w:val="1"/>
                <w:color w:val="auto"/>
              </w:rPr>
              <w:t>Managers:</w:t>
            </w:r>
          </w:p>
        </w:tc>
        <w:tc>
          <w:tcPr>
            <w:tcW w:w="8580" w:type="dxa"/>
            <w:vAlign w:val="bottom"/>
          </w:tcPr>
          <w:p>
            <w:pPr>
              <w:ind w:left="1160"/>
              <w:spacing w:after="0"/>
              <w:rPr>
                <w:sz w:val="20"/>
                <w:szCs w:val="20"/>
                <w:color w:val="auto"/>
              </w:rPr>
            </w:pPr>
            <w:r>
              <w:rPr>
                <w:rFonts w:ascii="Arial" w:cs="Arial" w:eastAsia="Arial" w:hAnsi="Arial"/>
                <w:sz w:val="18"/>
                <w:szCs w:val="18"/>
                <w:color w:val="auto"/>
              </w:rPr>
              <w:t>Goldman, Sachs &amp; Co.</w:t>
            </w:r>
          </w:p>
        </w:tc>
      </w:tr>
      <w:tr>
        <w:trPr>
          <w:trHeight w:val="230"/>
        </w:trPr>
        <w:tc>
          <w:tcPr>
            <w:tcW w:w="2840" w:type="dxa"/>
            <w:vAlign w:val="bottom"/>
          </w:tcPr>
          <w:p>
            <w:pPr>
              <w:spacing w:after="0"/>
              <w:rPr>
                <w:sz w:val="20"/>
                <w:szCs w:val="20"/>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Morgan Stanley &amp; Co. Incorporated</w:t>
            </w:r>
          </w:p>
        </w:tc>
      </w:tr>
      <w:tr>
        <w:trPr>
          <w:trHeight w:val="418"/>
        </w:trPr>
        <w:tc>
          <w:tcPr>
            <w:tcW w:w="2840" w:type="dxa"/>
            <w:vAlign w:val="bottom"/>
          </w:tcPr>
          <w:p>
            <w:pPr>
              <w:spacing w:after="0"/>
              <w:rPr>
                <w:sz w:val="20"/>
                <w:szCs w:val="20"/>
                <w:color w:val="auto"/>
              </w:rPr>
            </w:pPr>
            <w:r>
              <w:rPr>
                <w:rFonts w:ascii="Arial" w:cs="Arial" w:eastAsia="Arial" w:hAnsi="Arial"/>
                <w:sz w:val="18"/>
                <w:szCs w:val="18"/>
                <w:b w:val="1"/>
                <w:bCs w:val="1"/>
                <w:color w:val="auto"/>
              </w:rPr>
              <w:t>Co-Managers:</w:t>
            </w:r>
          </w:p>
        </w:tc>
        <w:tc>
          <w:tcPr>
            <w:tcW w:w="8580" w:type="dxa"/>
            <w:vAlign w:val="bottom"/>
          </w:tcPr>
          <w:p>
            <w:pPr>
              <w:ind w:left="1160"/>
              <w:spacing w:after="0"/>
              <w:rPr>
                <w:sz w:val="20"/>
                <w:szCs w:val="20"/>
                <w:color w:val="auto"/>
              </w:rPr>
            </w:pPr>
            <w:r>
              <w:rPr>
                <w:rFonts w:ascii="Arial" w:cs="Arial" w:eastAsia="Arial" w:hAnsi="Arial"/>
                <w:sz w:val="18"/>
                <w:szCs w:val="18"/>
                <w:color w:val="auto"/>
              </w:rPr>
              <w:t>ABN AMRO Incorporated</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Banc of America Securities LLC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Daiwa Securities America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J.P. Morgan Securities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Lehman Brothers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2840" w:type="dxa"/>
            <w:vAlign w:val="bottom"/>
          </w:tcPr>
          <w:p>
            <w:pPr>
              <w:spacing w:after="0"/>
              <w:rPr>
                <w:sz w:val="18"/>
                <w:szCs w:val="18"/>
                <w:color w:val="auto"/>
              </w:rPr>
            </w:pPr>
          </w:p>
        </w:tc>
        <w:tc>
          <w:tcPr>
            <w:tcW w:w="8580" w:type="dxa"/>
            <w:vAlign w:val="bottom"/>
          </w:tcPr>
          <w:p>
            <w:pPr>
              <w:ind w:left="2120"/>
              <w:spacing w:after="0"/>
              <w:rPr>
                <w:sz w:val="20"/>
                <w:szCs w:val="20"/>
                <w:color w:val="auto"/>
              </w:rPr>
            </w:pPr>
            <w:r>
              <w:rPr>
                <w:rFonts w:ascii="Arial" w:cs="Arial" w:eastAsia="Arial" w:hAnsi="Arial"/>
                <w:sz w:val="18"/>
                <w:szCs w:val="18"/>
                <w:color w:val="auto"/>
              </w:rPr>
              <w:t>Incorporated</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Mitsubishi UFJ Securities International plc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The Royal Bank of Scotland plc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UBS Securities LLC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Wachovia Capital Markets, LLC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BNY Capital Markets, Inc.</w:t>
            </w:r>
          </w:p>
        </w:tc>
      </w:tr>
      <w:tr>
        <w:trPr>
          <w:trHeight w:val="230"/>
        </w:trPr>
        <w:tc>
          <w:tcPr>
            <w:tcW w:w="2840" w:type="dxa"/>
            <w:vAlign w:val="bottom"/>
          </w:tcPr>
          <w:p>
            <w:pPr>
              <w:spacing w:after="0"/>
              <w:rPr>
                <w:sz w:val="20"/>
                <w:szCs w:val="20"/>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SunTrust Capital Markets, Inc.</w:t>
            </w:r>
          </w:p>
        </w:tc>
      </w:tr>
      <w:tr>
        <w:trPr>
          <w:trHeight w:val="418"/>
        </w:trPr>
        <w:tc>
          <w:tcPr>
            <w:tcW w:w="2840" w:type="dxa"/>
            <w:vAlign w:val="bottom"/>
          </w:tcPr>
          <w:p>
            <w:pPr>
              <w:spacing w:after="0"/>
              <w:rPr>
                <w:sz w:val="20"/>
                <w:szCs w:val="20"/>
                <w:color w:val="auto"/>
              </w:rPr>
            </w:pPr>
            <w:r>
              <w:rPr>
                <w:rFonts w:ascii="Arial" w:cs="Arial" w:eastAsia="Arial" w:hAnsi="Arial"/>
                <w:sz w:val="18"/>
                <w:szCs w:val="18"/>
                <w:b w:val="1"/>
                <w:bCs w:val="1"/>
                <w:color w:val="auto"/>
              </w:rPr>
              <w:t>Junior Co-Managers:</w:t>
            </w:r>
          </w:p>
        </w:tc>
        <w:tc>
          <w:tcPr>
            <w:tcW w:w="8580" w:type="dxa"/>
            <w:vAlign w:val="bottom"/>
          </w:tcPr>
          <w:p>
            <w:pPr>
              <w:ind w:left="1160"/>
              <w:spacing w:after="0"/>
              <w:rPr>
                <w:sz w:val="20"/>
                <w:szCs w:val="20"/>
                <w:color w:val="auto"/>
              </w:rPr>
            </w:pPr>
            <w:r>
              <w:rPr>
                <w:rFonts w:ascii="Arial" w:cs="Arial" w:eastAsia="Arial" w:hAnsi="Arial"/>
                <w:sz w:val="18"/>
                <w:szCs w:val="18"/>
                <w:color w:val="auto"/>
              </w:rPr>
              <w:t>Guzman &amp; Company</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Samuel A. Ramirez &amp; Co.,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The Williams Capital Group, L.P.</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Blaylock &amp; Company,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Cabrera Capital Markets, Inc.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Loop Capital Markets, LLC</w:t>
            </w:r>
          </w:p>
        </w:tc>
      </w:tr>
      <w:tr>
        <w:trPr>
          <w:trHeight w:val="216"/>
        </w:trPr>
        <w:tc>
          <w:tcPr>
            <w:tcW w:w="2840" w:type="dxa"/>
            <w:vAlign w:val="bottom"/>
          </w:tcPr>
          <w:p>
            <w:pPr>
              <w:spacing w:after="0"/>
              <w:rPr>
                <w:sz w:val="18"/>
                <w:szCs w:val="18"/>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Muriel Siebert &amp; Co., Inc.</w:t>
            </w:r>
          </w:p>
        </w:tc>
      </w:tr>
      <w:tr>
        <w:trPr>
          <w:trHeight w:val="230"/>
        </w:trPr>
        <w:tc>
          <w:tcPr>
            <w:tcW w:w="2840" w:type="dxa"/>
            <w:vAlign w:val="bottom"/>
          </w:tcPr>
          <w:p>
            <w:pPr>
              <w:spacing w:after="0"/>
              <w:rPr>
                <w:sz w:val="20"/>
                <w:szCs w:val="20"/>
                <w:color w:val="auto"/>
              </w:rPr>
            </w:pPr>
          </w:p>
        </w:tc>
        <w:tc>
          <w:tcPr>
            <w:tcW w:w="8580" w:type="dxa"/>
            <w:vAlign w:val="bottom"/>
          </w:tcPr>
          <w:p>
            <w:pPr>
              <w:ind w:left="1160"/>
              <w:spacing w:after="0"/>
              <w:rPr>
                <w:sz w:val="20"/>
                <w:szCs w:val="20"/>
                <w:color w:val="auto"/>
              </w:rPr>
            </w:pPr>
            <w:r>
              <w:rPr>
                <w:rFonts w:ascii="Arial" w:cs="Arial" w:eastAsia="Arial" w:hAnsi="Arial"/>
                <w:sz w:val="18"/>
                <w:szCs w:val="18"/>
                <w:color w:val="auto"/>
              </w:rPr>
              <w:t>M.R. Beal &amp; Company</w:t>
            </w: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Trade Date:</w:t>
            </w:r>
          </w:p>
        </w:tc>
        <w:tc>
          <w:tcPr>
            <w:tcW w:w="8580" w:type="dxa"/>
            <w:vAlign w:val="bottom"/>
          </w:tcPr>
          <w:p>
            <w:pPr>
              <w:ind w:left="1160"/>
              <w:spacing w:after="0"/>
              <w:rPr>
                <w:sz w:val="20"/>
                <w:szCs w:val="20"/>
                <w:color w:val="auto"/>
              </w:rPr>
            </w:pPr>
            <w:r>
              <w:rPr>
                <w:rFonts w:ascii="Arial" w:cs="Arial" w:eastAsia="Arial" w:hAnsi="Arial"/>
                <w:sz w:val="18"/>
                <w:szCs w:val="18"/>
                <w:color w:val="auto"/>
              </w:rPr>
              <w:t>August 20, 2007</w:t>
            </w:r>
          </w:p>
        </w:tc>
      </w:tr>
      <w:tr>
        <w:trPr>
          <w:trHeight w:val="432"/>
        </w:trPr>
        <w:tc>
          <w:tcPr>
            <w:tcW w:w="2840" w:type="dxa"/>
            <w:vAlign w:val="bottom"/>
          </w:tcPr>
          <w:p>
            <w:pPr>
              <w:spacing w:after="0"/>
              <w:rPr>
                <w:sz w:val="20"/>
                <w:szCs w:val="20"/>
                <w:color w:val="auto"/>
              </w:rPr>
            </w:pPr>
            <w:r>
              <w:rPr>
                <w:rFonts w:ascii="Arial" w:cs="Arial" w:eastAsia="Arial" w:hAnsi="Arial"/>
                <w:sz w:val="18"/>
                <w:szCs w:val="18"/>
                <w:b w:val="1"/>
                <w:bCs w:val="1"/>
                <w:color w:val="auto"/>
              </w:rPr>
              <w:t>Settlement Date:</w:t>
            </w:r>
          </w:p>
        </w:tc>
        <w:tc>
          <w:tcPr>
            <w:tcW w:w="8580" w:type="dxa"/>
            <w:vAlign w:val="bottom"/>
          </w:tcPr>
          <w:p>
            <w:pPr>
              <w:ind w:left="1160"/>
              <w:spacing w:after="0"/>
              <w:rPr>
                <w:sz w:val="20"/>
                <w:szCs w:val="20"/>
                <w:color w:val="auto"/>
              </w:rPr>
            </w:pPr>
            <w:r>
              <w:rPr>
                <w:rFonts w:ascii="Arial" w:cs="Arial" w:eastAsia="Arial" w:hAnsi="Arial"/>
                <w:sz w:val="18"/>
                <w:szCs w:val="18"/>
                <w:color w:val="auto"/>
              </w:rPr>
              <w:t>August 23, 2007 (T+3)</w:t>
            </w:r>
          </w:p>
        </w:tc>
      </w:tr>
      <w:tr>
        <w:trPr>
          <w:trHeight w:val="405"/>
        </w:trPr>
        <w:tc>
          <w:tcPr>
            <w:tcW w:w="2840" w:type="dxa"/>
            <w:vAlign w:val="bottom"/>
          </w:tcPr>
          <w:p>
            <w:pPr>
              <w:spacing w:after="0"/>
              <w:rPr>
                <w:sz w:val="24"/>
                <w:szCs w:val="24"/>
                <w:color w:val="auto"/>
              </w:rPr>
            </w:pPr>
          </w:p>
        </w:tc>
        <w:tc>
          <w:tcPr>
            <w:tcW w:w="8580" w:type="dxa"/>
            <w:vAlign w:val="bottom"/>
          </w:tcPr>
          <w:p>
            <w:pPr>
              <w:ind w:left="2820"/>
              <w:spacing w:after="0"/>
              <w:rPr>
                <w:sz w:val="20"/>
                <w:szCs w:val="20"/>
                <w:color w:val="auto"/>
              </w:rPr>
            </w:pPr>
            <w:r>
              <w:rPr>
                <w:rFonts w:ascii="Arial" w:cs="Arial" w:eastAsia="Arial" w:hAnsi="Arial"/>
                <w:sz w:val="18"/>
                <w:szCs w:val="18"/>
                <w:color w:val="auto"/>
              </w:rPr>
              <w:t>2</w:t>
            </w:r>
          </w:p>
        </w:tc>
      </w:tr>
      <w:tr>
        <w:trPr>
          <w:trHeight w:val="226"/>
        </w:trPr>
        <w:tc>
          <w:tcPr>
            <w:tcW w:w="2840" w:type="dxa"/>
            <w:vAlign w:val="bottom"/>
            <w:tcBorders>
              <w:bottom w:val="single" w:sz="8" w:color="808080"/>
            </w:tcBorders>
          </w:tcPr>
          <w:p>
            <w:pPr>
              <w:spacing w:after="0"/>
              <w:rPr>
                <w:sz w:val="19"/>
                <w:szCs w:val="19"/>
                <w:color w:val="auto"/>
              </w:rPr>
            </w:pPr>
          </w:p>
        </w:tc>
        <w:tc>
          <w:tcPr>
            <w:tcW w:w="85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6.</w:t>
            </w:r>
            <w:r>
              <w:rPr>
                <w:rFonts w:ascii="Arial" w:cs="Arial" w:eastAsia="Arial" w:hAnsi="Arial"/>
                <w:sz w:val="18"/>
                <w:szCs w:val="18"/>
                <w:b w:val="1"/>
                <w:bCs w:val="1"/>
                <w:u w:val="single" w:color="auto"/>
                <w:color w:val="auto"/>
                <w:w w:val="90"/>
              </w:rPr>
              <w:t>30%</w:t>
            </w:r>
            <w:r>
              <w:rPr>
                <w:rFonts w:ascii="Arial" w:cs="Arial" w:eastAsia="Arial" w:hAnsi="Arial"/>
                <w:sz w:val="18"/>
                <w:szCs w:val="18"/>
                <w:b w:val="1"/>
                <w:bCs w:val="1"/>
                <w:color w:val="auto"/>
                <w:w w:val="90"/>
              </w:rPr>
              <w:t xml:space="preserve"> Notes Due 2017</w:t>
            </w:r>
          </w:p>
        </w:tc>
        <w:tc>
          <w:tcPr>
            <w:tcW w:w="1400" w:type="dxa"/>
            <w:vAlign w:val="bottom"/>
          </w:tcPr>
          <w:p>
            <w:pPr>
              <w:spacing w:after="0"/>
              <w:rPr>
                <w:sz w:val="17"/>
                <w:szCs w:val="17"/>
                <w:color w:val="auto"/>
              </w:rPr>
            </w:pPr>
          </w:p>
        </w:tc>
        <w:tc>
          <w:tcPr>
            <w:tcW w:w="8280" w:type="dxa"/>
            <w:vAlign w:val="bottom"/>
          </w:tcPr>
          <w:p>
            <w:pPr>
              <w:spacing w:after="0"/>
              <w:rPr>
                <w:sz w:val="17"/>
                <w:szCs w:val="17"/>
                <w:color w:val="auto"/>
              </w:rPr>
            </w:pPr>
          </w:p>
        </w:tc>
      </w:tr>
      <w:tr>
        <w:trPr>
          <w:trHeight w:val="453"/>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Aggregate Principal Amount:</w:t>
            </w:r>
          </w:p>
        </w:tc>
        <w:tc>
          <w:tcPr>
            <w:tcW w:w="8280" w:type="dxa"/>
            <w:vAlign w:val="bottom"/>
          </w:tcPr>
          <w:p>
            <w:pPr>
              <w:ind w:left="860"/>
              <w:spacing w:after="0"/>
              <w:rPr>
                <w:sz w:val="20"/>
                <w:szCs w:val="20"/>
                <w:color w:val="auto"/>
              </w:rPr>
            </w:pPr>
            <w:r>
              <w:rPr>
                <w:rFonts w:ascii="Arial" w:cs="Arial" w:eastAsia="Arial" w:hAnsi="Arial"/>
                <w:sz w:val="18"/>
                <w:szCs w:val="18"/>
                <w:color w:val="auto"/>
              </w:rPr>
              <w:t>$1,000,000,000</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Maturity:</w:t>
            </w:r>
          </w:p>
        </w:tc>
        <w:tc>
          <w:tcPr>
            <w:tcW w:w="8280" w:type="dxa"/>
            <w:vAlign w:val="bottom"/>
          </w:tcPr>
          <w:p>
            <w:pPr>
              <w:ind w:left="860"/>
              <w:spacing w:after="0"/>
              <w:rPr>
                <w:sz w:val="20"/>
                <w:szCs w:val="20"/>
                <w:color w:val="auto"/>
              </w:rPr>
            </w:pPr>
            <w:r>
              <w:rPr>
                <w:rFonts w:ascii="Arial" w:cs="Arial" w:eastAsia="Arial" w:hAnsi="Arial"/>
                <w:sz w:val="18"/>
                <w:szCs w:val="18"/>
                <w:color w:val="auto"/>
              </w:rPr>
              <w:t>November 15, 2017</w:t>
            </w:r>
          </w:p>
        </w:tc>
      </w:tr>
      <w:tr>
        <w:trPr>
          <w:trHeight w:val="418"/>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Interest Rate:</w:t>
            </w:r>
          </w:p>
        </w:tc>
        <w:tc>
          <w:tcPr>
            <w:tcW w:w="8280" w:type="dxa"/>
            <w:vAlign w:val="bottom"/>
          </w:tcPr>
          <w:p>
            <w:pPr>
              <w:ind w:left="860"/>
              <w:spacing w:after="0"/>
              <w:rPr>
                <w:sz w:val="20"/>
                <w:szCs w:val="20"/>
                <w:color w:val="auto"/>
              </w:rPr>
            </w:pPr>
            <w:r>
              <w:rPr>
                <w:rFonts w:ascii="Arial" w:cs="Arial" w:eastAsia="Arial" w:hAnsi="Arial"/>
                <w:sz w:val="18"/>
                <w:szCs w:val="18"/>
                <w:color w:val="auto"/>
              </w:rPr>
              <w:t>6.30% per annum, accruing from August 23, 2007 (calculated on the basis of a 360-day year</w:t>
            </w:r>
          </w:p>
        </w:tc>
      </w:tr>
      <w:tr>
        <w:trPr>
          <w:trHeight w:val="230"/>
        </w:trPr>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rPr>
              <w:t>consisting of twelve 30-day months)</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8280" w:type="dxa"/>
            <w:vAlign w:val="bottom"/>
          </w:tcPr>
          <w:p>
            <w:pPr>
              <w:ind w:left="860"/>
              <w:spacing w:after="0"/>
              <w:rPr>
                <w:sz w:val="20"/>
                <w:szCs w:val="20"/>
                <w:color w:val="auto"/>
              </w:rPr>
            </w:pPr>
            <w:r>
              <w:rPr>
                <w:rFonts w:ascii="Arial" w:cs="Arial" w:eastAsia="Arial" w:hAnsi="Arial"/>
                <w:sz w:val="18"/>
                <w:szCs w:val="18"/>
                <w:color w:val="auto"/>
              </w:rPr>
              <w:t>May 15 and November 15 commencing November 15, 2007</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Pricing Benchmark:</w:t>
            </w:r>
          </w:p>
        </w:tc>
        <w:tc>
          <w:tcPr>
            <w:tcW w:w="8280" w:type="dxa"/>
            <w:vAlign w:val="bottom"/>
          </w:tcPr>
          <w:p>
            <w:pPr>
              <w:ind w:left="860"/>
              <w:spacing w:after="0"/>
              <w:rPr>
                <w:sz w:val="20"/>
                <w:szCs w:val="20"/>
                <w:color w:val="auto"/>
              </w:rPr>
            </w:pPr>
            <w:r>
              <w:rPr>
                <w:rFonts w:ascii="Arial" w:cs="Arial" w:eastAsia="Arial" w:hAnsi="Arial"/>
                <w:sz w:val="18"/>
                <w:szCs w:val="18"/>
                <w:color w:val="auto"/>
              </w:rPr>
              <w:t>T 4.75% due August 15, 2017</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UST Spot (Yield):</w:t>
            </w:r>
          </w:p>
        </w:tc>
        <w:tc>
          <w:tcPr>
            <w:tcW w:w="8280" w:type="dxa"/>
            <w:vAlign w:val="bottom"/>
          </w:tcPr>
          <w:p>
            <w:pPr>
              <w:ind w:left="860"/>
              <w:spacing w:after="0"/>
              <w:rPr>
                <w:sz w:val="20"/>
                <w:szCs w:val="20"/>
                <w:color w:val="auto"/>
              </w:rPr>
            </w:pPr>
            <w:r>
              <w:rPr>
                <w:rFonts w:ascii="Arial" w:cs="Arial" w:eastAsia="Arial" w:hAnsi="Arial"/>
                <w:sz w:val="18"/>
                <w:szCs w:val="18"/>
                <w:color w:val="auto"/>
              </w:rPr>
              <w:t>4.634%</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w:t>
            </w:r>
          </w:p>
        </w:tc>
        <w:tc>
          <w:tcPr>
            <w:tcW w:w="8280" w:type="dxa"/>
            <w:vAlign w:val="bottom"/>
          </w:tcPr>
          <w:p>
            <w:pPr>
              <w:ind w:left="860"/>
              <w:spacing w:after="0"/>
              <w:rPr>
                <w:sz w:val="20"/>
                <w:szCs w:val="20"/>
                <w:color w:val="auto"/>
              </w:rPr>
            </w:pPr>
            <w:r>
              <w:rPr>
                <w:rFonts w:ascii="Arial" w:cs="Arial" w:eastAsia="Arial" w:hAnsi="Arial"/>
                <w:sz w:val="18"/>
                <w:szCs w:val="18"/>
                <w:color w:val="auto"/>
              </w:rPr>
              <w:t>+170 bps</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8280" w:type="dxa"/>
            <w:vAlign w:val="bottom"/>
          </w:tcPr>
          <w:p>
            <w:pPr>
              <w:ind w:left="860"/>
              <w:spacing w:after="0"/>
              <w:rPr>
                <w:sz w:val="20"/>
                <w:szCs w:val="20"/>
                <w:color w:val="auto"/>
              </w:rPr>
            </w:pPr>
            <w:r>
              <w:rPr>
                <w:rFonts w:ascii="Arial" w:cs="Arial" w:eastAsia="Arial" w:hAnsi="Arial"/>
                <w:sz w:val="18"/>
                <w:szCs w:val="18"/>
                <w:color w:val="auto"/>
              </w:rPr>
              <w:t>6.334%</w:t>
            </w:r>
          </w:p>
        </w:tc>
      </w:tr>
      <w:tr>
        <w:trPr>
          <w:trHeight w:val="418"/>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Makewhole Redemption:</w:t>
            </w:r>
          </w:p>
        </w:tc>
        <w:tc>
          <w:tcPr>
            <w:tcW w:w="8280" w:type="dxa"/>
            <w:vAlign w:val="bottom"/>
          </w:tcPr>
          <w:p>
            <w:pPr>
              <w:ind w:left="860"/>
              <w:spacing w:after="0"/>
              <w:rPr>
                <w:sz w:val="20"/>
                <w:szCs w:val="20"/>
                <w:color w:val="auto"/>
              </w:rPr>
            </w:pPr>
            <w:r>
              <w:rPr>
                <w:rFonts w:ascii="Arial" w:cs="Arial" w:eastAsia="Arial" w:hAnsi="Arial"/>
                <w:sz w:val="18"/>
                <w:szCs w:val="18"/>
                <w:color w:val="auto"/>
                <w:w w:val="93"/>
              </w:rPr>
              <w:t>The 6.30% Notes due 2017 are redeemable at the option of the Company at any time, in whole or in</w:t>
            </w:r>
          </w:p>
        </w:tc>
      </w:tr>
      <w:tr>
        <w:trPr>
          <w:trHeight w:val="216"/>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w w:val="92"/>
              </w:rPr>
              <w:t>part, at a redemption price equal to the greater of (i) 100% of the principal amount of such notes and</w:t>
            </w:r>
          </w:p>
        </w:tc>
      </w:tr>
      <w:tr>
        <w:trPr>
          <w:trHeight w:val="216"/>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w w:val="91"/>
              </w:rPr>
              <w:t>(ii) the sum of the present values of remaining scheduled payments of principal and interest (exclusive</w:t>
            </w:r>
          </w:p>
        </w:tc>
      </w:tr>
      <w:tr>
        <w:trPr>
          <w:trHeight w:val="216"/>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w w:val="90"/>
              </w:rPr>
              <w:t>of interest accrued to the date of redemption) discounted to the redemption date on a semiannual basis</w:t>
            </w:r>
          </w:p>
        </w:tc>
      </w:tr>
      <w:tr>
        <w:trPr>
          <w:trHeight w:val="216"/>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w w:val="94"/>
              </w:rPr>
              <w:t>at the Treasury Rate plus 25 basis points, plus in each case accrued interest thereon to the date of</w:t>
            </w:r>
          </w:p>
        </w:tc>
      </w:tr>
      <w:tr>
        <w:trPr>
          <w:trHeight w:val="230"/>
        </w:trPr>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rPr>
              <w:t>redemption.</w:t>
            </w:r>
          </w:p>
        </w:tc>
      </w:tr>
      <w:tr>
        <w:trPr>
          <w:trHeight w:val="418"/>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Additional Issuances:</w:t>
            </w:r>
          </w:p>
        </w:tc>
        <w:tc>
          <w:tcPr>
            <w:tcW w:w="8280" w:type="dxa"/>
            <w:vAlign w:val="bottom"/>
          </w:tcPr>
          <w:p>
            <w:pPr>
              <w:ind w:left="860"/>
              <w:spacing w:after="0"/>
              <w:rPr>
                <w:sz w:val="20"/>
                <w:szCs w:val="20"/>
                <w:color w:val="auto"/>
              </w:rPr>
            </w:pPr>
            <w:r>
              <w:rPr>
                <w:rFonts w:ascii="Arial" w:cs="Arial" w:eastAsia="Arial" w:hAnsi="Arial"/>
                <w:sz w:val="18"/>
                <w:szCs w:val="18"/>
                <w:color w:val="auto"/>
                <w:w w:val="91"/>
              </w:rPr>
              <w:t>An unlimited amount of additional 6.30% Notes due 2017 may be issued. The 6.30% Notes due 2017</w:t>
            </w:r>
          </w:p>
        </w:tc>
      </w:tr>
      <w:tr>
        <w:trPr>
          <w:trHeight w:val="216"/>
        </w:trPr>
        <w:tc>
          <w:tcPr>
            <w:tcW w:w="17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w w:val="92"/>
              </w:rPr>
              <w:t>and any additional 6.30% Notes due 2017 that may be issued will be treated as a single series for all</w:t>
            </w:r>
          </w:p>
        </w:tc>
      </w:tr>
      <w:tr>
        <w:trPr>
          <w:trHeight w:val="230"/>
        </w:trPr>
        <w:tc>
          <w:tcPr>
            <w:tcW w:w="1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80" w:type="dxa"/>
            <w:vAlign w:val="bottom"/>
          </w:tcPr>
          <w:p>
            <w:pPr>
              <w:ind w:left="860"/>
              <w:spacing w:after="0"/>
              <w:rPr>
                <w:sz w:val="20"/>
                <w:szCs w:val="20"/>
                <w:color w:val="auto"/>
              </w:rPr>
            </w:pPr>
            <w:r>
              <w:rPr>
                <w:rFonts w:ascii="Arial" w:cs="Arial" w:eastAsia="Arial" w:hAnsi="Arial"/>
                <w:sz w:val="18"/>
                <w:szCs w:val="18"/>
                <w:color w:val="auto"/>
              </w:rPr>
              <w:t>purposes under the indenture.</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CUSIP Number:</w:t>
            </w:r>
          </w:p>
        </w:tc>
        <w:tc>
          <w:tcPr>
            <w:tcW w:w="8280" w:type="dxa"/>
            <w:vAlign w:val="bottom"/>
          </w:tcPr>
          <w:p>
            <w:pPr>
              <w:ind w:left="860"/>
              <w:spacing w:after="0"/>
              <w:rPr>
                <w:sz w:val="20"/>
                <w:szCs w:val="20"/>
                <w:color w:val="auto"/>
              </w:rPr>
            </w:pPr>
            <w:r>
              <w:rPr>
                <w:rFonts w:ascii="Arial" w:cs="Arial" w:eastAsia="Arial" w:hAnsi="Arial"/>
                <w:sz w:val="18"/>
                <w:szCs w:val="18"/>
                <w:color w:val="auto"/>
              </w:rPr>
              <w:t>20030N AU5</w:t>
            </w:r>
          </w:p>
        </w:tc>
      </w:tr>
      <w:tr>
        <w:trPr>
          <w:trHeight w:val="432"/>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Public Offering Price:</w:t>
            </w:r>
          </w:p>
        </w:tc>
        <w:tc>
          <w:tcPr>
            <w:tcW w:w="8280" w:type="dxa"/>
            <w:vAlign w:val="bottom"/>
          </w:tcPr>
          <w:p>
            <w:pPr>
              <w:ind w:left="860"/>
              <w:spacing w:after="0"/>
              <w:rPr>
                <w:sz w:val="20"/>
                <w:szCs w:val="20"/>
                <w:color w:val="auto"/>
              </w:rPr>
            </w:pPr>
            <w:r>
              <w:rPr>
                <w:rFonts w:ascii="Arial" w:cs="Arial" w:eastAsia="Arial" w:hAnsi="Arial"/>
                <w:sz w:val="18"/>
                <w:szCs w:val="18"/>
                <w:color w:val="auto"/>
              </w:rPr>
              <w:t>99.759% plus accrued interest, if any, from August</w:t>
            </w:r>
          </w:p>
        </w:tc>
      </w:tr>
      <w:tr>
        <w:trPr>
          <w:trHeight w:val="405"/>
        </w:trPr>
        <w:tc>
          <w:tcPr>
            <w:tcW w:w="1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80" w:type="dxa"/>
            <w:vAlign w:val="bottom"/>
          </w:tcPr>
          <w:p>
            <w:pPr>
              <w:ind w:left="2520"/>
              <w:spacing w:after="0"/>
              <w:rPr>
                <w:sz w:val="20"/>
                <w:szCs w:val="20"/>
                <w:color w:val="auto"/>
              </w:rPr>
            </w:pPr>
            <w:r>
              <w:rPr>
                <w:rFonts w:ascii="Arial" w:cs="Arial" w:eastAsia="Arial" w:hAnsi="Arial"/>
                <w:sz w:val="18"/>
                <w:szCs w:val="18"/>
                <w:color w:val="auto"/>
              </w:rPr>
              <w:t>3</w:t>
            </w:r>
          </w:p>
        </w:tc>
      </w:tr>
      <w:tr>
        <w:trPr>
          <w:trHeight w:val="226"/>
        </w:trPr>
        <w:tc>
          <w:tcPr>
            <w:tcW w:w="174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8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4" w:name="page5"/>
    <w:bookmarkEnd w:id="4"/>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Spread: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6.95% Notes Due 2037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UST Spot (Yield):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Redemption:</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8"/>
          <w:szCs w:val="18"/>
          <w:color w:val="auto"/>
        </w:rPr>
        <w:t>23, 2007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99.309% per $1,000 principal amount of 6.30% Notes due 2017; $993,090,000 total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$2,000,000,000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15, 2037</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6.95% per annum, accruing from August 23, 2007 (calculated on the basis of a 360-day year consisting of twelve 30-day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15 and August 15 commencing February 15,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 4.75% due February 15, 2037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4.977%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+199 bps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6.967%</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6.95% Notes due 2037 are redeemable at the option of the Company at any time, in whole or in part, at a redemption price equal to the greater of (i) 100% of the principal amount of such notes and</w:t>
      </w:r>
    </w:p>
    <w:p>
      <w:pPr>
        <w:jc w:val="both"/>
        <w:ind w:firstLine="6"/>
        <w:spacing w:after="0" w:line="254"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sum of the present values of remaining scheduled payments of principal and interest (exclusive of interest accrued to the date of redemption) discounted to the redemption date on a semiannual basis at the Treasury Rate plus 30 basis points, plus in each case accrued interest thereon to the date of redemption.</w:t>
      </w:r>
    </w:p>
    <w:p>
      <w:pPr>
        <w:spacing w:after="0" w:line="16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-2536190</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3280" w:space="720"/>
            <w:col w:w="7380"/>
          </w:cols>
          <w:pgMar w:left="240" w:top="1152" w:right="27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Additional Issuances:</w:t>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An unlimited amount of additional 6.95% Notes due 2037 may be issued. The 6.95% Notes due and any additional 6.95% Notes due 2037 that may be issued will be treated as a single series for all purposes under the indenture.</w:t>
      </w:r>
    </w:p>
    <w:p>
      <w:pPr>
        <w:spacing w:after="0" w:line="177" w:lineRule="exact"/>
        <w:rPr>
          <w:sz w:val="20"/>
          <w:szCs w:val="20"/>
          <w:color w:val="auto"/>
        </w:rPr>
      </w:pPr>
    </w:p>
    <w:p>
      <w:pPr>
        <w:sectPr>
          <w:pgSz w:w="11900" w:h="16838" w:orient="portrait"/>
          <w:cols w:equalWidth="0" w:num="2">
            <w:col w:w="3280" w:space="720"/>
            <w:col w:w="7260"/>
          </w:cols>
          <w:pgMar w:left="240" w:top="1364" w:right="399" w:bottom="1440" w:gutter="0" w:footer="0" w:header="0"/>
        </w:sectPr>
      </w:pPr>
    </w:p>
    <w:p>
      <w:pPr>
        <w:spacing w:after="0"/>
        <w:rPr>
          <w:sz w:val="20"/>
          <w:szCs w:val="20"/>
          <w:color w:val="auto"/>
        </w:rPr>
      </w:pPr>
      <w:r>
        <w:rPr>
          <w:rFonts w:ascii="Arial" w:cs="Arial" w:eastAsia="Arial" w:hAnsi="Arial"/>
          <w:sz w:val="17"/>
          <w:szCs w:val="17"/>
          <w:b w:val="1"/>
          <w:bCs w:val="1"/>
          <w:color w:val="auto"/>
        </w:rPr>
        <w:t>CUSIP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20030N AV3</w:t>
      </w:r>
    </w:p>
    <w:p>
      <w:pPr>
        <w:spacing w:after="0" w:line="207" w:lineRule="exact"/>
        <w:rPr>
          <w:sz w:val="20"/>
          <w:szCs w:val="20"/>
          <w:color w:val="auto"/>
        </w:rPr>
      </w:pPr>
    </w:p>
    <w:p>
      <w:pPr>
        <w:sectPr>
          <w:pgSz w:w="11900" w:h="16838" w:orient="portrait"/>
          <w:cols w:equalWidth="0" w:num="2">
            <w:col w:w="3280" w:space="720"/>
            <w:col w:w="7260"/>
          </w:cols>
          <w:pgMar w:left="240" w:top="1364" w:right="39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Public Offering Price: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99.790% plus accrued interest, if any, from August 23, 2007</w:t>
      </w:r>
    </w:p>
    <w:p>
      <w:pPr>
        <w:spacing w:after="0" w:line="200" w:lineRule="exact"/>
        <w:rPr>
          <w:sz w:val="20"/>
          <w:szCs w:val="20"/>
          <w:color w:val="auto"/>
        </w:rPr>
      </w:pPr>
    </w:p>
    <w:p>
      <w:pPr>
        <w:sectPr>
          <w:pgSz w:w="11900" w:h="16838" w:orient="portrait"/>
          <w:cols w:equalWidth="0" w:num="2">
            <w:col w:w="3280" w:space="720"/>
            <w:col w:w="7260"/>
          </w:cols>
          <w:pgMar w:left="240" w:top="1364" w:right="3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Gross Spread: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0.875%</w:t>
      </w:r>
    </w:p>
    <w:p>
      <w:pPr>
        <w:spacing w:after="0" w:line="200" w:lineRule="exact"/>
        <w:rPr>
          <w:sz w:val="20"/>
          <w:szCs w:val="20"/>
          <w:color w:val="auto"/>
        </w:rPr>
      </w:pPr>
    </w:p>
    <w:p>
      <w:pPr>
        <w:sectPr>
          <w:pgSz w:w="11900" w:h="16838" w:orient="portrait"/>
          <w:cols w:equalWidth="0" w:num="2">
            <w:col w:w="3280" w:space="720"/>
            <w:col w:w="7260"/>
          </w:cols>
          <w:pgMar w:left="240" w:top="1364" w:right="39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98.915% per $1,000 principal amount of 6.95% Notes due 2037; $1,978,300,000 total</w:t>
      </w:r>
    </w:p>
    <w:p>
      <w:pPr>
        <w:spacing w:after="0" w:line="140" w:lineRule="exact"/>
        <w:rPr>
          <w:sz w:val="20"/>
          <w:szCs w:val="20"/>
          <w:color w:val="auto"/>
        </w:rPr>
      </w:pPr>
    </w:p>
    <w:p>
      <w:pPr>
        <w:sectPr>
          <w:pgSz w:w="11900" w:h="16838" w:orient="portrait"/>
          <w:cols w:equalWidth="0" w:num="2">
            <w:col w:w="3280" w:space="720"/>
            <w:col w:w="7260"/>
          </w:cols>
          <w:pgMar w:left="240" w:top="1364" w:right="399" w:bottom="1440" w:gutter="0" w:footer="0" w:header="0"/>
          <w:type w:val="continuous"/>
        </w:sectPr>
      </w:pPr>
    </w:p>
    <w:p>
      <w:pPr>
        <w:spacing w:after="0" w:line="297"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Goldman, Sachs &amp; Co. toll-free at 866-471-2526, Barclays Capital Inc. toll free at 1-888-227-2275 (Ext 2663), or Morgan Stanley &amp; Co. Incorporated toll-free at 1-866-718-1649.</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sectPr>
      <w:pgSz w:w="11900" w:h="16838" w:orient="portrait"/>
      <w:cols w:equalWidth="0" w:num="1">
        <w:col w:w="11260"/>
      </w:cols>
      <w:pgMar w:left="240" w:top="1364"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2019-12-15T06:53:13Z</dcterms:created>
  <dcterms:modified xsi:type="dcterms:W3CDTF">2019-12-15T06:53:13Z</dcterms:modified>
</cp:coreProperties>
</file>