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78105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52" w:lineRule="exact"/>
        <w:rPr>
          <w:sz w:val="24"/>
          <w:szCs w:val="24"/>
          <w:color w:val="auto"/>
        </w:rPr>
      </w:pPr>
    </w:p>
    <w:p>
      <w:pPr>
        <w:ind w:left="4000" w:right="3400" w:hanging="3087"/>
        <w:spacing w:after="0" w:line="307" w:lineRule="auto"/>
        <w:tabs>
          <w:tab w:leader="none" w:pos="135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2013</w:t>
      </w:r>
    </w:p>
    <w:p>
      <w:pPr>
        <w:spacing w:after="0" w:line="169" w:lineRule="exact"/>
        <w:rPr>
          <w:sz w:val="24"/>
          <w:szCs w:val="24"/>
          <w:color w:val="auto"/>
        </w:rPr>
      </w:pPr>
    </w:p>
    <w:p>
      <w:pPr>
        <w:ind w:left="1360" w:hanging="447"/>
        <w:spacing w:after="0"/>
        <w:tabs>
          <w:tab w:leader="none" w:pos="13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54" w:lineRule="exact"/>
        <w:rPr>
          <w:sz w:val="24"/>
          <w:szCs w:val="24"/>
          <w:color w:val="auto"/>
        </w:rPr>
      </w:pPr>
    </w:p>
    <w:p>
      <w:pPr>
        <w:ind w:left="3600"/>
        <w:spacing w:after="0"/>
        <w:tabs>
          <w:tab w:leader="none" w:pos="6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1440815"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50609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6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900"/>
        <w:spacing w:after="0"/>
        <w:rPr>
          <w:sz w:val="20"/>
          <w:szCs w:val="20"/>
          <w:color w:val="auto"/>
        </w:rPr>
      </w:pPr>
      <w:r>
        <w:rPr>
          <w:rFonts w:ascii="Arial" w:cs="Arial" w:eastAsia="Arial" w:hAnsi="Arial"/>
          <w:sz w:val="12"/>
          <w:szCs w:val="12"/>
          <w:b w:val="1"/>
          <w:bCs w:val="1"/>
          <w:color w:val="auto"/>
        </w:rPr>
        <w:t>Registrant; State of Incorporation; Address and</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4"/>
          <w:szCs w:val="14"/>
          <w:b w:val="1"/>
          <w:bCs w:val="1"/>
          <w:color w:val="auto"/>
        </w:rPr>
        <w:t>Telephone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60" w:lineRule="exact"/>
        <w:rPr>
          <w:sz w:val="24"/>
          <w:szCs w:val="24"/>
          <w:color w:val="auto"/>
        </w:rPr>
      </w:pPr>
    </w:p>
    <w:p>
      <w:pPr>
        <w:sectPr>
          <w:pgSz w:w="11900" w:h="16838" w:orient="portrait"/>
          <w:cols w:equalWidth="0" w:num="3">
            <w:col w:w="3480" w:space="720"/>
            <w:col w:w="3960" w:space="720"/>
            <w:col w:w="254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0"/>
        </w:trPr>
        <w:tc>
          <w:tcPr>
            <w:tcW w:w="2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340" w:type="dxa"/>
            <w:vAlign w:val="bottom"/>
            <w:gridSpan w:val="2"/>
            <w:shd w:val="clear" w:color="auto" w:fill="000000"/>
          </w:tcPr>
          <w:p>
            <w:pPr>
              <w:jc w:val="center"/>
              <w:ind w:left="117"/>
              <w:spacing w:after="0"/>
              <w:rPr>
                <w:sz w:val="20"/>
                <w:szCs w:val="20"/>
                <w:color w:val="auto"/>
              </w:rPr>
            </w:pPr>
            <w:r>
              <w:rPr>
                <w:rFonts w:ascii="Arial" w:cs="Arial" w:eastAsia="Arial" w:hAnsi="Arial"/>
                <w:sz w:val="1"/>
                <w:szCs w:val="1"/>
                <w:b w:val="1"/>
                <w:bCs w:val="1"/>
                <w:color w:val="auto"/>
              </w:rPr>
              <w:t>COMCAST CORPORATION</w:t>
            </w: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80" w:type="dxa"/>
            <w:vAlign w:val="bottom"/>
          </w:tcPr>
          <w:p>
            <w:pPr>
              <w:jc w:val="right"/>
              <w:ind w:right="292"/>
              <w:spacing w:after="0"/>
              <w:rPr>
                <w:sz w:val="20"/>
                <w:szCs w:val="20"/>
                <w:color w:val="auto"/>
              </w:rPr>
            </w:pPr>
            <w:r>
              <w:rPr>
                <w:rFonts w:ascii="Arial" w:cs="Arial" w:eastAsia="Arial" w:hAnsi="Arial"/>
                <w:sz w:val="14"/>
                <w:szCs w:val="14"/>
                <w:color w:val="auto"/>
              </w:rPr>
              <w:t>001-32871</w:t>
            </w:r>
          </w:p>
        </w:tc>
        <w:tc>
          <w:tcPr>
            <w:tcW w:w="1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ind w:left="1940"/>
              <w:spacing w:after="0"/>
              <w:rPr>
                <w:sz w:val="20"/>
                <w:szCs w:val="20"/>
                <w:color w:val="auto"/>
              </w:rPr>
            </w:pPr>
            <w:r>
              <w:rPr>
                <w:rFonts w:ascii="Arial" w:cs="Arial" w:eastAsia="Arial" w:hAnsi="Arial"/>
                <w:sz w:val="14"/>
                <w:szCs w:val="14"/>
                <w:color w:val="auto"/>
              </w:rPr>
              <w:t>27-0000798</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940" w:type="dxa"/>
            <w:vAlign w:val="bottom"/>
          </w:tcPr>
          <w:p>
            <w:pPr>
              <w:jc w:val="center"/>
              <w:ind w:left="537"/>
              <w:spacing w:after="0"/>
              <w:rPr>
                <w:sz w:val="20"/>
                <w:szCs w:val="20"/>
                <w:color w:val="auto"/>
              </w:rPr>
            </w:pPr>
            <w:r>
              <w:rPr>
                <w:rFonts w:ascii="Arial" w:cs="Arial" w:eastAsia="Arial" w:hAnsi="Arial"/>
                <w:sz w:val="14"/>
                <w:szCs w:val="14"/>
                <w:color w:val="auto"/>
                <w:w w:val="94"/>
              </w:rPr>
              <w:t>PENNSYLVANIA</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40" w:type="dxa"/>
            <w:vAlign w:val="bottom"/>
          </w:tcPr>
          <w:p>
            <w:pPr>
              <w:jc w:val="center"/>
              <w:ind w:left="537"/>
              <w:spacing w:after="0" w:line="149" w:lineRule="exact"/>
              <w:rPr>
                <w:sz w:val="20"/>
                <w:szCs w:val="20"/>
                <w:color w:val="auto"/>
              </w:rPr>
            </w:pPr>
            <w:r>
              <w:rPr>
                <w:rFonts w:ascii="Arial" w:cs="Arial" w:eastAsia="Arial" w:hAnsi="Arial"/>
                <w:sz w:val="14"/>
                <w:szCs w:val="14"/>
                <w:color w:val="auto"/>
                <w:w w:val="95"/>
              </w:rPr>
              <w:t>One Comcast Center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40" w:type="dxa"/>
            <w:vAlign w:val="bottom"/>
          </w:tcPr>
          <w:p>
            <w:pPr>
              <w:jc w:val="center"/>
              <w:ind w:left="537"/>
              <w:spacing w:after="0" w:line="149" w:lineRule="exact"/>
              <w:rPr>
                <w:sz w:val="20"/>
                <w:szCs w:val="20"/>
                <w:color w:val="auto"/>
              </w:rPr>
            </w:pPr>
            <w:r>
              <w:rPr>
                <w:rFonts w:ascii="Arial" w:cs="Arial" w:eastAsia="Arial" w:hAnsi="Arial"/>
                <w:sz w:val="14"/>
                <w:szCs w:val="14"/>
                <w:color w:val="auto"/>
                <w:w w:val="95"/>
              </w:rPr>
              <w:t>Philadelphia, PA 19103-2838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4720" w:type="dxa"/>
            <w:vAlign w:val="bottom"/>
            <w:gridSpan w:val="2"/>
          </w:tcPr>
          <w:p>
            <w:pPr>
              <w:jc w:val="center"/>
              <w:ind w:left="2289"/>
              <w:spacing w:after="0" w:line="131" w:lineRule="exact"/>
              <w:rPr>
                <w:sz w:val="20"/>
                <w:szCs w:val="20"/>
                <w:color w:val="auto"/>
              </w:rPr>
            </w:pPr>
            <w:r>
              <w:rPr>
                <w:rFonts w:ascii="Arial" w:cs="Arial" w:eastAsia="Arial" w:hAnsi="Arial"/>
                <w:sz w:val="14"/>
                <w:szCs w:val="14"/>
                <w:color w:val="auto"/>
                <w:w w:val="96"/>
              </w:rPr>
              <w:t>(215) 286-1700</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180" w:type="dxa"/>
            <w:vAlign w:val="bottom"/>
            <w:vMerge w:val="restart"/>
          </w:tcPr>
          <w:p>
            <w:pPr>
              <w:jc w:val="right"/>
              <w:ind w:right="252"/>
              <w:spacing w:after="0"/>
              <w:rPr>
                <w:sz w:val="20"/>
                <w:szCs w:val="20"/>
                <w:color w:val="auto"/>
              </w:rPr>
            </w:pPr>
            <w:r>
              <w:rPr>
                <w:rFonts w:ascii="Arial" w:cs="Arial" w:eastAsia="Arial" w:hAnsi="Arial"/>
                <w:sz w:val="14"/>
                <w:szCs w:val="14"/>
                <w:color w:val="auto"/>
              </w:rPr>
              <w:t>333-174175</w:t>
            </w:r>
          </w:p>
        </w:tc>
        <w:tc>
          <w:tcPr>
            <w:tcW w:w="1780" w:type="dxa"/>
            <w:vAlign w:val="bottom"/>
          </w:tcPr>
          <w:p>
            <w:pPr>
              <w:spacing w:after="0"/>
              <w:rPr>
                <w:sz w:val="13"/>
                <w:szCs w:val="13"/>
                <w:color w:val="auto"/>
              </w:rPr>
            </w:pPr>
          </w:p>
        </w:tc>
        <w:tc>
          <w:tcPr>
            <w:tcW w:w="3340" w:type="dxa"/>
            <w:vAlign w:val="bottom"/>
            <w:gridSpan w:val="2"/>
          </w:tcPr>
          <w:p>
            <w:pPr>
              <w:jc w:val="center"/>
              <w:ind w:left="137"/>
              <w:spacing w:after="0" w:line="154" w:lineRule="exact"/>
              <w:rPr>
                <w:sz w:val="20"/>
                <w:szCs w:val="20"/>
                <w:color w:val="auto"/>
              </w:rPr>
            </w:pPr>
            <w:r>
              <w:rPr>
                <w:rFonts w:ascii="Arial" w:cs="Arial" w:eastAsia="Arial" w:hAnsi="Arial"/>
                <w:sz w:val="17"/>
                <w:szCs w:val="17"/>
                <w:b w:val="1"/>
                <w:bCs w:val="1"/>
                <w:color w:val="auto"/>
              </w:rPr>
              <w:t>NBCUniversal Media, LLC</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80" w:type="dxa"/>
            <w:vAlign w:val="bottom"/>
            <w:vMerge w:val="restart"/>
          </w:tcPr>
          <w:p>
            <w:pPr>
              <w:ind w:left="1940"/>
              <w:spacing w:after="0"/>
              <w:rPr>
                <w:sz w:val="20"/>
                <w:szCs w:val="20"/>
                <w:color w:val="auto"/>
              </w:rPr>
            </w:pPr>
            <w:r>
              <w:rPr>
                <w:rFonts w:ascii="Arial" w:cs="Arial" w:eastAsia="Arial" w:hAnsi="Arial"/>
                <w:sz w:val="14"/>
                <w:szCs w:val="14"/>
                <w:color w:val="auto"/>
              </w:rPr>
              <w:t>14-1682529</w:t>
            </w:r>
          </w:p>
        </w:tc>
        <w:tc>
          <w:tcPr>
            <w:tcW w:w="0" w:type="dxa"/>
            <w:vAlign w:val="bottom"/>
          </w:tcPr>
          <w:p>
            <w:pPr>
              <w:spacing w:after="0"/>
              <w:rPr>
                <w:sz w:val="1"/>
                <w:szCs w:val="1"/>
                <w:color w:val="auto"/>
              </w:rPr>
            </w:pPr>
          </w:p>
        </w:tc>
      </w:tr>
      <w:tr>
        <w:trPr>
          <w:trHeight w:val="40"/>
        </w:trPr>
        <w:tc>
          <w:tcPr>
            <w:tcW w:w="2180" w:type="dxa"/>
            <w:vAlign w:val="bottom"/>
            <w:vMerge w:val="continue"/>
          </w:tcPr>
          <w:p>
            <w:pPr>
              <w:spacing w:after="0"/>
              <w:rPr>
                <w:sz w:val="3"/>
                <w:szCs w:val="3"/>
                <w:color w:val="auto"/>
              </w:rPr>
            </w:pPr>
          </w:p>
        </w:tc>
        <w:tc>
          <w:tcPr>
            <w:tcW w:w="17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940" w:type="dxa"/>
            <w:vAlign w:val="bottom"/>
          </w:tcPr>
          <w:p>
            <w:pPr>
              <w:jc w:val="center"/>
              <w:ind w:left="537"/>
              <w:spacing w:after="0"/>
              <w:rPr>
                <w:sz w:val="20"/>
                <w:szCs w:val="20"/>
                <w:color w:val="auto"/>
              </w:rPr>
            </w:pPr>
            <w:r>
              <w:rPr>
                <w:rFonts w:ascii="Arial" w:cs="Arial" w:eastAsia="Arial" w:hAnsi="Arial"/>
                <w:sz w:val="14"/>
                <w:szCs w:val="14"/>
                <w:color w:val="auto"/>
                <w:w w:val="94"/>
              </w:rPr>
              <w:t>DELAWARE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40" w:type="dxa"/>
            <w:vAlign w:val="bottom"/>
          </w:tcPr>
          <w:p>
            <w:pPr>
              <w:jc w:val="center"/>
              <w:ind w:left="517"/>
              <w:spacing w:after="0" w:line="149" w:lineRule="exact"/>
              <w:rPr>
                <w:sz w:val="20"/>
                <w:szCs w:val="20"/>
                <w:color w:val="auto"/>
              </w:rPr>
            </w:pPr>
            <w:r>
              <w:rPr>
                <w:rFonts w:ascii="Arial" w:cs="Arial" w:eastAsia="Arial" w:hAnsi="Arial"/>
                <w:sz w:val="14"/>
                <w:szCs w:val="14"/>
                <w:color w:val="auto"/>
                <w:w w:val="96"/>
              </w:rPr>
              <w:t>30 Rockefeller Plaza</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40" w:type="dxa"/>
            <w:vAlign w:val="bottom"/>
          </w:tcPr>
          <w:p>
            <w:pPr>
              <w:jc w:val="center"/>
              <w:ind w:left="537"/>
              <w:spacing w:after="0" w:line="149" w:lineRule="exact"/>
              <w:rPr>
                <w:sz w:val="20"/>
                <w:szCs w:val="20"/>
                <w:color w:val="auto"/>
              </w:rPr>
            </w:pPr>
            <w:r>
              <w:rPr>
                <w:rFonts w:ascii="Arial" w:cs="Arial" w:eastAsia="Arial" w:hAnsi="Arial"/>
                <w:sz w:val="14"/>
                <w:szCs w:val="14"/>
                <w:color w:val="auto"/>
                <w:w w:val="94"/>
              </w:rPr>
              <w:t>New York, NY 10112-0015</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4720" w:type="dxa"/>
            <w:vAlign w:val="bottom"/>
            <w:gridSpan w:val="2"/>
          </w:tcPr>
          <w:p>
            <w:pPr>
              <w:jc w:val="center"/>
              <w:ind w:left="2289"/>
              <w:spacing w:after="0"/>
              <w:rPr>
                <w:sz w:val="20"/>
                <w:szCs w:val="20"/>
                <w:color w:val="auto"/>
              </w:rPr>
            </w:pPr>
            <w:r>
              <w:rPr>
                <w:rFonts w:ascii="Arial" w:cs="Arial" w:eastAsia="Arial" w:hAnsi="Arial"/>
                <w:sz w:val="14"/>
                <w:szCs w:val="14"/>
                <w:color w:val="auto"/>
                <w:w w:val="96"/>
              </w:rPr>
              <w:t>(212) 664-4444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520" w:type="dxa"/>
            <w:vAlign w:val="bottom"/>
            <w:tcBorders>
              <w:bottom w:val="single" w:sz="8" w:color="auto"/>
            </w:tcBorders>
            <w:gridSpan w:val="3"/>
          </w:tcPr>
          <w:p>
            <w:pPr>
              <w:spacing w:after="0"/>
              <w:rPr>
                <w:sz w:val="11"/>
                <w:szCs w:val="11"/>
                <w:color w:val="auto"/>
              </w:rPr>
            </w:pPr>
          </w:p>
        </w:tc>
        <w:tc>
          <w:tcPr>
            <w:tcW w:w="39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180" w:type="dxa"/>
            <w:vAlign w:val="bottom"/>
          </w:tcPr>
          <w:p>
            <w:pPr>
              <w:spacing w:after="0"/>
              <w:rPr>
                <w:sz w:val="21"/>
                <w:szCs w:val="21"/>
                <w:color w:val="auto"/>
              </w:rPr>
            </w:pPr>
          </w:p>
        </w:tc>
        <w:tc>
          <w:tcPr>
            <w:tcW w:w="9240" w:type="dxa"/>
            <w:vAlign w:val="bottom"/>
            <w:gridSpan w:val="6"/>
          </w:tcPr>
          <w:p>
            <w:pPr>
              <w:jc w:val="center"/>
              <w:ind w:right="2092"/>
              <w:spacing w:after="0"/>
              <w:rPr>
                <w:sz w:val="20"/>
                <w:szCs w:val="20"/>
                <w:color w:val="auto"/>
              </w:rPr>
            </w:pPr>
            <w:r>
              <w:rPr>
                <w:rFonts w:ascii="Arial" w:cs="Arial" w:eastAsia="Arial" w:hAnsi="Arial"/>
                <w:sz w:val="18"/>
                <w:szCs w:val="18"/>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Arial" w:cs="Arial" w:eastAsia="Arial" w:hAnsi="Arial"/>
                <w:sz w:val="14"/>
                <w:szCs w:val="14"/>
                <w:color w:val="auto"/>
              </w:rPr>
              <w:t>Comcast Corporation –</w:t>
            </w:r>
          </w:p>
        </w:tc>
        <w:tc>
          <w:tcPr>
            <w:tcW w:w="17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2"/>
          </w:tcPr>
          <w:p>
            <w:pPr>
              <w:jc w:val="center"/>
              <w:ind w:right="3177"/>
              <w:spacing w:after="0"/>
              <w:rPr>
                <w:sz w:val="20"/>
                <w:szCs w:val="20"/>
                <w:color w:val="auto"/>
              </w:rPr>
            </w:pPr>
            <w:r>
              <w:rPr>
                <w:rFonts w:ascii="Arial" w:cs="Arial" w:eastAsia="Arial" w:hAnsi="Arial"/>
                <w:sz w:val="14"/>
                <w:szCs w:val="14"/>
                <w:color w:val="auto"/>
                <w:w w:val="95"/>
              </w:rPr>
              <w:t>Title of Each Class</w:t>
            </w:r>
          </w:p>
        </w:tc>
        <w:tc>
          <w:tcPr>
            <w:tcW w:w="40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41"/>
        </w:trPr>
        <w:tc>
          <w:tcPr>
            <w:tcW w:w="6900" w:type="dxa"/>
            <w:vAlign w:val="bottom"/>
            <w:gridSpan w:val="3"/>
          </w:tcPr>
          <w:p>
            <w:pPr>
              <w:jc w:val="center"/>
              <w:ind w:right="997"/>
              <w:spacing w:after="0" w:line="141" w:lineRule="exact"/>
              <w:rPr>
                <w:sz w:val="20"/>
                <w:szCs w:val="20"/>
                <w:color w:val="auto"/>
              </w:rPr>
            </w:pPr>
            <w:r>
              <w:rPr>
                <w:rFonts w:ascii="Arial" w:cs="Arial" w:eastAsia="Arial" w:hAnsi="Arial"/>
                <w:sz w:val="14"/>
                <w:szCs w:val="14"/>
                <w:color w:val="auto"/>
                <w:w w:val="96"/>
              </w:rPr>
              <w:t>Class A Common Stock, $0.01 par value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ind w:left="160"/>
              <w:spacing w:after="0" w:line="141" w:lineRule="exact"/>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149"/>
        </w:trPr>
        <w:tc>
          <w:tcPr>
            <w:tcW w:w="6900" w:type="dxa"/>
            <w:vAlign w:val="bottom"/>
            <w:gridSpan w:val="3"/>
          </w:tcPr>
          <w:p>
            <w:pPr>
              <w:jc w:val="center"/>
              <w:ind w:right="997"/>
              <w:spacing w:after="0" w:line="149" w:lineRule="exact"/>
              <w:rPr>
                <w:sz w:val="20"/>
                <w:szCs w:val="20"/>
                <w:color w:val="auto"/>
              </w:rPr>
            </w:pPr>
            <w:r>
              <w:rPr>
                <w:rFonts w:ascii="Arial" w:cs="Arial" w:eastAsia="Arial" w:hAnsi="Arial"/>
                <w:sz w:val="14"/>
                <w:szCs w:val="14"/>
                <w:color w:val="auto"/>
                <w:w w:val="96"/>
              </w:rPr>
              <w:t>Class A Special Common Stock, $0.01 par value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r>
        <w:trPr>
          <w:trHeight w:val="149"/>
        </w:trPr>
        <w:tc>
          <w:tcPr>
            <w:tcW w:w="6900" w:type="dxa"/>
            <w:vAlign w:val="bottom"/>
            <w:gridSpan w:val="3"/>
          </w:tcPr>
          <w:p>
            <w:pPr>
              <w:jc w:val="center"/>
              <w:ind w:right="1017"/>
              <w:spacing w:after="0" w:line="149" w:lineRule="exact"/>
              <w:rPr>
                <w:sz w:val="20"/>
                <w:szCs w:val="20"/>
                <w:color w:val="auto"/>
              </w:rPr>
            </w:pPr>
            <w:r>
              <w:rPr>
                <w:rFonts w:ascii="Arial" w:cs="Arial" w:eastAsia="Arial" w:hAnsi="Arial"/>
                <w:sz w:val="14"/>
                <w:szCs w:val="14"/>
                <w:color w:val="auto"/>
                <w:w w:val="96"/>
              </w:rPr>
              <w:t>2.0% Exchangeable Subordinated Debentures due 2029</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ind w:left="300"/>
              <w:spacing w:after="0" w:line="149"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4720" w:type="dxa"/>
            <w:vAlign w:val="bottom"/>
            <w:gridSpan w:val="2"/>
          </w:tcPr>
          <w:p>
            <w:pPr>
              <w:jc w:val="center"/>
              <w:ind w:right="3177"/>
              <w:spacing w:after="0" w:line="149" w:lineRule="exact"/>
              <w:rPr>
                <w:sz w:val="20"/>
                <w:szCs w:val="20"/>
                <w:color w:val="auto"/>
              </w:rPr>
            </w:pPr>
            <w:r>
              <w:rPr>
                <w:rFonts w:ascii="Arial" w:cs="Arial" w:eastAsia="Arial" w:hAnsi="Arial"/>
                <w:sz w:val="14"/>
                <w:szCs w:val="14"/>
                <w:color w:val="auto"/>
                <w:w w:val="95"/>
              </w:rPr>
              <w:t>5.00% Notes due 2061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ind w:left="300"/>
              <w:spacing w:after="0" w:line="149"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4720" w:type="dxa"/>
            <w:vAlign w:val="bottom"/>
            <w:gridSpan w:val="2"/>
          </w:tcPr>
          <w:p>
            <w:pPr>
              <w:jc w:val="center"/>
              <w:ind w:right="3177"/>
              <w:spacing w:after="0" w:line="149" w:lineRule="exact"/>
              <w:rPr>
                <w:sz w:val="20"/>
                <w:szCs w:val="20"/>
                <w:color w:val="auto"/>
              </w:rPr>
            </w:pPr>
            <w:r>
              <w:rPr>
                <w:rFonts w:ascii="Arial" w:cs="Arial" w:eastAsia="Arial" w:hAnsi="Arial"/>
                <w:sz w:val="14"/>
                <w:szCs w:val="14"/>
                <w:color w:val="auto"/>
                <w:w w:val="95"/>
              </w:rPr>
              <w:t>5.50% Notes due 2029</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80" w:type="dxa"/>
            <w:vAlign w:val="bottom"/>
          </w:tcPr>
          <w:p>
            <w:pPr>
              <w:ind w:left="300"/>
              <w:spacing w:after="0" w:line="149" w:lineRule="exact"/>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62"/>
        </w:trPr>
        <w:tc>
          <w:tcPr>
            <w:tcW w:w="6900" w:type="dxa"/>
            <w:vAlign w:val="bottom"/>
            <w:gridSpan w:val="3"/>
          </w:tcPr>
          <w:p>
            <w:pPr>
              <w:jc w:val="center"/>
              <w:ind w:right="997"/>
              <w:spacing w:after="0"/>
              <w:rPr>
                <w:sz w:val="20"/>
                <w:szCs w:val="20"/>
                <w:color w:val="auto"/>
              </w:rPr>
            </w:pPr>
            <w:r>
              <w:rPr>
                <w:rFonts w:ascii="Arial" w:cs="Arial" w:eastAsia="Arial" w:hAnsi="Arial"/>
                <w:sz w:val="14"/>
                <w:szCs w:val="14"/>
                <w:color w:val="auto"/>
                <w:w w:val="96"/>
              </w:rPr>
              <w:t>9.455% Guaranteed Notes due 2022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ind w:left="30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w w:val="98"/>
              </w:rPr>
              <w:t>NBCUniversal Media, LLC – NONE</w:t>
            </w:r>
          </w:p>
        </w:tc>
        <w:tc>
          <w:tcPr>
            <w:tcW w:w="17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520" w:type="dxa"/>
            <w:vAlign w:val="bottom"/>
            <w:tcBorders>
              <w:bottom w:val="single" w:sz="8" w:color="auto"/>
            </w:tcBorders>
            <w:gridSpan w:val="3"/>
          </w:tcPr>
          <w:p>
            <w:pPr>
              <w:spacing w:after="0"/>
              <w:rPr>
                <w:sz w:val="9"/>
                <w:szCs w:val="9"/>
                <w:color w:val="auto"/>
              </w:rPr>
            </w:pPr>
          </w:p>
        </w:tc>
        <w:tc>
          <w:tcPr>
            <w:tcW w:w="3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180" w:type="dxa"/>
            <w:vAlign w:val="bottom"/>
          </w:tcPr>
          <w:p>
            <w:pPr>
              <w:spacing w:after="0"/>
              <w:rPr>
                <w:sz w:val="20"/>
                <w:szCs w:val="20"/>
                <w:color w:val="auto"/>
              </w:rPr>
            </w:pPr>
          </w:p>
        </w:tc>
        <w:tc>
          <w:tcPr>
            <w:tcW w:w="9240" w:type="dxa"/>
            <w:vAlign w:val="bottom"/>
            <w:gridSpan w:val="6"/>
          </w:tcPr>
          <w:p>
            <w:pPr>
              <w:jc w:val="center"/>
              <w:ind w:right="2092"/>
              <w:spacing w:after="0"/>
              <w:rPr>
                <w:sz w:val="20"/>
                <w:szCs w:val="20"/>
                <w:color w:val="auto"/>
              </w:rPr>
            </w:pPr>
            <w:r>
              <w:rPr>
                <w:rFonts w:ascii="Arial" w:cs="Arial" w:eastAsia="Arial" w:hAnsi="Arial"/>
                <w:sz w:val="18"/>
                <w:szCs w:val="18"/>
                <w:b w:val="1"/>
                <w:bCs w:val="1"/>
                <w:color w:val="auto"/>
                <w:w w:val="97"/>
              </w:rPr>
              <w:t>SECURITIES REGISTERED PURSUANT TO SECTION 12(g) OF THE ACT:</w:t>
            </w:r>
          </w:p>
        </w:tc>
        <w:tc>
          <w:tcPr>
            <w:tcW w:w="0" w:type="dxa"/>
            <w:vAlign w:val="bottom"/>
          </w:tcPr>
          <w:p>
            <w:pPr>
              <w:spacing w:after="0"/>
              <w:rPr>
                <w:sz w:val="1"/>
                <w:szCs w:val="1"/>
                <w:color w:val="auto"/>
              </w:rPr>
            </w:pPr>
          </w:p>
        </w:tc>
      </w:tr>
      <w:tr>
        <w:trPr>
          <w:trHeight w:val="177"/>
        </w:trPr>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40" w:type="dxa"/>
            <w:vAlign w:val="bottom"/>
          </w:tcPr>
          <w:p>
            <w:pPr>
              <w:jc w:val="center"/>
              <w:ind w:left="497"/>
              <w:spacing w:after="0"/>
              <w:rPr>
                <w:sz w:val="20"/>
                <w:szCs w:val="20"/>
                <w:color w:val="auto"/>
              </w:rPr>
            </w:pPr>
            <w:r>
              <w:rPr>
                <w:rFonts w:ascii="Arial" w:cs="Arial" w:eastAsia="Arial" w:hAnsi="Arial"/>
                <w:sz w:val="14"/>
                <w:szCs w:val="14"/>
                <w:color w:val="auto"/>
                <w:w w:val="96"/>
              </w:rPr>
              <w:t>Comcast Corporation – NONE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40" w:type="dxa"/>
            <w:vAlign w:val="bottom"/>
          </w:tcPr>
          <w:p>
            <w:pPr>
              <w:jc w:val="center"/>
              <w:ind w:left="517"/>
              <w:spacing w:after="0"/>
              <w:rPr>
                <w:sz w:val="20"/>
                <w:szCs w:val="20"/>
                <w:color w:val="auto"/>
              </w:rPr>
            </w:pPr>
            <w:r>
              <w:rPr>
                <w:rFonts w:ascii="Arial" w:cs="Arial" w:eastAsia="Arial" w:hAnsi="Arial"/>
                <w:sz w:val="14"/>
                <w:szCs w:val="14"/>
                <w:color w:val="auto"/>
                <w:w w:val="96"/>
              </w:rPr>
              <w:t>NBCUniversal Media, LLC – NONE</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60" w:type="dxa"/>
            <w:vAlign w:val="bottom"/>
            <w:gridSpan w:val="2"/>
          </w:tcPr>
          <w:p>
            <w:pPr>
              <w:spacing w:after="0"/>
              <w:rPr>
                <w:sz w:val="8"/>
                <w:szCs w:val="8"/>
                <w:color w:val="auto"/>
              </w:rPr>
            </w:pPr>
          </w:p>
        </w:tc>
        <w:tc>
          <w:tcPr>
            <w:tcW w:w="334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7300" w:type="dxa"/>
            <w:vAlign w:val="bottom"/>
            <w:gridSpan w:val="4"/>
          </w:tcPr>
          <w:p>
            <w:pPr>
              <w:spacing w:after="0"/>
              <w:rPr>
                <w:sz w:val="20"/>
                <w:szCs w:val="20"/>
                <w:color w:val="auto"/>
              </w:rPr>
            </w:pPr>
            <w:r>
              <w:rPr>
                <w:rFonts w:ascii="Arial" w:cs="Arial" w:eastAsia="Arial" w:hAnsi="Arial"/>
                <w:sz w:val="14"/>
                <w:szCs w:val="14"/>
                <w:color w:val="auto"/>
                <w:w w:val="99"/>
              </w:rPr>
              <w:t>Indicate by check mark if the Registrant is a well-known seasoned issuer, as defined in Rule 405 of the Securities Act.</w:t>
            </w:r>
          </w:p>
        </w:tc>
        <w:tc>
          <w:tcPr>
            <w:tcW w:w="340" w:type="dxa"/>
            <w:vAlign w:val="bottom"/>
            <w:gridSpan w:val="2"/>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vMerge w:val="restart"/>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4720" w:type="dxa"/>
            <w:vAlign w:val="bottom"/>
            <w:gridSpan w:val="2"/>
          </w:tcPr>
          <w:p>
            <w:pPr>
              <w:ind w:left="1020"/>
              <w:spacing w:after="0" w:line="136" w:lineRule="exact"/>
              <w:rPr>
                <w:sz w:val="20"/>
                <w:szCs w:val="20"/>
                <w:color w:val="auto"/>
              </w:rPr>
            </w:pPr>
            <w:r>
              <w:rPr>
                <w:rFonts w:ascii="Arial" w:cs="Arial" w:eastAsia="Arial" w:hAnsi="Arial"/>
                <w:sz w:val="14"/>
                <w:szCs w:val="14"/>
                <w:color w:val="auto"/>
              </w:rPr>
              <w:t>Comcast Corporation</w:t>
            </w:r>
          </w:p>
        </w:tc>
        <w:tc>
          <w:tcPr>
            <w:tcW w:w="400" w:type="dxa"/>
            <w:vAlign w:val="bottom"/>
          </w:tcPr>
          <w:p>
            <w:pPr>
              <w:ind w:left="120"/>
              <w:spacing w:after="0" w:line="136" w:lineRule="exact"/>
              <w:rPr>
                <w:sz w:val="20"/>
                <w:szCs w:val="20"/>
                <w:color w:val="auto"/>
              </w:rPr>
            </w:pPr>
            <w:r>
              <w:rPr>
                <w:rFonts w:ascii="Arial" w:cs="Arial" w:eastAsia="Arial" w:hAnsi="Arial"/>
                <w:sz w:val="14"/>
                <w:szCs w:val="14"/>
                <w:color w:val="auto"/>
              </w:rPr>
              <w:t>Yes</w:t>
            </w:r>
          </w:p>
        </w:tc>
        <w:tc>
          <w:tcPr>
            <w:tcW w:w="340" w:type="dxa"/>
            <w:vAlign w:val="bottom"/>
            <w:gridSpan w:val="2"/>
            <w:vMerge w:val="continue"/>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gridSpan w:val="2"/>
          </w:tcPr>
          <w:p>
            <w:pPr>
              <w:ind w:left="1020"/>
              <w:spacing w:after="0"/>
              <w:rPr>
                <w:sz w:val="20"/>
                <w:szCs w:val="20"/>
                <w:color w:val="auto"/>
              </w:rPr>
            </w:pPr>
            <w:r>
              <w:rPr>
                <w:rFonts w:ascii="Arial" w:cs="Arial" w:eastAsia="Arial" w:hAnsi="Arial"/>
                <w:sz w:val="14"/>
                <w:szCs w:val="14"/>
                <w:color w:val="auto"/>
              </w:rPr>
              <w:t>NBCUniversal Media, LLC</w:t>
            </w:r>
          </w:p>
        </w:tc>
        <w:tc>
          <w:tcPr>
            <w:tcW w:w="400" w:type="dxa"/>
            <w:vAlign w:val="bottom"/>
          </w:tcPr>
          <w:p>
            <w:pPr>
              <w:ind w:left="120"/>
              <w:spacing w:after="0"/>
              <w:rPr>
                <w:sz w:val="20"/>
                <w:szCs w:val="20"/>
                <w:color w:val="auto"/>
              </w:rPr>
            </w:pPr>
            <w:r>
              <w:rPr>
                <w:rFonts w:ascii="Arial" w:cs="Arial" w:eastAsia="Arial" w:hAnsi="Arial"/>
                <w:sz w:val="14"/>
                <w:szCs w:val="14"/>
                <w:color w:val="auto"/>
              </w:rPr>
              <w:t>Yes</w:t>
            </w:r>
          </w:p>
        </w:tc>
        <w:tc>
          <w:tcPr>
            <w:tcW w:w="340" w:type="dxa"/>
            <w:vAlign w:val="bottom"/>
            <w:gridSpan w:val="2"/>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7300" w:type="dxa"/>
            <w:vAlign w:val="bottom"/>
            <w:gridSpan w:val="4"/>
          </w:tcPr>
          <w:p>
            <w:pPr>
              <w:spacing w:after="0" w:line="149" w:lineRule="exact"/>
              <w:rPr>
                <w:sz w:val="20"/>
                <w:szCs w:val="20"/>
                <w:color w:val="auto"/>
              </w:rPr>
            </w:pPr>
            <w:r>
              <w:rPr>
                <w:rFonts w:ascii="Arial" w:cs="Arial" w:eastAsia="Arial" w:hAnsi="Arial"/>
                <w:sz w:val="14"/>
                <w:szCs w:val="14"/>
                <w:color w:val="auto"/>
                <w:w w:val="98"/>
              </w:rPr>
              <w:t>Indicate by check mark if the Registrant is not required to file reports pursuant to Section 13 or Section 15(d) of the Act.</w:t>
            </w:r>
          </w:p>
        </w:tc>
        <w:tc>
          <w:tcPr>
            <w:tcW w:w="340" w:type="dxa"/>
            <w:vAlign w:val="bottom"/>
            <w:gridSpan w:val="2"/>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vMerge w:val="restart"/>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22"/>
        </w:trPr>
        <w:tc>
          <w:tcPr>
            <w:tcW w:w="2180" w:type="dxa"/>
            <w:vAlign w:val="bottom"/>
          </w:tcPr>
          <w:p>
            <w:pPr>
              <w:spacing w:after="0"/>
              <w:rPr>
                <w:sz w:val="10"/>
                <w:szCs w:val="10"/>
                <w:color w:val="auto"/>
              </w:rPr>
            </w:pPr>
          </w:p>
        </w:tc>
        <w:tc>
          <w:tcPr>
            <w:tcW w:w="4720" w:type="dxa"/>
            <w:vAlign w:val="bottom"/>
            <w:gridSpan w:val="2"/>
          </w:tcPr>
          <w:p>
            <w:pPr>
              <w:ind w:left="1020"/>
              <w:spacing w:after="0" w:line="123" w:lineRule="exact"/>
              <w:rPr>
                <w:sz w:val="20"/>
                <w:szCs w:val="20"/>
                <w:color w:val="auto"/>
              </w:rPr>
            </w:pPr>
            <w:r>
              <w:rPr>
                <w:rFonts w:ascii="Arial" w:cs="Arial" w:eastAsia="Arial" w:hAnsi="Arial"/>
                <w:sz w:val="14"/>
                <w:szCs w:val="14"/>
                <w:color w:val="auto"/>
              </w:rPr>
              <w:t>Comcast Corporation</w:t>
            </w:r>
          </w:p>
        </w:tc>
        <w:tc>
          <w:tcPr>
            <w:tcW w:w="400" w:type="dxa"/>
            <w:vAlign w:val="bottom"/>
          </w:tcPr>
          <w:p>
            <w:pPr>
              <w:ind w:left="120"/>
              <w:spacing w:after="0" w:line="123" w:lineRule="exact"/>
              <w:rPr>
                <w:sz w:val="20"/>
                <w:szCs w:val="20"/>
                <w:color w:val="auto"/>
              </w:rPr>
            </w:pPr>
            <w:r>
              <w:rPr>
                <w:rFonts w:ascii="Arial" w:cs="Arial" w:eastAsia="Arial" w:hAnsi="Arial"/>
                <w:sz w:val="14"/>
                <w:szCs w:val="14"/>
                <w:color w:val="auto"/>
              </w:rPr>
              <w:t>Yes</w:t>
            </w:r>
          </w:p>
        </w:tc>
        <w:tc>
          <w:tcPr>
            <w:tcW w:w="340" w:type="dxa"/>
            <w:vAlign w:val="bottom"/>
            <w:gridSpan w:val="2"/>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4720" w:type="dxa"/>
            <w:vAlign w:val="bottom"/>
            <w:gridSpan w:val="2"/>
          </w:tcPr>
          <w:p>
            <w:pPr>
              <w:ind w:left="1020"/>
              <w:spacing w:after="0"/>
              <w:rPr>
                <w:sz w:val="20"/>
                <w:szCs w:val="20"/>
                <w:color w:val="auto"/>
              </w:rPr>
            </w:pPr>
            <w:r>
              <w:rPr>
                <w:rFonts w:ascii="Arial" w:cs="Arial" w:eastAsia="Arial" w:hAnsi="Arial"/>
                <w:sz w:val="14"/>
                <w:szCs w:val="14"/>
                <w:color w:val="auto"/>
              </w:rPr>
              <w:t>NBCUniversal Media, LLC</w:t>
            </w:r>
          </w:p>
        </w:tc>
        <w:tc>
          <w:tcPr>
            <w:tcW w:w="400" w:type="dxa"/>
            <w:vAlign w:val="bottom"/>
          </w:tcPr>
          <w:p>
            <w:pPr>
              <w:ind w:left="120"/>
              <w:spacing w:after="0"/>
              <w:rPr>
                <w:sz w:val="20"/>
                <w:szCs w:val="20"/>
                <w:color w:val="auto"/>
              </w:rPr>
            </w:pPr>
            <w:r>
              <w:rPr>
                <w:rFonts w:ascii="Arial" w:cs="Arial" w:eastAsia="Arial" w:hAnsi="Arial"/>
                <w:sz w:val="14"/>
                <w:szCs w:val="14"/>
                <w:color w:val="auto"/>
              </w:rPr>
              <w:t>Yes</w:t>
            </w:r>
          </w:p>
        </w:tc>
        <w:tc>
          <w:tcPr>
            <w:tcW w:w="340" w:type="dxa"/>
            <w:vAlign w:val="bottom"/>
            <w:gridSpan w:val="2"/>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right="20"/>
        <w:spacing w:after="0" w:line="21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00"/>
        <w:spacing w:after="0" w:line="152"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 w:lineRule="exact"/>
        <w:rPr>
          <w:sz w:val="24"/>
          <w:szCs w:val="24"/>
          <w:color w:val="auto"/>
        </w:rPr>
      </w:pPr>
    </w:p>
    <w:p>
      <w:pPr>
        <w:ind w:right="20"/>
        <w:spacing w:after="0" w:line="219"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ind w:left="3200"/>
        <w:spacing w:after="0" w:line="152"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Comcast Corporation</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ind w:left="3200"/>
        <w:spacing w:after="0" w:line="161" w:lineRule="exact"/>
        <w:tabs>
          <w:tab w:leader="none" w:pos="7000" w:val="left"/>
          <w:tab w:leader="none" w:pos="7340" w:val="left"/>
          <w:tab w:leader="none" w:pos="7760" w:val="left"/>
        </w:tabs>
        <w:rPr>
          <w:sz w:val="20"/>
          <w:szCs w:val="20"/>
          <w:color w:val="auto"/>
        </w:rPr>
      </w:pPr>
      <w:r>
        <w:rPr>
          <w:rFonts w:ascii="Arial" w:cs="Arial" w:eastAsia="Arial" w:hAnsi="Arial"/>
          <w:sz w:val="14"/>
          <w:szCs w:val="14"/>
          <w:color w:val="auto"/>
        </w:rPr>
        <w:t>NBCUniversal Media, LLC</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 w:lineRule="exact"/>
        <w:rPr>
          <w:sz w:val="24"/>
          <w:szCs w:val="24"/>
          <w:color w:val="auto"/>
        </w:rPr>
      </w:pPr>
    </w:p>
    <w:p>
      <w:pPr>
        <w:ind w:right="20"/>
        <w:spacing w:after="0" w:line="231"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w:t>
      </w:r>
    </w:p>
    <w:p>
      <w:pPr>
        <w:sectPr>
          <w:pgSz w:w="11900" w:h="16838" w:orient="portrait"/>
          <w:cols w:equalWidth="0" w:num="1">
            <w:col w:w="11420"/>
          </w:cols>
          <w:pgMar w:left="240" w:top="230" w:right="239" w:bottom="1440" w:gutter="0" w:footer="0" w:header="0"/>
          <w:type w:val="continuous"/>
        </w:sectPr>
      </w:pPr>
    </w:p>
    <w:p>
      <w:pPr>
        <w:ind w:left="3200"/>
        <w:spacing w:after="0" w:line="202" w:lineRule="auto"/>
        <w:rPr>
          <w:sz w:val="20"/>
          <w:szCs w:val="20"/>
          <w:color w:val="auto"/>
        </w:rPr>
      </w:pPr>
      <w:r>
        <w:rPr>
          <w:rFonts w:ascii="Arial" w:cs="Arial" w:eastAsia="Arial" w:hAnsi="Arial"/>
          <w:sz w:val="14"/>
          <w:szCs w:val="14"/>
          <w:color w:val="auto"/>
        </w:rPr>
        <w:t>Comcast Corporation</w:t>
      </w:r>
    </w:p>
    <w:p>
      <w:pPr>
        <w:ind w:left="3200"/>
        <w:spacing w:after="0"/>
        <w:rPr>
          <w:sz w:val="20"/>
          <w:szCs w:val="20"/>
          <w:color w:val="auto"/>
        </w:rPr>
      </w:pPr>
      <w:r>
        <w:rPr>
          <w:rFonts w:ascii="Arial" w:cs="Arial" w:eastAsia="Arial" w:hAnsi="Arial"/>
          <w:sz w:val="12"/>
          <w:szCs w:val="12"/>
          <w:color w:val="auto"/>
        </w:rPr>
        <w:t>NBCUniversal Media, LLC</w:t>
      </w:r>
    </w:p>
    <w:p>
      <w:pPr>
        <w:spacing w:after="0" w:line="20" w:lineRule="exact"/>
        <w:rPr>
          <w:sz w:val="24"/>
          <w:szCs w:val="24"/>
          <w:color w:val="auto"/>
        </w:rPr>
      </w:pPr>
      <w:r>
        <w:rPr>
          <w:sz w:val="24"/>
          <w:szCs w:val="24"/>
          <w:color w:val="auto"/>
        </w:rPr>
        <w:br w:type="column"/>
      </w:r>
    </w:p>
    <w:p>
      <w:pPr>
        <w:jc w:val="right"/>
        <w:ind w:right="3200"/>
        <w:spacing w:after="0" w:line="116" w:lineRule="exact"/>
        <w:rPr>
          <w:sz w:val="20"/>
          <w:szCs w:val="20"/>
          <w:color w:val="auto"/>
        </w:rPr>
      </w:pPr>
      <w:r>
        <w:rPr>
          <w:rFonts w:ascii="MS PGothic" w:cs="MS PGothic" w:eastAsia="MS PGothic" w:hAnsi="MS PGothic"/>
          <w:sz w:val="14"/>
          <w:szCs w:val="14"/>
          <w:color w:val="auto"/>
        </w:rPr>
        <w:t>☒</w:t>
      </w:r>
    </w:p>
    <w:p>
      <w:pPr>
        <w:jc w:val="right"/>
        <w:ind w:right="3200"/>
        <w:spacing w:after="0"/>
        <w:rPr>
          <w:sz w:val="20"/>
          <w:szCs w:val="20"/>
          <w:color w:val="auto"/>
        </w:rPr>
      </w:pPr>
      <w:r>
        <w:rPr>
          <w:rFonts w:ascii="Arial" w:cs="Arial" w:eastAsia="Arial" w:hAnsi="Arial"/>
          <w:sz w:val="12"/>
          <w:szCs w:val="12"/>
          <w:color w:val="auto"/>
        </w:rPr>
        <w:t>N/A</w:t>
      </w:r>
    </w:p>
    <w:p>
      <w:pPr>
        <w:sectPr>
          <w:pgSz w:w="11900" w:h="16838" w:orient="portrait"/>
          <w:cols w:equalWidth="0" w:num="2">
            <w:col w:w="7280" w:space="720"/>
            <w:col w:w="3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Arial" w:cs="Arial" w:eastAsia="Arial" w:hAnsi="Arial"/>
                <w:sz w:val="14"/>
                <w:szCs w:val="14"/>
                <w:color w:val="auto"/>
              </w:rPr>
              <w:t>Comcast Corporation</w:t>
            </w:r>
          </w:p>
        </w:tc>
        <w:tc>
          <w:tcPr>
            <w:tcW w:w="1840" w:type="dxa"/>
            <w:vAlign w:val="bottom"/>
          </w:tcPr>
          <w:p>
            <w:pPr>
              <w:ind w:left="480"/>
              <w:spacing w:after="0"/>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rPr>
                <w:sz w:val="20"/>
                <w:szCs w:val="20"/>
                <w:color w:val="auto"/>
              </w:rPr>
            </w:pPr>
            <w:r>
              <w:rPr>
                <w:rFonts w:ascii="Arial" w:cs="Arial" w:eastAsia="Arial" w:hAnsi="Arial"/>
                <w:sz w:val="14"/>
                <w:szCs w:val="14"/>
                <w:color w:val="auto"/>
                <w:w w:val="97"/>
              </w:rPr>
              <w:t>Accelerated filer</w:t>
            </w:r>
          </w:p>
        </w:tc>
        <w:tc>
          <w:tcPr>
            <w:tcW w:w="5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gridSpan w:val="4"/>
          </w:tcPr>
          <w:p>
            <w:pPr>
              <w:ind w:left="3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11"/>
        </w:trPr>
        <w:tc>
          <w:tcPr>
            <w:tcW w:w="206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840" w:type="dxa"/>
            <w:vAlign w:val="bottom"/>
          </w:tcPr>
          <w:p>
            <w:pPr>
              <w:ind w:left="480"/>
              <w:spacing w:after="0"/>
              <w:rPr>
                <w:sz w:val="20"/>
                <w:szCs w:val="20"/>
                <w:color w:val="auto"/>
              </w:rPr>
            </w:pPr>
            <w:r>
              <w:rPr>
                <w:rFonts w:ascii="Arial" w:cs="Arial" w:eastAsia="Arial" w:hAnsi="Arial"/>
                <w:sz w:val="14"/>
                <w:szCs w:val="14"/>
                <w:color w:val="auto"/>
                <w:w w:val="96"/>
              </w:rPr>
              <w:t>Large accelerated filer</w:t>
            </w:r>
          </w:p>
        </w:tc>
        <w:tc>
          <w:tcPr>
            <w:tcW w:w="960" w:type="dxa"/>
            <w:vAlign w:val="bottom"/>
          </w:tcPr>
          <w:p>
            <w:pPr>
              <w:jc w:val="center"/>
              <w:ind w:right="692"/>
              <w:spacing w:after="0" w:line="141" w:lineRule="exact"/>
              <w:rPr>
                <w:sz w:val="20"/>
                <w:szCs w:val="20"/>
                <w:color w:val="auto"/>
              </w:rPr>
            </w:pPr>
            <w:r>
              <w:rPr>
                <w:rFonts w:ascii="MS PGothic" w:cs="MS PGothic" w:eastAsia="MS PGothic" w:hAnsi="MS PGothic"/>
                <w:sz w:val="14"/>
                <w:szCs w:val="14"/>
                <w:color w:val="auto"/>
                <w:w w:val="85"/>
              </w:rPr>
              <w:t>☐</w:t>
            </w:r>
          </w:p>
        </w:tc>
        <w:tc>
          <w:tcPr>
            <w:tcW w:w="1100" w:type="dxa"/>
            <w:vAlign w:val="bottom"/>
          </w:tcPr>
          <w:p>
            <w:pPr>
              <w:ind w:left="100"/>
              <w:spacing w:after="0"/>
              <w:rPr>
                <w:sz w:val="20"/>
                <w:szCs w:val="20"/>
                <w:color w:val="auto"/>
              </w:rPr>
            </w:pPr>
            <w:r>
              <w:rPr>
                <w:rFonts w:ascii="Arial" w:cs="Arial" w:eastAsia="Arial" w:hAnsi="Arial"/>
                <w:sz w:val="14"/>
                <w:szCs w:val="14"/>
                <w:color w:val="auto"/>
                <w:w w:val="97"/>
              </w:rPr>
              <w:t>Accelerated filer</w:t>
            </w:r>
          </w:p>
        </w:tc>
        <w:tc>
          <w:tcPr>
            <w:tcW w:w="5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gridSpan w:val="4"/>
          </w:tcPr>
          <w:p>
            <w:pPr>
              <w:ind w:left="3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060" w:type="dxa"/>
            <w:vAlign w:val="bottom"/>
          </w:tcPr>
          <w:p>
            <w:pPr>
              <w:ind w:left="400"/>
              <w:spacing w:after="0"/>
              <w:rPr>
                <w:sz w:val="20"/>
                <w:szCs w:val="20"/>
                <w:color w:val="auto"/>
              </w:rPr>
            </w:pPr>
            <w:r>
              <w:rPr>
                <w:rFonts w:ascii="Arial" w:cs="Arial" w:eastAsia="Arial" w:hAnsi="Arial"/>
                <w:sz w:val="14"/>
                <w:szCs w:val="14"/>
                <w:color w:val="auto"/>
                <w:w w:val="98"/>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53"/>
        </w:trPr>
        <w:tc>
          <w:tcPr>
            <w:tcW w:w="6460" w:type="dxa"/>
            <w:vAlign w:val="bottom"/>
            <w:gridSpan w:val="5"/>
          </w:tcPr>
          <w:p>
            <w:pPr>
              <w:spacing w:after="0" w:line="153" w:lineRule="exact"/>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840" w:type="dxa"/>
            <w:vAlign w:val="bottom"/>
          </w:tcPr>
          <w:p>
            <w:pPr>
              <w:spacing w:after="0"/>
              <w:rPr>
                <w:sz w:val="13"/>
                <w:szCs w:val="13"/>
                <w:color w:val="auto"/>
              </w:rPr>
            </w:pPr>
          </w:p>
        </w:tc>
        <w:tc>
          <w:tcPr>
            <w:tcW w:w="3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spacing w:after="0"/>
              <w:rPr>
                <w:sz w:val="13"/>
                <w:szCs w:val="13"/>
                <w:color w:val="auto"/>
              </w:rPr>
            </w:pPr>
          </w:p>
        </w:tc>
        <w:tc>
          <w:tcPr>
            <w:tcW w:w="6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2800" w:type="dxa"/>
            <w:vAlign w:val="bottom"/>
            <w:gridSpan w:val="2"/>
          </w:tcPr>
          <w:p>
            <w:pPr>
              <w:ind w:left="1140"/>
              <w:spacing w:after="0" w:line="123" w:lineRule="exact"/>
              <w:rPr>
                <w:sz w:val="20"/>
                <w:szCs w:val="20"/>
                <w:color w:val="auto"/>
              </w:rPr>
            </w:pPr>
            <w:r>
              <w:rPr>
                <w:rFonts w:ascii="Arial" w:cs="Arial" w:eastAsia="Arial" w:hAnsi="Arial"/>
                <w:sz w:val="14"/>
                <w:szCs w:val="14"/>
                <w:color w:val="auto"/>
              </w:rPr>
              <w:t>Comcast Corporation</w:t>
            </w: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ind w:left="560"/>
              <w:spacing w:after="0" w:line="123" w:lineRule="exact"/>
              <w:rPr>
                <w:sz w:val="20"/>
                <w:szCs w:val="20"/>
                <w:color w:val="auto"/>
              </w:rPr>
            </w:pPr>
            <w:r>
              <w:rPr>
                <w:rFonts w:ascii="Arial" w:cs="Arial" w:eastAsia="Arial" w:hAnsi="Arial"/>
                <w:sz w:val="14"/>
                <w:szCs w:val="14"/>
                <w:color w:val="auto"/>
              </w:rPr>
              <w:t>Yes</w:t>
            </w:r>
          </w:p>
        </w:tc>
        <w:tc>
          <w:tcPr>
            <w:tcW w:w="340" w:type="dxa"/>
            <w:vAlign w:val="bottom"/>
            <w:vMerge w:val="continue"/>
          </w:tcPr>
          <w:p>
            <w:pPr>
              <w:spacing w:after="0"/>
              <w:rPr>
                <w:sz w:val="10"/>
                <w:szCs w:val="10"/>
                <w:color w:val="auto"/>
              </w:rPr>
            </w:pPr>
          </w:p>
        </w:tc>
        <w:tc>
          <w:tcPr>
            <w:tcW w:w="360" w:type="dxa"/>
            <w:vAlign w:val="bottom"/>
          </w:tcPr>
          <w:p>
            <w:pPr>
              <w:ind w:left="140"/>
              <w:spacing w:after="0" w:line="123" w:lineRule="exact"/>
              <w:rPr>
                <w:sz w:val="20"/>
                <w:szCs w:val="20"/>
                <w:color w:val="auto"/>
              </w:rPr>
            </w:pPr>
            <w:r>
              <w:rPr>
                <w:rFonts w:ascii="Arial" w:cs="Arial" w:eastAsia="Arial" w:hAnsi="Arial"/>
                <w:sz w:val="14"/>
                <w:szCs w:val="14"/>
                <w:color w:val="auto"/>
              </w:rPr>
              <w:t>No</w:t>
            </w:r>
          </w:p>
        </w:tc>
        <w:tc>
          <w:tcPr>
            <w:tcW w:w="62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2800" w:type="dxa"/>
            <w:vAlign w:val="bottom"/>
            <w:gridSpan w:val="2"/>
          </w:tcPr>
          <w:p>
            <w:pPr>
              <w:jc w:val="center"/>
              <w:ind w:left="992"/>
              <w:spacing w:after="0"/>
              <w:rPr>
                <w:sz w:val="20"/>
                <w:szCs w:val="20"/>
                <w:color w:val="auto"/>
              </w:rPr>
            </w:pPr>
            <w:r>
              <w:rPr>
                <w:rFonts w:ascii="Arial" w:cs="Arial" w:eastAsia="Arial" w:hAnsi="Arial"/>
                <w:sz w:val="14"/>
                <w:szCs w:val="14"/>
                <w:color w:val="auto"/>
                <w:w w:val="96"/>
              </w:rPr>
              <w:t>NBCUniversal Media, LLC</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4"/>
                <w:szCs w:val="14"/>
                <w:color w:val="auto"/>
              </w:rPr>
              <w:t>Yes</w:t>
            </w:r>
          </w:p>
        </w:tc>
        <w:tc>
          <w:tcPr>
            <w:tcW w:w="34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No</w:t>
            </w:r>
          </w:p>
        </w:tc>
        <w:tc>
          <w:tcPr>
            <w:tcW w:w="6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As of June 30, 2013, the aggregate market value of the Comcast Corporation Class A common stock and Class A Special common stock held by non-affiliates of the Registrant was $88.984 billion and $18.733 billion, respectively.</w:t>
      </w:r>
    </w:p>
    <w:p>
      <w:pPr>
        <w:spacing w:after="0" w:line="28"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As of December 31, 2013, there were 2,138,075,133 shares of Comcast Corporation Class A common stock, 459,030,180 shares of Class A Special common stock and 9,444,375 shares of Class B common stock outstanding.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 Not applicable for NBCUniversal Media, LLC.</w:t>
      </w:r>
    </w:p>
    <w:p>
      <w:pPr>
        <w:spacing w:after="0" w:line="12" w:lineRule="exact"/>
        <w:rPr>
          <w:sz w:val="20"/>
          <w:szCs w:val="20"/>
          <w:color w:val="auto"/>
        </w:rPr>
      </w:pPr>
    </w:p>
    <w:p>
      <w:pPr>
        <w:spacing w:after="0" w:line="247" w:lineRule="auto"/>
        <w:rPr>
          <w:sz w:val="20"/>
          <w:szCs w:val="20"/>
          <w:color w:val="auto"/>
        </w:rPr>
      </w:pPr>
      <w:r>
        <w:rPr>
          <w:rFonts w:ascii="Arial" w:cs="Arial" w:eastAsia="Arial" w:hAnsi="Arial"/>
          <w:sz w:val="14"/>
          <w:szCs w:val="14"/>
          <w:b w:val="1"/>
          <w:bCs w:val="1"/>
          <w:color w:val="auto"/>
        </w:rPr>
        <w:t>NBCUniversal Media, LLC meets the conditions set forth in General Instruction I(1)(a), (b) and (d) of Form 10-K and is therefore filing this form with the reduced disclosure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83185</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4" w:lineRule="exact"/>
        <w:rPr>
          <w:sz w:val="20"/>
          <w:szCs w:val="20"/>
          <w:color w:val="auto"/>
        </w:rPr>
      </w:pPr>
    </w:p>
    <w:p>
      <w:pPr>
        <w:ind w:right="1880"/>
        <w:spacing w:after="0" w:line="283" w:lineRule="auto"/>
        <w:rPr>
          <w:sz w:val="20"/>
          <w:szCs w:val="20"/>
          <w:color w:val="auto"/>
        </w:rPr>
      </w:pPr>
      <w:r>
        <w:rPr>
          <w:rFonts w:ascii="Arial" w:cs="Arial" w:eastAsia="Arial" w:hAnsi="Arial"/>
          <w:sz w:val="14"/>
          <w:szCs w:val="14"/>
          <w:color w:val="auto"/>
        </w:rPr>
        <w:t>Comcast Corporation – Part III – The Registrant’s definitive Proxy Statement for its annual meeting of shareholders presently scheduled to be held in May 2014. NBCUniversal Media, LLC – NONE</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2013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color w:val="0C6DFF"/>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gridSpan w:val="2"/>
          </w:tcPr>
          <w:p>
            <w:pPr>
              <w:spacing w:after="0" w:line="17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Business</w:t>
              </w:r>
            </w:hyperlink>
          </w:p>
        </w:tc>
        <w:tc>
          <w:tcPr>
            <w:tcW w:w="7100" w:type="dxa"/>
            <w:vAlign w:val="bottom"/>
            <w:gridSpan w:val="20"/>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7820" w:type="dxa"/>
            <w:vAlign w:val="bottom"/>
            <w:gridSpan w:val="22"/>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Unresolved Staff Comments</w:t>
              </w:r>
            </w:hyperlink>
          </w:p>
        </w:tc>
        <w:tc>
          <w:tcPr>
            <w:tcW w:w="5620" w:type="dxa"/>
            <w:vAlign w:val="bottom"/>
            <w:gridSpan w:val="1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7820" w:type="dxa"/>
            <w:vAlign w:val="bottom"/>
            <w:gridSpan w:val="2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45">
              <w:r>
                <w:rPr>
                  <w:rFonts w:ascii="Arial" w:cs="Arial" w:eastAsia="Arial" w:hAnsi="Arial"/>
                  <w:sz w:val="18"/>
                  <w:szCs w:val="18"/>
                  <w:color w:val="0000EE"/>
                  <w:w w:val="96"/>
                </w:rPr>
                <w:t>Legal Proceedings</w:t>
              </w:r>
            </w:hyperlink>
          </w:p>
        </w:tc>
        <w:tc>
          <w:tcPr>
            <w:tcW w:w="6360" w:type="dxa"/>
            <w:vAlign w:val="bottom"/>
            <w:gridSpan w:val="16"/>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7820" w:type="dxa"/>
            <w:vAlign w:val="bottom"/>
            <w:gridSpan w:val="22"/>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5</w:t>
            </w:r>
          </w:p>
        </w:tc>
        <w:tc>
          <w:tcPr>
            <w:tcW w:w="6240" w:type="dxa"/>
            <w:vAlign w:val="bottom"/>
            <w:tcBorders>
              <w:bottom w:val="single" w:sz="8" w:color="0000EE"/>
            </w:tcBorders>
            <w:gridSpan w:val="19"/>
          </w:tcPr>
          <w:p>
            <w:pPr>
              <w:spacing w:after="0" w:line="172" w:lineRule="exact"/>
              <w:rPr>
                <w:rFonts w:ascii="Arial" w:cs="Arial" w:eastAsia="Arial" w:hAnsi="Arial"/>
                <w:sz w:val="18"/>
                <w:szCs w:val="18"/>
                <w:color w:val="0000EE"/>
                <w:w w:val="97"/>
              </w:rPr>
            </w:pPr>
            <w:hyperlink w:anchor="page46">
              <w:r>
                <w:rPr>
                  <w:rFonts w:ascii="Arial" w:cs="Arial" w:eastAsia="Arial" w:hAnsi="Arial"/>
                  <w:sz w:val="18"/>
                  <w:szCs w:val="18"/>
                  <w:color w:val="0000EE"/>
                  <w:w w:val="97"/>
                </w:rPr>
                <w:t>Market for Registrant’s Common Equity, Related Stockholder Matters and Issuer</w:t>
              </w:r>
            </w:hyperlink>
          </w:p>
        </w:tc>
        <w:tc>
          <w:tcPr>
            <w:tcW w:w="1580" w:type="dxa"/>
            <w:vAlign w:val="bottom"/>
            <w:gridSpan w:val="3"/>
          </w:tcPr>
          <w:p>
            <w:pPr>
              <w:spacing w:after="0"/>
              <w:rPr>
                <w:sz w:val="14"/>
                <w:szCs w:val="14"/>
                <w:color w:val="auto"/>
              </w:rPr>
            </w:pPr>
          </w:p>
        </w:tc>
        <w:tc>
          <w:tcPr>
            <w:tcW w:w="2500" w:type="dxa"/>
            <w:vAlign w:val="bottom"/>
          </w:tcPr>
          <w:p>
            <w:pPr>
              <w:spacing w:after="0"/>
              <w:rPr>
                <w:sz w:val="14"/>
                <w:szCs w:val="14"/>
                <w:color w:val="auto"/>
              </w:rPr>
            </w:pPr>
          </w:p>
        </w:tc>
      </w:tr>
      <w:tr>
        <w:trPr>
          <w:trHeight w:val="183"/>
        </w:trPr>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0" w:type="dxa"/>
            <w:vAlign w:val="bottom"/>
            <w:gridSpan w:val="21"/>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Purchases of Equity Securities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86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Selected Financial Data</w:t>
              </w:r>
            </w:hyperlink>
          </w:p>
        </w:tc>
        <w:tc>
          <w:tcPr>
            <w:tcW w:w="5960" w:type="dxa"/>
            <w:vAlign w:val="bottom"/>
            <w:gridSpan w:val="15"/>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w:t>
            </w:r>
          </w:p>
        </w:tc>
        <w:tc>
          <w:tcPr>
            <w:tcW w:w="692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Management’s Discussion and Analysis of Financial Condition and Results of Operations</w:t>
              </w:r>
            </w:hyperlink>
          </w:p>
        </w:tc>
        <w:tc>
          <w:tcPr>
            <w:tcW w:w="900" w:type="dxa"/>
            <w:vAlign w:val="bottom"/>
            <w:gridSpan w:val="2"/>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7A</w:t>
            </w:r>
          </w:p>
        </w:tc>
        <w:tc>
          <w:tcPr>
            <w:tcW w:w="7820" w:type="dxa"/>
            <w:vAlign w:val="bottom"/>
            <w:gridSpan w:val="22"/>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8</w:t>
            </w:r>
          </w:p>
        </w:tc>
        <w:tc>
          <w:tcPr>
            <w:tcW w:w="7820" w:type="dxa"/>
            <w:vAlign w:val="bottom"/>
            <w:gridSpan w:val="22"/>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Comcast Corporation Financial Statements and Supplementary Data</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w:t>
            </w:r>
          </w:p>
        </w:tc>
        <w:tc>
          <w:tcPr>
            <w:tcW w:w="7820" w:type="dxa"/>
            <w:vAlign w:val="bottom"/>
            <w:gridSpan w:val="22"/>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Changes in and Disagreements with Accountants on Accounting and Financial Disclosure</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9A</w:t>
            </w:r>
          </w:p>
        </w:tc>
        <w:tc>
          <w:tcPr>
            <w:tcW w:w="69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Controls and Procedures</w:t>
              </w:r>
            </w:hyperlink>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Other Information</w:t>
              </w:r>
            </w:hyperlink>
          </w:p>
        </w:tc>
        <w:tc>
          <w:tcPr>
            <w:tcW w:w="5880" w:type="dxa"/>
            <w:vAlign w:val="bottom"/>
            <w:gridSpan w:val="13"/>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130</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10</w:t>
            </w:r>
          </w:p>
        </w:tc>
        <w:tc>
          <w:tcPr>
            <w:tcW w:w="4400" w:type="dxa"/>
            <w:vAlign w:val="bottom"/>
            <w:tcBorders>
              <w:bottom w:val="single" w:sz="8" w:color="0000EE"/>
            </w:tcBorders>
            <w:gridSpan w:val="14"/>
          </w:tcPr>
          <w:p>
            <w:pPr>
              <w:spacing w:after="0" w:line="172"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Directors, Executive Officers and Corporate Governance</w:t>
              </w:r>
            </w:hyperlink>
          </w:p>
        </w:tc>
        <w:tc>
          <w:tcPr>
            <w:tcW w:w="3420" w:type="dxa"/>
            <w:vAlign w:val="bottom"/>
            <w:gridSpan w:val="8"/>
          </w:tcPr>
          <w:p>
            <w:pPr>
              <w:spacing w:after="0"/>
              <w:rPr>
                <w:sz w:val="14"/>
                <w:szCs w:val="14"/>
                <w:color w:val="auto"/>
              </w:rPr>
            </w:pPr>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131</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7820" w:type="dxa"/>
            <w:vAlign w:val="bottom"/>
            <w:gridSpan w:val="22"/>
          </w:tcPr>
          <w:p>
            <w:pPr>
              <w:spacing w:after="0" w:line="182" w:lineRule="exact"/>
              <w:rPr>
                <w:rFonts w:ascii="Arial" w:cs="Arial" w:eastAsia="Arial" w:hAnsi="Arial"/>
                <w:sz w:val="18"/>
                <w:szCs w:val="18"/>
                <w:color w:val="0000EE"/>
              </w:rPr>
            </w:pPr>
            <w:hyperlink w:anchor="page136">
              <w:r>
                <w:rPr>
                  <w:rFonts w:ascii="Arial" w:cs="Arial" w:eastAsia="Arial" w:hAnsi="Arial"/>
                  <w:sz w:val="18"/>
                  <w:szCs w:val="18"/>
                  <w:color w:val="0000EE"/>
                </w:rPr>
                <w:t>Executive Compensation</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132</w:t>
            </w: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9"/>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782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Security Ownership of Certain Beneficial Owners and Management and Related Stockholder Matters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132</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13</w:t>
            </w:r>
          </w:p>
        </w:tc>
        <w:tc>
          <w:tcPr>
            <w:tcW w:w="59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Certain Relationships and Related Transactions, and Director Independence</w:t>
              </w:r>
            </w:hyperlink>
          </w:p>
        </w:tc>
        <w:tc>
          <w:tcPr>
            <w:tcW w:w="1880" w:type="dxa"/>
            <w:vAlign w:val="bottom"/>
            <w:gridSpan w:val="4"/>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132</w:t>
            </w:r>
          </w:p>
        </w:tc>
      </w:tr>
      <w:tr>
        <w:trPr>
          <w:trHeight w:val="183"/>
        </w:trPr>
        <w:tc>
          <w:tcPr>
            <w:tcW w:w="880" w:type="dxa"/>
            <w:vAlign w:val="bottom"/>
            <w:gridSpan w:val="2"/>
          </w:tcPr>
          <w:p>
            <w:pPr>
              <w:spacing w:after="0" w:line="182" w:lineRule="exact"/>
              <w:rPr>
                <w:sz w:val="20"/>
                <w:szCs w:val="20"/>
                <w:color w:val="auto"/>
              </w:rPr>
            </w:pPr>
            <w:r>
              <w:rPr>
                <w:rFonts w:ascii="Arial" w:cs="Arial" w:eastAsia="Arial" w:hAnsi="Arial"/>
                <w:sz w:val="18"/>
                <w:szCs w:val="18"/>
                <w:color w:val="auto"/>
              </w:rPr>
              <w:t>Item 14</w:t>
            </w:r>
          </w:p>
        </w:tc>
        <w:tc>
          <w:tcPr>
            <w:tcW w:w="7820" w:type="dxa"/>
            <w:vAlign w:val="bottom"/>
            <w:gridSpan w:val="22"/>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Principal Accountant Fees and Services</w:t>
              </w:r>
            </w:hyperlink>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133</w:t>
            </w:r>
          </w:p>
        </w:tc>
      </w:tr>
      <w:tr>
        <w:trPr>
          <w:trHeight w:val="280"/>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72"/>
        </w:trPr>
        <w:tc>
          <w:tcPr>
            <w:tcW w:w="880" w:type="dxa"/>
            <w:vAlign w:val="bottom"/>
            <w:gridSpan w:val="2"/>
          </w:tcPr>
          <w:p>
            <w:pPr>
              <w:spacing w:after="0" w:line="172" w:lineRule="exact"/>
              <w:rPr>
                <w:sz w:val="20"/>
                <w:szCs w:val="20"/>
                <w:color w:val="auto"/>
              </w:rPr>
            </w:pPr>
            <w:r>
              <w:rPr>
                <w:rFonts w:ascii="Arial" w:cs="Arial" w:eastAsia="Arial" w:hAnsi="Arial"/>
                <w:sz w:val="18"/>
                <w:szCs w:val="18"/>
                <w:color w:val="auto"/>
              </w:rPr>
              <w:t>Item 15</w:t>
            </w:r>
          </w:p>
        </w:tc>
        <w:tc>
          <w:tcPr>
            <w:tcW w:w="7820" w:type="dxa"/>
            <w:vAlign w:val="bottom"/>
            <w:gridSpan w:val="22"/>
          </w:tcPr>
          <w:p>
            <w:pPr>
              <w:spacing w:after="0" w:line="172" w:lineRule="exact"/>
              <w:rPr>
                <w:rFonts w:ascii="Arial" w:cs="Arial" w:eastAsia="Arial" w:hAnsi="Arial"/>
                <w:sz w:val="18"/>
                <w:szCs w:val="18"/>
                <w:color w:val="0000EE"/>
              </w:rPr>
            </w:pPr>
            <w:hyperlink w:anchor="page138">
              <w:r>
                <w:rPr>
                  <w:rFonts w:ascii="Arial" w:cs="Arial" w:eastAsia="Arial" w:hAnsi="Arial"/>
                  <w:sz w:val="18"/>
                  <w:szCs w:val="18"/>
                  <w:color w:val="0000EE"/>
                </w:rPr>
                <w:t>Exhibits and Financial Statement Schedules</w:t>
              </w:r>
            </w:hyperlink>
          </w:p>
        </w:tc>
        <w:tc>
          <w:tcPr>
            <w:tcW w:w="2500" w:type="dxa"/>
            <w:vAlign w:val="bottom"/>
          </w:tcPr>
          <w:p>
            <w:pPr>
              <w:jc w:val="right"/>
              <w:spacing w:after="0" w:line="172" w:lineRule="exact"/>
              <w:rPr>
                <w:sz w:val="20"/>
                <w:szCs w:val="20"/>
                <w:color w:val="auto"/>
              </w:rPr>
            </w:pPr>
            <w:r>
              <w:rPr>
                <w:rFonts w:ascii="Arial" w:cs="Arial" w:eastAsia="Arial" w:hAnsi="Arial"/>
                <w:sz w:val="18"/>
                <w:szCs w:val="18"/>
                <w:color w:val="auto"/>
              </w:rPr>
              <w:t>134</w:t>
            </w:r>
          </w:p>
        </w:tc>
      </w:tr>
      <w:tr>
        <w:trPr>
          <w:trHeight w:val="183"/>
        </w:trPr>
        <w:tc>
          <w:tcPr>
            <w:tcW w:w="880" w:type="dxa"/>
            <w:vAlign w:val="bottom"/>
            <w:gridSpan w:val="2"/>
          </w:tcPr>
          <w:p>
            <w:pPr>
              <w:spacing w:after="0" w:line="182" w:lineRule="exact"/>
              <w:rPr>
                <w:rFonts w:ascii="Arial" w:cs="Arial" w:eastAsia="Arial" w:hAnsi="Arial"/>
                <w:sz w:val="18"/>
                <w:szCs w:val="18"/>
                <w:color w:val="0000EE"/>
                <w:w w:val="99"/>
              </w:rPr>
            </w:pPr>
            <w:hyperlink w:anchor="page147">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tcPr>
          <w:p>
            <w:pPr>
              <w:jc w:val="right"/>
              <w:spacing w:after="0" w:line="182" w:lineRule="exact"/>
              <w:rPr>
                <w:sz w:val="20"/>
                <w:szCs w:val="20"/>
                <w:color w:val="auto"/>
              </w:rPr>
            </w:pPr>
            <w:r>
              <w:rPr>
                <w:rFonts w:ascii="Arial" w:cs="Arial" w:eastAsia="Arial" w:hAnsi="Arial"/>
                <w:sz w:val="18"/>
                <w:szCs w:val="18"/>
                <w:color w:val="auto"/>
              </w:rPr>
              <w:t>143</w:t>
            </w:r>
          </w:p>
        </w:tc>
      </w:tr>
      <w:tr>
        <w:trPr>
          <w:trHeight w:val="20"/>
        </w:trPr>
        <w:tc>
          <w:tcPr>
            <w:tcW w:w="840" w:type="dxa"/>
            <w:vAlign w:val="bottom"/>
            <w:shd w:val="clear" w:color="auto" w:fill="0000EE"/>
          </w:tcPr>
          <w:p>
            <w:pPr>
              <w:spacing w:after="0" w:line="20" w:lineRule="exact"/>
              <w:rPr>
                <w:sz w:val="1"/>
                <w:szCs w:val="1"/>
                <w:color w:val="auto"/>
              </w:rPr>
            </w:pPr>
          </w:p>
        </w:tc>
        <w:tc>
          <w:tcPr>
            <w:tcW w:w="4900" w:type="dxa"/>
            <w:vAlign w:val="bottom"/>
            <w:gridSpan w:val="17"/>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5740" w:type="dxa"/>
            <w:vAlign w:val="bottom"/>
            <w:tcBorders>
              <w:bottom w:val="single" w:sz="8" w:color="0000EE"/>
            </w:tcBorders>
            <w:gridSpan w:val="18"/>
          </w:tcPr>
          <w:p>
            <w:pPr>
              <w:spacing w:after="0" w:line="170" w:lineRule="exact"/>
              <w:rPr>
                <w:rFonts w:ascii="Arial" w:cs="Arial" w:eastAsia="Arial" w:hAnsi="Arial"/>
                <w:sz w:val="18"/>
                <w:szCs w:val="18"/>
                <w:color w:val="0000EE"/>
                <w:w w:val="97"/>
              </w:rPr>
            </w:pPr>
            <w:hyperlink w:anchor="page149">
              <w:r>
                <w:rPr>
                  <w:rFonts w:ascii="Arial" w:cs="Arial" w:eastAsia="Arial" w:hAnsi="Arial"/>
                  <w:sz w:val="18"/>
                  <w:szCs w:val="18"/>
                  <w:color w:val="0000EE"/>
                  <w:w w:val="97"/>
                </w:rPr>
                <w:t>NBCUniversal Media, LLC Financial Statements and Supplementary Data</w:t>
              </w:r>
            </w:hyperlink>
          </w:p>
        </w:tc>
        <w:tc>
          <w:tcPr>
            <w:tcW w:w="2960" w:type="dxa"/>
            <w:vAlign w:val="bottom"/>
            <w:gridSpan w:val="6"/>
          </w:tcPr>
          <w:p>
            <w:pPr>
              <w:spacing w:after="0"/>
              <w:rPr>
                <w:sz w:val="15"/>
                <w:szCs w:val="15"/>
                <w:color w:val="auto"/>
              </w:rPr>
            </w:pPr>
          </w:p>
        </w:tc>
        <w:tc>
          <w:tcPr>
            <w:tcW w:w="2500" w:type="dxa"/>
            <w:vAlign w:val="bottom"/>
          </w:tcPr>
          <w:p>
            <w:pPr>
              <w:jc w:val="right"/>
              <w:spacing w:after="0" w:line="170" w:lineRule="exact"/>
              <w:rPr>
                <w:sz w:val="20"/>
                <w:szCs w:val="20"/>
                <w:color w:val="auto"/>
              </w:rPr>
            </w:pPr>
            <w:r>
              <w:rPr>
                <w:rFonts w:ascii="Arial" w:cs="Arial" w:eastAsia="Arial" w:hAnsi="Arial"/>
                <w:sz w:val="18"/>
                <w:szCs w:val="18"/>
                <w:color w:val="auto"/>
              </w:rPr>
              <w:t>145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Annual Report on Form 10-K is a combined report being filed separately by Comcast Corporation (“Comcast”) and NBCUniversal Media, LLC (“NBCUniversal”). Comcast owns all of the common equity interests in NBCUniversal, and NBCUniversal meets the conditions set forth in General Instruction I(1)(a), (b) and (d) of Form 10-K and is therefore filing its information within this Form 10-K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notes to the consolidated financial statements, are included in this report. Unless indicated otherwise, throughout this Annual Report on Form 10-K, we refer to Comcast Corporation as “Comcast;” Comcast and its consolidated subsidiaries, including NBCUniversal Media, LLC (“NBCUniversal”) and its consolidated subsidiaries, as “we,” “us” and “our;” Comcast Cable Communications, LLC and its subsidiaries as “Comcast Cable;” Comcast Holdings Corporation as “Comcast Holdings;” and NBCUniversal, LLC as “NBCUniversal Holdings.”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is for the year ended December 31, 2013. This Annual Report on Form 10-K modifies and supersedes documents filed before it.</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Annual Report on Form 10-K. In addition, information that we file with the SEC in the future will automatically update and supersede information contained in this Annual Report on Form 10-K.</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registered trademarks include Comcast, NBCUniversal and the Comcast and NBCUniversal logos. This Annual Report on Form 10-K also contains other trademarks, service marks and trade names owned by us, as well as those owned by others.</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 Business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Comcast was incorporated under the laws of Pennsylvania in 2001, and through its predecessors, has developed, managed and operated cable systems since 1963. In 2011, we closed the NBCUniversal transaction in which we acquired control of the businesses of NBCUniversal, and in 2013, we acquired GE’s remaining 49% common equity interest in NBCUniversal. We present our operations for Comcast Cable in one reportable business segment, referred to as Cable Communications, and our operations for NBCUniversal in four reportable business segments.</w:t>
      </w:r>
    </w:p>
    <w:p>
      <w:pPr>
        <w:spacing w:after="0" w:line="95" w:lineRule="exact"/>
        <w:rPr>
          <w:sz w:val="20"/>
          <w:szCs w:val="20"/>
          <w:color w:val="auto"/>
        </w:rPr>
      </w:pPr>
    </w:p>
    <w:p>
      <w:pPr>
        <w:jc w:val="both"/>
        <w:ind w:left="1020" w:right="1240" w:hanging="215"/>
        <w:spacing w:after="0" w:line="24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the nation’s largest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video, high-speed Internet and voice services (“cable services”) to residential customers under the XFINITY brand, and we also provide similar services to businesses and sell advertising.</w:t>
      </w:r>
    </w:p>
    <w:p>
      <w:pPr>
        <w:spacing w:after="0" w:line="85" w:lineRule="exact"/>
        <w:rPr>
          <w:rFonts w:ascii="Arial" w:cs="Arial" w:eastAsia="Arial" w:hAnsi="Arial"/>
          <w:sz w:val="18"/>
          <w:szCs w:val="18"/>
          <w:color w:val="auto"/>
        </w:rPr>
      </w:pPr>
    </w:p>
    <w:p>
      <w:pPr>
        <w:ind w:left="1020" w:right="126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cable networks, and our cable television production operations.</w:t>
      </w:r>
    </w:p>
    <w:p>
      <w:pPr>
        <w:spacing w:after="0" w:line="71" w:lineRule="exact"/>
        <w:rPr>
          <w:rFonts w:ascii="Arial" w:cs="Arial" w:eastAsia="Arial" w:hAnsi="Arial"/>
          <w:sz w:val="18"/>
          <w:szCs w:val="18"/>
          <w:color w:val="auto"/>
        </w:rPr>
      </w:pPr>
    </w:p>
    <w:p>
      <w:pPr>
        <w:ind w:left="1020" w:right="124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w:t>
      </w:r>
      <w:r>
        <w:rPr>
          <w:rFonts w:ascii="Arial" w:cs="Arial" w:eastAsia="Arial" w:hAnsi="Arial"/>
          <w:sz w:val="18"/>
          <w:szCs w:val="18"/>
          <w:b w:val="1"/>
          <w:bCs w:val="1"/>
          <w:color w:val="auto"/>
        </w:rPr>
        <w:t xml:space="preserve"> </w:t>
      </w:r>
      <w:r>
        <w:rPr>
          <w:rFonts w:ascii="Arial" w:cs="Arial" w:eastAsia="Arial" w:hAnsi="Arial"/>
          <w:sz w:val="18"/>
          <w:szCs w:val="18"/>
          <w:color w:val="auto"/>
        </w:rPr>
        <w:t>Telemundo owned local broadcast television stations, and our broadcast television production operations.</w:t>
      </w:r>
    </w:p>
    <w:p>
      <w:pPr>
        <w:spacing w:after="0" w:line="71" w:lineRule="exact"/>
        <w:rPr>
          <w:rFonts w:ascii="Arial" w:cs="Arial" w:eastAsia="Arial" w:hAnsi="Arial"/>
          <w:sz w:val="18"/>
          <w:szCs w:val="18"/>
          <w:color w:val="auto"/>
        </w:rPr>
      </w:pPr>
    </w:p>
    <w:p>
      <w:pPr>
        <w:ind w:left="1020" w:right="1240" w:hanging="215"/>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distributes filmed entertainment worldwide.</w:t>
      </w:r>
    </w:p>
    <w:p>
      <w:pPr>
        <w:spacing w:after="0" w:line="71"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2013, our Cable Communications segment generated 65% of our consolidated revenue and 80% of our operating income before depreciation and amortization.</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financial and other information about our reportable business segments, refer to Note 19 to Comcast’s consolidated financial statements and Note 18 to NBCUniversal’s consolidated financial statements included in this Annual Report on Form 10-K.</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Available Information and Websites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Comcast’s phone number is (215) 286-1700, and its principal executive offices are located at One Comcast Center, Philadelphia, PA 19103-2838. NBCUniversal’s phone number is (212) 664-4444, and its principal executive offices are located at 30 Rockefeller Plaza, New York, NY 10112-0015. The public may read and copy any materials filed with the SEC at the SEC’s Public Reference Room at 100 F Street, NE, Washington, DC 20549. The public may obtain information on the operation of the Public Reference Room by calling the SEC at 1-800-SEC-0330. Comcast and NBCUniversal’s Annual Reports on Form 10-K, Quarterly Reports on Form 10-Q, Current Reports on Form 8-K and any amendments to such reports filed with or furnished to the</w:t>
      </w:r>
    </w:p>
    <w:p>
      <w:pPr>
        <w:spacing w:after="0" w:line="326"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 under Sections 13(a) or 15(d) of the Securities Exchange Act of 1934, as amended (the “Exchange Act”), are available free of charge on the SEC’s website at www.sec.gov and on Comcast’s website at www.comcastcorporation.com as soon as reasonably practicable after such reports are electronically filed with the SEC. The information posted on our websites is not incorporated into our SEC filings.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General Developments of Our Businesses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2013:</w:t>
      </w:r>
    </w:p>
    <w:p>
      <w:pPr>
        <w:spacing w:after="0" w:line="117" w:lineRule="exact"/>
        <w:rPr>
          <w:sz w:val="20"/>
          <w:szCs w:val="20"/>
          <w:color w:val="auto"/>
        </w:rPr>
      </w:pPr>
    </w:p>
    <w:p>
      <w:pPr>
        <w:ind w:left="1020" w:right="1240" w:hanging="21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consolidated revenue of 3.3% to $64.7 billion and an increase in consolidated operating income of 11.4% to $13.6 billion</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in March 2013 by Comcast of GE’s remaining 49% common equity interest in NBCUniversal Holdings and NBCUniversal’s purchase from GE of certain properties NBCUniversal occupies; see “Redemption Transaction” below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39" w:lineRule="exact"/>
        <w:rPr>
          <w:sz w:val="20"/>
          <w:szCs w:val="20"/>
          <w:color w:val="auto"/>
        </w:rPr>
      </w:pPr>
    </w:p>
    <w:p>
      <w:pPr>
        <w:ind w:left="1020" w:right="124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5.6% to $41.8 billion and an increase in Cable Communications segment operating income before depreciation and amortization of 5.8% to $17.2 billion</w:t>
      </w:r>
    </w:p>
    <w:p>
      <w:pPr>
        <w:spacing w:after="0" w:line="114"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9.8% to $5.4 billion primarily due to the investment in our IP and cloud-enabled video platform, referred to as our X1 platform, the deployment of our wireless gateways in customers’ homes, and our continued investment in network infrastructure, as well as the expansion of business services and our home security and automation services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X1 platform is now available in all of the markets in which we operate, and we have purchased and deployed over 7 million wireless gateways</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expansion of video offerings for our customers via On Demand and online, including the launch of a mobile app that enables live-streaming of certain programming content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39" w:lineRule="exact"/>
        <w:rPr>
          <w:sz w:val="20"/>
          <w:szCs w:val="20"/>
          <w:color w:val="auto"/>
        </w:rPr>
      </w:pPr>
    </w:p>
    <w:p>
      <w:pPr>
        <w:jc w:val="both"/>
        <w:ind w:left="1020" w:right="1240" w:hanging="215"/>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total NBCUniversal revenue of 5.7% to $23.7 billion when excluding the impact from our broadcasts of the Super Bowl and London Olympics in 2012, and a decrease of 0.7% when including $1.4 billion of revenue in the prior year related to these events</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total NBCUniversal operating income before depreciation and amortization of 15.2% to $4.7 billion</w:t>
      </w:r>
    </w:p>
    <w:p>
      <w:pPr>
        <w:spacing w:after="0" w:line="117"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continued investment in original programming and sports programming rights at both our cable networks and broadcast networks and the continued investment in new attractions at our Universal theme parks, including the </w:t>
      </w:r>
      <w:r>
        <w:rPr>
          <w:rFonts w:ascii="Arial" w:cs="Arial" w:eastAsia="Arial" w:hAnsi="Arial"/>
          <w:sz w:val="18"/>
          <w:szCs w:val="18"/>
          <w:i w:val="1"/>
          <w:iCs w:val="1"/>
          <w:color w:val="auto"/>
        </w:rPr>
        <w:t xml:space="preserve">Transformers </w:t>
      </w:r>
      <w:r>
        <w:rPr>
          <w:rFonts w:ascii="Arial" w:cs="Arial" w:eastAsia="Arial" w:hAnsi="Arial"/>
          <w:sz w:val="18"/>
          <w:szCs w:val="18"/>
          <w:color w:val="auto"/>
        </w:rPr>
        <w:t>and</w:t>
      </w:r>
      <w:r>
        <w:rPr>
          <w:rFonts w:ascii="Arial" w:cs="Arial" w:eastAsia="Arial" w:hAnsi="Arial"/>
          <w:sz w:val="18"/>
          <w:szCs w:val="18"/>
          <w:i w:val="1"/>
          <w:iCs w:val="1"/>
          <w:color w:val="auto"/>
        </w:rPr>
        <w:t xml:space="preserve"> Despicable Me </w:t>
      </w:r>
      <w:r>
        <w:rPr>
          <w:rFonts w:ascii="Arial" w:cs="Arial" w:eastAsia="Arial" w:hAnsi="Arial"/>
          <w:sz w:val="18"/>
          <w:szCs w:val="18"/>
          <w:color w:val="auto"/>
        </w:rPr>
        <w:t>attractions and the expansion of the</w:t>
      </w:r>
      <w:r>
        <w:rPr>
          <w:rFonts w:ascii="Arial" w:cs="Arial" w:eastAsia="Arial" w:hAnsi="Arial"/>
          <w:sz w:val="18"/>
          <w:szCs w:val="18"/>
          <w:i w:val="1"/>
          <w:iCs w:val="1"/>
          <w:color w:val="auto"/>
        </w:rPr>
        <w:t xml:space="preserve"> Harry Potter </w:t>
      </w:r>
      <w:r>
        <w:rPr>
          <w:rFonts w:ascii="Arial" w:cs="Arial" w:eastAsia="Arial" w:hAnsi="Arial"/>
          <w:sz w:val="18"/>
          <w:szCs w:val="18"/>
          <w:color w:val="auto"/>
        </w:rPr>
        <w:t>attraction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Redemption Transaction</w:t>
      </w:r>
    </w:p>
    <w:p>
      <w:pPr>
        <w:spacing w:after="0" w:line="1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19, 2013, Comcast acquired GE’s 49% remaining common equity interest in NBCUniversal Holdings for approximately $16.7 billion (the “Redemption Transaction”). In addition to this transaction, NBCUniversal purchased from GE certain properties NBCUniversal occupies at 30 Rockefeller Plaza in New York City and CNBC’s headquarters in Englewood Cliffs, New Jersey for approximately $1.4 billion. See Note 4 to Comcast’s consolidated financial statements for additional information on these transactions.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Description of Our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certain customer and penetration data for our cable system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5420" w:type="dxa"/>
            <w:vAlign w:val="bottom"/>
          </w:tcPr>
          <w:p>
            <w:pPr>
              <w:spacing w:after="0" w:line="200" w:lineRule="exact"/>
              <w:rPr>
                <w:sz w:val="20"/>
                <w:szCs w:val="20"/>
                <w:color w:val="auto"/>
              </w:rPr>
            </w:pPr>
            <w:r>
              <w:rPr>
                <w:rFonts w:ascii="Arial" w:cs="Arial" w:eastAsia="Arial" w:hAnsi="Arial"/>
                <w:sz w:val="18"/>
                <w:szCs w:val="18"/>
                <w:color w:val="auto"/>
              </w:rPr>
              <w:t>Homes and businesses passed</w:t>
            </w:r>
            <w:r>
              <w:rPr>
                <w:rFonts w:ascii="Arial" w:cs="Arial" w:eastAsia="Arial" w:hAnsi="Arial"/>
                <w:sz w:val="22"/>
                <w:szCs w:val="22"/>
                <w:color w:val="auto"/>
                <w:vertAlign w:val="superscript"/>
              </w:rPr>
              <w:t>(a)</w:t>
            </w:r>
          </w:p>
        </w:tc>
        <w:tc>
          <w:tcPr>
            <w:tcW w:w="3180" w:type="dxa"/>
            <w:vAlign w:val="bottom"/>
          </w:tcPr>
          <w:p>
            <w:pPr>
              <w:jc w:val="right"/>
              <w:ind w:right="174"/>
              <w:spacing w:after="0" w:line="200" w:lineRule="exact"/>
              <w:rPr>
                <w:sz w:val="20"/>
                <w:szCs w:val="20"/>
                <w:color w:val="auto"/>
              </w:rPr>
            </w:pPr>
            <w:r>
              <w:rPr>
                <w:rFonts w:ascii="Arial" w:cs="Arial" w:eastAsia="Arial" w:hAnsi="Arial"/>
                <w:sz w:val="18"/>
                <w:szCs w:val="18"/>
                <w:b w:val="1"/>
                <w:bCs w:val="1"/>
                <w:color w:val="auto"/>
              </w:rPr>
              <w:t>53.8</w:t>
            </w:r>
          </w:p>
        </w:tc>
        <w:tc>
          <w:tcPr>
            <w:tcW w:w="720" w:type="dxa"/>
            <w:vAlign w:val="bottom"/>
          </w:tcPr>
          <w:p>
            <w:pPr>
              <w:jc w:val="right"/>
              <w:ind w:right="174"/>
              <w:spacing w:after="0" w:line="200" w:lineRule="exact"/>
              <w:rPr>
                <w:sz w:val="20"/>
                <w:szCs w:val="20"/>
                <w:color w:val="auto"/>
              </w:rPr>
            </w:pPr>
            <w:r>
              <w:rPr>
                <w:rFonts w:ascii="Arial" w:cs="Arial" w:eastAsia="Arial" w:hAnsi="Arial"/>
                <w:sz w:val="18"/>
                <w:szCs w:val="18"/>
                <w:color w:val="auto"/>
              </w:rPr>
              <w:t>53.2</w:t>
            </w:r>
          </w:p>
        </w:tc>
        <w:tc>
          <w:tcPr>
            <w:tcW w:w="720" w:type="dxa"/>
            <w:vAlign w:val="bottom"/>
          </w:tcPr>
          <w:p>
            <w:pPr>
              <w:jc w:val="right"/>
              <w:ind w:right="174"/>
              <w:spacing w:after="0" w:line="200" w:lineRule="exact"/>
              <w:rPr>
                <w:sz w:val="20"/>
                <w:szCs w:val="20"/>
                <w:color w:val="auto"/>
              </w:rPr>
            </w:pPr>
            <w:r>
              <w:rPr>
                <w:rFonts w:ascii="Arial" w:cs="Arial" w:eastAsia="Arial" w:hAnsi="Arial"/>
                <w:sz w:val="18"/>
                <w:szCs w:val="18"/>
                <w:color w:val="auto"/>
              </w:rPr>
              <w:t>52.5</w:t>
            </w:r>
          </w:p>
        </w:tc>
        <w:tc>
          <w:tcPr>
            <w:tcW w:w="720" w:type="dxa"/>
            <w:vAlign w:val="bottom"/>
          </w:tcPr>
          <w:p>
            <w:pPr>
              <w:jc w:val="right"/>
              <w:ind w:right="194"/>
              <w:spacing w:after="0" w:line="200" w:lineRule="exact"/>
              <w:rPr>
                <w:sz w:val="20"/>
                <w:szCs w:val="20"/>
                <w:color w:val="auto"/>
              </w:rPr>
            </w:pPr>
            <w:r>
              <w:rPr>
                <w:rFonts w:ascii="Arial" w:cs="Arial" w:eastAsia="Arial" w:hAnsi="Arial"/>
                <w:sz w:val="18"/>
                <w:szCs w:val="18"/>
                <w:color w:val="auto"/>
              </w:rPr>
              <w:t>51.9</w:t>
            </w:r>
          </w:p>
        </w:tc>
        <w:tc>
          <w:tcPr>
            <w:tcW w:w="660" w:type="dxa"/>
            <w:vAlign w:val="bottom"/>
          </w:tcPr>
          <w:p>
            <w:pPr>
              <w:jc w:val="right"/>
              <w:ind w:right="134"/>
              <w:spacing w:after="0" w:line="200"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Video</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21.7</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6"/>
                <w:szCs w:val="16"/>
                <w:color w:val="auto"/>
              </w:rPr>
              <w:t>Video customers</w:t>
            </w:r>
            <w:r>
              <w:rPr>
                <w:rFonts w:ascii="Arial" w:cs="Arial" w:eastAsia="Arial" w:hAnsi="Arial"/>
                <w:sz w:val="20"/>
                <w:szCs w:val="20"/>
                <w:color w:val="auto"/>
                <w:vertAlign w:val="superscript"/>
              </w:rPr>
              <w:t>(b)</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22.0</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22.3</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22.8</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Video penetration</w:t>
            </w:r>
            <w:r>
              <w:rPr>
                <w:rFonts w:ascii="Arial" w:cs="Arial" w:eastAsia="Arial" w:hAnsi="Arial"/>
                <w:sz w:val="22"/>
                <w:szCs w:val="22"/>
                <w:color w:val="auto"/>
                <w:vertAlign w:val="superscript"/>
              </w:rPr>
              <w:t>(c)</w:t>
            </w:r>
          </w:p>
        </w:tc>
        <w:tc>
          <w:tcPr>
            <w:tcW w:w="31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40.3%</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41.4%</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42.5%</w:t>
            </w:r>
          </w:p>
        </w:tc>
        <w:tc>
          <w:tcPr>
            <w:tcW w:w="7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43.9%</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5420" w:type="dxa"/>
            <w:vAlign w:val="bottom"/>
          </w:tcPr>
          <w:p>
            <w:pPr>
              <w:ind w:left="220"/>
              <w:spacing w:after="0" w:line="203" w:lineRule="exact"/>
              <w:rPr>
                <w:sz w:val="20"/>
                <w:szCs w:val="20"/>
                <w:color w:val="auto"/>
              </w:rPr>
            </w:pPr>
            <w:r>
              <w:rPr>
                <w:rFonts w:ascii="Arial" w:cs="Arial" w:eastAsia="Arial" w:hAnsi="Arial"/>
                <w:sz w:val="18"/>
                <w:szCs w:val="18"/>
                <w:color w:val="auto"/>
              </w:rPr>
              <w:t>Digital video customers</w:t>
            </w:r>
            <w:r>
              <w:rPr>
                <w:rFonts w:ascii="Arial" w:cs="Arial" w:eastAsia="Arial" w:hAnsi="Arial"/>
                <w:sz w:val="22"/>
                <w:szCs w:val="22"/>
                <w:color w:val="auto"/>
                <w:vertAlign w:val="superscript"/>
              </w:rPr>
              <w:t>(d)</w:t>
            </w:r>
          </w:p>
        </w:tc>
        <w:tc>
          <w:tcPr>
            <w:tcW w:w="318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21.3</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21.2</w:t>
            </w:r>
          </w:p>
        </w:tc>
        <w:tc>
          <w:tcPr>
            <w:tcW w:w="720" w:type="dxa"/>
            <w:vAlign w:val="bottom"/>
          </w:tcPr>
          <w:p>
            <w:pPr>
              <w:jc w:val="right"/>
              <w:ind w:right="174"/>
              <w:spacing w:after="0" w:line="202" w:lineRule="exact"/>
              <w:rPr>
                <w:sz w:val="20"/>
                <w:szCs w:val="20"/>
                <w:color w:val="auto"/>
              </w:rPr>
            </w:pPr>
            <w:r>
              <w:rPr>
                <w:rFonts w:ascii="Arial" w:cs="Arial" w:eastAsia="Arial" w:hAnsi="Arial"/>
                <w:sz w:val="18"/>
                <w:szCs w:val="18"/>
                <w:color w:val="auto"/>
              </w:rPr>
              <w:t>20.6</w:t>
            </w:r>
          </w:p>
        </w:tc>
        <w:tc>
          <w:tcPr>
            <w:tcW w:w="720" w:type="dxa"/>
            <w:vAlign w:val="bottom"/>
          </w:tcPr>
          <w:p>
            <w:pPr>
              <w:jc w:val="right"/>
              <w:ind w:right="194"/>
              <w:spacing w:after="0" w:line="202" w:lineRule="exact"/>
              <w:rPr>
                <w:sz w:val="20"/>
                <w:szCs w:val="20"/>
                <w:color w:val="auto"/>
              </w:rPr>
            </w:pPr>
            <w:r>
              <w:rPr>
                <w:rFonts w:ascii="Arial" w:cs="Arial" w:eastAsia="Arial" w:hAnsi="Arial"/>
                <w:sz w:val="18"/>
                <w:szCs w:val="18"/>
                <w:color w:val="auto"/>
              </w:rPr>
              <w:t>19.7</w:t>
            </w: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Digital video penetration</w:t>
            </w:r>
            <w:r>
              <w:rPr>
                <w:rFonts w:ascii="Arial" w:cs="Arial" w:eastAsia="Arial" w:hAnsi="Arial"/>
                <w:sz w:val="22"/>
                <w:szCs w:val="22"/>
                <w:color w:val="auto"/>
                <w:vertAlign w:val="superscript"/>
              </w:rPr>
              <w:t>(d)</w:t>
            </w:r>
          </w:p>
        </w:tc>
        <w:tc>
          <w:tcPr>
            <w:tcW w:w="3180" w:type="dxa"/>
            <w:vAlign w:val="bottom"/>
          </w:tcPr>
          <w:p>
            <w:pPr>
              <w:jc w:val="right"/>
              <w:ind w:right="14"/>
              <w:spacing w:after="0"/>
              <w:rPr>
                <w:sz w:val="20"/>
                <w:szCs w:val="20"/>
                <w:color w:val="auto"/>
              </w:rPr>
            </w:pPr>
            <w:r>
              <w:rPr>
                <w:rFonts w:ascii="Arial" w:cs="Arial" w:eastAsia="Arial" w:hAnsi="Arial"/>
                <w:sz w:val="18"/>
                <w:szCs w:val="18"/>
                <w:b w:val="1"/>
                <w:bCs w:val="1"/>
                <w:color w:val="auto"/>
              </w:rPr>
              <w:t>98.2%</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96.6%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92.0%</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86.6%</w:t>
            </w:r>
          </w:p>
        </w:tc>
        <w:tc>
          <w:tcPr>
            <w:tcW w:w="66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High-speed Internet</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20.7</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High-speed Internet customers</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19.4</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18.1</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17.0</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5"/>
        </w:trPr>
        <w:tc>
          <w:tcPr>
            <w:tcW w:w="5420" w:type="dxa"/>
            <w:vAlign w:val="bottom"/>
          </w:tcPr>
          <w:p>
            <w:pPr>
              <w:ind w:left="220"/>
              <w:spacing w:after="0" w:line="225" w:lineRule="exact"/>
              <w:rPr>
                <w:sz w:val="20"/>
                <w:szCs w:val="20"/>
                <w:color w:val="auto"/>
              </w:rPr>
            </w:pPr>
            <w:r>
              <w:rPr>
                <w:rFonts w:ascii="Arial" w:cs="Arial" w:eastAsia="Arial" w:hAnsi="Arial"/>
                <w:sz w:val="18"/>
                <w:szCs w:val="18"/>
                <w:color w:val="auto"/>
              </w:rPr>
              <w:t>High-speed Internet penetration</w:t>
            </w:r>
            <w:r>
              <w:rPr>
                <w:rFonts w:ascii="Arial" w:cs="Arial" w:eastAsia="Arial" w:hAnsi="Arial"/>
                <w:sz w:val="22"/>
                <w:szCs w:val="22"/>
                <w:color w:val="auto"/>
                <w:vertAlign w:val="superscript"/>
              </w:rPr>
              <w:t>(c)</w:t>
            </w:r>
          </w:p>
        </w:tc>
        <w:tc>
          <w:tcPr>
            <w:tcW w:w="3180" w:type="dxa"/>
            <w:vAlign w:val="bottom"/>
          </w:tcPr>
          <w:p>
            <w:pPr>
              <w:jc w:val="right"/>
              <w:ind w:right="14"/>
              <w:spacing w:after="0"/>
              <w:rPr>
                <w:sz w:val="20"/>
                <w:szCs w:val="20"/>
                <w:color w:val="auto"/>
              </w:rPr>
            </w:pPr>
            <w:r>
              <w:rPr>
                <w:rFonts w:ascii="Arial" w:cs="Arial" w:eastAsia="Arial" w:hAnsi="Arial"/>
                <w:sz w:val="18"/>
                <w:szCs w:val="18"/>
                <w:b w:val="1"/>
                <w:bCs w:val="1"/>
                <w:color w:val="auto"/>
              </w:rPr>
              <w:t>38.4%</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34.6%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32.7%</w:t>
            </w: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Voice</w:t>
            </w:r>
          </w:p>
        </w:tc>
        <w:tc>
          <w:tcPr>
            <w:tcW w:w="318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10.7</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20" w:type="dxa"/>
            <w:vAlign w:val="bottom"/>
          </w:tcPr>
          <w:p>
            <w:pPr>
              <w:ind w:left="220"/>
              <w:spacing w:after="0" w:line="181" w:lineRule="exact"/>
              <w:rPr>
                <w:sz w:val="20"/>
                <w:szCs w:val="20"/>
                <w:color w:val="auto"/>
              </w:rPr>
            </w:pPr>
            <w:r>
              <w:rPr>
                <w:rFonts w:ascii="Arial" w:cs="Arial" w:eastAsia="Arial" w:hAnsi="Arial"/>
                <w:sz w:val="18"/>
                <w:szCs w:val="18"/>
                <w:color w:val="auto"/>
              </w:rPr>
              <w:t>Voice customers</w:t>
            </w:r>
          </w:p>
        </w:tc>
        <w:tc>
          <w:tcPr>
            <w:tcW w:w="3180" w:type="dxa"/>
            <w:vAlign w:val="bottom"/>
            <w:vMerge w:val="continue"/>
          </w:tcPr>
          <w:p>
            <w:pPr>
              <w:spacing w:after="0"/>
              <w:rPr>
                <w:sz w:val="15"/>
                <w:szCs w:val="15"/>
                <w:color w:val="auto"/>
              </w:rPr>
            </w:pP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10.0</w:t>
            </w:r>
          </w:p>
        </w:tc>
        <w:tc>
          <w:tcPr>
            <w:tcW w:w="720" w:type="dxa"/>
            <w:vAlign w:val="bottom"/>
          </w:tcPr>
          <w:p>
            <w:pPr>
              <w:jc w:val="right"/>
              <w:ind w:right="174"/>
              <w:spacing w:after="0" w:line="181" w:lineRule="exact"/>
              <w:rPr>
                <w:sz w:val="20"/>
                <w:szCs w:val="20"/>
                <w:color w:val="auto"/>
              </w:rPr>
            </w:pPr>
            <w:r>
              <w:rPr>
                <w:rFonts w:ascii="Arial" w:cs="Arial" w:eastAsia="Arial" w:hAnsi="Arial"/>
                <w:sz w:val="18"/>
                <w:szCs w:val="18"/>
                <w:color w:val="auto"/>
              </w:rPr>
              <w:t>9.3</w:t>
            </w:r>
          </w:p>
        </w:tc>
        <w:tc>
          <w:tcPr>
            <w:tcW w:w="720" w:type="dxa"/>
            <w:vAlign w:val="bottom"/>
          </w:tcPr>
          <w:p>
            <w:pPr>
              <w:jc w:val="right"/>
              <w:ind w:right="194"/>
              <w:spacing w:after="0" w:line="181" w:lineRule="exact"/>
              <w:rPr>
                <w:sz w:val="20"/>
                <w:szCs w:val="20"/>
                <w:color w:val="auto"/>
              </w:rPr>
            </w:pPr>
            <w:r>
              <w:rPr>
                <w:rFonts w:ascii="Arial" w:cs="Arial" w:eastAsia="Arial" w:hAnsi="Arial"/>
                <w:sz w:val="18"/>
                <w:szCs w:val="18"/>
                <w:color w:val="auto"/>
              </w:rPr>
              <w:t>8.6</w:t>
            </w:r>
          </w:p>
        </w:tc>
        <w:tc>
          <w:tcPr>
            <w:tcW w:w="660" w:type="dxa"/>
            <w:vAlign w:val="bottom"/>
          </w:tcPr>
          <w:p>
            <w:pPr>
              <w:jc w:val="right"/>
              <w:ind w:right="134"/>
              <w:spacing w:after="0" w:line="181"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1"/>
        </w:trPr>
        <w:tc>
          <w:tcPr>
            <w:tcW w:w="5420" w:type="dxa"/>
            <w:vAlign w:val="bottom"/>
            <w:tcBorders>
              <w:bottom w:val="single" w:sz="8" w:color="auto"/>
            </w:tcBorders>
          </w:tcPr>
          <w:p>
            <w:pPr>
              <w:ind w:left="220"/>
              <w:spacing w:after="0" w:line="222" w:lineRule="exact"/>
              <w:rPr>
                <w:sz w:val="20"/>
                <w:szCs w:val="20"/>
                <w:color w:val="auto"/>
              </w:rPr>
            </w:pPr>
            <w:r>
              <w:rPr>
                <w:rFonts w:ascii="Arial" w:cs="Arial" w:eastAsia="Arial" w:hAnsi="Arial"/>
                <w:sz w:val="18"/>
                <w:szCs w:val="18"/>
                <w:color w:val="auto"/>
              </w:rPr>
              <w:t>Voice penetration</w:t>
            </w:r>
            <w:r>
              <w:rPr>
                <w:rFonts w:ascii="Arial" w:cs="Arial" w:eastAsia="Arial" w:hAnsi="Arial"/>
                <w:sz w:val="22"/>
                <w:szCs w:val="22"/>
                <w:color w:val="auto"/>
                <w:vertAlign w:val="superscript"/>
              </w:rPr>
              <w:t>(c)</w:t>
            </w:r>
          </w:p>
        </w:tc>
        <w:tc>
          <w:tcPr>
            <w:tcW w:w="3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19.9%</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18.7%</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17.8%</w:t>
            </w: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Basis of Presentation: Customer metrics include our residential and business customers. Information related to cable system acquisitions is included from the date acquired. Information related to cable systems sold or exchanged is excluded for all periods presented. All percentages are calculated based on actual amounts. Minor differences may exist due to rounding.</w:t>
      </w:r>
    </w:p>
    <w:p>
      <w:pPr>
        <w:spacing w:after="0" w:line="55" w:lineRule="exact"/>
        <w:rPr>
          <w:sz w:val="20"/>
          <w:szCs w:val="20"/>
          <w:color w:val="auto"/>
        </w:rPr>
      </w:pPr>
    </w:p>
    <w:p>
      <w:pPr>
        <w:ind w:left="300" w:hanging="292"/>
        <w:spacing w:after="0" w:line="231"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Homes and businesses are considered passed if we can connect them to our distribution system without further extending the transmission lines. Homes and businesses passed is an estimate based on the best available information.</w:t>
      </w:r>
    </w:p>
    <w:p>
      <w:pPr>
        <w:spacing w:after="0" w:line="54" w:lineRule="exact"/>
        <w:rPr>
          <w:rFonts w:ascii="Arial" w:cs="Arial" w:eastAsia="Arial" w:hAnsi="Arial"/>
          <w:sz w:val="14"/>
          <w:szCs w:val="14"/>
          <w:color w:val="auto"/>
        </w:rPr>
      </w:pPr>
    </w:p>
    <w:p>
      <w:pPr>
        <w:ind w:left="300" w:right="20" w:hanging="292"/>
        <w:spacing w:after="0" w:line="300" w:lineRule="auto"/>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Generally, a home or business receiving video programming from our distribution system counts as one video customer. In the case of some multiple dwelling units (“MDUs”), we count video customers on an FCC equivalent basis by dividing total monthly revenue received from a contract with an MDU by the standard monthly residential rate where the MDU is located.</w:t>
      </w:r>
    </w:p>
    <w:p>
      <w:pPr>
        <w:spacing w:after="0" w:line="19" w:lineRule="exact"/>
        <w:rPr>
          <w:rFonts w:ascii="Arial" w:cs="Arial" w:eastAsia="Arial" w:hAnsi="Arial"/>
          <w:sz w:val="12"/>
          <w:szCs w:val="12"/>
          <w:color w:val="auto"/>
        </w:rPr>
      </w:pPr>
    </w:p>
    <w:p>
      <w:pPr>
        <w:ind w:left="280" w:hanging="272"/>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customers by the number of homes and businesses passed.</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Digital video customers include customers receiving digital signals through any means, including CableCARDs and digital transport adapters. Digital video penetration is calculated by dividing the number of digital video customers by total video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Services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a variety of cable services over our cable distribution system to residential and business customers. Subscription rates and related charges vary according to the services and features customers receive and the type of equipment they use, and customers are typically billed in advance on a monthly basis. Residential customers may generally discontinue service at any time, while business customers may only discontinue service in accordance with the terms of their contracts, which typically have 2 to 5 year terms.</w:t>
      </w:r>
    </w:p>
    <w:p>
      <w:pPr>
        <w:spacing w:after="0" w:line="324"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3</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The Areas We Serve</w:t>
      </w:r>
    </w:p>
    <w:p>
      <w:pPr>
        <w:jc w:val="both"/>
        <w:ind w:right="20"/>
        <w:spacing w:after="0" w:line="239" w:lineRule="auto"/>
        <w:rPr>
          <w:sz w:val="20"/>
          <w:szCs w:val="20"/>
          <w:color w:val="auto"/>
        </w:rPr>
      </w:pPr>
      <w:r>
        <w:rPr>
          <w:rFonts w:ascii="Arial" w:cs="Arial" w:eastAsia="Arial" w:hAnsi="Arial"/>
          <w:sz w:val="18"/>
          <w:szCs w:val="18"/>
          <w:color w:val="auto"/>
        </w:rPr>
        <w:t>The map below highlights the markets in which we offer cable services and that have 125,000 or more video customers. The locations that are bolded represent the markets we operate in that are also included in the top 25 U.S. TV markets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121920</wp:posOffset>
            </wp:positionV>
            <wp:extent cx="5145405" cy="2761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jc w:val="both"/>
        <w:spacing w:after="0" w:line="236" w:lineRule="auto"/>
        <w:rPr>
          <w:sz w:val="20"/>
          <w:szCs w:val="20"/>
          <w:color w:val="auto"/>
        </w:rPr>
      </w:pPr>
      <w:r>
        <w:rPr>
          <w:rFonts w:ascii="Arial" w:cs="Arial" w:eastAsia="Arial" w:hAnsi="Arial"/>
          <w:sz w:val="18"/>
          <w:szCs w:val="18"/>
          <w:color w:val="auto"/>
        </w:rPr>
        <w:t>We offer a broad variety of video services under the XFINITY brand, with access to hundreds of channels depending on the level of service. Our levels of service typically range from a limited basic service with access to between 20 and 40 channels of video programming to a full digital service with access to over 300 channels. Our video services generally include programming provided by national broadcast networks, local broadcast stations, and national and regional cable networks, as well as governmental and public access programming. Our digital video services generally include access to our On Demand service and an interactive, on-screen program guide. We also offer packages that include extensive amounts of foreign-language programming, and we offer other specialty tiers of programming with sports, family and international themes. We tailor our video services offerings that serve a particular geographic area according to applicable local and federal regulatory requirements, programming preferences, and demographics.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video customers may also subscribe to premium network programming. Premium networks include cable networks such as HBO, Showtime, Starz and Cinemax that generally offer, without commercial interruption, movies, original programming, live and taped sporting events and concerts, and other features.</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On Demand service provides our digital video customers with almost 50,000 programming choices, including 15,000 in high definition in select markets. A substantial portion of our On Demand content is available to our digital video customers at no additional charge. Digital video customers that subscribe to a premium network have access to the premium network’s On Demand content without additional fees. Our On Demand service also allows our video customers to view, in most cases for a specified fee, individual new release movies and special-event programs, such as sporting events and concerts. We plan to continue increasing the number of On Demand choices available, including HD programming. In 2013, we began to offer our customers the option to purchase select movies and television shows electronically.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HD video service provides customers that have an HD set-top box with high-resolution picture quality, improved audio quality and a wide-screen format. Our HD service includes a broad selection of HD programming choices, including major broadcast networks, leading national cable networks, premium networks and regional sports networks. We also offer select programming in 3-D format, on both linear channels and through On Demand, to our HD customers who have 3-D capable TV sets. Our DVR service allows digital video customers to select, record and store programs on their set-top box and play them at whatever time is convenient. Our DVR service also provides the ability to pause and rewind “live” television.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invested in our IP and cloud-enabled video platform, referred to as our X1 platform, which is now available in all of the markets in which we operate. The X1 platform provides integrated search functionality, personalized recommendations and apps accessible through televisions. Our video customers also have the ability to view certain live programming and our On Demand content, browse program listings, schedule and manage DVR recordings, and view additional movies and other content online.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Video customers may also subscribe to our Streampix service, which, depending on the customer’s level of service, may include a monthly fee. Streampix provides customers with access to certain programming via On Demand, online and through our mobile apps for smartphones and tablets.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jc w:val="both"/>
        <w:spacing w:after="0" w:line="237" w:lineRule="auto"/>
        <w:rPr>
          <w:sz w:val="20"/>
          <w:szCs w:val="20"/>
          <w:color w:val="auto"/>
        </w:rPr>
      </w:pPr>
      <w:r>
        <w:rPr>
          <w:rFonts w:ascii="Arial" w:cs="Arial" w:eastAsia="Arial" w:hAnsi="Arial"/>
          <w:sz w:val="18"/>
          <w:szCs w:val="18"/>
          <w:color w:val="auto"/>
        </w:rPr>
        <w:t>We offer a variety of high-speed Internet services with downstream speeds of up to 105 Mbps, and we also have introduced downstream speeds of up to 505 Mbps in limited markets. These services also include our Internet portal, XFINITY.comcast.net, which provides access to email, an address book, online storage and online security features. Our customers also have the ability to access these services, including the ability to manage their email accounts and security features, using our mobile apps for smartphones and tablets.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75" w:lineRule="auto"/>
        <w:rPr>
          <w:sz w:val="20"/>
          <w:szCs w:val="20"/>
          <w:color w:val="auto"/>
        </w:rPr>
      </w:pPr>
      <w:r>
        <w:rPr>
          <w:rFonts w:ascii="Arial" w:cs="Arial" w:eastAsia="Arial" w:hAnsi="Arial"/>
          <w:sz w:val="16"/>
          <w:szCs w:val="16"/>
          <w:color w:val="auto"/>
        </w:rPr>
        <w:t>We offer voice service plans using an interconnected Voice over Internet Protocol (“VoIP”) technology that provide either usage-based or unlimited local and domestic long-distance calling and include options for international calling plans, voicemail, voicemail transcriptions, text messaging, caller ID and call waiting. For customers with our high-speed Internet services, our voice services also include the ability to access and manage voicemail, text messaging and other account features through XFINITY.comcast.net or by using our mobile apps for smartphones and tablets.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7" w:lineRule="auto"/>
        <w:rPr>
          <w:sz w:val="20"/>
          <w:szCs w:val="20"/>
          <w:color w:val="auto"/>
        </w:rPr>
      </w:pPr>
      <w:r>
        <w:rPr>
          <w:rFonts w:ascii="Arial" w:cs="Arial" w:eastAsia="Arial" w:hAnsi="Arial"/>
          <w:sz w:val="18"/>
          <w:szCs w:val="18"/>
          <w:color w:val="auto"/>
        </w:rPr>
        <w:t>We offer our cable services to small (up to 20 employees) and medium-sized (up to 500 employees) businesses (“business services”). In addition to the features provided to our residential cable services customers, our services for business customers include a website hosting service, an interactive tool that allows customers to share, coordinate and store documents online, hosted voice services using cloud network servers, a business directory listing, and the added capacity for multiple phone lines.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offer advanced voice services and Ethernet network services to our medium-sized business customers that connect multiple locations, as well as cellular backhaul services to mobile network operators to help them manage network bandwidth.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to local, regional and national advertisers under the Spotlight brand. In most cases, the available advertising time is sold by our sales force. In some cases, we work with representation firms as an extension of our sales force to sell a portion of the advertising time allocated to us. We also represent the advertising sales of other multichannel video providers in some markets. In addition, we generate revenue from the sale of advertising online and on our On Demand service.</w:t>
      </w:r>
    </w:p>
    <w:p>
      <w:pPr>
        <w:spacing w:after="0" w:line="327"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 Sources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receive revenue related to cable franchise and other regulatory fees. We also receive revenue related to our digital media center, commissions from electronic retailing networks, and fees from other newer services, such as our home security and automation services. Our cable franchise and regulatory fees represent the fees required to be paid to federal, state and local authorities that we pass through to our customers. Under the terms of our franchise agreements, we are generally required to pay to the cable franchising authority an amount based on our gross video revenue. Our home security and automation offerings provide home monitoring services to our customers, as well as the ability to manage other functions within the home, such as lighting and climate control, through XFINITY.comcast.net or our mobile apps for smartphones and tablets.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distribution system uses a hybrid fiber-optic and coaxial cable network that we believe is sufficiently flexible and scalable to support our future technology requirements. This network provides the two-way transmissions that are essential to providing interactive video services, such as On Demand, and high-speed Internet and voice services. We are also leveraging our network to develop and deliver innovative services to our customers efficiently and in an accelerated fashion.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focus on technology initiatives, such as:</w:t>
      </w:r>
    </w:p>
    <w:p>
      <w:pPr>
        <w:spacing w:after="0" w:line="117" w:lineRule="exact"/>
        <w:rPr>
          <w:sz w:val="20"/>
          <w:szCs w:val="20"/>
          <w:color w:val="auto"/>
        </w:rPr>
      </w:pPr>
    </w:p>
    <w:p>
      <w:pPr>
        <w:jc w:val="both"/>
        <w:ind w:left="1020" w:right="1260" w:hanging="215"/>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launching next-generation media and content delivery platforms, such as our X1 platform, that use IP technology and our own cloud network servers to deliver video and advanced search capabilities and allow access to certain third-party apps via the Internet, such as Pandora and Facebook</w:t>
      </w:r>
    </w:p>
    <w:p>
      <w:pPr>
        <w:spacing w:after="0" w:line="113" w:lineRule="exact"/>
        <w:rPr>
          <w:rFonts w:ascii="Arial" w:cs="Arial" w:eastAsia="Arial" w:hAnsi="Arial"/>
          <w:sz w:val="18"/>
          <w:szCs w:val="18"/>
          <w:color w:val="auto"/>
        </w:rPr>
      </w:pPr>
    </w:p>
    <w:p>
      <w:pPr>
        <w:ind w:left="1020" w:right="1260" w:hanging="215"/>
        <w:spacing w:after="0" w:line="29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enabling a variety of consumer electronic devices, including computers, tablets, smartphones and Internet-connected televisions, to view and control certain live programming and other content we provide to our video customers</w:t>
      </w:r>
    </w:p>
    <w:p>
      <w:pPr>
        <w:spacing w:after="0" w:line="68"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the use of our network to launch new services, including providing services to medium-sized businesses and offering home security and automation services</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launching wireless options such as Wi-Fi to extend our services outside the home to provide mobility through the use of apps for smartphones and tablets</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deploying wireless gateways in the home that enable our residential high-speed Internet customers to receive higher Internet speeds and to improve the use of multiple Internet-enabled devices at the same time, and to allow for more activity on these devices</w:t>
      </w:r>
    </w:p>
    <w:p>
      <w:pPr>
        <w:spacing w:after="0" w:line="113"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deploying multiple tools to recapture bandwidth and optimize our network, including using advanced video encoding and digital compression technologies and DOCSIS innovations, including DOCSIS 3.0 and 3.1</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deploying technology and software that allow us to better identify and resolve problems with our cable services and provide for better integration of our software with third-party software</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and deploying technology and software that allow customers to subscribe to cable services via the Internet, perform self-diagnostics and resolve problems with our cable services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Supply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offer our video services, we license a substantial portion of our programming from cable and broadcast networks, as well as from local broadcast television stations. We attempt to secure long-term programming distribution agreements with our content providers. We also license individual programs or packages of programs from programming suppliers for our On Demand and streaming services. We seek to include in our distribution agreements the rights to offer such programming to our subscribers through multiple delivery platforms that may be used in a variety of locations, such as through On Demand, XFINITY TV online, and through our mobile apps for smartphones and tablets.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video programming expenses are affected by the programming license fees charged by cable networks, fees we pay for retransmission of the signals from local broadcast television stations, the number of video customers we serve and the amount of content we provide. We anticipate that our programming expenses will continue to increase as we provide additional content to our customers, including in HD; as we deliver this content through an increasing number of platforms, including On Demand, online and through our mobile apps for smartphones and tablets; and as the fees we pay increase. We believe that adding more content and delivering it on various platforms will help us attract and retain video customers.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purchase from a limited number of suppliers a significant number of set-top boxes, network equipment and services that we use in providing our cable services.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our high-speed Internet services, we license software products (such as email and security software) and content (such as news feeds) for our portal, XFINITY.comcast.net, from a variety of suppliers under contracts in which we generally pay on a fixed-fee basis, on a per subscriber basis in the case of software product licenses or on a video advertising revenue share basis in the case of content licenses.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our voice services, we license software products (such as voicemail and text messaging) from a variety of suppliers under multiyear contracts.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fees we pay are generally based on the consumption of the related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use two primary vendors to provide customer billing for our cable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Technical Services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 service call centers provide 24/7 call-answering capability, telemarketing and other services. Our technical services group performs various tasks, including installations, plant maintenance and upgrades to our cable distribution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offer our services directly to residential and business customers through our customer service call centers, customer service centers, door-to-door selling, direct mail advertising, television advertising, Internet advertising, local media advertising, telemarketing and retail outlets. We market our cable services both individually and as bundled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2011, we closed the NBCUniversal and Universal Orlando transactions in which we acquired control of the businesses of NBCUniversal and Universal Orlando. In 2013, we acquired GE’s 49% remaining common equity interest in NBCUniversal. For additional information on these transactions, refer to Note 4 to Comcast’s consolidated financial statements and Note 3 to NBCUniversal’s consolidated financial statements included in this Annual Report on Form 10-K.</w:t>
      </w:r>
    </w:p>
    <w:p>
      <w:pPr>
        <w:spacing w:after="0" w:line="324" w:lineRule="exact"/>
        <w:rPr>
          <w:sz w:val="20"/>
          <w:szCs w:val="20"/>
          <w:color w:val="auto"/>
        </w:rPr>
      </w:pPr>
    </w:p>
    <w:p>
      <w:pPr>
        <w:jc w:val="both"/>
        <w:ind w:left="5660"/>
        <w:spacing w:after="0"/>
        <w:tabs>
          <w:tab w:leader="none" w:pos="876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of a diversified portfolio of national cable networks that provide a variety of entertainment, news and information, and sports content, our regional sports and news networks, various international channels, and our cable television production operations. We also own various digital media properties, which primarily consist of brand-aligned websites.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our national cable networks.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380" w:type="dxa"/>
            <w:vAlign w:val="bottom"/>
          </w:tcPr>
          <w:p>
            <w:pPr>
              <w:jc w:val="right"/>
              <w:ind w:right="376"/>
              <w:spacing w:after="0"/>
              <w:rPr>
                <w:sz w:val="20"/>
                <w:szCs w:val="20"/>
                <w:color w:val="auto"/>
              </w:rPr>
            </w:pPr>
            <w:r>
              <w:rPr>
                <w:rFonts w:ascii="Arial" w:cs="Arial" w:eastAsia="Arial" w:hAnsi="Arial"/>
                <w:sz w:val="14"/>
                <w:szCs w:val="14"/>
                <w:color w:val="auto"/>
              </w:rPr>
              <w:t>Approximate U.S.</w:t>
            </w:r>
          </w:p>
        </w:tc>
        <w:tc>
          <w:tcPr>
            <w:tcW w:w="4680" w:type="dxa"/>
            <w:vAlign w:val="bottom"/>
          </w:tcPr>
          <w:p>
            <w:pPr>
              <w:spacing w:after="0"/>
              <w:rPr>
                <w:sz w:val="14"/>
                <w:szCs w:val="14"/>
                <w:color w:val="auto"/>
              </w:rPr>
            </w:pPr>
          </w:p>
        </w:tc>
      </w:tr>
      <w:tr>
        <w:trPr>
          <w:trHeight w:val="149"/>
        </w:trPr>
        <w:tc>
          <w:tcPr>
            <w:tcW w:w="3360" w:type="dxa"/>
            <w:vAlign w:val="bottom"/>
          </w:tcPr>
          <w:p>
            <w:pPr>
              <w:spacing w:after="0"/>
              <w:rPr>
                <w:sz w:val="12"/>
                <w:szCs w:val="12"/>
                <w:color w:val="auto"/>
              </w:rPr>
            </w:pPr>
          </w:p>
        </w:tc>
        <w:tc>
          <w:tcPr>
            <w:tcW w:w="3380" w:type="dxa"/>
            <w:vAlign w:val="bottom"/>
          </w:tcPr>
          <w:p>
            <w:pPr>
              <w:jc w:val="right"/>
              <w:ind w:right="376"/>
              <w:spacing w:after="0" w:line="149" w:lineRule="exact"/>
              <w:rPr>
                <w:sz w:val="20"/>
                <w:szCs w:val="20"/>
                <w:color w:val="auto"/>
              </w:rPr>
            </w:pPr>
            <w:r>
              <w:rPr>
                <w:rFonts w:ascii="Arial" w:cs="Arial" w:eastAsia="Arial" w:hAnsi="Arial"/>
                <w:sz w:val="14"/>
                <w:szCs w:val="14"/>
                <w:color w:val="auto"/>
              </w:rPr>
              <w:t>Subscribers at</w:t>
            </w:r>
          </w:p>
        </w:tc>
        <w:tc>
          <w:tcPr>
            <w:tcW w:w="4680" w:type="dxa"/>
            <w:vAlign w:val="bottom"/>
          </w:tcPr>
          <w:p>
            <w:pPr>
              <w:spacing w:after="0"/>
              <w:rPr>
                <w:sz w:val="12"/>
                <w:szCs w:val="12"/>
                <w:color w:val="auto"/>
              </w:rPr>
            </w:pPr>
          </w:p>
        </w:tc>
      </w:tr>
      <w:tr>
        <w:trPr>
          <w:trHeight w:val="128"/>
        </w:trPr>
        <w:tc>
          <w:tcPr>
            <w:tcW w:w="3360" w:type="dxa"/>
            <w:vAlign w:val="bottom"/>
          </w:tcPr>
          <w:p>
            <w:pPr>
              <w:spacing w:after="0"/>
              <w:rPr>
                <w:sz w:val="11"/>
                <w:szCs w:val="11"/>
                <w:color w:val="auto"/>
              </w:rPr>
            </w:pPr>
          </w:p>
        </w:tc>
        <w:tc>
          <w:tcPr>
            <w:tcW w:w="3380" w:type="dxa"/>
            <w:vAlign w:val="bottom"/>
          </w:tcPr>
          <w:p>
            <w:pPr>
              <w:jc w:val="right"/>
              <w:ind w:right="376"/>
              <w:spacing w:after="0" w:line="129" w:lineRule="exact"/>
              <w:rPr>
                <w:sz w:val="20"/>
                <w:szCs w:val="20"/>
                <w:color w:val="auto"/>
              </w:rPr>
            </w:pPr>
            <w:r>
              <w:rPr>
                <w:rFonts w:ascii="Arial" w:cs="Arial" w:eastAsia="Arial" w:hAnsi="Arial"/>
                <w:sz w:val="14"/>
                <w:szCs w:val="14"/>
                <w:color w:val="auto"/>
              </w:rPr>
              <w:t>December 31, 2013</w:t>
            </w:r>
          </w:p>
        </w:tc>
        <w:tc>
          <w:tcPr>
            <w:tcW w:w="4680" w:type="dxa"/>
            <w:vAlign w:val="bottom"/>
          </w:tcPr>
          <w:p>
            <w:pPr>
              <w:spacing w:after="0"/>
              <w:rPr>
                <w:sz w:val="11"/>
                <w:szCs w:val="11"/>
                <w:color w:val="auto"/>
              </w:rPr>
            </w:pPr>
          </w:p>
        </w:tc>
      </w:tr>
      <w:tr>
        <w:trPr>
          <w:trHeight w:val="183"/>
        </w:trPr>
        <w:tc>
          <w:tcPr>
            <w:tcW w:w="3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Cable Network</w:t>
            </w:r>
          </w:p>
        </w:tc>
        <w:tc>
          <w:tcPr>
            <w:tcW w:w="3380" w:type="dxa"/>
            <w:vAlign w:val="bottom"/>
            <w:tcBorders>
              <w:bottom w:val="single" w:sz="8" w:color="auto"/>
            </w:tcBorders>
          </w:tcPr>
          <w:p>
            <w:pPr>
              <w:jc w:val="right"/>
              <w:ind w:right="376"/>
              <w:spacing w:after="0" w:line="183" w:lineRule="exact"/>
              <w:rPr>
                <w:sz w:val="20"/>
                <w:szCs w:val="20"/>
                <w:color w:val="auto"/>
              </w:rPr>
            </w:pPr>
            <w:r>
              <w:rPr>
                <w:rFonts w:ascii="Arial" w:cs="Arial" w:eastAsia="Arial" w:hAnsi="Arial"/>
                <w:sz w:val="13"/>
                <w:szCs w:val="13"/>
                <w:color w:val="auto"/>
              </w:rPr>
              <w:t>(in millions)</w:t>
            </w:r>
            <w:r>
              <w:rPr>
                <w:rFonts w:ascii="Arial" w:cs="Arial" w:eastAsia="Arial" w:hAnsi="Arial"/>
                <w:sz w:val="21"/>
                <w:szCs w:val="21"/>
                <w:color w:val="auto"/>
                <w:vertAlign w:val="superscript"/>
              </w:rPr>
              <w:t>(a)</w:t>
            </w:r>
          </w:p>
        </w:tc>
        <w:tc>
          <w:tcPr>
            <w:tcW w:w="46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Description of Programming</w:t>
            </w:r>
          </w:p>
        </w:tc>
      </w:tr>
      <w:tr>
        <w:trPr>
          <w:trHeight w:val="199"/>
        </w:trPr>
        <w:tc>
          <w:tcPr>
            <w:tcW w:w="3360" w:type="dxa"/>
            <w:vAlign w:val="bottom"/>
          </w:tcPr>
          <w:p>
            <w:pPr>
              <w:spacing w:after="0" w:line="200" w:lineRule="exact"/>
              <w:rPr>
                <w:sz w:val="20"/>
                <w:szCs w:val="20"/>
                <w:color w:val="auto"/>
              </w:rPr>
            </w:pPr>
            <w:r>
              <w:rPr>
                <w:rFonts w:ascii="Arial" w:cs="Arial" w:eastAsia="Arial" w:hAnsi="Arial"/>
                <w:sz w:val="18"/>
                <w:szCs w:val="18"/>
                <w:color w:val="auto"/>
              </w:rPr>
              <w:t>USA Network</w:t>
            </w:r>
          </w:p>
        </w:tc>
        <w:tc>
          <w:tcPr>
            <w:tcW w:w="3380" w:type="dxa"/>
            <w:vAlign w:val="bottom"/>
          </w:tcPr>
          <w:p>
            <w:pPr>
              <w:jc w:val="right"/>
              <w:ind w:right="376"/>
              <w:spacing w:after="0" w:line="200" w:lineRule="exact"/>
              <w:rPr>
                <w:sz w:val="20"/>
                <w:szCs w:val="20"/>
                <w:color w:val="auto"/>
              </w:rPr>
            </w:pPr>
            <w:r>
              <w:rPr>
                <w:rFonts w:ascii="Arial" w:cs="Arial" w:eastAsia="Arial" w:hAnsi="Arial"/>
                <w:sz w:val="18"/>
                <w:szCs w:val="18"/>
                <w:color w:val="auto"/>
              </w:rPr>
              <w:t>98</w:t>
            </w:r>
          </w:p>
        </w:tc>
        <w:tc>
          <w:tcPr>
            <w:tcW w:w="4680" w:type="dxa"/>
            <w:vAlign w:val="bottom"/>
          </w:tcPr>
          <w:p>
            <w:pPr>
              <w:ind w:left="460"/>
              <w:spacing w:after="0" w:line="200" w:lineRule="exact"/>
              <w:rPr>
                <w:sz w:val="20"/>
                <w:szCs w:val="20"/>
                <w:color w:val="auto"/>
              </w:rPr>
            </w:pPr>
            <w:r>
              <w:rPr>
                <w:rFonts w:ascii="Arial" w:cs="Arial" w:eastAsia="Arial" w:hAnsi="Arial"/>
                <w:sz w:val="18"/>
                <w:szCs w:val="18"/>
                <w:color w:val="auto"/>
              </w:rPr>
              <w:t>General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Syfy</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97</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Imagination-based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96</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Entertainment and pop culture</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MSNBC</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96</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News and information</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CNBC</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95</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Business and financial news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Bravo</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94</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Entertainment, culture and arts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Golf Channel</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81</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Golf competition and golf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Oxygen</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78</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Women’s interests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NBC Sports Network</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77</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Sports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Esquire Network</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71</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Men’s lifestyle and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Sprout</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57</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Children’s entertainment</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Chiller</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41</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Horror and suspense</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CNBC World</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36</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Global financial news</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G4</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31</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Gamer lifestyle</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Cloo</w:t>
            </w:r>
          </w:p>
        </w:tc>
        <w:tc>
          <w:tcPr>
            <w:tcW w:w="338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29</w:t>
            </w:r>
          </w:p>
        </w:tc>
        <w:tc>
          <w:tcPr>
            <w:tcW w:w="4680" w:type="dxa"/>
            <w:vAlign w:val="bottom"/>
          </w:tcPr>
          <w:p>
            <w:pPr>
              <w:ind w:left="460"/>
              <w:spacing w:after="0" w:line="202" w:lineRule="exact"/>
              <w:rPr>
                <w:sz w:val="20"/>
                <w:szCs w:val="20"/>
                <w:color w:val="auto"/>
              </w:rPr>
            </w:pPr>
            <w:r>
              <w:rPr>
                <w:rFonts w:ascii="Arial" w:cs="Arial" w:eastAsia="Arial" w:hAnsi="Arial"/>
                <w:sz w:val="18"/>
                <w:szCs w:val="18"/>
                <w:color w:val="auto"/>
              </w:rPr>
              <w:t>Crime, mystery and suspense</w:t>
            </w:r>
          </w:p>
        </w:tc>
      </w:tr>
      <w:tr>
        <w:trPr>
          <w:trHeight w:val="199"/>
        </w:trPr>
        <w:tc>
          <w:tcPr>
            <w:tcW w:w="3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Universal HD</w:t>
            </w:r>
          </w:p>
        </w:tc>
        <w:tc>
          <w:tcPr>
            <w:tcW w:w="3380" w:type="dxa"/>
            <w:vAlign w:val="bottom"/>
            <w:tcBorders>
              <w:bottom w:val="single" w:sz="8" w:color="auto"/>
            </w:tcBorders>
          </w:tcPr>
          <w:p>
            <w:pPr>
              <w:jc w:val="right"/>
              <w:ind w:right="376"/>
              <w:spacing w:after="0" w:line="200" w:lineRule="exact"/>
              <w:rPr>
                <w:sz w:val="20"/>
                <w:szCs w:val="20"/>
                <w:color w:val="auto"/>
              </w:rPr>
            </w:pPr>
            <w:r>
              <w:rPr>
                <w:rFonts w:ascii="Arial" w:cs="Arial" w:eastAsia="Arial" w:hAnsi="Arial"/>
                <w:sz w:val="18"/>
                <w:szCs w:val="18"/>
                <w:color w:val="auto"/>
              </w:rPr>
              <w:t>29</w:t>
            </w:r>
          </w:p>
        </w:tc>
        <w:tc>
          <w:tcPr>
            <w:tcW w:w="4680" w:type="dxa"/>
            <w:vAlign w:val="bottom"/>
            <w:tcBorders>
              <w:bottom w:val="single" w:sz="8" w:color="auto"/>
            </w:tcBorders>
          </w:tcPr>
          <w:p>
            <w:pPr>
              <w:ind w:left="460"/>
              <w:spacing w:after="0" w:line="200" w:lineRule="exact"/>
              <w:rPr>
                <w:sz w:val="20"/>
                <w:szCs w:val="20"/>
                <w:color w:val="auto"/>
              </w:rPr>
            </w:pPr>
            <w:r>
              <w:rPr>
                <w:rFonts w:ascii="Arial" w:cs="Arial" w:eastAsia="Arial" w:hAnsi="Arial"/>
                <w:sz w:val="18"/>
                <w:szCs w:val="18"/>
                <w:color w:val="auto"/>
              </w:rPr>
              <w:t>General entertainment HD programming</w:t>
            </w:r>
          </w:p>
        </w:tc>
      </w:tr>
    </w:tbl>
    <w:p>
      <w:pPr>
        <w:spacing w:after="0" w:line="67" w:lineRule="exact"/>
        <w:rPr>
          <w:sz w:val="20"/>
          <w:szCs w:val="20"/>
          <w:color w:val="auto"/>
        </w:rPr>
      </w:pPr>
    </w:p>
    <w:p>
      <w:pPr>
        <w:ind w:left="300" w:hanging="292"/>
        <w:spacing w:after="0" w:line="231" w:lineRule="auto"/>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Subscriber data is based on The Nielsen Company’s January 2014 report, which is derived from information available during the period December 22, 2013 through December 28, 2013, except for Universal HD, which is derived from information provided by multichannel video providers.</w:t>
      </w:r>
    </w:p>
    <w:p>
      <w:pPr>
        <w:spacing w:after="0" w:line="15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regional sports and news networks in our Cable Networks segment serve more than 35 million subscribers across the United States, including key markets such as Atlanta, Baltimore/Washington, Boston, Chicago, Philadelphia, Portland, Sacramento and San Francisco.</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market and distribute our cable network programming in the United States and internationally to multichannel video providers, as well as to digital distributors such as Netflix, Amazon, Hulu and Apple. These distributors may exhibit our content on television, including video on demand and pay-per-view, online and through mobile apps for smartphones and tablets.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produce their own programs or acquire programming rights from third parties. Our cable television production operations identify, develop and produce original content for cable television and other distribution platforms both for our cable networks and for those of third parties. We license this content to cable networks, broadcast networks and digital distributors.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segment generates revenue primarily from the distribution of our cable network programming and from the sale of advertising. Distribution revenue is generated from distribution agreements with multichannel video providers. Advertising revenue is generated from the sale of advertising time on our cable networks and related digital media properties. We also generate content licensing and other revenue primarily from the licensing of our owned programming on various distribution platforms in the United States and internationally.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6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Broadcast Television segment operates the NBC and Telemundo broadcast television networks, which together serve audiences and advertisers in all 50 states. Our Broadcast Television segment also includes our owned NBC and Telemundo local broadcast television stations and our broadcast television production operations. We also own various digital media properties, which primarily consist of brand-aligned websites.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Broadcast Television segment generates revenue primarily from the sale of advertising, from content licensing and from fees received under retransmission consent agreements. Advertising revenue is generated from the sale of advertising time on our broadcast networks, owned local television stations and related digital media properties. Content licensing revenue is generated from the licensing of our owned programming in the United States and internationally, including to cable and broadcast networks and to digital distributors. Our owned local television stations receive fees from multichannel video providers in exchange for retransmission consent that allows carriage of the stations’ signals. We also receive a portion of the retransmission fees received by our NBC affiliated broadcast television stations. We expect these fees to continue to increase in the future as we, as well as our NBC affiliated broadcast television stations, renegotiate distribution agreements with multichannel video providers. We also generate revenue from the sale of our owned programming on standard-definition DVDs and Blu ray discs (together, “DVDs”) and through other online digital distributors such as iTunes.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NBC Network</w:t>
      </w:r>
    </w:p>
    <w:p>
      <w:pPr>
        <w:jc w:val="both"/>
        <w:spacing w:after="0" w:line="271" w:lineRule="auto"/>
        <w:rPr>
          <w:sz w:val="20"/>
          <w:szCs w:val="20"/>
          <w:color w:val="auto"/>
        </w:rPr>
      </w:pPr>
      <w:r>
        <w:rPr>
          <w:rFonts w:ascii="Arial" w:cs="Arial" w:eastAsia="Arial" w:hAnsi="Arial"/>
          <w:sz w:val="16"/>
          <w:szCs w:val="16"/>
          <w:color w:val="auto"/>
        </w:rPr>
        <w:t>The NBC network distributes more than 5,000 hours of entertainment, news and sports programming annually, and its programs reach viewers in virtually all U.S. television households through more than 200 affiliated stations across the United States, including our 10 NBC owned local television stations. The NBC network develops a broad range of entertainment, news and sports content and also airs a variety of special-events programming. The NBC network’s television library consists of rights of varying nature to more than 100,000 episodes of popular television content, including current and classic titles, unscripted programming, sports, news, long-form and short-form programming, and locally produced programming from around the world. In addition, the NBC network operates various websites that extend its brands and content online.</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NBC network produces its own programs or acquires the rights to programming from third parties. NBCUniversal has various contractual commitments for the licensing of rights to multiyear programming, primarily sports programming. Our most significant sports programming commitments include an agreement with the NFL to produce and broadcast a specified number of regular season and playoff games, including </w:t>
      </w:r>
      <w:r>
        <w:rPr>
          <w:rFonts w:ascii="Arial" w:cs="Arial" w:eastAsia="Arial" w:hAnsi="Arial"/>
          <w:sz w:val="18"/>
          <w:szCs w:val="18"/>
          <w:i w:val="1"/>
          <w:iCs w:val="1"/>
          <w:color w:val="auto"/>
        </w:rPr>
        <w:t xml:space="preserve">Sunday Night Football </w:t>
      </w:r>
      <w:r>
        <w:rPr>
          <w:rFonts w:ascii="Arial" w:cs="Arial" w:eastAsia="Arial" w:hAnsi="Arial"/>
          <w:sz w:val="18"/>
          <w:szCs w:val="18"/>
          <w:color w:val="auto"/>
        </w:rPr>
        <w:t>on NBC through the 2022-23 season and the 2015, 2018 and 2021 Super Bowl games. In addition, the NBC network owns</w:t>
      </w:r>
      <w:r>
        <w:rPr>
          <w:rFonts w:ascii="Arial" w:cs="Arial" w:eastAsia="Arial" w:hAnsi="Arial"/>
          <w:sz w:val="18"/>
          <w:szCs w:val="18"/>
          <w:i w:val="1"/>
          <w:iCs w:val="1"/>
          <w:color w:val="auto"/>
        </w:rPr>
        <w:t xml:space="preserve"> </w:t>
      </w:r>
      <w:r>
        <w:rPr>
          <w:rFonts w:ascii="Arial" w:cs="Arial" w:eastAsia="Arial" w:hAnsi="Arial"/>
          <w:sz w:val="18"/>
          <w:szCs w:val="18"/>
          <w:color w:val="auto"/>
        </w:rPr>
        <w:t>the U.S. broadcast rights for the summer and winter Olympic Games through 2020. We also have broadcast rights to a specified number of NHL games through the 2020-21 season, U.S. television rights to English Premier League soccer through the 2015-16 season, certain PGA TOUR golf events through 2021 and certain NASCAR events through 2024. NBCUniversal’s sports programming agreements also include rights to distribute content on our national cable networks, including NBC Sports Network and Golf Channel, on our regional sports networks where applicable, and also online, including through mobile apps available for smartphones and tablets.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broadcast television production operations develop and produce original content, including scripted and unscripted series and talk shows. This original content is licensed to broadcast networks, cable networks and local broadcast television stations owned by us and third parties, as well as to digital distributors, and is sold in DVD format, both in the United States and internationally. We also produce “first-run” syndicated shows, which are programs for initial exhibition on local television stations in the United States, on a market-by-market basis, without prior exhibition on a network. We currently distribute some of our television programs after their initial exhibition, as well as older television programs from our library, to local broadcast television stations and cable networks in the off-network syndication market.</w:t>
      </w:r>
    </w:p>
    <w:p>
      <w:pPr>
        <w:spacing w:after="0" w:line="326" w:lineRule="exact"/>
        <w:rPr>
          <w:sz w:val="20"/>
          <w:szCs w:val="20"/>
          <w:color w:val="auto"/>
        </w:rPr>
      </w:pPr>
    </w:p>
    <w:p>
      <w:pPr>
        <w:ind w:left="5660"/>
        <w:spacing w:after="0"/>
        <w:tabs>
          <w:tab w:leader="none" w:pos="8760" w:val="left"/>
        </w:tabs>
        <w:rPr>
          <w:sz w:val="20"/>
          <w:szCs w:val="20"/>
          <w:color w:val="auto"/>
        </w:rPr>
      </w:pPr>
      <w:r>
        <w:rPr>
          <w:rFonts w:ascii="Arial" w:cs="Arial" w:eastAsia="Arial" w:hAnsi="Arial"/>
          <w:sz w:val="12"/>
          <w:szCs w:val="12"/>
          <w:b w:val="1"/>
          <w:bCs w:val="1"/>
          <w:color w:val="auto"/>
        </w:rPr>
        <w:t>9</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NBC Local Broadcast Television Stations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own and operate 10 NBC affiliated local television stations that as of December 31, 2013 collectively reached 31 million U.S. television households, which represents approximately 27% of all U.S. television households. In addition to airing the NBC network’s national programming, our local television stations produce news, sports, public affairs and other programming that addresses local needs and acquire syndicated programming from other sources. The table below presents a summary of the NBC affiliated local broadcast television stations that we own and operate.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69"/>
        </w:trPr>
        <w:tc>
          <w:tcPr>
            <w:tcW w:w="512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780" w:type="dxa"/>
            <w:vAlign w:val="bottom"/>
            <w:tcBorders>
              <w:bottom w:val="single" w:sz="8" w:color="auto"/>
            </w:tcBorders>
          </w:tcPr>
          <w:p>
            <w:pPr>
              <w:jc w:val="center"/>
              <w:ind w:left="1954"/>
              <w:spacing w:after="0"/>
              <w:rPr>
                <w:sz w:val="20"/>
                <w:szCs w:val="20"/>
                <w:color w:val="auto"/>
              </w:rPr>
            </w:pPr>
            <w:r>
              <w:rPr>
                <w:rFonts w:ascii="Arial" w:cs="Arial" w:eastAsia="Arial" w:hAnsi="Arial"/>
                <w:sz w:val="14"/>
                <w:szCs w:val="14"/>
                <w:color w:val="auto"/>
                <w:w w:val="96"/>
              </w:rPr>
              <w:t>Station</w:t>
            </w:r>
          </w:p>
        </w:tc>
        <w:tc>
          <w:tcPr>
            <w:tcW w:w="1680" w:type="dxa"/>
            <w:vAlign w:val="bottom"/>
            <w:tcBorders>
              <w:bottom w:val="single" w:sz="8" w:color="auto"/>
            </w:tcBorders>
          </w:tcPr>
          <w:p>
            <w:pPr>
              <w:jc w:val="right"/>
              <w:ind w:right="55"/>
              <w:spacing w:after="0" w:line="170" w:lineRule="exact"/>
              <w:rPr>
                <w:sz w:val="20"/>
                <w:szCs w:val="20"/>
                <w:color w:val="auto"/>
              </w:rPr>
            </w:pPr>
            <w:r>
              <w:rPr>
                <w:rFonts w:ascii="Arial" w:cs="Arial" w:eastAsia="Arial" w:hAnsi="Arial"/>
                <w:sz w:val="12"/>
                <w:szCs w:val="12"/>
                <w:color w:val="auto"/>
              </w:rPr>
              <w:t>General Market Rank</w:t>
            </w:r>
            <w:r>
              <w:rPr>
                <w:rFonts w:ascii="Arial" w:cs="Arial" w:eastAsia="Arial" w:hAnsi="Arial"/>
                <w:sz w:val="19"/>
                <w:szCs w:val="19"/>
                <w:color w:val="auto"/>
                <w:vertAlign w:val="superscript"/>
              </w:rPr>
              <w:t>(b)</w:t>
            </w:r>
          </w:p>
        </w:tc>
        <w:tc>
          <w:tcPr>
            <w:tcW w:w="184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Television Households</w:t>
            </w:r>
            <w:r>
              <w:rPr>
                <w:rFonts w:ascii="Arial" w:cs="Arial" w:eastAsia="Arial" w:hAnsi="Arial"/>
                <w:sz w:val="19"/>
                <w:szCs w:val="19"/>
                <w:color w:val="auto"/>
                <w:vertAlign w:val="superscript"/>
              </w:rPr>
              <w:t>(c)</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color w:val="auto"/>
              </w:rPr>
              <w:t>New York, NY</w:t>
            </w:r>
          </w:p>
        </w:tc>
        <w:tc>
          <w:tcPr>
            <w:tcW w:w="2780" w:type="dxa"/>
            <w:vAlign w:val="bottom"/>
          </w:tcPr>
          <w:p>
            <w:pPr>
              <w:jc w:val="center"/>
              <w:ind w:left="1954"/>
              <w:spacing w:after="0" w:line="200" w:lineRule="exact"/>
              <w:rPr>
                <w:sz w:val="20"/>
                <w:szCs w:val="20"/>
                <w:color w:val="auto"/>
              </w:rPr>
            </w:pPr>
            <w:r>
              <w:rPr>
                <w:rFonts w:ascii="Arial" w:cs="Arial" w:eastAsia="Arial" w:hAnsi="Arial"/>
                <w:sz w:val="18"/>
                <w:szCs w:val="18"/>
                <w:color w:val="auto"/>
                <w:w w:val="98"/>
              </w:rPr>
              <w:t>WNBC</w:t>
            </w:r>
          </w:p>
        </w:tc>
        <w:tc>
          <w:tcPr>
            <w:tcW w:w="1680" w:type="dxa"/>
            <w:vAlign w:val="bottom"/>
          </w:tcPr>
          <w:p>
            <w:pPr>
              <w:jc w:val="right"/>
              <w:ind w:right="55"/>
              <w:spacing w:after="0" w:line="200" w:lineRule="exact"/>
              <w:rPr>
                <w:sz w:val="20"/>
                <w:szCs w:val="20"/>
                <w:color w:val="auto"/>
              </w:rPr>
            </w:pPr>
            <w:r>
              <w:rPr>
                <w:rFonts w:ascii="Arial" w:cs="Arial" w:eastAsia="Arial" w:hAnsi="Arial"/>
                <w:sz w:val="18"/>
                <w:szCs w:val="18"/>
                <w:color w:val="auto"/>
              </w:rPr>
              <w:t>1</w:t>
            </w:r>
          </w:p>
        </w:tc>
        <w:tc>
          <w:tcPr>
            <w:tcW w:w="1840" w:type="dxa"/>
            <w:vAlign w:val="bottom"/>
          </w:tcPr>
          <w:p>
            <w:pPr>
              <w:jc w:val="right"/>
              <w:spacing w:after="0" w:line="200" w:lineRule="exact"/>
              <w:rPr>
                <w:sz w:val="20"/>
                <w:szCs w:val="20"/>
                <w:color w:val="auto"/>
              </w:rPr>
            </w:pPr>
            <w:r>
              <w:rPr>
                <w:rFonts w:ascii="Arial" w:cs="Arial" w:eastAsia="Arial" w:hAnsi="Arial"/>
                <w:sz w:val="18"/>
                <w:szCs w:val="18"/>
                <w:color w:val="auto"/>
              </w:rPr>
              <w:t>6%</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Los Angeles, CA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KNBC</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WMAQ</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8"/>
              </w:rPr>
              <w:t>WCAU</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4</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5"/>
              </w:rPr>
              <w:t>KXAS</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5"/>
              </w:rPr>
              <w:t>KNTV</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Washington, D.C.</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7"/>
              </w:rPr>
              <w:t>WRC</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Miami-Ft. Lauderdale, FL</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3"/>
              </w:rPr>
              <w:t>WTVJ</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San Diego, CA</w:t>
            </w:r>
          </w:p>
        </w:tc>
        <w:tc>
          <w:tcPr>
            <w:tcW w:w="2780" w:type="dxa"/>
            <w:vAlign w:val="bottom"/>
          </w:tcPr>
          <w:p>
            <w:pPr>
              <w:jc w:val="center"/>
              <w:ind w:left="1954"/>
              <w:spacing w:after="0" w:line="202" w:lineRule="exact"/>
              <w:rPr>
                <w:sz w:val="20"/>
                <w:szCs w:val="20"/>
                <w:color w:val="auto"/>
              </w:rPr>
            </w:pPr>
            <w:r>
              <w:rPr>
                <w:rFonts w:ascii="Arial" w:cs="Arial" w:eastAsia="Arial" w:hAnsi="Arial"/>
                <w:sz w:val="18"/>
                <w:szCs w:val="18"/>
                <w:color w:val="auto"/>
                <w:w w:val="99"/>
              </w:rPr>
              <w:t>KNSD</w:t>
            </w:r>
          </w:p>
        </w:tc>
        <w:tc>
          <w:tcPr>
            <w:tcW w:w="16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1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Hartford, CT</w:t>
            </w:r>
          </w:p>
        </w:tc>
        <w:tc>
          <w:tcPr>
            <w:tcW w:w="2780" w:type="dxa"/>
            <w:vAlign w:val="bottom"/>
            <w:tcBorders>
              <w:bottom w:val="single" w:sz="8" w:color="auto"/>
            </w:tcBorders>
          </w:tcPr>
          <w:p>
            <w:pPr>
              <w:jc w:val="center"/>
              <w:ind w:left="1974"/>
              <w:spacing w:after="0" w:line="200" w:lineRule="exact"/>
              <w:rPr>
                <w:sz w:val="20"/>
                <w:szCs w:val="20"/>
                <w:color w:val="auto"/>
              </w:rPr>
            </w:pPr>
            <w:r>
              <w:rPr>
                <w:rFonts w:ascii="Arial" w:cs="Arial" w:eastAsia="Arial" w:hAnsi="Arial"/>
                <w:sz w:val="18"/>
                <w:szCs w:val="18"/>
                <w:color w:val="auto"/>
                <w:w w:val="97"/>
              </w:rPr>
              <w:t>WVIT</w:t>
            </w:r>
          </w:p>
        </w:tc>
        <w:tc>
          <w:tcPr>
            <w:tcW w:w="168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30</w:t>
            </w:r>
          </w:p>
        </w:tc>
        <w:tc>
          <w:tcPr>
            <w:tcW w:w="1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r>
    </w:tbl>
    <w:p>
      <w:pPr>
        <w:spacing w:after="0" w:line="6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Designated market area (“DMA”)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market rank is based on the relative size of the DMA among the 210 generally recognized DMAs in the United States based on Nielsen estimates for the 2013-14 season.</w:t>
      </w:r>
    </w:p>
    <w:p>
      <w:pPr>
        <w:spacing w:after="0" w:line="55" w:lineRule="exact"/>
        <w:rPr>
          <w:rFonts w:ascii="Arial" w:cs="Arial" w:eastAsia="Arial" w:hAnsi="Arial"/>
          <w:sz w:val="14"/>
          <w:szCs w:val="14"/>
          <w:color w:val="auto"/>
        </w:rPr>
      </w:pPr>
    </w:p>
    <w:p>
      <w:pPr>
        <w:ind w:left="280" w:right="20" w:hanging="272"/>
        <w:spacing w:after="0" w:line="231" w:lineRule="auto"/>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Nielsen estimates for the 2013-14 season. The percentage of U.S. television households does not reflect the calculation of national audience reach under the FCC’s national television ownership cap limits. See “Legislation and Regulation — Broadcast Television — Ownership Limits — National Television Ownership.”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0C6DFF"/>
        </w:rPr>
        <w:t>Telemundo</w:t>
      </w:r>
    </w:p>
    <w:p>
      <w:pPr>
        <w:jc w:val="both"/>
        <w:spacing w:after="0" w:line="238" w:lineRule="auto"/>
        <w:rPr>
          <w:sz w:val="20"/>
          <w:szCs w:val="20"/>
          <w:color w:val="auto"/>
        </w:rPr>
      </w:pPr>
      <w:r>
        <w:rPr>
          <w:rFonts w:ascii="Arial" w:cs="Arial" w:eastAsia="Arial" w:hAnsi="Arial"/>
          <w:sz w:val="18"/>
          <w:szCs w:val="18"/>
          <w:color w:val="auto"/>
        </w:rPr>
        <w:t>Telemundo is a leading Hispanic media company that produces, acquires and distributes Spanish-language content in the United States and internationally. Telemundo’s operations include the Telemundo network, its 17 owned local television stations, the mun2 cable network and brand-aligned digital media properties.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Telemundo network is a leading Spanish-language broadcast television network featuring original telenovelas, theatrical films, news, specials and sporting events. Telemundo develops original programming primarily through its production studio and also acquires the rights to content from third parties. We currently hold the Spanish-language U.S. broadcast rights to FIFA World Cup soccer from 2015 through 2022 and the Spanish-language U.S. broadcast rights for the NFL games that the NBC network will broadcast through the 2022-23 season as part of our agreement with the NFL.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Telemundo Local Broadcast Television Stations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Telemundo owned 17 local television stations, including 16 local television stations affiliated with the Telemundo network and an independent television station in Puerto Rico. The table below presents a summary of these local television stations, which collectively reached approximately 59% of U.S. Hispanic television households as of December 31, 2013.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right"/>
              <w:ind w:right="136"/>
              <w:spacing w:after="0"/>
              <w:rPr>
                <w:sz w:val="20"/>
                <w:szCs w:val="20"/>
                <w:color w:val="auto"/>
              </w:rPr>
            </w:pPr>
            <w:r>
              <w:rPr>
                <w:rFonts w:ascii="Arial" w:cs="Arial" w:eastAsia="Arial" w:hAnsi="Arial"/>
                <w:sz w:val="14"/>
                <w:szCs w:val="14"/>
                <w:color w:val="auto"/>
              </w:rPr>
              <w:t>Percentage of U.S.</w:t>
            </w:r>
          </w:p>
        </w:tc>
      </w:tr>
      <w:tr>
        <w:trPr>
          <w:trHeight w:val="128"/>
        </w:trPr>
        <w:tc>
          <w:tcPr>
            <w:tcW w:w="52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20" w:type="dxa"/>
            <w:vAlign w:val="bottom"/>
          </w:tcPr>
          <w:p>
            <w:pPr>
              <w:jc w:val="right"/>
              <w:ind w:right="136"/>
              <w:spacing w:after="0" w:line="129" w:lineRule="exact"/>
              <w:rPr>
                <w:sz w:val="20"/>
                <w:szCs w:val="20"/>
                <w:color w:val="auto"/>
              </w:rPr>
            </w:pPr>
            <w:r>
              <w:rPr>
                <w:rFonts w:ascii="Arial" w:cs="Arial" w:eastAsia="Arial" w:hAnsi="Arial"/>
                <w:sz w:val="14"/>
                <w:szCs w:val="14"/>
                <w:color w:val="auto"/>
              </w:rPr>
              <w:t>Hispanic Television</w:t>
            </w:r>
          </w:p>
        </w:tc>
      </w:tr>
      <w:tr>
        <w:trPr>
          <w:trHeight w:val="169"/>
        </w:trPr>
        <w:tc>
          <w:tcPr>
            <w:tcW w:w="5200" w:type="dxa"/>
            <w:vAlign w:val="bottom"/>
            <w:tcBorders>
              <w:bottom w:val="single" w:sz="8" w:color="auto"/>
            </w:tcBorders>
          </w:tcPr>
          <w:p>
            <w:pPr>
              <w:spacing w:after="0" w:line="170" w:lineRule="exact"/>
              <w:rPr>
                <w:sz w:val="20"/>
                <w:szCs w:val="20"/>
                <w:color w:val="auto"/>
              </w:rPr>
            </w:pPr>
            <w:r>
              <w:rPr>
                <w:rFonts w:ascii="Arial" w:cs="Arial" w:eastAsia="Arial" w:hAnsi="Arial"/>
                <w:sz w:val="12"/>
                <w:szCs w:val="12"/>
                <w:color w:val="auto"/>
              </w:rPr>
              <w:t>DMA Served</w:t>
            </w:r>
            <w:r>
              <w:rPr>
                <w:rFonts w:ascii="Arial" w:cs="Arial" w:eastAsia="Arial" w:hAnsi="Arial"/>
                <w:sz w:val="19"/>
                <w:szCs w:val="19"/>
                <w:color w:val="auto"/>
                <w:vertAlign w:val="superscript"/>
              </w:rPr>
              <w:t>(a)</w:t>
            </w:r>
          </w:p>
        </w:tc>
        <w:tc>
          <w:tcPr>
            <w:tcW w:w="2980" w:type="dxa"/>
            <w:vAlign w:val="bottom"/>
            <w:tcBorders>
              <w:bottom w:val="single" w:sz="8" w:color="auto"/>
            </w:tcBorders>
          </w:tcPr>
          <w:p>
            <w:pPr>
              <w:jc w:val="center"/>
              <w:ind w:left="2033"/>
              <w:spacing w:after="0"/>
              <w:rPr>
                <w:sz w:val="20"/>
                <w:szCs w:val="20"/>
                <w:color w:val="auto"/>
              </w:rPr>
            </w:pPr>
            <w:r>
              <w:rPr>
                <w:rFonts w:ascii="Arial" w:cs="Arial" w:eastAsia="Arial" w:hAnsi="Arial"/>
                <w:sz w:val="14"/>
                <w:szCs w:val="14"/>
                <w:color w:val="auto"/>
                <w:w w:val="96"/>
              </w:rPr>
              <w:t>Station</w:t>
            </w:r>
          </w:p>
        </w:tc>
        <w:tc>
          <w:tcPr>
            <w:tcW w:w="1720" w:type="dxa"/>
            <w:vAlign w:val="bottom"/>
            <w:tcBorders>
              <w:bottom w:val="single" w:sz="8" w:color="auto"/>
            </w:tcBorders>
          </w:tcPr>
          <w:p>
            <w:pPr>
              <w:jc w:val="right"/>
              <w:ind w:right="54"/>
              <w:spacing w:after="0" w:line="170" w:lineRule="exact"/>
              <w:rPr>
                <w:sz w:val="20"/>
                <w:szCs w:val="20"/>
                <w:color w:val="auto"/>
              </w:rPr>
            </w:pPr>
            <w:r>
              <w:rPr>
                <w:rFonts w:ascii="Arial" w:cs="Arial" w:eastAsia="Arial" w:hAnsi="Arial"/>
                <w:sz w:val="12"/>
                <w:szCs w:val="12"/>
                <w:color w:val="auto"/>
              </w:rPr>
              <w:t>Hispanic Market Rank</w:t>
            </w:r>
            <w:r>
              <w:rPr>
                <w:rFonts w:ascii="Arial" w:cs="Arial" w:eastAsia="Arial" w:hAnsi="Arial"/>
                <w:sz w:val="19"/>
                <w:szCs w:val="19"/>
                <w:color w:val="auto"/>
                <w:vertAlign w:val="superscript"/>
              </w:rPr>
              <w:t>(b)</w:t>
            </w:r>
          </w:p>
        </w:tc>
        <w:tc>
          <w:tcPr>
            <w:tcW w:w="1520" w:type="dxa"/>
            <w:vAlign w:val="bottom"/>
            <w:tcBorders>
              <w:bottom w:val="single" w:sz="8" w:color="auto"/>
            </w:tcBorders>
          </w:tcPr>
          <w:p>
            <w:pPr>
              <w:jc w:val="right"/>
              <w:ind w:right="136"/>
              <w:spacing w:after="0" w:line="170" w:lineRule="exact"/>
              <w:rPr>
                <w:sz w:val="20"/>
                <w:szCs w:val="20"/>
                <w:color w:val="auto"/>
              </w:rPr>
            </w:pPr>
            <w:r>
              <w:rPr>
                <w:rFonts w:ascii="Arial" w:cs="Arial" w:eastAsia="Arial" w:hAnsi="Arial"/>
                <w:sz w:val="12"/>
                <w:szCs w:val="12"/>
                <w:color w:val="auto"/>
              </w:rPr>
              <w:t>Households</w:t>
            </w:r>
            <w:r>
              <w:rPr>
                <w:rFonts w:ascii="Arial" w:cs="Arial" w:eastAsia="Arial" w:hAnsi="Arial"/>
                <w:sz w:val="19"/>
                <w:szCs w:val="19"/>
                <w:color w:val="auto"/>
                <w:vertAlign w:val="superscript"/>
              </w:rPr>
              <w:t>(c)</w:t>
            </w:r>
          </w:p>
        </w:tc>
      </w:tr>
      <w:tr>
        <w:trPr>
          <w:trHeight w:val="199"/>
        </w:trPr>
        <w:tc>
          <w:tcPr>
            <w:tcW w:w="5200" w:type="dxa"/>
            <w:vAlign w:val="bottom"/>
          </w:tcPr>
          <w:p>
            <w:pPr>
              <w:spacing w:after="0" w:line="200" w:lineRule="exact"/>
              <w:rPr>
                <w:sz w:val="20"/>
                <w:szCs w:val="20"/>
                <w:color w:val="auto"/>
              </w:rPr>
            </w:pPr>
            <w:r>
              <w:rPr>
                <w:rFonts w:ascii="Arial" w:cs="Arial" w:eastAsia="Arial" w:hAnsi="Arial"/>
                <w:sz w:val="18"/>
                <w:szCs w:val="18"/>
                <w:color w:val="auto"/>
              </w:rPr>
              <w:t>Los Angeles, CA</w:t>
            </w:r>
          </w:p>
        </w:tc>
        <w:tc>
          <w:tcPr>
            <w:tcW w:w="2980" w:type="dxa"/>
            <w:vAlign w:val="bottom"/>
          </w:tcPr>
          <w:p>
            <w:pPr>
              <w:jc w:val="center"/>
              <w:ind w:left="2033"/>
              <w:spacing w:after="0" w:line="200" w:lineRule="exact"/>
              <w:rPr>
                <w:sz w:val="20"/>
                <w:szCs w:val="20"/>
                <w:color w:val="auto"/>
              </w:rPr>
            </w:pPr>
            <w:r>
              <w:rPr>
                <w:rFonts w:ascii="Arial" w:cs="Arial" w:eastAsia="Arial" w:hAnsi="Arial"/>
                <w:sz w:val="18"/>
                <w:szCs w:val="18"/>
                <w:color w:val="auto"/>
                <w:w w:val="95"/>
              </w:rPr>
              <w:t>KVEA</w:t>
            </w:r>
          </w:p>
        </w:tc>
        <w:tc>
          <w:tcPr>
            <w:tcW w:w="17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w:t>
            </w:r>
          </w:p>
        </w:tc>
        <w:tc>
          <w:tcPr>
            <w:tcW w:w="152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New York, NY</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6"/>
              </w:rPr>
              <w:t>WNJU</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Miami, FL</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6"/>
              </w:rPr>
              <w:t>WSCV</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Houston,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KTMD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Dallas-Fort Worth,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KXTX</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Chicago, IL</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6"/>
              </w:rPr>
              <w:t>WSNS</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San Francisco-Oakland-San Jose, CA</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KSTS</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San Antonio,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9"/>
              </w:rPr>
              <w:t>KVDA</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Phoenix, AZ</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5"/>
              </w:rPr>
              <w:t>KTAZ</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Harlingen-Brownsville-McAllen, TX</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5"/>
              </w:rPr>
              <w:t>KTLM</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Fresno, CA</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9"/>
              </w:rPr>
              <w:t>KNSO</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Denver, CO</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9"/>
              </w:rPr>
              <w:t>KDEN</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Philadelphia, PA</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WWSI</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Boston, MA</w:t>
            </w:r>
          </w:p>
        </w:tc>
        <w:tc>
          <w:tcPr>
            <w:tcW w:w="2980" w:type="dxa"/>
            <w:vAlign w:val="bottom"/>
          </w:tcPr>
          <w:p>
            <w:pPr>
              <w:jc w:val="center"/>
              <w:ind w:left="2013"/>
              <w:spacing w:after="0" w:line="202" w:lineRule="exact"/>
              <w:rPr>
                <w:sz w:val="20"/>
                <w:szCs w:val="20"/>
                <w:color w:val="auto"/>
              </w:rPr>
            </w:pPr>
            <w:r>
              <w:rPr>
                <w:rFonts w:ascii="Arial" w:cs="Arial" w:eastAsia="Arial" w:hAnsi="Arial"/>
                <w:sz w:val="18"/>
                <w:szCs w:val="18"/>
                <w:color w:val="auto"/>
                <w:w w:val="99"/>
              </w:rPr>
              <w:t>WNEU</w:t>
            </w:r>
            <w:r>
              <w:rPr>
                <w:rFonts w:ascii="Arial" w:cs="Arial" w:eastAsia="Arial" w:hAnsi="Arial"/>
                <w:sz w:val="11"/>
                <w:szCs w:val="11"/>
                <w:color w:val="auto"/>
                <w:w w:val="99"/>
              </w:rPr>
              <w:t>(d)</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Las Vegas, NV</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KBLR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Tucson, AZ</w:t>
            </w:r>
          </w:p>
        </w:tc>
        <w:tc>
          <w:tcPr>
            <w:tcW w:w="2980" w:type="dxa"/>
            <w:vAlign w:val="bottom"/>
          </w:tcPr>
          <w:p>
            <w:pPr>
              <w:jc w:val="center"/>
              <w:ind w:left="2033"/>
              <w:spacing w:after="0" w:line="202" w:lineRule="exact"/>
              <w:rPr>
                <w:sz w:val="20"/>
                <w:szCs w:val="20"/>
                <w:color w:val="auto"/>
              </w:rPr>
            </w:pPr>
            <w:r>
              <w:rPr>
                <w:rFonts w:ascii="Arial" w:cs="Arial" w:eastAsia="Arial" w:hAnsi="Arial"/>
                <w:sz w:val="18"/>
                <w:szCs w:val="18"/>
                <w:color w:val="auto"/>
                <w:w w:val="97"/>
              </w:rPr>
              <w:t>KHRR</w:t>
            </w:r>
          </w:p>
        </w:tc>
        <w:tc>
          <w:tcPr>
            <w:tcW w:w="1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9"/>
        </w:trPr>
        <w:tc>
          <w:tcPr>
            <w:tcW w:w="52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Puerto Rico</w:t>
            </w:r>
          </w:p>
        </w:tc>
        <w:tc>
          <w:tcPr>
            <w:tcW w:w="2980" w:type="dxa"/>
            <w:vAlign w:val="bottom"/>
            <w:tcBorders>
              <w:bottom w:val="single" w:sz="8" w:color="auto"/>
            </w:tcBorders>
          </w:tcPr>
          <w:p>
            <w:pPr>
              <w:jc w:val="center"/>
              <w:ind w:left="2033"/>
              <w:spacing w:after="0" w:line="200" w:lineRule="exact"/>
              <w:rPr>
                <w:sz w:val="20"/>
                <w:szCs w:val="20"/>
                <w:color w:val="auto"/>
              </w:rPr>
            </w:pPr>
            <w:r>
              <w:rPr>
                <w:rFonts w:ascii="Arial" w:cs="Arial" w:eastAsia="Arial" w:hAnsi="Arial"/>
                <w:sz w:val="18"/>
                <w:szCs w:val="18"/>
                <w:color w:val="auto"/>
                <w:w w:val="98"/>
              </w:rPr>
              <w:t>WKAQ</w:t>
            </w:r>
          </w:p>
        </w:tc>
        <w:tc>
          <w:tcPr>
            <w:tcW w:w="17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6"/>
              <w:spacing w:after="0" w:line="200"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DMA served is defined by Nielsen Media Research as a geographic market for the sale of national spot and local advertising time.</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Hispanic market rank is based on the relative size of the DMA among approximately 14.7 million U.S. Hispanic households as of December 31, 2013.</w:t>
      </w:r>
    </w:p>
    <w:p>
      <w:pPr>
        <w:spacing w:after="0" w:line="55" w:lineRule="exact"/>
        <w:rPr>
          <w:rFonts w:ascii="Arial" w:cs="Arial" w:eastAsia="Arial" w:hAnsi="Arial"/>
          <w:sz w:val="14"/>
          <w:szCs w:val="14"/>
          <w:color w:val="auto"/>
        </w:rPr>
      </w:pPr>
    </w:p>
    <w:p>
      <w:pPr>
        <w:ind w:left="280" w:hanging="272"/>
        <w:spacing w:after="0" w:line="231" w:lineRule="auto"/>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Nielsen estimates for the 2013-14 season. The percentage of U.S. Hispanic television households does not reflect the calculation of national audience reach under the FCC’s national television ownership cap limits. See “Legislation and Regulation — Broadcast Television — Ownership Limits — National Television Ownership.”</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Operated by a third party that provides certain non-network programming and operations services under a time brokerage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Our Filmed Entertainment segment produces, acquires, markets and distributes both live-action and animated filmed entertainment worldwide. We also develop, produce and license live stage plays and own various digital media properties that are aligned with our filmed entertainment content.</w:t>
      </w:r>
    </w:p>
    <w:p>
      <w:pPr>
        <w:spacing w:after="0" w:line="1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produce films both on our own and jointly with other studios or production companies, as well as with other entities. Our films are produced primarily under the Universal Pictures, Focus Features and Illumination names. Our films are marketed and distributed worldwide primarily through our own marketing and distribution companies. We also acquire distribution rights to films produced by others, which may be limited to particular geographic regions, specific forms of media or certain periods of time. Our content consists of theatrical films, direct-to-video titles and our film library, which is comprised of more than 5,000 titles in a variety of genres.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and may continue to enter, into film cofinancing arrangements with third parties, including both studio and nonstudio entities, to jointly finance or distribute certain of our film productions. These arrangements can take various forms, but in most cases involve the grant of an economic interest in a film to an investor. Investors generally assume the full risks and rewards of ownership proportionate to their ownership in the film.</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majority of our produced and acquired films are initially distributed for exhibition in movie theaters. After their release in movie theaters, we sell and license our films through various methods. We distribute our films globally by selling them in DVD format to retail stores, rental kiosks and subscription by mail services and by selling electronic copies through digital distributors and video-on-demand services provided by multichannel video providers, including our Cable Communications segment. We also license our films, including selections from our film library, to cable, broadcast and premium networks, to digital distributors, and to video-on-demand and pay-per-view services. The volume of our content that is made available through digital distributors is increasing as consumers continue to seek alternative ways to view our content.</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produced and acquired films for exhibition in movie theaters, the sale of our owned and acquired films in home entertainment formats, such as DVDs, and the licensing of our owned and acquired films. We also generate revenue from producing and licensing live stage plays and distributing filmed entertainment produced by third parties as well as from various digital media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Theme Parks segment consists primarily of our Universal theme parks in Orlando and Hollywood. Universal Orlando includes two theme parks, Universal Studios Florida and Universal’s Islands of Adventure, as well as CityWalk, a dining, retail and entertainment complex. Universal Orlando also features three on-site themed hotels in which we own a noncontrolling interest. Our Universal theme park in Hollywood consists primarily of Universal Studios Hollywood. In addition, we license the right to use the Universal Studios brand name and other intellectual property, and also provide other services, to third parties that own and operate the Universal Studios Japan theme park in Osaka, Japan and the Universal Studios Singapore theme park on Sentosa Island, Singapore. We also own a water park, Wet ‘n Wild, located in Orlando.</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licenses the right to use a substantial amount of intellectual property from third parties for its themed elements in rides, attractions, retail outlets and merchandising.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Per capita spending includes ticket price and in-park spending on food, beverages and merchandise. We also receive fees from the third parties that own and operate Universal Studios Japan and Universal Studios Singapore for intellectual property licenses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our businesses operate in intensely competitive, consumer-driven and rapidly changing environments and compete with a growing number of companies that provide a broad range of communications products and services and entertainment, news and information products and services to consumers. Technological changes are further intensifying and complicating the competitive landscape for all of our businesses by challenging existing business models and affecting consumer behavior.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the cable services we offer consists primarily of direct broadcast satellite (“DBS”) providers, which have a national footprint and compete in all our service areas, and phone companies, which overlap approximately 45% of our service areas and are continuing to expand their fiber-based networks. These competitors offer features, pricing and packaging for cable services that are comparable to the pricing and services we offer. There also continue to be new companies, some with significant financial resources, that potentially may compete on a larger scale with our cable services. For example, companies continue to emerge that provide Internet streaming and downloading of video programming, some of which charge a</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nominal or no fee, and Google recently launched high-speed Internet and video services in a limited number of areas. Moreover, wireless technology, such as 3G and 4G wireless broadband services and Wi-Fi networks, may compete with our video and high-speed Internet services, and our voice services are facing increased competition as a result of wireless and Internet-based phone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Video Services</w:t>
      </w:r>
    </w:p>
    <w:p>
      <w:pPr>
        <w:spacing w:after="0"/>
        <w:rPr>
          <w:sz w:val="20"/>
          <w:szCs w:val="20"/>
          <w:color w:val="auto"/>
        </w:rPr>
      </w:pPr>
      <w:r>
        <w:rPr>
          <w:rFonts w:ascii="Arial" w:cs="Arial" w:eastAsia="Arial" w:hAnsi="Arial"/>
          <w:sz w:val="18"/>
          <w:szCs w:val="18"/>
          <w:color w:val="auto"/>
        </w:rPr>
        <w:t>We compete with a number of different sources that provide news, sports, information and entertainment programming to consumers, including:</w:t>
      </w:r>
    </w:p>
    <w:p>
      <w:pPr>
        <w:spacing w:after="0" w:line="117" w:lineRule="exact"/>
        <w:rPr>
          <w:sz w:val="20"/>
          <w:szCs w:val="20"/>
          <w:color w:val="auto"/>
        </w:rPr>
      </w:pPr>
    </w:p>
    <w:p>
      <w:pPr>
        <w:ind w:left="1020" w:right="126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DBS providers that transmit satellite signals containing video programming and other information to receiving dishes located on the customer’s premises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phone companies that have built and continue to build fiber-optic-based networks that provide cable services similar to ours, which now overlap a substantial portion of our service areas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providers that build and operate wireline communications systems in the same communities that we serve, including those operating as franchised cable operators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satellite master antenna television (“SMATV”) systems that generally serve MDUs, office complexes and residential developments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may compete with online digital distributors that offer online services and devices that enable Internet video streaming and downloading of movies, television shows and other video programming.</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recent years, Congress has enacted legislation and the FCC has adopted regulatory policies intended to provide a favorable operating environment for existing competitors and for potential new competitors to our cable services. The FCC adopted rules favoring new investment by certain phone companies in networks capable of distributing video programming and rules allocating and auctioning spectrum for new wireless services that may compete with our video service offerings. See “Legislation and Regulation” below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Direct Broadcast Satellite Providers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According to recent government and industry reports, conventional medium-power and high-power satellites provide video programming to 34 million subscribers in the United States. DBS providers with high-power satellites typically offer video services substantially similar to our video services. Two companies, DIRECTV and DISH Network, provide service to substantially all of these DBS subscribers. DBS providers also have marketing arrangements with certain phone companies in which the DBS provider’s video services are sold together with the phone company’s high-speed Internet and phone services.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Phone Companies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phone companies, in particular AT&amp;T, Verizon and CenturyLink, have built and are continuing to build wireline fiber-optic-based networks that provide video and high-speed Internet services in substantial portions of our service areas. These and other phone companies also may market video services provided by DBS providers in certain areas where they provide only high-speed Internet and phone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Other Wireline Providers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Federal law prohibits franchising authorities from unreasonably denying requests for additional franchises, and it permits franchising authorities to operate cable systems. In addition to phone companies, various other companies, including those that traditionally have not provided cable services and have significant financial resources, have obtained cable franchises and provide competing cable services. These and other cable</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systems offer cable services in some areas where we hold franchises. We anticipate that facilities-based competitors may emerge in other franchise areas that we serve.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Satellite Master Antenna Television Systems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services also compete for customers with SMATV systems. SMATV system operators typically are not subject to regulation in the same manner as local, franchised cable system operators. SMATV systems offer their subscribers both improved reception of local broadcast television stations and much of the programming offered by our cable systems. In addition, some SMATV system operators offer packages of video, Internet and phone services to residential and business subscribers.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Other</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also compete with newer online services from digital distributors that enable Internet video streaming and downloading of movies, television shows and other video programming and in some cases charge a nominal or no fee. Additionally, we may compete with consumer electronic companies that sell Internet-connected TVs or gaming consoles that provide their own user interface for searching TV programs and offer links to various third-party apps. The success of these newer services could negatively impact demand for our video services, including for our DVR, premium network, On Demand and streaming services.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services also may compete for customers with other companies, such as local broadcast television stations that provide multiple channels of free over-the-air programming, as well as newer services that provide programming from such broadcasts online for a fee, as well as video rental services and home entertainment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 Services</w:t>
      </w:r>
    </w:p>
    <w:p>
      <w:pPr>
        <w:spacing w:after="0"/>
        <w:rPr>
          <w:sz w:val="20"/>
          <w:szCs w:val="20"/>
          <w:color w:val="auto"/>
        </w:rPr>
      </w:pPr>
      <w:r>
        <w:rPr>
          <w:rFonts w:ascii="Arial" w:cs="Arial" w:eastAsia="Arial" w:hAnsi="Arial"/>
          <w:sz w:val="18"/>
          <w:szCs w:val="18"/>
          <w:color w:val="auto"/>
        </w:rPr>
        <w:t>We compete with a number of companies offering Internet services, many of which have substantial resources, including:</w:t>
      </w:r>
    </w:p>
    <w:p>
      <w:pPr>
        <w:spacing w:after="0" w:line="117" w:lineRule="exact"/>
        <w:rPr>
          <w:sz w:val="20"/>
          <w:szCs w:val="20"/>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wireline phone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Internet service providers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phone companies and other providers of wireless Internet service</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municipal broadband networks</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Digital subscriber line (“DSL”) technology allows Internet access to be provided to customers over phone lines at data transmission speeds substantially greater than those of dial-up modems. Phone companies and certain other companies offer DSL service, and several of these companies have increased data transmission speeds, lowered prices or created bundled service packages. In addition, some phone companies, such as AT&amp;T, Verizon and CenturyLink, have built and are continuing to build fiber-optic-based networks that allow them to provide data transmission speeds that exceed those that can be provided with DSL technology and are now offering these higher-speed services in many of our service areas. Additionally, Google recently launched high-speed Internet services in a limited number of areas.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Various wireless companies are offering Internet services using a variety of network types, including 3G and 4G wireless high-speed Internet networks and Wi-Fi networks. Some of these services are similar to ours. These networks work with devices such as wireless data cards and wireless embedded devices, such as smartphones, laptops, tablets and mobile wireless routers that connect to such embedded devices. In addition, a growing number of commercial venues, such as retail malls, restaurants and airports, offer Wi-Fi</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service. Numerous local governments are also considering or actively pursuing publicly subsidized Wi-Fi and other Internet access networks. The availability of these wireless offerings could negatively impact the demand for our high-speed Internet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Voice Services</w:t>
      </w:r>
    </w:p>
    <w:p>
      <w:pPr>
        <w:jc w:val="both"/>
        <w:spacing w:after="0" w:line="236" w:lineRule="auto"/>
        <w:rPr>
          <w:sz w:val="20"/>
          <w:szCs w:val="20"/>
          <w:color w:val="auto"/>
        </w:rPr>
      </w:pPr>
      <w:r>
        <w:rPr>
          <w:rFonts w:ascii="Arial" w:cs="Arial" w:eastAsia="Arial" w:hAnsi="Arial"/>
          <w:sz w:val="18"/>
          <w:szCs w:val="18"/>
          <w:color w:val="auto"/>
        </w:rPr>
        <w:t>Our voice services compete with wireline phone companies, including incumbent local exchange carriers (“ILECs”) competitive local exchange carriers (“CLECs”), wireless phone service providers and other VoIP service providers. Certain phone companies, such as the ILECs AT&amp;T and Verizon, have substantial capital and other resources, longstanding customer relationships, and extensive existing facilities and network rights-of-way. A few CLECs also have existing local networks and significant financial resources. In addition, we are increasingly competing with wireless phone service providers as people substitute mobile phones for landline phones and with Internet-based phone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8" w:lineRule="auto"/>
        <w:rPr>
          <w:sz w:val="20"/>
          <w:szCs w:val="20"/>
          <w:color w:val="auto"/>
        </w:rPr>
      </w:pPr>
      <w:r>
        <w:rPr>
          <w:rFonts w:ascii="Arial" w:cs="Arial" w:eastAsia="Arial" w:hAnsi="Arial"/>
          <w:sz w:val="18"/>
          <w:szCs w:val="18"/>
          <w:color w:val="auto"/>
        </w:rPr>
        <w:t>Our business services primarily compete with a variety of phone companies, including ILECs and CLECs. These companies either operate their own network infrastructure or rely on reselling another carrier’s network. We also compete with satellite operators who provide video offerings for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w:t>
      </w:r>
    </w:p>
    <w:p>
      <w:pPr>
        <w:jc w:val="both"/>
        <w:spacing w:after="0" w:line="236"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viewers’ attention and audience share with all forms of programming provided to viewers, including cable, broadcast and premium networks, local broadcast television stations, home entertainment, pay-per-view and video-on-demand services, online activities, such as social networking and viewing user-generated content, and other forms of entertainment, news and information. Our cable networks, broadcast television networks and owned local broadcast television stations may compete for viewers’ attention with digital distributors, some of which have their own high-quality original content.</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broadcast television networks and owned local broadcast television stations compete for the acquisition of programming and for on-air and creative talent with other cable and broadcast networks, local television stations and online digital distributors. The market for programming is very competitive, particularly for sports programming, where the cost for such programming is significant.</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networks compete with other cable networks and programming providers for carriage of their programming by multichannel video providers and online digital distributors. Our broadcast television networks compete with the other broadcast networks in markets across the United States to secure affiliations with independently owned television stations, which are necessary to ensure the effective distribution of network programming to a nationwide audience.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production operations compete with other production companies and creators of content for the acquisition of story properties, creative, performing and technical personnel, and with distributors for their content and for consumer interest in their content.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7" w:lineRule="auto"/>
        <w:rPr>
          <w:sz w:val="20"/>
          <w:szCs w:val="20"/>
          <w:color w:val="auto"/>
        </w:rPr>
      </w:pPr>
      <w:r>
        <w:rPr>
          <w:rFonts w:ascii="Arial" w:cs="Arial" w:eastAsia="Arial" w:hAnsi="Arial"/>
          <w:sz w:val="18"/>
          <w:szCs w:val="18"/>
          <w:color w:val="auto"/>
        </w:rPr>
        <w:t>Our filmed entertainment business competes for audiences for its films and other entertainment content with other major studios and, to a lesser extent, with independent film producers, as well as with alternative forms of entertainment. Our competitive position primarily depends on the number of films we produce, their distribution and marketing success, and consumer response. Our filmed entertainment business also competes to obtain creative, performing and technical talent, including writers, actors, directors and producers, as well</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scripts for films. Our filmed entertainment business also competes with the other major studios and other producers of entertainment content for sources of financing for the production of its films, for the exhibition of its films in theaters, and for shelf space in retail stores for its DVDs and with digital distributors for the licensing and sale of its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81" w:lineRule="auto"/>
        <w:rPr>
          <w:sz w:val="20"/>
          <w:szCs w:val="20"/>
          <w:color w:val="auto"/>
        </w:rPr>
      </w:pPr>
      <w:r>
        <w:rPr>
          <w:rFonts w:ascii="Arial" w:cs="Arial" w:eastAsia="Arial" w:hAnsi="Arial"/>
          <w:sz w:val="16"/>
          <w:szCs w:val="16"/>
          <w:color w:val="auto"/>
        </w:rPr>
        <w:t>Our theme parks business competes with other multi-park entertainment companies. We also compete with other forms of entertainment, lodging, tourism and recreational activities. In order to maintain the competitiveness of our theme parks, we have invested and continue to invest in existing and new theme park attractions and infrastructure. The investment required to introduce new attractions in our theme parks can be significant.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Our cable communications business, cable networks, broadcast television networks, and owned local broadcast television stations compete for the sale of advertising time with other television networks and stations, as well as with all other advertising platforms, such as radio stations, print media and websites. Additionally, advertisers’ willingness to purchase advertising from us may be adversely affected by lower audience ratings at our cable networks, broadcast television networks and owned local broadcast television stations. Declines in advertising revenue also can be caused by increased competition for the leisure time of audiences and audience fragmentation and from the growing use of new technologies such as DVRs, which give consumers greater flexibility to watch programming on a time-delayed or on-demand basis or to fast-forward or skip advertisements within programming.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Seasonality and Cyclicality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Each of our businesses is subject to seasonal and cyclical variations. See “Management’s Discussion and Analysis of Financial Condition and Results of Operations — Seasonality and Cyclicality” for additional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Legislation and Regulation</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Communications Act of 1934, as amended (the “Communications Act”), and FCC regulations and policies affect significant aspects of our businesses, which are also subject to other regulation by federal, state, local and foreign authorities under applicable laws and regulations, as well as under agreements we enter into with franchising authorities. In addition, our businesses are subject to compliance with the terms of the FCC Order approving the NBCUniversal transaction (the “NBCUniversal Order”) and a consent decree entered into between us, the DOJ and five states (the “NBCUniversal Consent Decree”), which contain conditions and commitments of varying duration, ranging from three to seven years after September 2011. Legislators and regulators at all levels of government frequently consider changing, and sometimes do change, existing statutes, rules or regulations, or interpretations of existing statutes, rules or regulations, or prescribe new ones, which may significantly affect our businesses. For example, Congress is currently considering a number of legislative proposals addressing communications issues, including whether it should rewrite the entire Communications Act to account for the ever-evolving communications marketplace, whether it should reform retransmission consent and whether it should address the FCC’s authority to implement open Internet regulations. We are unable to predict any such changes, or how any such changes would ultimately affect our businesses. The following paragraphs summarize material existing and potential future legal and regulatory requirements affecting our businesses, although reference should be made to the Communications Act, FCC regulations, the NBCUniversal Order, the NBCUniversal Consent Decree, and other legislation and regulations for further information.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Carriage</w:t>
      </w:r>
    </w:p>
    <w:p>
      <w:pPr>
        <w:jc w:val="both"/>
        <w:spacing w:after="0" w:line="267" w:lineRule="auto"/>
        <w:rPr>
          <w:sz w:val="20"/>
          <w:szCs w:val="20"/>
          <w:color w:val="auto"/>
        </w:rPr>
      </w:pPr>
      <w:r>
        <w:rPr>
          <w:rFonts w:ascii="Arial" w:cs="Arial" w:eastAsia="Arial" w:hAnsi="Arial"/>
          <w:sz w:val="16"/>
          <w:szCs w:val="16"/>
          <w:color w:val="auto"/>
        </w:rPr>
        <w:t>The Communications Act and FCC regulations prohibit cable operators and other multichannel video providers from requiring a financial interest in, or exclusive distribution rights for, any video programming network as a condition of carriage, or from unreasonably restraining the ability of an unaffiliated programming network to compete fairly by discriminating against the network on the basis of its non-affiliation in the selection, terms or conditions for carriage. The FCC has adopted regulations that we believe increase the likelihood of program carriage complaints and is considering proposals to further expand program carriage regulations that may be disadvantageous to us. In July 2012, the FCC ruled against us in a program carriage complaint initiated by The Tennis Channel. We challenged that decision in court, and the federal courts overturned it, although The Tennis Channel is seeking further judicial review from the Supreme Court. In addition, the NBCUniversal Order prohibits discriminating against a network on the basis of its non-affiliation in the selection, terms or conditions for carriage, and requires that, if we place news and/or business news channels in a channel lineup “neighborhood,” we must place all independent news and business news channels in that neighborhood. Bloomberg Television filed a complaint at the FCC invoking this condition. The FCC ruled substantially in favor of Bloomberg but did not grant all of the relief Bloomberg had requested. Both Comcast and Bloomberg have challenged the FCC’s ruling in court and those cases are pending. We have been involved in other program carriage disputes at the FCC and may continue to be subject to program carriage complaints in the future. Adverse decisions in disputes under the program carriage regulations or NBCUniversal Order conditions could negatively affect our business.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36" w:lineRule="auto"/>
        <w:rPr>
          <w:sz w:val="20"/>
          <w:szCs w:val="20"/>
          <w:color w:val="auto"/>
        </w:rPr>
      </w:pPr>
      <w:r>
        <w:rPr>
          <w:rFonts w:ascii="Arial" w:cs="Arial" w:eastAsia="Arial" w:hAnsi="Arial"/>
          <w:sz w:val="18"/>
          <w:szCs w:val="18"/>
          <w:color w:val="auto"/>
        </w:rPr>
        <w:t xml:space="preserve">Cable operators are currently required to carry, without compensation, the programming transmitted by most local commercial and noncommercial broadcast television stations. Alternatively, local broadcast television stations may choose to negotiate with a cable operator for retransmission consent, under which the station gives up its must-carry rights and instead seeks to negotiate a carriage agreement with the cable operator. Such an agreement may involve payments to the station. We are currently paying certain local broadcast television stations in exchange for their required consent for the retransmission of the stations’ broadcast programming to our video services customers and expect to continue to be subject to increasing demands for payment and other concessions from local broadcast television stations. For information on must-carry and retransmission consent issues relating to our broadcast television business, see “NBCUniversal Segments </w:t>
      </w:r>
      <w:r>
        <w:rPr>
          <w:rFonts w:ascii="Arial" w:cs="Arial" w:eastAsia="Arial" w:hAnsi="Arial"/>
          <w:sz w:val="18"/>
          <w:szCs w:val="18"/>
          <w:i w:val="1"/>
          <w:iCs w:val="1"/>
          <w:color w:val="auto"/>
        </w:rPr>
        <w:t>—</w:t>
      </w:r>
      <w:r>
        <w:rPr>
          <w:rFonts w:ascii="Arial" w:cs="Arial" w:eastAsia="Arial" w:hAnsi="Arial"/>
          <w:sz w:val="18"/>
          <w:szCs w:val="18"/>
          <w:color w:val="auto"/>
        </w:rPr>
        <w:t xml:space="preserve"> Broadcast Television” below and refer to the “Must-Carry/Retransmission Consent” discussion within that section.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Pricing and Packaging</w:t>
      </w:r>
    </w:p>
    <w:p>
      <w:pPr>
        <w:jc w:val="both"/>
        <w:spacing w:after="0" w:line="236" w:lineRule="auto"/>
        <w:rPr>
          <w:sz w:val="20"/>
          <w:szCs w:val="20"/>
          <w:color w:val="auto"/>
        </w:rPr>
      </w:pPr>
      <w:r>
        <w:rPr>
          <w:rFonts w:ascii="Arial" w:cs="Arial" w:eastAsia="Arial" w:hAnsi="Arial"/>
          <w:sz w:val="18"/>
          <w:szCs w:val="18"/>
          <w:color w:val="auto"/>
        </w:rPr>
        <w:t>The Communications Act and FCC regulations limit the prices that cable operators may charge for basic video service, equipment and installation. These rules do not apply to cable systems that the FCC determines are subject to effective competition, or where franchising authorities have chosen not to regulate rates. As a result, approximately 80% of our video services customers are not subject to rate regulation. From time to time, Congress and the FCC consider imposing new pricing or packaging regulations, including proposals that would require cable operators to offer programming networks on an a la carte or themed-tier basis instead of, or in addition to, our current packaged offerings. Additionally, uniform pricing requirements under the Communications Act may affect our ability to respond to increased competition through offers that aim to retain existing customers or regain those we have lost.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Leased Access</w:t>
      </w:r>
    </w:p>
    <w:p>
      <w:pPr>
        <w:jc w:val="both"/>
        <w:spacing w:after="0" w:line="239" w:lineRule="auto"/>
        <w:rPr>
          <w:sz w:val="20"/>
          <w:szCs w:val="20"/>
          <w:color w:val="auto"/>
        </w:rPr>
      </w:pPr>
      <w:r>
        <w:rPr>
          <w:rFonts w:ascii="Arial" w:cs="Arial" w:eastAsia="Arial" w:hAnsi="Arial"/>
          <w:sz w:val="18"/>
          <w:szCs w:val="18"/>
          <w:color w:val="auto"/>
        </w:rPr>
        <w:t>The Communications Act requires a cable system to make available up to 15% of its channel capacity for commercial leased access by third parties to provide programming that may compete with services offered</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17</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directly by the cable operator. While we have not been required to devote significant channel capacity to leased access to date, the FCC has adopted regulations that dramatically reduce the rates we can charge for leased access channels, although their implementation has been stayed by a federal court pending the outcome of a challenge brought by us and other cable operators and also has been blocked by the Office of Management and Budget. If implemented, these regulations could adversely affect our business by significantly increasing the number of cable system channels occupied by leased access users and by significantly increasing the administrative burdens and costs associated with complying with such regulations.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Cable Equipment</w:t>
      </w:r>
    </w:p>
    <w:p>
      <w:pPr>
        <w:jc w:val="both"/>
        <w:spacing w:after="0" w:line="235" w:lineRule="auto"/>
        <w:rPr>
          <w:sz w:val="20"/>
          <w:szCs w:val="20"/>
          <w:color w:val="auto"/>
        </w:rPr>
      </w:pPr>
      <w:r>
        <w:rPr>
          <w:rFonts w:ascii="Arial" w:cs="Arial" w:eastAsia="Arial" w:hAnsi="Arial"/>
          <w:sz w:val="18"/>
          <w:szCs w:val="18"/>
          <w:color w:val="auto"/>
        </w:rPr>
        <w:t>The FCC has adopted regulations aimed at promoting the retail sale of set-top boxes and other equipment that can be used to receive digital video services. With the exception of certain one-way devices, like digital transport adapters, these regulations prohibit cable operators from deploying new set-top boxes that perform both channel navigation and security functions. As a result, most set-top boxes that we purchase must rely on a separate security device known as a CableCARD. In addition, the FCC has adopted regulations aimed at promoting the manufacture of plug-and-play TV sets and other equipment that can connect directly to a cable system with a CableCARD and receive one-way video services without the need for a set-top box. The regulations also require cable operators to provide a credit to customers who use plug-and-play equipment purchased at retail and to allow them to self-install CableCARDs rather than having to arrange for professional installation. A federal court vacated some of these CableCARD rules in a decision in January 2013. The FCC has sought comment on an equipment manufacturer’s proposal that the FCC readopt these rules, and also has received requests that it supplant CableCARDs with another technology that would enable retail video devices to work on any multichannel video provider system, not just a cable system. We are unable to predict what, if any, proposals might be adopted or what effect they might have on our cable business.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2013, we, other multichannel video providers, equipment manufacturers and other entities announced a voluntary agreement taking steps to improve the energy efficiency of set-top boxes. In response, the Department of Energy terminated a rulemaking it had initiated in this area. However, proposals to impose energy efficiency requirements on set-top boxes and network equipment continue to be considered at the state level and we cannot predict what, if any, proposals might be adopted in the future. In addition, the NBCUniversal Order requires us to fulfill commitments designed to improve the parental control tools and information available to parents, including providing navigation and blocking capabilities for certain set-top boxes.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MDUs and Inside Wiring</w:t>
      </w:r>
    </w:p>
    <w:p>
      <w:pPr>
        <w:jc w:val="both"/>
        <w:spacing w:after="0" w:line="238" w:lineRule="auto"/>
        <w:rPr>
          <w:sz w:val="20"/>
          <w:szCs w:val="20"/>
          <w:color w:val="auto"/>
        </w:rPr>
      </w:pPr>
      <w:r>
        <w:rPr>
          <w:rFonts w:ascii="Arial" w:cs="Arial" w:eastAsia="Arial" w:hAnsi="Arial"/>
          <w:sz w:val="18"/>
          <w:szCs w:val="18"/>
          <w:color w:val="auto"/>
        </w:rPr>
        <w:t>FCC regulations prohibit exclusive video service access agreements between cable operators and MDUs or other private residential real estate developments, as well as our enforcement of exclusivity provisions in any of our pre-existing access agreements. FCC regulations also facilitate competitors’ access to the cable wiring inside such properties.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Pole Attachments</w:t>
      </w:r>
    </w:p>
    <w:p>
      <w:pPr>
        <w:jc w:val="both"/>
        <w:spacing w:after="0" w:line="236" w:lineRule="auto"/>
        <w:rPr>
          <w:sz w:val="20"/>
          <w:szCs w:val="20"/>
          <w:color w:val="auto"/>
        </w:rPr>
      </w:pPr>
      <w:r>
        <w:rPr>
          <w:rFonts w:ascii="Arial" w:cs="Arial" w:eastAsia="Arial" w:hAnsi="Arial"/>
          <w:sz w:val="18"/>
          <w:szCs w:val="18"/>
          <w:color w:val="auto"/>
        </w:rPr>
        <w:t>The Communications Act permits the FCC to regulate the rates that pole-owning utility companies (with the exception of municipal utilities and rural cooperatives) charge cable systems for attachments to their poles. States are permitted to preempt FCC jurisdiction and regulate the terms of attachments themselves, and many states in which we operate have done so. Most of these states have generally followed the FCC’s pole attachment rate standards. Until recently, the pole attachment rates applicable to telecommunications services were significantly higher than the rates we currently pay for cable and other services. In February 2013, a federal court upheld the FCC’s pole rate formula that reduces the rates for telecommunications service pole attachments to levels that are at or near the rates for cable attachments, but utility companies are able to rebut certain presumptions in the new formula, and it is expected that most will attempt to do so.</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Vertical Ownership Limit</w:t>
      </w:r>
    </w:p>
    <w:p>
      <w:pPr>
        <w:jc w:val="both"/>
        <w:spacing w:after="0" w:line="236" w:lineRule="auto"/>
        <w:rPr>
          <w:sz w:val="20"/>
          <w:szCs w:val="20"/>
          <w:color w:val="auto"/>
        </w:rPr>
      </w:pPr>
      <w:r>
        <w:rPr>
          <w:rFonts w:ascii="Arial" w:cs="Arial" w:eastAsia="Arial" w:hAnsi="Arial"/>
          <w:sz w:val="18"/>
          <w:szCs w:val="18"/>
          <w:color w:val="auto"/>
        </w:rPr>
        <w:t>The FCC is assessing whether to revise a limit on the number of affiliated programming channels that a cable operator may carry on a cable system. The FCC’s previous limit of 40% of the first 75 channels carried on a cable system was struck down by a federal appellate court in 2001, although the FCC continues to enforce it. The FCC previously clarified that, under the 40% limit, cable systems with 75 or more channels must carry at least 45 unaffiliated channels. Our cable systems routinely carry more than 45 unaffiliated channels, and we currently comply with the 40% limit. Compliance could become more difficult depending on what regulations, if any, the FCC adopts.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Franchising</w:t>
      </w:r>
    </w:p>
    <w:p>
      <w:pPr>
        <w:jc w:val="both"/>
        <w:spacing w:after="0" w:line="235" w:lineRule="auto"/>
        <w:rPr>
          <w:sz w:val="20"/>
          <w:szCs w:val="20"/>
          <w:color w:val="auto"/>
        </w:rPr>
      </w:pPr>
      <w:r>
        <w:rPr>
          <w:rFonts w:ascii="Arial" w:cs="Arial" w:eastAsia="Arial" w:hAnsi="Arial"/>
          <w:sz w:val="18"/>
          <w:szCs w:val="18"/>
          <w:color w:val="auto"/>
        </w:rPr>
        <w:t>Cable operators generally operate their cable systems under nonexclusive franchises granted by local or state franchising authorities. While the terms and conditions of franchises vary materially from jurisdiction to jurisdiction, franchises typically last for a fixed term, obligate the franchisee to pay franchise fees and meet service quality, customer service and other requirements, and are terminable if the franchisee fails to comply with material provisions. The Communications Act permits franchising authorities to establish reasonable requirements for public, educational and governmental access (“PEG”) programming, and some of our franchises require substantial channel capacity and financial support for this programming. The NBCUniversal Order contains various PEG-related conditions, including a requirement that we do not migrate PEG channels to digital delivery on our cable system until the system has converted to all-digital distribution or until the government entity that is responsible for the system’s PEG operations expressly agrees. The Communications Act also contains provisions governing the franchising process, including, among other things, renewal procedures designed to protect incumbent franchisees against arbitrary denials of renewal. We believe that our franchise renewal prospects are generally favorable.</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FCC regulations establish franchising processes and obligations for new entrants that are different from those applicable to existing providers. For example, these regulations limit the range of financial, construction and other commitments that franchising authorities can request of new entrants and preempt certain local “level playing field” franchising requirements. In addition, approximately half of the states in which we operate have enacted legislation to provide statewide franchising or to simplify local franchising requirements for new entrants. Some of these statutes also allow new entrants to operate on more favorable terms than our current operations, for instance by not requiring that the new entrant provide service to all parts of the franchise area or permitting the new entrant to designate only those portions it wishes to serve. Certain of these statutes allow incumbent cable operators to opt into the new state franchise immediately or later when a competing state franchise has been issued for the incumbent cable operator’s franchise area. However, even in those states, the incumbent cable operators often are required to retain certain franchise obligations that are more burdensome than the new entrant’s state franchise.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Copyright Regulation</w:t>
      </w:r>
    </w:p>
    <w:p>
      <w:pPr>
        <w:jc w:val="both"/>
        <w:spacing w:after="0" w:line="268" w:lineRule="auto"/>
        <w:rPr>
          <w:sz w:val="20"/>
          <w:szCs w:val="20"/>
          <w:color w:val="auto"/>
        </w:rPr>
      </w:pPr>
      <w:r>
        <w:rPr>
          <w:rFonts w:ascii="Arial" w:cs="Arial" w:eastAsia="Arial" w:hAnsi="Arial"/>
          <w:sz w:val="16"/>
          <w:szCs w:val="16"/>
          <w:color w:val="auto"/>
        </w:rPr>
        <w:t>In exchange for filing reports and contributing a percentage of revenue to a federal copyright royalty pool, cable operators can obtain blanket permission to retransmit copyrighted material contained in broadcast signals. The possible modification or elimination of this copyright license is the subject of ongoing legislative and administrative review. The Satellite Television Extension and Localism Act of 2010 (“STELA”), which expires in 2014, made several revisions to the cable operator’s compulsory copyright license, including clarifying that cable operators must pay additional royalty fees for each digital multicast programming stream from an out-of market broadcast station they retransmit that does not duplicate the content of the station’s primary stream. It also establishes an audit mechanism for copyright owners to review a cable operator’s copyright royalty reporting practices, which the Copyright Office is now in the process of implementing. Extension of STELA will be an issue that Congress addresses in 2014. As required by STELA, the Copyright Office, the GAO and the FCC all issued reports to Congress in 2011 that generally supported an eventual phaseout of the compulsory licenses, although they also acknowledged the potential adverse impact on cable</w:t>
      </w:r>
    </w:p>
    <w:p>
      <w:pPr>
        <w:spacing w:after="0" w:line="30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and satellite subscribers and the absence of any clear marketplace alternative to the compulsory licenses. If adopted, a phaseout plan could adversely affect our ability to obtain broadcast station programming and substantially increase our programming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high-speed Internet services over our cable distribution system. In 2002, the FCC ruled that high-speed Internet services such as ours are interstate information services that are not subject to regulation as a telecommunications service under federal law or to state or local utility regulation. However, our high-speed Internet services are subject to a number of regulatory obligations, including compliance with the Communications Assistance for Law Enforcement Act (“CALEA”) requirement that high-speed Internet service providers implement certain network capabilities to assist law enforcement in conducting surveillance of persons suspected of criminal activity.</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2010, the FCC adopted “open Internet” regulations applicable to broadband Internet service providers (“ISPs”). The regulations required broadband ISPs such as us to disclose information regarding network management, performance and commercial terms of the service (the “transparency rule”); barred broadband ISPs from blocking access to lawful content, applications, services or non-harmful devices; and barred wireline broadband ISPs such as us from unreasonably discriminating in transmitting lawful network traffic. The no-blocking and non-discrimination requirements allowed for reasonable network management. The FCC did not prohibit speed tiers or usage-based pricing, but specifically noted that “paid prioritization” (i.e., charging content, application and service providers for prioritizing their traffic over our last-mile facilities) or an ISP’s prioritizing of its own Internet content likely would violate these regulations. In January 2014, the U.S. Court of Appeals for the D.C. Circuit vacated all of the FCC’s rules except for the transparency rule but the court clarified that the FCC had the fundamental authority to regulate broadband Internet access services as a general matter. Nevertheless, Comcast remains bound by the FCC’s original “open Internet” regulations as a condition of the NBCUniversal Order and the NBCUniversal Consent Decree for the remainder of the term of those orders. The requirements apply to any broadband Internet access service that we provide, to consumers regardless of whether it is accessed through a set-top box, gaming console, computer or other device. It is possible that the FCC may seek to adopt new Internet regulations or take other actions that restrict the manner in which we and other ISPs provide Internet services. The FCC also may attempt to reclassify broadband Internet service as a “telecommunications service,” which would authorize the FCC to subject it to traditional common carriage regulation under Title II of the Communications Act. Under a Title II framework, the FCC could potentially regulate our customer rates for broadband Internet services and could prohibit or seriously restrict arrangements between us and Internet content, application, and service providers, including backbone connection arrangements. The FCC might also take a broader view of its existing authority, as confirmed by the court decision, to adopt any regulation that conceivably would promote broadband deployment and adoption so long as it is not a common carrier regulation, and states may also attempt to regulate the Internet pursuant to the court’s decision.</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NBCUniversal Order and NBCUniversal Consent Decree also include various conditions and commitments requiring us to expand our broadband service areas, to continue to offer all of our high-speed Internet service speed tiers on a stand-alone basis at reasonable market-based prices, to offer a new stand-alone 6 Mbps downstream tier (known as the performance starter tier) for $49.95 per month for three years, to maintain a high-speed Internet service of at least 12 Mbps downstream across most of our footprint, and to not discriminate in how we treat “specialized services” (defined as services we provide over the same last-mile facilities as our high-speed Internet service, but not including our high-speed Internet service, video services or voice services). We have taken a number of steps to comply with these conditions. In 2012, after an FCC inquiry into whether we failed to comply with the stand-alone broadband condition, we entered into a consent decree with the FCC to extend our offering of the performance starter tier for one additional year until Febru-</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ary 2015 and to reinforce the promotion of our stand-alone broadband offerings, including training our sales representatives with respect to these offerings.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federal program known as the Universal Service program generally requires telecommunications service providers to pay a fee based on revenue from their services into a fund used to subsidize the provision of telecommunications services in high-cost areas and to low-income consumers and the provision of Internet and telecommunications services to schools, libraries and certain health care providers. The FCC issued an order in November 2011 that changed the way that a majority of Universal Service funds are allocated and began implementing that order in 2012. By focusing on broadband and wireless deployment, and moving away from supporting traditional telephone service, the changes could assist some of our competitors in more effectively competing with our service offerings, while others could receive less funding. The actual impact of the changes is not yet known. The FCC’s ruling is under review in federal court.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in November 2011, the FCC initiated a further rulemaking on IP interconnection issues that may have an impact on Internet interconnection arrangements. We have a number of peering and transit arrangements with other network operators, and these arrangements historically have not been regulated by the FCC. The FCC Chairman, however, has stressed that the FCC has a responsibility to ensure “connectivity” of the Internet and although he has made clear that he does not consider peering and transit arrangements to be an “open Internet” issue, he considers it a related issue that the FCC, at a minimum, should monitor. We cannot predict what, if any, proposals might be adopted or what effect they might have on our business.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Congress and federal regulators have adopted a wide range of measures affecting Internet use, including, for example, consumer privacy, consumer protection, copyright protection, defamation liability, taxation, obscenity and unsolicited commercial email. For example, in 1998, the Internet Tax Freedom Act was enacted in an effort to promote use of the Internet, and it has been extended three times, but is scheduled to expire on November 1, 2014, unless it is extended again. State and local governments also have adopted Internet-related regulations. Furthermore, Congress, the FCC, and certain state and local governments are considering proposals to impose customer service, quality of service, expanded copyright protection requirements, taxation, child safety, privacy and standard pricing regulations on high-speed Internet service providers. It is uncertain whether any of these proposals will be adopted. The adoption of new laws or the application of existing laws to the Internet could have a material adverse effect on our high-speed Internet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provide voice services by using interconnected VoIP technology. The FCC has adopted a number of regulations for providers of nontraditional voice services such as ours, including regulations relating to customer proprietary network information, local number portability duties and benefits, disability access, E911, law enforcement assistance (CALEA), outage reporting, rural call completion reporting, Universal Service Fund contribution obligations, domestic discontinuance requirements and certain regulatory filing requirements. The FCC has not yet ruled on whether interconnected VoIP service should be classified as an “information service” or a “telecommunications service” under the Communications Act. The classification determination is important because telecommunications services are still regulated more pervasively than information services. The regulatory environment for our voice services therefore remains uncertain at both the federal and the state levels. Until the FCC definitively classifies interconnected VoIP service, state regulatory commissions and legislatures may continue to investigate imposing regulatory requirements on our voice services. For example, in Vermont, following a court remand faulting the state commission for failing to consider certain arguments in finding that our voice services are telephone services subject to state regulation, the state commission is continuing a proceeding into how to classify our voice services. A number of states have enacted laws that preclude state public utility regulation of VoIP-based services notwithstanding how they are classified under federal law.</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the FCC has not determined the appropriate classification of our voice services, the precise scope of interconnection regulations applicable to us as a provider of nontraditional voice services is not clear. In light of this uncertainty, providers of nontraditional voice services typically either secure CLEC authorization or obtain interconnection to traditional wireline phone company networks by contracting with an existing CLEC, whose right, as a telecommunications carrier, to request and obtain interconnection with the traditional wireline phone companies is set forth in the Communications Act. We have arranged for such interconnection rights through our affiliated CLECs. While some traditional wireline phone companies have challenged our right to interconnect directly with them, we have prevailed in all of these challenges, and no such challenges are currently pending. However, if a regulatory or judicial authority were to deny our ability to interconnect through one of our CLECs, our ability to provide voice services and compete in the area in question would be negatively impacted. In December 2012, the FCC sought comment on two petitions that raise issues concerning the interconnection obligations for IP voice providers, and it also formed a task force to coordinate the FCC’s efforts on issues related to the transition of networks from circuit-switched to packet-switched technology, including the issue of IP interconnection; the FCC has refocused on these issues and has suggested that progress should be expected in 2014. We cannot predict what, if any, proposals might be adopted or what effect they might have on our business. Further, a Massachusetts state commission is reviewing whether IP interconnection agreements should be subject to regulation and other states could follow. In November 2011, the FCC issued an order clarifying the entire intercarrier compensation system, which governs the arrangements by which telecommunications carriers compensate one another for exchanged traffic, whether it be for local, intrastate or interstate traffic, or VoIP. The FCC order affirmed the right of CLECs to collect intercarrier compensation when providing interconnection for VoIP providers; however, that order is currently under appeal in federal court.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Cable Services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State and Local Taxes</w:t>
      </w:r>
    </w:p>
    <w:p>
      <w:pPr>
        <w:jc w:val="both"/>
        <w:spacing w:after="0" w:line="236" w:lineRule="auto"/>
        <w:rPr>
          <w:sz w:val="20"/>
          <w:szCs w:val="20"/>
          <w:color w:val="auto"/>
        </w:rPr>
      </w:pPr>
      <w:r>
        <w:rPr>
          <w:rFonts w:ascii="Arial" w:cs="Arial" w:eastAsia="Arial" w:hAnsi="Arial"/>
          <w:sz w:val="18"/>
          <w:szCs w:val="18"/>
          <w:color w:val="auto"/>
        </w:rPr>
        <w:t>Some states and localities have imposed or are considering imposing new or additional taxes or fees on the cable services we offer, or imposing adverse methodologies by which taxes or fees are computed. These include combined reporting or other changes to general business taxes, central assessments for property tax, and taxes and fees on video, high-speed Internet and voice services. We and other cable industry members are challenging certain of these taxes through administrative and court proceedings. In addition, in some situations our DBS competitors and other competitors that deliver their services over a high-speed Internet connection do not face similar state tax and fee burdens. Congress has also considered, and may consider again, proposals to bar states from imposing taxes on DBS providers that are equivalent to the taxes or fees that we pay.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 Access</w:t>
      </w:r>
    </w:p>
    <w:p>
      <w:pPr>
        <w:jc w:val="both"/>
        <w:spacing w:after="0" w:line="236" w:lineRule="auto"/>
        <w:rPr>
          <w:sz w:val="20"/>
          <w:szCs w:val="20"/>
          <w:color w:val="auto"/>
        </w:rPr>
      </w:pPr>
      <w:r>
        <w:rPr>
          <w:rFonts w:ascii="Arial" w:cs="Arial" w:eastAsia="Arial" w:hAnsi="Arial"/>
          <w:sz w:val="18"/>
          <w:szCs w:val="18"/>
          <w:color w:val="auto"/>
        </w:rPr>
        <w:t>The Communications Act and FCC regulations generally prevent cable networks affiliated with cable operators, other than terrestrially delivered programming networks, from favoring affiliated cable operators over competing multichannel video providers, such as DBS providers and phone companies that offer multichannel video programming services. In addition, the Communications Act and FCC regulations had limited the ability of cable-affiliated cable networks to offer exclusive programming contracts to a cable operator. In October 2012, the FCC allowed a preemptive restriction on exclusive contracts to expire but reaffirmed that any such exclusive contract could be reviewed on a case-by-case basis in response to a complaint alleging violation of the Communications Act’s prohibition against unfair methods of competition or unfair or deceptive acts or practices that hinder significantly or prevent competitors from providing programming to customers. In addition, the FCC</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is considering proposals to establish presumptions that would make it easier for multichannel video providers to succeed with complaints involving exclusive contracts and to make it easier for them to use buying groups and for such buying groups to pursue complaints under the rules. It is uncertain whether the FCC will act on these proposals and, if adopted, what impact these proposals would have on our cable networks.</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FCC launched a rulemaking in 2007 to consider whether companies that own multiple cable networks should be required to make each of their networks available to multichannel video providers on a stand-alone or “unbundled” basis when negotiating distribution agreements, although it has not further acted on that rulemaking. We currently offer our cable networks both on a bundled and, when requested, on a stand-alone basis. Increased regulatory requirements imposed on the manner in which we negotiate programming distribution agreements with multichannel video providers may adversely affect our cable networks business. In addition, various legislative proposals have been introduced in Congress that, if ever enacted, would mandate that programmers offer cable networks to multichannel video providers on an a la carte basis and would provide certain program-access rights and protections to online video distributors. It is uncertain whether any of these proposals will ever be adopted and, if adopted, what impact these proposals would have on our cable networks.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NBCUniversal Order, multichannel video providers can invoke commercial arbitration for program access in certain circumstances against our cable networks and broadcast television networks, including our regional sports networks. In addition, under the NBCUniversal Order and NBCUniversal Consent Decree, we are required to make certain of our cable network, broadcast television and filmed entertainment programming available to bona fide online video distributors in certain circumstances, and they may invoke commercial arbitration pursuant to conditions adopted in the NBCUniversal Order and NBCUniversal Consent Decree to resolve disputes regarding the availability of, and the price, terms and conditions of access to, such programming. For further discussion of these conditions, see “Broadcast Television” below and refer to the “Must-Carry/Retransmission Consent” and “Internet Distribution” discussions within that section.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Children’s Programming</w:t>
      </w:r>
    </w:p>
    <w:p>
      <w:pPr>
        <w:jc w:val="both"/>
        <w:spacing w:after="0" w:line="268" w:lineRule="auto"/>
        <w:rPr>
          <w:sz w:val="20"/>
          <w:szCs w:val="20"/>
          <w:color w:val="auto"/>
        </w:rPr>
      </w:pPr>
      <w:r>
        <w:rPr>
          <w:rFonts w:ascii="Arial" w:cs="Arial" w:eastAsia="Arial" w:hAnsi="Arial"/>
          <w:sz w:val="16"/>
          <w:szCs w:val="16"/>
          <w:color w:val="auto"/>
        </w:rPr>
        <w:t>The Children’s Television Act (“CTA”) and FCC regulations limit the amount and content of commercial matter that may be shown on cable networks, broadcast networks and broadcast television stations during programming originally produced and broadcast primarily for an audience of children under 13 years of age. FCC regulations also limit the display during children’s programming on cable or broadcast of Internet addresses of websites that contain or link to commercial material or that use program characters to sell products. Similarly, FCC regulations prohibit the display of commercials during children’s programming on cable or broadcast networks that use program characters to sell products when the commercial is adjacent to children’s programming in which the characters appear. The FCC is currently considering whether to prohibit interactive advertising during children’s television programming. The NBCUniversal Order includes certain commitments and conditions related to children’s television and advertising directed at children, including commitments that we will not insert interactive advertising into children’s television programming in any of the advertising spots we control, either as a multichannel video provider or as the programmer, and that we will provide at least $15 million worth of public service announcements on childhood obesity, FDA nutritional guidelines, digital literacy and parental controls per year until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Licensing</w:t>
      </w:r>
    </w:p>
    <w:p>
      <w:pPr>
        <w:jc w:val="both"/>
        <w:spacing w:after="0" w:line="281" w:lineRule="auto"/>
        <w:rPr>
          <w:sz w:val="20"/>
          <w:szCs w:val="20"/>
          <w:color w:val="auto"/>
        </w:rPr>
      </w:pPr>
      <w:r>
        <w:rPr>
          <w:rFonts w:ascii="Arial" w:cs="Arial" w:eastAsia="Arial" w:hAnsi="Arial"/>
          <w:sz w:val="16"/>
          <w:szCs w:val="16"/>
          <w:color w:val="auto"/>
        </w:rPr>
        <w:t>The Communications Act permits the operation of local broadcast television stations only in accordance with a license issued by the FCC upon a finding that the grant of the license would serve the public interest, convenience and necessity. The FCC grants broadcast television station licenses for specific periods of time and, upon application, may renew the licenses for additional terms. Under the Communications Act, broadcast</w:t>
      </w:r>
    </w:p>
    <w:p>
      <w:pPr>
        <w:spacing w:after="0" w:line="29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television licenses may be granted for a maximum term of eight years. Generally, the FCC renews broadcast licenses upon finding that the television station has served the public interest, convenience and necessity; there have been no serious violations by the licensee of the Communications Act or FCC regulations; and there have been no violations by the licensee of the Communications Act or FCC regulations, which, taken together, indicate a pattern of abuse.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CTA and FCC regulations require that the FCC consider in its review of broadcast television station license renewals whether the station has served the educational and informational (“E/I”) needs of children. Under the FCC’s regulations, a station licensee will be deemed to have met its obligation to serve the E/I needs of children if it has broadcast on its main program stream a minimum of three hours per week of programming that has a significant purpose of serving the E/I needs of children under 17 years of age. For broadcast television stations that multicast, FCC regulations include a similar standard whereby the amount of E/I programming deemed to meet the station’s E/I obligation increases in proportion to the amount of free multicast programming aired. Under the NBCUniversal Order, we have committed to provide an additional hour of E/I programming per week on either the primary or multicast streams of our owned NBC local broadcast television stations and on the primary signal of our owned Telemundo local broadcast television stations. The FCC is considering whether the requirements for E/I programming have been effective in promoting the availability of educational content for children on broadcast television, and there can be no assurance that the FCC will not impose more stringent requirements.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NBCUniversal Order, we have committed to expand local news and information programming on our owned local television stations and to enter into cooperative arrangements with locally focused nonprofit news organizations in certain markets. We have met all of these commitments.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Renewal applications are pending for a number of our broadcast television station licenses. The FCC may grant any license renewal application with or without conditions, including renewal for a lesser term than the maximum otherwise permitted. A station’s authority to operate is automatically extended while a renewal application is on file and under review. Four pending applications have been formally opposed by third parties and other applications are pending due to unresolved complaints of alleged indecency in the stations’ programming. The Communications Act also requires prior FCC approval for any sale of a broadcast station license, whether through the assignment of the license and related assets from one company to another or the transfer of control of the stock or other equity of a company holding an FCC license. Third parties may oppose such applications. The FCC may decline to renew or approve the transfer of a license in certain circumstances. Although we have received such renewals and approvals in the past, there can be no assurance that we will always obtain necessary renewals or that approvals in the future will contain acceptable FCC license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Ownership Limits</w:t>
      </w:r>
    </w:p>
    <w:p>
      <w:pPr>
        <w:jc w:val="both"/>
        <w:spacing w:after="0" w:line="271" w:lineRule="auto"/>
        <w:rPr>
          <w:sz w:val="20"/>
          <w:szCs w:val="20"/>
          <w:color w:val="auto"/>
        </w:rPr>
      </w:pPr>
      <w:r>
        <w:rPr>
          <w:rFonts w:ascii="Arial" w:cs="Arial" w:eastAsia="Arial" w:hAnsi="Arial"/>
          <w:sz w:val="16"/>
          <w:szCs w:val="16"/>
          <w:color w:val="auto"/>
        </w:rPr>
        <w:t>FCC regulations limit the ability of individuals and entities to have “attributable interests” above specific levels in local television stations, as well as other specified mass media entities, such as limits on the cross-ownership of broadcast stations and newspapers in the same market. The FCC, by law, must review the ownership regulations detailed below once every four years. The current review, which officially opened in 2010, led to proposals in December 2011 (“2011 Media Ownership Notice”) for relaxing some limits, but retaining others. The FCC has not yet adopted an order in the 2010 proceeding, although the Communications Act requires that the agency launch its next ownership review proceeding in 2014. We cannot predict when the FCC’s current review will be completed or whether or how any of these regulations will change.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Local Television Ownership</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FCC’s local television ownership rule, a licensee may own up to two broadcast television stations in the same DMA, as long as at least one of the two stations is not among the top four-ranked stations in the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market based on audience share as of the date an application for approval of an acquisition is filed with the FCC and at least eight independently owned and operating full-power broadcast television stations remain in the market following the acquisition. Further, without regard to the number of remaining independently owned television stations, the rule permits the ownership of more than one television station within the same DMA so long as certain signal contours of the stations involved do not overlap. The 2011 Media Ownership Notice proposes minor modifications to the local television ownership rule. It also raises questions regarding whether local news-sharing agreements, shared services agreements, and joint sales agreements that involve the right to jointly negotiate retransmission consent should count toward the FCC’s ownership limitations. The stations owned by the NBC network or the Telemundo network, however, do not have agreements that involve the right to jointly negotiate retransmission consent.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National Television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and FCC regulations limit the number of television stations one entity may own or control nationally. Under the rule, no entity may have an attributable interest in broadcast television stations that reach, in the aggregate, more than 39% of all U.S. television households. Our owned local television station reach does not exceed this limit. In September 2013, the FCC launched a rulemaking that considers eliminating a rule that currently affords UHF stations (channels 14 and above) a 50% discount in calculating the extent of an individual station owner’s holdings under the national cap. Adoption of this proposed change would place us closer to the national cap and limit our flexibility to acquire stations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Foreign Ownership</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generally limits foreign ownership in a broadcast station to 20% direct ownership and 25% indirect ownership (i.e., through one or more subsidiaries), although the limit on indirect ownership can be waived if the FCC finds it to be in the public interest. These limits have been held to apply to both voting control and equity, as well as to ownership by any form of entity, including corporations, partnerships and limited liability companies. For many decades the FCC has declined to waive the 25% indirect limit in broadcast transactions, but in a November 2013 declaratory ruling, the FCC stated that it is now willing to consider such waiver requests.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0C6DFF"/>
        </w:rPr>
        <w:t>Dual Network Rule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dual network rule prohibits any of the four major broadcast television networks, ABC, CBS, Fox and NBC, from being under common ownership or control with another of the four.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Must-Carry/Retransmission Consent</w:t>
      </w:r>
    </w:p>
    <w:p>
      <w:pPr>
        <w:jc w:val="both"/>
        <w:spacing w:after="0" w:line="275" w:lineRule="auto"/>
        <w:rPr>
          <w:sz w:val="20"/>
          <w:szCs w:val="20"/>
          <w:color w:val="auto"/>
        </w:rPr>
      </w:pPr>
      <w:r>
        <w:rPr>
          <w:rFonts w:ascii="Arial" w:cs="Arial" w:eastAsia="Arial" w:hAnsi="Arial"/>
          <w:sz w:val="16"/>
          <w:szCs w:val="16"/>
          <w:color w:val="auto"/>
        </w:rPr>
        <w:t>Every three years, each commercial television station must elect for each cable system in its DMA either must-carry or retransmission consent. Federal law and FCC regulations also establish a must-carry/retransmission consent election system for carriage of commercial television stations by satellite providers. For the period beginning on January 1, 2012 and ending on December 31, 2014, all of our NBC network and Telemundo network owned local television stations, except for certain Telemundo local television stations acquired in 2013, elected retransmission consent.</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enacting STELA in 2010, Congress modified certain aspects of the compulsory copyright licenses under which satellite providers and cable operators retransmit broadcast stations. STELA expressly extended to January 1, 2015 an existing prohibition against commercial television stations entering into exclusive retransmission consent agreements with multichannel video providers and also extended a requirement that commercial television stations and multichannel video providers negotiate retransmission consent agreements in good faith. Several other multichannel video providers and third parties filed a petition asking the FCC to initiate a rulemaking to consider changes to the current retransmission consent regulations and also asked Congress to review the issue. The FCC launched a rulemaking in 2011 that, among other things, seeks comment on proposals to modify the good faith negotiating standard and to eliminate regulations providing</w:t>
      </w:r>
    </w:p>
    <w:p>
      <w:pPr>
        <w:spacing w:after="0" w:line="32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local television stations with exclusivity protections in their markets for network and syndicated programming. Legislation has been introduced that would eliminate both must-carry and retransmission consent as well as more narrow legislation that would aim to resolve impasses in retransmission consent negotiations. We cannot predict what new laws or regulations, if any, may be adopted or how any such laws or regulations would affect our businesses. Multichannel video providers may also invoke commercial arbitration under rules established in the NBCUniversal Order to resolve disputes regarding carriage of our owned local broadcast television stations.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Internet Distribution</w:t>
      </w:r>
    </w:p>
    <w:p>
      <w:pPr>
        <w:jc w:val="both"/>
        <w:spacing w:after="0" w:line="235" w:lineRule="auto"/>
        <w:rPr>
          <w:sz w:val="20"/>
          <w:szCs w:val="20"/>
          <w:color w:val="auto"/>
        </w:rPr>
      </w:pPr>
      <w:r>
        <w:rPr>
          <w:rFonts w:ascii="Arial" w:cs="Arial" w:eastAsia="Arial" w:hAnsi="Arial"/>
          <w:sz w:val="18"/>
          <w:szCs w:val="18"/>
          <w:color w:val="auto"/>
        </w:rPr>
        <w:t>Under the NBCUniversal Order and NBCUniversal Consent Decree, we are required to make certain of our cable network, broadcast television and filmed entertainment programming available to bona fide online video distributors in certain circumstances, and they may invoke commercial arbitration to resolve disputes regarding the availability, and the price, terms and conditions of access to such programming. In addition, we are required to continue distributing programming via nbc.com that is generally equivalent to the programming that we distributed via nbc.com as of January 1, 2011, on generally equivalent price, terms and conditions, so long as at least one of the other major broadcast networks continues to distribute its programming in a similar fashion. We are one of three broadcast network owners of Hulu, but we were required to relinquish all voting rights and our board seat in Hulu in connection with the NBCUniversal transaction. In compliance with our obligations under the NBCUniversal Order and the NBCUniversal Consent Decree, we have entered into renewal license agreements with Hulu on substantially the same terms as its other broadcast network owners.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Broadcast Spectrum</w:t>
      </w:r>
    </w:p>
    <w:p>
      <w:pPr>
        <w:jc w:val="both"/>
        <w:spacing w:after="0" w:line="236" w:lineRule="auto"/>
        <w:rPr>
          <w:sz w:val="20"/>
          <w:szCs w:val="20"/>
          <w:color w:val="auto"/>
        </w:rPr>
      </w:pPr>
      <w:r>
        <w:rPr>
          <w:rFonts w:ascii="Arial" w:cs="Arial" w:eastAsia="Arial" w:hAnsi="Arial"/>
          <w:sz w:val="18"/>
          <w:szCs w:val="18"/>
          <w:color w:val="auto"/>
        </w:rPr>
        <w:t>In February 2012, Congress authorized the FCC to conduct an incentive auction to reassign a portion of the broadcast spectrum for mobile broadband use. Under the statute, broadcasters may voluntarily relinquish some or all of their spectrum rights in exchange for a share of the proceeds of the FCC’s auction of the spectrum to mobile broadband providers. Broadcasters that do not voluntarily relinquish their spectrum rights may still be affected as part of the process of clearing and repacking the spectrum for future mobile use, but Congress required the FCC to make “all reasonable efforts” to preserve broadcasters’ over-the-air coverage area and population served, and to reimburse those broadcasters’ reasonable costs. The FCC currently is conducting a proceeding to implement this statute, including establishing processes for how the spectrum will be repacked and how the broadcasters will be reimbursed for relocation costs. We cannot predict whether or how any such regulations might affect our businesses.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Indecency</w:t>
      </w:r>
    </w:p>
    <w:p>
      <w:pPr>
        <w:jc w:val="both"/>
        <w:spacing w:after="0" w:line="236" w:lineRule="auto"/>
        <w:rPr>
          <w:sz w:val="20"/>
          <w:szCs w:val="20"/>
          <w:color w:val="auto"/>
        </w:rPr>
      </w:pPr>
      <w:r>
        <w:rPr>
          <w:rFonts w:ascii="Arial" w:cs="Arial" w:eastAsia="Arial" w:hAnsi="Arial"/>
          <w:sz w:val="18"/>
          <w:szCs w:val="18"/>
          <w:color w:val="auto"/>
        </w:rPr>
        <w:t>A federal statute and FCC regulations prohibit the broadcast of obscene material on television stations at any time and indecent or profane material between the hours of 6 a.m. and 10 p.m. Broadcasters risk violating this prohibition because the vagueness of the relevant FCC definitions makes it difficult to apply. Moreover, the FCC has in some instances imposed separate fines for each allegedly indecent “utterance,” in contrast with its previous policy that had generally considered all indecent words or phrases within a given program as constituting a single violation. The maximum penalty for broadcasting indecent or profane programming is $350,000 per indecent or profane utterance.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Indecency regulation has been the subject of recent court review, regarding both the FCC’s “fleeting expletives” policy and the FCC’s definition of what constitutes indecent material. In June 2012, the U.S. Supreme Court struck down the FCC’s assessment of indecency fines against ABC and FOX on the grounds that the agency failed to provide fair notice of its standards and enforcement policy. However, the court declined to rule on the constitutionality of the FCC’s indecency policy under the First Amendment. This ruling may result in the FCC’s clarification of its policy and changes to how it approaches future indecency-related enforcement actions. In this regard, in April 2013, the FCC sought public comment regarding its indecency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enforcement policies. From time to time, we have received and may receive in the future letters of inquiry from the FCC prompted by complaints alleging that certain programming on our owned local television stations included indecent or profane material. Increased content regulation, particularly if it is vague and difficult to apply, could have an adverse effect on our broadcast television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Sponsorship Identification</w:t>
      </w:r>
    </w:p>
    <w:p>
      <w:pPr>
        <w:jc w:val="both"/>
        <w:spacing w:after="0" w:line="236" w:lineRule="auto"/>
        <w:rPr>
          <w:sz w:val="20"/>
          <w:szCs w:val="20"/>
          <w:color w:val="auto"/>
        </w:rPr>
      </w:pPr>
      <w:r>
        <w:rPr>
          <w:rFonts w:ascii="Arial" w:cs="Arial" w:eastAsia="Arial" w:hAnsi="Arial"/>
          <w:sz w:val="18"/>
          <w:szCs w:val="18"/>
          <w:color w:val="auto"/>
        </w:rPr>
        <w:t>Federal legislation and FCC regulations provide that whenever a broadcast station transmits any programming for which it has received money, service or other valuable consideration, it must provide an accurate on-air identification of the sponsor of the programming. Similar rules apply to cable operators in origination cablecasting (e.g., local origination programming). In 2008, the FCC commenced a proceeding to examine whether “embedded advertising,” such as product placements and product integration, in broadcast programming should be subject to stricter disclosure requirements and whether the sponsorship identification regulations should be extended to cable networks, although the FCC has taken no action to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International Regulation</w:t>
      </w:r>
    </w:p>
    <w:p>
      <w:pPr>
        <w:jc w:val="both"/>
        <w:spacing w:after="0" w:line="281" w:lineRule="auto"/>
        <w:rPr>
          <w:sz w:val="20"/>
          <w:szCs w:val="20"/>
          <w:color w:val="auto"/>
        </w:rPr>
      </w:pPr>
      <w:r>
        <w:rPr>
          <w:rFonts w:ascii="Arial" w:cs="Arial" w:eastAsia="Arial" w:hAnsi="Arial"/>
          <w:sz w:val="16"/>
          <w:szCs w:val="16"/>
          <w:color w:val="auto"/>
        </w:rPr>
        <w:t>International regulation of television broadcasting varies widely according to jurisdiction and includes the regulation of programming and advertising. For example, the European Union (“E.U.”) establishes minimum levels of regulation across all E.U. member states focused on content and advertising, which also extends to nonlinear television services, although E.U. countries are free to impose stricter regulation in certain areas.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filmed entertainment business is subject to the provisions of “trade practice laws” in effect in 25 states and Puerto Rico relating to theatrical distribution of motion pictures. These laws substantially restrict the licensing of motion pictures unless theater owners are first invited to attend a screening of the motion pictures and, in certain instances, also prohibit payment of advances and guarantees to motion picture distributors by exhibitors. Further, under various consent judgments, federal and state antitrust laws and state unfair competition laws, motion picture companies are subject to certain restrictions on trade practices in the United States, including a requirement to offer motion pictures for exhibition to theaters on a theater-by-theater basis. The Federal Trade Commission (“FTC”) has called for stronger industry safeguards applicable to the marketing of violent movies to children.</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countries outside the United States, there are a variety of existing or contemplated governmental laws and regulations that may affect our ability to distribute and license motion picture and television products, as well as consumer merchandise products, including film screen quotas, television quotas, regulation of content, regulated contract terms, product safety and labeling requirements, discriminatory taxes and other discriminatory treatment of U.S. products. The ability of countries to deny market access or refuse national treatment to products originating outside their territories is regulated under various international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are subject to various regulations, including laws and regulations regarding environmental protection, privacy and data protection, consumer product safety and theme park operations, such as health, sanitation, safety and fire standards and liquor licenses.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 Areas of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Copyright, trademark, unfair competition, patent, trade secret and Internet/domain laws of the United States and other countries help protect our intellectual property rights. In particular, piracy of programming and films through unauthorized distribution of counterfeit DVDs, peer-to-peer file sharing and other platforms presents challenges for our cable networks, broadcast television and filmed entertainment businesses. The</w:t>
      </w:r>
    </w:p>
    <w:p>
      <w:pPr>
        <w:spacing w:after="0" w:line="29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unauthorized reproduction, distribution or display of copyrighted material over the Internet or through other methods of distribution, such as through devices, software or websites that allow the reproduction, viewing, sharing and/or downloading of content by either ignoring or interfering with the content’s security features and copyrighted status, interferes with the market for copyrighted works and disrupts our ability to exploit our content. The extent of copyright protection and the use of technological protections, such as encryption, are controversial. Modifications to existing laws that weaken these protections could have an adverse effect on our ability to license and sell our programming.</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While many legal protections exist to combat piracy, laws in the United States and internationally continue to evolve, as do technologies used to evade these laws. We have actively engaged in the enforcement of our intellectual property rights and likely will continue to expend substantial resources to protect our content. The repeal of laws intended to combat piracy and protect intellectual property or weakening of such laws or enforcement in the United States or internationally, or a failure of existing laws to adapt to new technologies, could make it more difficult for us to adequately protect our intellectual property rights, which could negatively impact their value and further increase the costs of enforcing our rights.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Copyright laws also require that we pay standard industry licensing fees for the public performance of music in the programs we distribute, such as local advertising and local origination programming on our cable systems, as well as in the content we create. The fees we pay to music performance rights organizations are typically renegotiated when we renew licenses with those organizations, and we cannot predict with certainty what those fees will be in the future or if disputes will arise over them.</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is ongoing litigation related to a number of online entities that stream our broadcast television content online without the consent of, or compensation to, NBC or its affiliates, and the U.S. Supreme Court has granted certiorari to hear the broadcasting industry’s challenge to one such entity. We also have brought a suit against a multichannel video provider to challenge the commercial-skipping functionality in its DVR. None of this litigation is final, and the courts have reached different decisions to date. Additionally, there is a pending legislative proposal in the United States that seems intended to legitimize some of these practices. There can be no assurance as to whether the courts will ultimately determine that these practices are unlawful or that the pending legislation will be enacted or how any such rulings or legislation would ultimately affect our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Regulation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Communications Act generally restricts the nonconsensual collection and disclosure to third parties of cable customers’ personally identifiable information by cable operators. There are exceptions that permit such collection and disclosure for rendering service, conducting legitimate business activities related to the service, and responding to legal requests. The Communications Act and FCC regulations also provide privacy protections for customer proprietary network information related to our voice services. Several states and numerous local jurisdictions have enacted privacy laws or franchise privacy provisions that apply to cable services.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FTC has continued to exercise authority over privacy protections generally, using its existing authority over unfair and deceptive practices and other public proceedings to apply greater restrictions on the collection and use of personally identifiable and other information relating to consumers. It also has undertaken numerous enforcement actions against parties that do not provide sufficient security protections against the loss or disclosure of this type of information. In July 2013, FTC regulations implementing the Children’s Online Privacy Protection Act (“COPPA”) went into effect. COPPA imposes requirements on website operators and online services that are aimed at children under 13 years of age, or that collect personal information or knowingly post personal information from children under 13 years of age. The FTC rules impose some significant new obligations on operators of websites and online services, including expanded categories of</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personal information and new data security and data retention requirements, and also expand the scope of COPPA to reach third-party service providers that knowingly collect personal information through a child-directed website or service.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also subject to state and federal regulations and laws regarding information security. Most of these regulations and laws apply to customer information that could be used to commit identity theft. Substantially all of the U.S. states and the District of Columbia have enacted security breach notification laws. These laws generally require that a business give notice to its customers whose financial account information has been disclosed because of a security breach. In addition, we maintain an identity theft program that incorporates the guidance provided under the FTC’s “red flag rules,” which are designed to detect the warning signs of identity theft. The FTC and state attorneys general also have initiated efforts to increase and enforce transparency requirements about the collection and use of consumer information, even in de-identified form. These requirements may require ongoing review of new and rapidly evolving technologies and methods for delivering content and advertising to ensure that appropriate notice is given to consumers and consent is obtained where required.</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2013, the President directed the National Institute of Standards and Technology, in cooperation with other federal agencies and owners and operators of U.S. critical infrastructure to develop a voluntary framework that provides a prioritized, flexible, repeatable, performance-based, and cost-effective approach to cyber risk, which was released in February 2014. It is a compendium of existing, cross-sector cyber defense processes, practices, and protocols that can help companies identify, assess, and manage their cyber risks and vulnerabilities. Additionally, there are pending legislative proposals that could impose new requirements on owners and operators of critical infrastructure. We cannot predict what proposals may ultimately be adopted or how such requirements, if any, would affect our businesses.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also subject to state and federal “do not call” laws regarding telemarketing and state and federal laws regarding unsolicited commercial emails, as well as FCC regulations relating to automated telemarketing calls, texts or SMS messages. Additional and more restrictive requirements may be imposed if and to the extent that state or local authorities establish their own privacy or security standards or if Congress enacts new privacy or security legislation.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Restrictions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Legislation has been introduced and reports from various government agencies have been issued from time to time urging that restrictions be placed on advertisements for particular products or services, including prescription drugs and the marketing of food or violent entertainment to children, and on the deductibility of advertising expenses. We are unable to predict whether such reports would result in legislative proposals, whether legislative proposals may be adopted, or, if adopted, what impact they would have on our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Certain of our business operations are subject to environmental laws and regulations and involve air emissions, wastewater discharges, and the use, disposal and cleanup of toxic and hazardous substances. Any failure to comply with environmental requirements could result in monetary fines, civil or criminal sanctions, third-party claims or other costs or liabilities. We have been responsible for the cleanup of environmental contamination at some of NBCUniversal’s current and former facilities and at off-site waste disposal locations, although our share of the cost of such cleanups to date has not been material. In addition, 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See Item 3, Legal Proceedings, in this Part I for more information.</w:t>
      </w:r>
    </w:p>
    <w:p>
      <w:pPr>
        <w:spacing w:after="0" w:line="30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29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Environmental requirements have become more stringent over time, and pending or proposed new regulations could impact our operations or costs. For example, climate change regulation, such as proposed greenhouse gas emissions limits or cap and trade programs, could result in an increase in the cost of electricity, which is a significant component of our operational costs at some locations. We are unable to accurately predict how these requirements might be changed in the future and how any such changes might affect our businesses.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Disabilities Access</w:t>
      </w:r>
    </w:p>
    <w:p>
      <w:pPr>
        <w:jc w:val="both"/>
        <w:spacing w:after="0" w:line="236" w:lineRule="auto"/>
        <w:rPr>
          <w:sz w:val="20"/>
          <w:szCs w:val="20"/>
          <w:color w:val="auto"/>
        </w:rPr>
      </w:pPr>
      <w:r>
        <w:rPr>
          <w:rFonts w:ascii="Arial" w:cs="Arial" w:eastAsia="Arial" w:hAnsi="Arial"/>
          <w:sz w:val="18"/>
          <w:szCs w:val="18"/>
          <w:color w:val="auto"/>
        </w:rPr>
        <w:t>Our businesses are subject to a number of requirements related to ensuring that our services are accessible to individuals with disabilities. Among other things, our voice services and email services must be accessible to and usable by persons with disabilities; we must provide additional narrations of key visual elements (referred to as “video description”) on certain of our video services and programming; and we must include closed captioning on certain video programming delivered to our customers. The FCC is very focused on accessibility issues and is currently considering the adoption of additional quality standards for closed captioning. The FCC also has adopted rules that will require that on-screen menus and program guides used on set-top boxes and other navigation devices to access multichannel video programming be audibly accessible to blind and low-vision customers. The FCC is considering further accessibility requirements for multichannel video providers, broadcasters and other entities, and we cannot predict what impact those further requirements would have on our businesses.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 FCC Regulations</w:t>
      </w:r>
    </w:p>
    <w:p>
      <w:pPr>
        <w:jc w:val="both"/>
        <w:spacing w:after="0" w:line="236" w:lineRule="auto"/>
        <w:rPr>
          <w:sz w:val="20"/>
          <w:szCs w:val="20"/>
          <w:color w:val="auto"/>
        </w:rPr>
      </w:pPr>
      <w:r>
        <w:rPr>
          <w:rFonts w:ascii="Arial" w:cs="Arial" w:eastAsia="Arial" w:hAnsi="Arial"/>
          <w:sz w:val="18"/>
          <w:szCs w:val="18"/>
          <w:color w:val="auto"/>
        </w:rPr>
        <w:t>The FCC actively regulates other aspects of our businesses, including the mandatory blackout of syndicated, network and sports programming; customer service standards; loudness of commercial advertisements; political advertising; Emergency Alert System requirements; equal employment opportunity; lottery programming; recordkeeping and public file access requirements; telemarketing; technical standards relating to operation of the cable systems and television stations; and regulatory fees. We are unable to predict how these regulations might be changed in the future and how any such changes might affect our businesses. In addition, while we believe that we are in substantial compliance with FCC regulations, we are occasionally subject to enforcement actions at the FCC, which can result in our having to pay fines to the agency or being subject to other sanctions.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auto"/>
        </w:rPr>
        <w:t>Employees</w:t>
      </w:r>
    </w:p>
    <w:p>
      <w:pPr>
        <w:spacing w:after="0" w:line="1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we had approximately 136,000 full-time and part-time employees. Of these employees, approximately 83,000 and 40,000 were associated with our Cable Communications business and our NBCUniversal businesses, respectively. We also use freelance and temporary employees in the normal course of our business.</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auto"/>
        </w:rPr>
        <w:t>Caution Concerning Forward-Looking Statements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In this Annual Report on Form 10-K,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and uncertainties listed in “Risk Factors” and in other reports we file with the SEC.</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our forward-looking statements as a result of any of such factors, which could adversely affect our businesses, results of operations or financial condition. We undertake no obligation to update any forward-looking statements.</w:t>
      </w:r>
    </w:p>
    <w:p>
      <w:pPr>
        <w:spacing w:after="0" w:line="312" w:lineRule="exact"/>
        <w:rPr>
          <w:sz w:val="20"/>
          <w:szCs w:val="20"/>
          <w:color w:val="auto"/>
        </w:rPr>
      </w:pPr>
    </w:p>
    <w:p>
      <w:pPr>
        <w:spacing w:after="0"/>
        <w:rPr>
          <w:sz w:val="20"/>
          <w:szCs w:val="20"/>
          <w:color w:val="auto"/>
        </w:rPr>
      </w:pPr>
      <w:r>
        <w:rPr>
          <w:rFonts w:ascii="Arial" w:cs="Arial" w:eastAsia="Arial" w:hAnsi="Arial"/>
          <w:sz w:val="24"/>
          <w:szCs w:val="24"/>
          <w:color w:val="0C6DFF"/>
        </w:rPr>
        <w:t>Item 1A: Risk Factors</w:t>
      </w:r>
    </w:p>
    <w:p>
      <w:pPr>
        <w:spacing w:after="0" w:line="1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businesses currently face a wide range of competition, and our businesses and results of operations could be adversely affected if we do not compete effectively.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our businesses operate in competitive, consumer-driven and rapidly changing environments and compete with a growing number of companies that provide a broad range of communications products and services and entertainment, news and information content to consumers. There also continue to be new entrants with significant financial resources that potentially may compete on a larger scale with our cable services, as well as with our cable and broadcast networks and filmed entertainment businesses. Technological changes are further intensifying and complicating the competitive landscape and influencing consumer behavior, which is discussed immediately below in “Changes in consumer behavior driven by new technologies may adversely affect our businesses.”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Competition for the cable services we offer consists primarily of DBS providers, which have a national footprint and compete in all our service areas, and phone companies, which overlap approximately 45% of our service areas and are continuing to expand their fiber-based networks. We also compete with other providers of traditional cable services. All of these companies typically offer features, pricing and packaging for services comparable to our cable services. Companies that offer services that enable Internet video streaming and downloading of video programming may also compete with our video services. Recently, Google launched high-speed Internet and video services in a limited number of areas, and there can be no assurance that it will not continue to launch these services in more of our services areas. Furthermore, our phone company competitors have their own wireless facilities and may expand their cable service offerings to include bundled wireless offerings, which may adversely affect our business and results of operations.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cable communications business continues to seek ways to leverage our cable services network, such as by increasing the speed of our high-speed Internet services, by expanding and enhancing our business services to medium-sized businesses and by launching additional services, such as our home security and automation services. We expect these and other initiatives designed to help us compete effectively, such as deploying our X1 platform and wireless gateways, will require increased capital spending. There can be no assurance that we can execute on these and other initiatives in a manner sufficient to grow or maintain our cable communications revenue or to compete successfully in the future.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of NBCUniversal’s businesses also faces substantial and increasing competition from providers of similar types of content, as well as from other forms of entertainment and recreational activities. NBCUniversal must compete to obtain talent, programming and other resources required in operating these businesses. For example, our cable networks, broadcast television networks and owned local broadcast television stations compete for viewers with other similar networks and stations, as well as with other forms of entertainment and content available in the home, such as video games, DVDs and websites. In addition, our cable networks compete with other cable networks and programming providers for carriage of their programming by multichannel video providers and online digital distributors. Our filmed entertainment business competes with other major studios and other producers of entertainment content for sources of financing for the production</w:t>
      </w:r>
    </w:p>
    <w:p>
      <w:pPr>
        <w:spacing w:after="0" w:line="32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its films, for the exhibition of its films in theaters, and for shelf space in retail stores for its DVDs and with digital distributors for the licensing and sale of its products. It also competes for consumers with other film producers and distributors and all other forms of entertainment inside and outside the home.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communications business, cable networks, broadcast television networks and owned local broadcast television stations compete for the sale of advertising time with other television networks and stations, as well as with all other advertising platforms, such as radio stations, print media and websites. Additionally, our ability to compete depends on our perceived image and reputation among our various constituencies, including our customers, consumers, advertisers, investors and governmental authorities.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 more detailed description of the competition facing all of our businesses, see “Business – Competition” above. There can be no assurance that we will be able to compete effectively against existing or new competitors or that competition will not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consumer behavior driven by new technologies may adversely affect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a highly competitive, consumer-driven and rapidly changing environment. New technologies, particularly alternative methods for the distribution, sale and viewing of content, have been, and will likely continue to be, developed that further increase the number of competitors that all our businesses face and that drive changes in consumer behavior. These technologies may affect demand for all of our products and services as the number of entertainment choices available to, and the manner in which they are delivered to, consumers continue to increase and evolve. Our failure to effectively anticipate or adapt to emerging technologies or changes in consumer behavior could have an adverse effect on our businesses.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Newer services and technologies that may compete with our video services include digital distribution services and devices that offer Internet video streaming and downloading of movies, television shows and other video programming that can be viewed on television sets and computers, as well as other devices such as smartphones and tablets. Some of these services charge a nominal or no fee for access to their content, which could adversely affect demand for our video services, including for premium networks and our DVR, On Demand and streaming services. In addition, consumers are increasingly interested in accessing information, entertainment and communications services anywhere and anytime they want; newer services in wireless Internet technology such as 4G wireless broadband services and Wi-Fi networks, and devices such as wireless data cards, tablets, smartphones and mobile wireless routers that connect to such devices, may compete with our high-speed Internet services. Our voice services are facing increased competition from wireless and Internet-based phone services as more people choose to replace their traditional wireline phone service with these phone services. The success of any of these ongoing and future developments may have an adverse effect on our cable communications’ competitive position, business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New technologies are also affecting consumer behavior in ways that are changing how content is viewed as consumers seek more control over when, where and how they consume content, which may have a negative impact on our businesses and results of operations. For example, the increased availability of DVRs, video-on-demand services and cable, broadcast and other video programming on the Internet (including high-quality original video programming that may be viewed only through digital distribution services), as well as increased access to various media through wireless devices, have the potential to reduce the viewing of our content through traditional distribution outlets, which could adversely affect the demand for our video services, the price and amount of advertising that advertisers are willing to purchase from us, the amount multichannel video providers are willing to pay to NBCUniversal for its content and the levels of DVD and theatrical sales. These new technologies have increased the number of entertainment choices available to consumers and intensified the challenges posed by audience fragmentation. Some of these newer technologies also give consumers greater flexibility to watch programming on a time-delayed or on-demand basis or to fast-forward or skip advertisements within programming, which also may adversely impact the advertising revenue we receive. Delayed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viewing and advertising skipping have become more common as the penetration of DVRs has increased and as content has become increasingly available via video-on-demand services and Internet sources. Some of these new technologies are also challenging the existing legal copyright framework that we rely on to protect and monetize our intellectual property rights, as more fully discussed below in “Our businesses depend on using and protecting certain intellectual property rights and on not infringing the intellectual property rights of others.” These and other changes in technology, distribution platforms and consumer behavior could have an adverse effect on our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depend on keeping pace with technological developments.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success is, to a large extent, dependent on our ability to acquire, develop, adopt and leverage new and existing technologies, and our competitors’ use of certain types of technology and equipment may provide them with a competitive advantage. For example, some companies are building costly fiber-optic networks that provide significant high-speed Internet access speeds and wireless Internet technologies continue to evolve rapidly. We expect other advances in communications technology to occur in the future. If we choose technology or equipment that is not as effective or attractive to consumers as that employed by our competitors, if we fail to employ technologies desired by consumers before our competitors do so, or if we fail to execute effectively on our technology initiatives, our business and results of operations could be adversely affected. Moreover, we may incur additional costs as we execute our technology initiatives, such as the deployment of our X1 platform and wireless gateways. We also may incur increased costs if changes in the products and services that our competitors offer require that we offer certain of our existing services or enhancements at a lower or no cost to our customers or that we make additional research and development expenditures, which could have an adverse effect on our businesses.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expenses for our video services are increasing, which could adversely affect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programming expenses for our video services to continue to be our Cable Communications segment’s largest single expense item and to increase in the foreseeable future. The multichannel video provider industry has continued to experience an increase in the cost of programming, especially sports programming. In addition, as we add programming to our video services or distribute existing programming to more of our customers and through additional delivery platforms, we incur increased programming expenses. Additionally, we are currently paying certain local broadcast television stations in exchange for their required consent for the retransmission of broadcast network programming to our video services customers and expect to continue to be subject to increasing demands for payment and other concessions from local broadcast television stations. If we are unable to raise our customers’ rates or offset such programming cost increases through the sale of additional services, the increasing cost of programming could have an adverse impact on our results of operations. Moreover, as our contracts with content providers expire, there can be no assurance that they will be renewed on acceptable terms or that they will be renewed at all, in which case we may be unable to provide such content as part of our video services and our businesses could be adversely affected.</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regulation by federal, state, local and foreign authorities, which may impose additional costs and restrictions on our businesses.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Federal, state and local governments extensively regulate the video services industry and may increase the regulation of the Internet service and VoIP voice service industries. We expect that legislative enactments, court actions and regulatory proceedings will continue to clarify, and in some cases may adversely affect, the rights and obligations of cable operators and other entities under the Communications Act and other laws. Our broadcast television business also is highly regulated by federal laws and regulations, and our cable networks, filmed entertainment and theme parks businesses are subject to various other laws and regulations at the international, federal, state and local levels, including laws and regulations relating to environmental protection, which have become more stringent over time, and the safety of consumer products and theme</w:t>
      </w:r>
    </w:p>
    <w:p>
      <w:pPr>
        <w:spacing w:after="0" w:line="30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park operations. In addition, we are subject to the NBCUniversal Order and the NBCUniversal Consent Decree, which have imposed numerous conditions on our businesses relating to the treatment of competitors and other matters. Failure to comply with the laws and regulations applicable to our businesses could result in administrative enforcement actions, fines, and civil and criminal liability.</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Legislators and regulators at all levels of government frequently consider changing, and sometimes do change, existing statutes, rules, regulations, or interpretations thereof, or prescribe new ones, which may significantly affect our businesses. Any future legislative, judicial, regulatory or administrative actions may increase our costs or impose additional restrictions on our businesses, which could adversely affect our businesses. For example, in 2010, the FCC adopted “open Internet” regulations applicable to broadband Internet service providers (“ISPs”). The regulations required broadband ISPs such as us to disclose information regarding network management, performance and commercial terms of the service (the “transparency rule”); barred broadband ISPs from blocking access to lawful content, applications, services or non-harmful devices; and barred wireline broadband ISPs such as us from unreasonably discriminating in transmitting lawful network traffic. The no-blocking and non-discrimination requirements allowed for reasonable network management. The FCC did not prohibit speed tiers or usage-based pricing, but specifically noted that “paid prioritization” (i.e., charging content, application and service providers for prioritizing their traffic over our last-mile facilities) or an ISP’s prioritizing of its own Internet content likely would violate these regulations. In January 2014, the U.S. Court of Appeals for the D.C. Circuit vacated all of the FCC’s rules except for the transparency rule but the court clarified that the FCC had the fundamental authority to regulate broadband Internet access services as a general matter. Although we remain bound by the FCC’s original “open Internet” regulations as a condition of the NBCUniversal Order and the NBCUniversal Consent Decree for the remainder of the term of those orders, it is possible that the FCC may appeal the court’s decision or seek to adopt new Internet regulations or take other actions that restrict the manner in which we and other ISPs provide Internet services. The FCC also may attempt to reclassify broadband Internet service as a “telecommunications service,” which would authorize the FCC to subject it to traditional common carriage regulation under Title II of the Communications Act. Under a Title II framework, the FCC could potentially regulate our customer rates for broadband Internet services and could prohibit or seriously restrict arrangements between us and Internet content, application, and service providers, including backbone connection arrangements. These arrangements historically have not been regulated by the FCC. The FCC Chairman, however, has stressed that the FCC has a responsibility to ensure “connectivity” of the Internet, and although he has made clear that he does not consider peering and transit arrangements to be an “open Internet” issue, he considers it a related issue that the FCC, at a minimum, should monitor. The FCC might also take a broader view of its existing authority, as confirmed by the court decision, to adopt any regulation that conceivably would promote broadband deployment and adoption so long as it is not a common carrier regulation, and states may also attempt to regulate the Internet pursuant to the court’s decision. We cannot predict what, if any, proposals might be adopted or what effect they might have on our business. For a more extensive discussion of the significant risks associated with the regulation of all of our businesses, see “Business – Legislation and Regulation” above.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may have a negative impact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substantial portion of our revenue comes from customers whose spending patterns may be affected by prevailing economic conditions. Weak economic conditions, or increases in price levels generally due to inflationary pressures, could adversely affect demand for any of our products and services and have a negative impact on our results of operations. For example, customers may reduce the level of cable services to which they subscribe, or may discontinue subscribing to one or more of our cable services. This risk may be increased by the expanded availability of free or lower cost competitive services, such as Internet video streaming and downloading services, or substitute services, such as mobile phones, smartphones and Wi-Fi networks. Weak economic conditions also may have a negative impact on the advertising revenue of our cable communications, cable networks and broadcast television businesses. Weak economic conditions could also reduce the fees that multichannel video providers pay for our cable networks’ programming and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retransmission of our broadcast television networks and stations’ content. Weak economic conditions have also in the past reduced, and could continue to reduce, the performance of our home entertainment releases in our filmed entertainment business and attendance and spending in our theme parks business. Weak economic conditions and turmoil in the global financial markets may also impair the ability of third parties to satisfy their obligations to us. Further, any disruption in the global financial markets may affect our ability to obtain financing on acceptable terms. If these weak economic conditions continue or deteriorate, our businesses may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advertising expenditures or changes in advertising markets could negatively impact our businesses.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communications, cable networks and broadcast television businesses derive substantial revenue from the sale of advertising on a variety of platforms, and a decline in advertising expenditures could negatively impact our results of operations. Declines can be caused by the economic prospects of specific advertisers or industries, by increased competition for the leisure time of audiences and audience fragmentation, by the growing use of new technologies, or by the economy in general, any of which may cause advertisers to alter their spending priorities based on these or other factors. In addition, advertisers’ willingness to purchase advertising from us may be adversely affected by lower audience ratings, which some of our cable networks have experienced and may continue to experience. Advertising sales and rates also are dependent on audience measurement and could be negatively affected by changes in audience measurement methodologies. For example, newer methods of viewing content (such as delayed viewing on DVRs or viewing content on computers, tablets or smartphones) might not be counted in audience measurements or may generate less, if any, revenue than traditional distribution methods, which could have an adverse effect on our advertising revenue. Further, natural disasters, wars, acts of terrorism, or other significant adverse news events could lead to a reduction in advertising expenditures as a result of uninterrupted news coverage and general economic uncertainty. Reductions in advertising expenditures could adversely affect our businesses.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NBCUniversal’s success depends on consumer acceptance of its content, which is difficult to predict, and its businesses may be adversely affected if its content fails to achieve sufficient consumer acceptance or the costs to create or acquire content increase.</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Most of NBCUniversal’s businesses create and acquire media and entertainment content, the success of which depends substantially on consumer tastes and preferences that change in often unpredictable ways. The success of these businesses depends on our ability to consistently create, acquire, market and distribute cable network and broadcast television programming, filmed entertainment, theme park attractions and other content that meet the changing preferences of the broad domestic and international consumer market. We have invested, and will continue to invest, substantial amounts in our content, including in the production of original content on our cable networks and broadcast television networks, in our films and for theme park attractions, before learning the extent to which it would earn consumer acceptance.</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obtain a significant portion of our content from third parties, such as movie studios, television production companies, sports organizations and other suppliers. Competition for popular content, particularly for sports programming, is intense, and we may have to increase the price we are willing to pay or be outbid by our competitors for popular content. Entering into or renewing contracts for such programming rights or acquiring additional rights may result in significantly increased costs. Moreover, particularly with respect to long-term contracts for sports programming rights, our results of operations and cash flows over the term of a contract depend on a number of factors, including the strength of the advertising market, our audience size, the ability to impose surcharges on multichannel video providers for the content and the timing and amount of our rights payments. There can be no assurance that revenue from these contracts will exceed our cost for the rights, as well as the other costs of producing and distributing the programming. If our content does not achieve sufficient consumer acceptance, or if we cannot obtain or retain rights to popular content on acceptable terms, or at all, our businesses may be adversely affected.</w:t>
      </w:r>
    </w:p>
    <w:p>
      <w:pPr>
        <w:spacing w:after="0" w:line="330"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The loss of NBCUniversal’s programming distribution agreements, or the renewal of these agreements on less favorable terms, could adversely affect its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cable networks depend on the maintenance of distribution agreements with multichannel video providers. Our broadcast television networks depend on the maintenance of network affiliation agreements with third-party local broadcast television stations in the markets where we do not own the affiliated local broadcast television station. In addition, every three years, each of our owned local broadcast television stations must elect, with respect to its retransmission by multichannel video providers within its DMA, either “must-carry” status, in which the distributor’s carriage of the station is mandatory and does not generate any compensation for the local station, or “retransmission consent,” in which the station gives up its right to mandatory carriage and instead seeks to negotiate the terms and conditions of carriage with the distributor, including the amount of compensation, if any, paid to the station by such distributor. In the course of renewing distribution agreements with multichannel video providers, we may enter into retransmission consent agreements on behalf of our owned local broadcast television stations. All of our NBC and Telemundo owned local broadcast television stations have elected retransmission consent through December 31, 2014. Our ability to continue to receive compensation from distributors as part of our retransmission consent negotiations may be adversely impacted by online entities that stream our broadcast television content online without our consent and without paying any compensation to us. Increasingly, our cable networks, broadcast television and filmed entertainment businesses also have entered into agreements to license their prior season and library content on other distribution platforms. There can be no assurance that any of these agreements will be renewed in the future on acceptable terms, or at all. The loss of any of these agreements, or the renewal of these agreements on less favorable terms, could reduce the reach of our television programming and its attractiveness to advertisers, which in turn could adversely affect our cable networks, broadcast television and filmed entertainment businesses.</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Our businesses depend on using and protecting certain intellectual property rights and on not infringing the intellectual property rights of others.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rely on our intellectual property, such as patents, copyrights, trademarks and trade secrets, as well as licenses and other agreements with our vendors and other third parties, to use various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We may need to change our business practices if any of these events occur, which may limit our ability to compete effectively and could have an adverse effect on our results of operations. Even if we believe any such challenges or claims are without merit, they can be time-consuming and costly to defend and divert management’s attention and resources away from our businesses. Moreover, if we are unable to obtain or continue to obtain licenses from our vendors and other third parties on reasonable terms, our businesses could be adversely affected.</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intellectual property constitutes a significant part of the value of NBCUniversal’s businesses, and its success is highly dependent on protecting intellectual property rights in the content it creates or acquires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For example, there is ongoing litigation related to a number of online entities that stream our broadcast television content online without the consent of, or compensation to, NBC or its affiliates, and the U.S. Supreme Court has granted certiorari to hear the broadcasting industry’s challenge to one such entity. If this practice is validated, the fees multichannel video providers are willing to pay for our broadcast television content may be negatively impacted. We also have brought a suit against a multichannel video provider to challenge the commercial-skipping functionality in its DVR. None of this litigation is final, and the results as to the validity of these practices have been mixed to date. Additionally, there is a pending legislative proposal that seems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intended to legitimize some of these practices. There can be no assurance as to whether the courts will ultimately invalidate these practices or the pending legislation will be enacted, or how any such rulings or legislation would ultimately affect our businesses.</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Piracy and other unauthorized uses of content are made easier, and the enforcement of intellectual property rights more challenging, by technological advances allowing the conversion of programming, films and other content into digital formats, which facilitates the creation, transmission and sharing of high-quality unauthorized copies. In particular, piracy of programming and films through unauthorized distribution on DVDs, peer-to-peer computer networks and other platforms continues to present challenges for our cable networks, broadcast television and filmed entertainment businesses.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and the value of our intellectual property may be negatively impacted and our costs of enforcing our rights may increase. See “Business – Legislation and Regulation – Other Areas of Regulation – Intellectual Property” above for additional information.</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Network and information systems and other technologies, including those related to our network management, customer service operations and programming delivery, are critical to our business activities. Network and information systems-related events, such as computer hackings, cyber attacks, computer viruses, worms or other destructive or disruptive software, process breakdowns, denial of service attacks, malicious social engineering or other malicious activities, or any combination of the foregoing, or power outages, natural disasters, terrorist attacks or other similar events, could result in a degradation or disruption of our services, excessive call volume to call centers or damage to our properties, equipment and data. These events also could result in large expenditures to repair or replace the damaged properties, networks or information systems or to protect them from similar events in the future. Further, any security breaches, such as misappropriation, misuse, leakage, falsification or accidental release or loss of information maintained in our information technology systems, including customer, personnel and vendor data, could damage our reputation and require us to expend significant capital and other resources to remedy any such security breach. We may provide certain confidential, proprietary and personal information to third parties in connection with our businesses, and while we obtain assurances that these third parties will protect this information, there is a risk that this information may be compromised. Moreover, the amount and scope of insurance we maintain against losses resulting from any such events or security breaches may not be sufficient to cover our losses or otherwise adequately compensate us for any disruptions to our businesses that may result, and the occurrence of any such events or security breaches could have a material adverse effect on our businesses.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risk of these systems-related events and security breaches occurring continues to intensify, in part because we maintain certain information necessary to conduct our businesses in digital form stored on cloud servers. In the ordinary course of our business, there are frequent attempts to cause such systems-related events and security breaches, and we have experienced a few minor systems-related events that, to date, have not resulted in any significant degradation or disruption to our network or information systems or our services or operations. While we develop and maintain systems seeking to prevent systems-related events and security breaches from occurring, the development and maintenance of these systems is costly and requires ongoing monitoring and updating as technologies change and efforts to overcome security measures become more sophisticated. Despite these efforts, there can be no assurance that these events and security breaches will not occur in the future or will not have an adverse effect on our businesses.</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37</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necessary hardware, software and operational support.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depend on third-party vendors to supply us with a significant amount of the hardware, software and operational support necessary to provide certain of our services. Some of these vendors represent our primary source of supply or grant us the right to incorporate their intellectual property into some of our hardware and software products. While we actively monitor the operations and financial condition of key vendors in an attempt to detect any potential difficulties, there can be no assurance that we would timely identify any operating or financial difficulties associated with these vendors or that we could effectively mitigate our risks with respect to any such difficulties. If any of these vendors experience operating or financial difficulties or if demand exceeds their capacity or they otherwise cannot meet our specifications, our ability to provide some services may be adversely affected.</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Labor disputes, whether involving employees or sports organizations, may disrupt our operations and adversely affect our businesses. </w:t>
      </w:r>
      <w:r>
        <w:rPr>
          <w:rFonts w:ascii="Arial" w:cs="Arial" w:eastAsia="Arial" w:hAnsi="Arial"/>
          <w:sz w:val="18"/>
          <w:szCs w:val="18"/>
          <w:color w:val="auto"/>
        </w:rPr>
        <w:t>Many of NBCUniversal’s employees, including writers, directors, actors, technical and production personnel and others, as well as some of our on-air and creative talent and cable communications’ employees, are covered by collective bargaining agreements or works councils. If we are unable to reach agreement with a labor union before the expiration of a collective bargaining agreement, our employees who were covered by that agreement may have a right to strike or take other actions that could adversely affect us. Moreover, many of NBCUniversal’s collective bargaining agreements are industry-wide agreements, and we may lack practical control over the negotiations and terms of the agreements. A labor dispute involving our employees may result in work stoppages or disrupt our operations and reduce our revenue, and resolution of disputes may increase our costs. There can be no assurance that we will renew our collective bargaining agreements as they expire or that we can renew them on favorable terms or without any work stoppages.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cable networks and broadcast television networks have programming rights agreements of varying scope and duration with various sports organizations to broadcast and produce sporting events, including certain NFL, NHL, NBA and MLB games. Labor disputes in these and other sports organizations could have an adverse effect on our businesses.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key management personnel or popular on-air and creative talent could have an adverse effect on our businesses.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certain key management personnel in the operation of our businesses. While we maintain long-term and emergency transition plans for key management personnel and believe we could either identify internal candidates or attract outside candidates to fill any vacancy created by the loss of any key management personnel, the loss of one or more of our key management personnel could have a negative impact on our businesses. In addition, our cable networks, broadcast television and filmed entertainment businesses depend on the abilities and expertise of our on-air and creative talent. If we fail to retain our on-air or creative talent, if the costs to retain such talent increase materially, if we need to make significant termination payments, or if these individuals lose their current appeal, our businesses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doing business internationally that could adversely affect our businesses.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primarily through NBCUniversal, operate our businesses worldwide. There are risks inherent in doing business internationally, including global financial market turmoil, economic volatility and the global economic slowdown, currency exchange rate fluctuations and inflationary pressures, the requirements of local laws and customs relating to the publication and distribution of content and the display and sale of advertising, import or export restrictions and changes in trade regulations, difficulties in developing, staffing and managing foreign operations, issues related to occupational safety and adherence to diverse local labor laws and regulations, and potentially adverse tax developments. In addition, doing business internationally is subject to risks relating to political or social unrest, corruption and government regulation, including U.S. laws such as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Foreign Corrupt Practices Act that impose stringent requirements on how we conduct our foreign operations. If these risks occur, our businesses may be adversely affected.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time to time we make acquisitions and investments and enter into other strategic transactions. In connection with such acquisitions and strategic transactions, we may incur unanticipated expenses, fail to realize anticipated benefits, have difficulty incorporating the acquired businesses, disrupt relationships with current and new employees, customers and vendors, incur significant debt, or have to delay or not proceed with announced transactions. The occurrence of any of these events could have an adverse effect on our businesses.</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auto"/>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r>
        <w:rPr>
          <w:rFonts w:ascii="Arial" w:cs="Arial" w:eastAsia="Arial" w:hAnsi="Arial"/>
          <w:sz w:val="16"/>
          <w:szCs w:val="16"/>
          <w:color w:val="auto"/>
        </w:rPr>
        <w:t xml:space="preserve">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Class A and Class B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involving Comcast Corporation,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our chairman and CEO, beneficially owns all of the outstanding shares of our Class B common stock and, accordingly, has considerable influence over our company and the potential ability to transfer effective control by selling the Class B common stock, which could be at a premium.</w:t>
      </w:r>
    </w:p>
    <w:p>
      <w:pPr>
        <w:spacing w:after="0" w:line="200" w:lineRule="exact"/>
        <w:rPr>
          <w:sz w:val="20"/>
          <w:szCs w:val="20"/>
          <w:color w:val="auto"/>
        </w:rPr>
      </w:pPr>
    </w:p>
    <w:p>
      <w:pPr>
        <w:spacing w:after="0" w:line="316"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39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1B: Unresolved Staff Comments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2: Properties</w:t>
      </w:r>
    </w:p>
    <w:p>
      <w:pPr>
        <w:spacing w:after="0" w:line="1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that substantially all of our physical assets were in good operating condition as of December 31, 2013. Our corporate headquarters and Cable Communications segment headquarters are located in Philadelphia, Pennsylvania at One Comcast Center. In December 2013, we acquired an 80% interest in a business whose primary asset is One Comcast Center. Prior to this acquisition, the property was a leased facility. We also lease locations for numerous business offices, warehouses and properties housing divisional information technology operations throughout the country.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principal physical assets consist of operating plant and equipment, including signal receiving, encoding and decoding devices, headends and distribution networks, and equipment at or near our customers’ homes. The signal receiving apparatus typically includes a tower, antenna, ancillary electronic equipment and ground stations for reception of satellite signals. Headends consist of electronic equipment necessary for the reception, amplification and modulation of signals and are located near the receiving devices. Our distribution network consists primarily of coaxial and fiber-optic cables, lasers, routers, switches and related electronic equipment. Our cable plant and related equipment generally are connected to utility poles under pole rental agreements with local public utilities, although in some areas the distribution cable is buried in underground ducts or trenches. Customer premise equipment (“CPE”) consists primarily of set-top boxes and cable modems. The physical components of cable systems require periodic maintenance and replacement.</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signal reception sites, which consist primarily of antenna towers and headends, and our microwave facilities are located on owned and leased parcels of land, and we own or lease space on the towers on which certain of our equipment is located. We own most of our service vehicles.</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high-speed Internet network consists of fiber-optic cables owned or leased by us and related equipment. We also operate regional data centers with equipment that is used to provide services (such as email, news and web services) to our high-speed Internet and voice services customers. In addition, we maintain two network operations centers with equipment necessary to monitor and manage the status of our high-speed Internet network.</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own or lease buildings throughout the country that contain customer service call centers, customer service centers, warehouses and administrative space. We also own a building that houses our digital media center. The digital media center contains equipment that we own or lease, including equipment related to network origination, video transmission via satellite and terrestrial fiber optics, broadcast studios, post-production services and interactive television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NBCUniversal’s corporate headquarters are located in New York City at 30 Rockefeller Plaza. In March 2013, NBCUniversal acquired the space it occupies at 30 Rockefeller Plaza in connection with the Redemption Transaction. We also own or lease offices, studios, production facilities, screening rooms, retail operations, warehouse space, satellite transmission receiving facilities and data centers in numerous locations in the United States and around the world, including property for our owned local broadcast television stations. In addition, we own theme parks and related facilities in Orlando and Hollywood.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as of December 31, 2013 with respect to NBCUniversal’s principal properties: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376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Principal Use</w:t>
            </w:r>
          </w:p>
        </w:tc>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Principal Segment in Which Used</w:t>
            </w: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w w:val="94"/>
              </w:rPr>
              <w:t>Owned or Leased</w:t>
            </w:r>
          </w:p>
        </w:tc>
      </w:tr>
      <w:tr>
        <w:trPr>
          <w:trHeight w:val="294"/>
        </w:trPr>
        <w:tc>
          <w:tcPr>
            <w:tcW w:w="2940" w:type="dxa"/>
            <w:vAlign w:val="bottom"/>
          </w:tcPr>
          <w:p>
            <w:pPr>
              <w:spacing w:after="0"/>
              <w:rPr>
                <w:sz w:val="20"/>
                <w:szCs w:val="20"/>
                <w:color w:val="auto"/>
              </w:rPr>
            </w:pPr>
            <w:r>
              <w:rPr>
                <w:rFonts w:ascii="Arial" w:cs="Arial" w:eastAsia="Arial" w:hAnsi="Arial"/>
                <w:sz w:val="18"/>
                <w:szCs w:val="18"/>
                <w:color w:val="auto"/>
              </w:rPr>
              <w:t>30 Rockefeller Plaza</w:t>
            </w:r>
          </w:p>
        </w:tc>
        <w:tc>
          <w:tcPr>
            <w:tcW w:w="3760" w:type="dxa"/>
            <w:vAlign w:val="bottom"/>
          </w:tcPr>
          <w:p>
            <w:pPr>
              <w:ind w:left="620"/>
              <w:spacing w:after="0"/>
              <w:rPr>
                <w:sz w:val="20"/>
                <w:szCs w:val="20"/>
                <w:color w:val="auto"/>
              </w:rPr>
            </w:pPr>
            <w:r>
              <w:rPr>
                <w:rFonts w:ascii="Arial" w:cs="Arial" w:eastAsia="Arial" w:hAnsi="Arial"/>
                <w:sz w:val="18"/>
                <w:szCs w:val="18"/>
                <w:color w:val="auto"/>
              </w:rPr>
              <w:t>NBCUniversal corporate</w:t>
            </w:r>
          </w:p>
        </w:tc>
        <w:tc>
          <w:tcPr>
            <w:tcW w:w="3200" w:type="dxa"/>
            <w:vAlign w:val="bottom"/>
          </w:tcPr>
          <w:p>
            <w:pPr>
              <w:ind w:left="180"/>
              <w:spacing w:after="0"/>
              <w:rPr>
                <w:sz w:val="20"/>
                <w:szCs w:val="20"/>
                <w:color w:val="auto"/>
              </w:rPr>
            </w:pPr>
            <w:r>
              <w:rPr>
                <w:rFonts w:ascii="Arial" w:cs="Arial" w:eastAsia="Arial" w:hAnsi="Arial"/>
                <w:sz w:val="18"/>
                <w:szCs w:val="18"/>
                <w:color w:val="auto"/>
              </w:rPr>
              <w:t>Headquarters and Other, Cable</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760" w:type="dxa"/>
            <w:vAlign w:val="bottom"/>
          </w:tcPr>
          <w:p>
            <w:pPr>
              <w:ind w:left="620"/>
              <w:spacing w:after="0"/>
              <w:rPr>
                <w:sz w:val="20"/>
                <w:szCs w:val="20"/>
                <w:color w:val="auto"/>
              </w:rPr>
            </w:pPr>
            <w:r>
              <w:rPr>
                <w:rFonts w:ascii="Arial" w:cs="Arial" w:eastAsia="Arial" w:hAnsi="Arial"/>
                <w:sz w:val="18"/>
                <w:szCs w:val="18"/>
                <w:color w:val="auto"/>
              </w:rPr>
              <w:t>headquarters, offices and studios</w:t>
            </w:r>
          </w:p>
        </w:tc>
        <w:tc>
          <w:tcPr>
            <w:tcW w:w="3200" w:type="dxa"/>
            <w:vAlign w:val="bottom"/>
          </w:tcPr>
          <w:p>
            <w:pPr>
              <w:ind w:left="180"/>
              <w:spacing w:after="0"/>
              <w:rPr>
                <w:sz w:val="20"/>
                <w:szCs w:val="20"/>
                <w:color w:val="auto"/>
              </w:rPr>
            </w:pPr>
            <w:r>
              <w:rPr>
                <w:rFonts w:ascii="Arial" w:cs="Arial" w:eastAsia="Arial" w:hAnsi="Arial"/>
                <w:sz w:val="18"/>
                <w:szCs w:val="18"/>
                <w:color w:val="auto"/>
              </w:rPr>
              <w:t>Networks and Broadcast Television</w:t>
            </w: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 Rockefeller Plaza</w:t>
            </w:r>
          </w:p>
        </w:tc>
        <w:tc>
          <w:tcPr>
            <w:tcW w:w="3760" w:type="dxa"/>
            <w:vAlign w:val="bottom"/>
          </w:tcPr>
          <w:p>
            <w:pPr>
              <w:ind w:left="620"/>
              <w:spacing w:after="0"/>
              <w:rPr>
                <w:sz w:val="20"/>
                <w:szCs w:val="20"/>
                <w:color w:val="auto"/>
              </w:rPr>
            </w:pPr>
            <w:r>
              <w:rPr>
                <w:rFonts w:ascii="Arial" w:cs="Arial" w:eastAsia="Arial" w:hAnsi="Arial"/>
                <w:sz w:val="18"/>
                <w:szCs w:val="18"/>
                <w:i w:val="1"/>
                <w:iCs w:val="1"/>
                <w:color w:val="auto"/>
              </w:rPr>
              <w:t xml:space="preserve">The Today Show </w:t>
            </w:r>
            <w:r>
              <w:rPr>
                <w:rFonts w:ascii="Arial" w:cs="Arial" w:eastAsia="Arial" w:hAnsi="Arial"/>
                <w:sz w:val="18"/>
                <w:szCs w:val="18"/>
                <w:color w:val="auto"/>
              </w:rPr>
              <w:t>studio,</w:t>
            </w:r>
          </w:p>
        </w:tc>
        <w:tc>
          <w:tcPr>
            <w:tcW w:w="320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New York, NY</w:t>
            </w:r>
          </w:p>
        </w:tc>
        <w:tc>
          <w:tcPr>
            <w:tcW w:w="3760" w:type="dxa"/>
            <w:vAlign w:val="bottom"/>
          </w:tcPr>
          <w:p>
            <w:pPr>
              <w:ind w:left="620"/>
              <w:spacing w:after="0"/>
              <w:rPr>
                <w:sz w:val="20"/>
                <w:szCs w:val="20"/>
                <w:color w:val="auto"/>
              </w:rPr>
            </w:pPr>
            <w:r>
              <w:rPr>
                <w:rFonts w:ascii="Arial" w:cs="Arial" w:eastAsia="Arial" w:hAnsi="Arial"/>
                <w:sz w:val="18"/>
                <w:szCs w:val="18"/>
                <w:color w:val="auto"/>
              </w:rPr>
              <w:t>production facilities and offices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Universal City</w:t>
            </w:r>
          </w:p>
        </w:tc>
        <w:tc>
          <w:tcPr>
            <w:tcW w:w="3760" w:type="dxa"/>
            <w:vAlign w:val="bottom"/>
          </w:tcPr>
          <w:p>
            <w:pPr>
              <w:ind w:left="620"/>
              <w:spacing w:after="0"/>
              <w:rPr>
                <w:sz w:val="20"/>
                <w:szCs w:val="20"/>
                <w:color w:val="auto"/>
              </w:rPr>
            </w:pPr>
            <w:r>
              <w:rPr>
                <w:rFonts w:ascii="Arial" w:cs="Arial" w:eastAsia="Arial" w:hAnsi="Arial"/>
                <w:sz w:val="18"/>
                <w:szCs w:val="18"/>
                <w:color w:val="auto"/>
              </w:rPr>
              <w:t>Offices, studios, theme park and retail</w:t>
            </w:r>
          </w:p>
        </w:tc>
        <w:tc>
          <w:tcPr>
            <w:tcW w:w="3200" w:type="dxa"/>
            <w:vAlign w:val="bottom"/>
          </w:tcPr>
          <w:p>
            <w:pPr>
              <w:ind w:left="180"/>
              <w:spacing w:after="0"/>
              <w:rPr>
                <w:sz w:val="20"/>
                <w:szCs w:val="20"/>
                <w:color w:val="auto"/>
              </w:rPr>
            </w:pPr>
            <w:r>
              <w:rPr>
                <w:rFonts w:ascii="Arial" w:cs="Arial" w:eastAsia="Arial" w:hAnsi="Arial"/>
                <w:sz w:val="18"/>
                <w:szCs w:val="18"/>
                <w:color w:val="auto"/>
              </w:rPr>
              <w:t>All</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Universal City, CA</w:t>
            </w:r>
          </w:p>
        </w:tc>
        <w:tc>
          <w:tcPr>
            <w:tcW w:w="3760" w:type="dxa"/>
            <w:vAlign w:val="bottom"/>
          </w:tcPr>
          <w:p>
            <w:pPr>
              <w:ind w:left="620"/>
              <w:spacing w:after="0"/>
              <w:rPr>
                <w:sz w:val="20"/>
                <w:szCs w:val="20"/>
                <w:color w:val="auto"/>
              </w:rPr>
            </w:pPr>
            <w:r>
              <w:rPr>
                <w:rFonts w:ascii="Arial" w:cs="Arial" w:eastAsia="Arial" w:hAnsi="Arial"/>
                <w:sz w:val="18"/>
                <w:szCs w:val="18"/>
                <w:color w:val="auto"/>
              </w:rPr>
              <w:t>operations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1000 Universal Studios Plaza</w:t>
            </w:r>
          </w:p>
        </w:tc>
        <w:tc>
          <w:tcPr>
            <w:tcW w:w="3760" w:type="dxa"/>
            <w:vAlign w:val="bottom"/>
          </w:tcPr>
          <w:p>
            <w:pPr>
              <w:ind w:left="620"/>
              <w:spacing w:after="0"/>
              <w:rPr>
                <w:sz w:val="20"/>
                <w:szCs w:val="20"/>
                <w:color w:val="auto"/>
              </w:rPr>
            </w:pPr>
            <w:r>
              <w:rPr>
                <w:rFonts w:ascii="Arial" w:cs="Arial" w:eastAsia="Arial" w:hAnsi="Arial"/>
                <w:sz w:val="18"/>
                <w:szCs w:val="18"/>
                <w:color w:val="auto"/>
              </w:rPr>
              <w:t>Theme parks, lodging, production</w:t>
            </w:r>
          </w:p>
        </w:tc>
        <w:tc>
          <w:tcPr>
            <w:tcW w:w="3200" w:type="dxa"/>
            <w:vAlign w:val="bottom"/>
          </w:tcPr>
          <w:p>
            <w:pPr>
              <w:ind w:left="180"/>
              <w:spacing w:after="0"/>
              <w:rPr>
                <w:sz w:val="20"/>
                <w:szCs w:val="20"/>
                <w:color w:val="auto"/>
              </w:rPr>
            </w:pPr>
            <w:r>
              <w:rPr>
                <w:rFonts w:ascii="Arial" w:cs="Arial" w:eastAsia="Arial" w:hAnsi="Arial"/>
                <w:sz w:val="18"/>
                <w:szCs w:val="18"/>
                <w:color w:val="auto"/>
              </w:rPr>
              <w:t>Theme Parks</w:t>
            </w:r>
          </w:p>
        </w:tc>
        <w:tc>
          <w:tcPr>
            <w:tcW w:w="1520" w:type="dxa"/>
            <w:vAlign w:val="bottom"/>
          </w:tcPr>
          <w:p>
            <w:pPr>
              <w:ind w:left="280"/>
              <w:spacing w:after="0"/>
              <w:rPr>
                <w:sz w:val="20"/>
                <w:szCs w:val="20"/>
                <w:color w:val="auto"/>
              </w:rPr>
            </w:pPr>
            <w:r>
              <w:rPr>
                <w:rFonts w:ascii="Arial" w:cs="Arial" w:eastAsia="Arial" w:hAnsi="Arial"/>
                <w:sz w:val="18"/>
                <w:szCs w:val="18"/>
                <w:color w:val="auto"/>
              </w:rPr>
              <w:t>Owned</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Orlando, FL</w:t>
            </w:r>
          </w:p>
        </w:tc>
        <w:tc>
          <w:tcPr>
            <w:tcW w:w="3760" w:type="dxa"/>
            <w:vAlign w:val="bottom"/>
          </w:tcPr>
          <w:p>
            <w:pPr>
              <w:ind w:left="620"/>
              <w:spacing w:after="0" w:line="202" w:lineRule="exact"/>
              <w:rPr>
                <w:sz w:val="20"/>
                <w:szCs w:val="20"/>
                <w:color w:val="auto"/>
              </w:rPr>
            </w:pPr>
            <w:r>
              <w:rPr>
                <w:rFonts w:ascii="Arial" w:cs="Arial" w:eastAsia="Arial" w:hAnsi="Arial"/>
                <w:sz w:val="18"/>
                <w:szCs w:val="18"/>
                <w:color w:val="auto"/>
              </w:rPr>
              <w:t>facilities, parking structures and</w:t>
            </w:r>
          </w:p>
        </w:tc>
        <w:tc>
          <w:tcPr>
            <w:tcW w:w="3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1"/>
        </w:trPr>
        <w:tc>
          <w:tcPr>
            <w:tcW w:w="2940" w:type="dxa"/>
            <w:vAlign w:val="bottom"/>
          </w:tcPr>
          <w:p>
            <w:pPr>
              <w:spacing w:after="0"/>
              <w:rPr>
                <w:sz w:val="18"/>
                <w:szCs w:val="18"/>
                <w:color w:val="auto"/>
              </w:rPr>
            </w:pPr>
          </w:p>
        </w:tc>
        <w:tc>
          <w:tcPr>
            <w:tcW w:w="3760" w:type="dxa"/>
            <w:vAlign w:val="bottom"/>
          </w:tcPr>
          <w:p>
            <w:pPr>
              <w:ind w:left="620"/>
              <w:spacing w:after="0"/>
              <w:rPr>
                <w:sz w:val="20"/>
                <w:szCs w:val="20"/>
                <w:color w:val="auto"/>
              </w:rPr>
            </w:pPr>
            <w:r>
              <w:rPr>
                <w:rFonts w:ascii="Arial" w:cs="Arial" w:eastAsia="Arial" w:hAnsi="Arial"/>
                <w:sz w:val="18"/>
                <w:szCs w:val="18"/>
                <w:color w:val="auto"/>
              </w:rPr>
              <w:t>administrative buildings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18"/>
                <w:szCs w:val="18"/>
                <w:color w:val="auto"/>
              </w:rPr>
              <w:t>3000 W Alameda Ave.</w:t>
            </w:r>
          </w:p>
        </w:tc>
        <w:tc>
          <w:tcPr>
            <w:tcW w:w="3760" w:type="dxa"/>
            <w:vAlign w:val="bottom"/>
          </w:tcPr>
          <w:p>
            <w:pPr>
              <w:ind w:left="620"/>
              <w:spacing w:after="0"/>
              <w:rPr>
                <w:sz w:val="20"/>
                <w:szCs w:val="20"/>
                <w:color w:val="auto"/>
              </w:rPr>
            </w:pPr>
            <w:r>
              <w:rPr>
                <w:rFonts w:ascii="Arial" w:cs="Arial" w:eastAsia="Arial" w:hAnsi="Arial"/>
                <w:sz w:val="18"/>
                <w:szCs w:val="18"/>
                <w:color w:val="auto"/>
              </w:rPr>
              <w:t>Offices and production facilities</w:t>
            </w:r>
          </w:p>
        </w:tc>
        <w:tc>
          <w:tcPr>
            <w:tcW w:w="3200" w:type="dxa"/>
            <w:vAlign w:val="bottom"/>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1"/>
        </w:trPr>
        <w:tc>
          <w:tcPr>
            <w:tcW w:w="2940" w:type="dxa"/>
            <w:vAlign w:val="bottom"/>
          </w:tcPr>
          <w:p>
            <w:pPr>
              <w:spacing w:after="0"/>
              <w:rPr>
                <w:sz w:val="20"/>
                <w:szCs w:val="20"/>
                <w:color w:val="auto"/>
              </w:rPr>
            </w:pPr>
            <w:r>
              <w:rPr>
                <w:rFonts w:ascii="Arial" w:cs="Arial" w:eastAsia="Arial" w:hAnsi="Arial"/>
                <w:sz w:val="18"/>
                <w:szCs w:val="18"/>
                <w:color w:val="auto"/>
              </w:rPr>
              <w:t>Burbank, CA</w:t>
            </w:r>
          </w:p>
        </w:tc>
        <w:tc>
          <w:tcPr>
            <w:tcW w:w="3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color w:val="auto"/>
              </w:rPr>
              <w:t>2290 W 8</w:t>
            </w:r>
            <w:r>
              <w:rPr>
                <w:rFonts w:ascii="Arial" w:cs="Arial" w:eastAsia="Arial" w:hAnsi="Arial"/>
                <w:sz w:val="11"/>
                <w:szCs w:val="11"/>
                <w:color w:val="auto"/>
              </w:rPr>
              <w:t>th</w:t>
            </w:r>
            <w:r>
              <w:rPr>
                <w:rFonts w:ascii="Arial" w:cs="Arial" w:eastAsia="Arial" w:hAnsi="Arial"/>
                <w:sz w:val="18"/>
                <w:szCs w:val="18"/>
                <w:color w:val="auto"/>
              </w:rPr>
              <w:t xml:space="preserve"> Ave.</w:t>
            </w:r>
          </w:p>
        </w:tc>
        <w:tc>
          <w:tcPr>
            <w:tcW w:w="3760" w:type="dxa"/>
            <w:vAlign w:val="bottom"/>
          </w:tcPr>
          <w:p>
            <w:pPr>
              <w:ind w:left="620"/>
              <w:spacing w:after="0"/>
              <w:rPr>
                <w:sz w:val="20"/>
                <w:szCs w:val="20"/>
                <w:color w:val="auto"/>
              </w:rPr>
            </w:pPr>
            <w:r>
              <w:rPr>
                <w:rFonts w:ascii="Arial" w:cs="Arial" w:eastAsia="Arial" w:hAnsi="Arial"/>
                <w:sz w:val="18"/>
                <w:szCs w:val="18"/>
                <w:color w:val="auto"/>
              </w:rPr>
              <w:t>Telemundo headquarters and</w:t>
            </w:r>
          </w:p>
        </w:tc>
        <w:tc>
          <w:tcPr>
            <w:tcW w:w="3200" w:type="dxa"/>
            <w:vAlign w:val="bottom"/>
          </w:tcPr>
          <w:p>
            <w:pPr>
              <w:ind w:left="180"/>
              <w:spacing w:after="0"/>
              <w:rPr>
                <w:sz w:val="20"/>
                <w:szCs w:val="20"/>
                <w:color w:val="auto"/>
              </w:rPr>
            </w:pPr>
            <w:r>
              <w:rPr>
                <w:rFonts w:ascii="Arial" w:cs="Arial" w:eastAsia="Arial" w:hAnsi="Arial"/>
                <w:sz w:val="18"/>
                <w:szCs w:val="18"/>
                <w:color w:val="auto"/>
              </w:rPr>
              <w:t>Headquarters and Other and</w:t>
            </w:r>
          </w:p>
        </w:tc>
        <w:tc>
          <w:tcPr>
            <w:tcW w:w="1520" w:type="dxa"/>
            <w:vAlign w:val="bottom"/>
          </w:tcPr>
          <w:p>
            <w:pPr>
              <w:ind w:left="280"/>
              <w:spacing w:after="0"/>
              <w:rPr>
                <w:sz w:val="20"/>
                <w:szCs w:val="20"/>
                <w:color w:val="auto"/>
              </w:rPr>
            </w:pPr>
            <w:r>
              <w:rPr>
                <w:rFonts w:ascii="Arial" w:cs="Arial" w:eastAsia="Arial" w:hAnsi="Arial"/>
                <w:sz w:val="18"/>
                <w:szCs w:val="18"/>
                <w:color w:val="auto"/>
              </w:rPr>
              <w:t>Leased</w:t>
            </w:r>
          </w:p>
        </w:tc>
      </w:tr>
      <w:tr>
        <w:trPr>
          <w:trHeight w:val="212"/>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Hialeah, FL</w:t>
            </w:r>
          </w:p>
        </w:tc>
        <w:tc>
          <w:tcPr>
            <w:tcW w:w="37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production facilities</w:t>
            </w:r>
          </w:p>
        </w:tc>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Broadcast Television</w:t>
            </w:r>
          </w:p>
        </w:tc>
        <w:tc>
          <w:tcPr>
            <w:tcW w:w="1520" w:type="dxa"/>
            <w:vAlign w:val="bottom"/>
            <w:tcBorders>
              <w:bottom w:val="single" w:sz="8" w:color="auto"/>
            </w:tcBorders>
          </w:tcPr>
          <w:p>
            <w:pPr>
              <w:spacing w:after="0"/>
              <w:rPr>
                <w:sz w:val="18"/>
                <w:szCs w:val="1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Wells Fargo Center, a large, multipurpose arena that we own, was the principal physical operating asset of our other businesses as of December 31, 2013.</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3: Legal Proceedings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Refer to Note 18 to Comcast Corporation’s consolidated financial statements included in this Annual Report on Form 10-K for a discussion of recent developments related to our legal proceedings.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matters described in Note 18, the California Attorney General and the Alameda County, California District Attorney are investigating whether certain of our waste disposal policies, procedures and practices are in violation of the California Business and Professions Code and the California Health and Safety Code. We expect that these entities will seek injunctive and monetary relief. We are cooperating with the investigation. While we are unable to predict the outcome of this investigation, we do not believe that the outcome will have a material effect on our results of operations, financial condition or cash flows.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Media, LLC is subject to legal proceedings and claims that arise in the ordinary course of its business and it does not expect the final disposition of these matters to have a material adverse effect on its results of operations, cash flows or financial condition, although any such matters could be time consuming and costly and could injure its reputation.</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0C6DFF"/>
        </w:rPr>
        <w:t>Item 4: Mine Safety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w:t>
      </w:r>
    </w:p>
    <w:p>
      <w:pPr>
        <w:spacing w:after="0" w:line="156" w:lineRule="exact"/>
        <w:rPr>
          <w:sz w:val="20"/>
          <w:szCs w:val="20"/>
          <w:color w:val="auto"/>
        </w:rPr>
      </w:pPr>
    </w:p>
    <w:p>
      <w:pPr>
        <w:ind w:right="500"/>
        <w:spacing w:after="0" w:line="260" w:lineRule="auto"/>
        <w:rPr>
          <w:sz w:val="20"/>
          <w:szCs w:val="20"/>
          <w:color w:val="auto"/>
        </w:rPr>
      </w:pPr>
      <w:r>
        <w:rPr>
          <w:rFonts w:ascii="Arial" w:cs="Arial" w:eastAsia="Arial" w:hAnsi="Arial"/>
          <w:sz w:val="24"/>
          <w:szCs w:val="24"/>
          <w:color w:val="0C6DFF"/>
        </w:rPr>
        <w:t>Item 5: Market for Registrant’s Common Equity, Related Stockholder Matters and Issuer Purchases of Equity Securities</w:t>
      </w:r>
    </w:p>
    <w:p>
      <w:pPr>
        <w:spacing w:after="0" w:line="8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Comcast Class A common stock is listed on the NASDAQ Global Select Market under the symbol CMCSA and its Class A Special common stock is listed on the NASDAQ Global Select Market under the symbol CMCSK. There is no established public trading market for Comcast’s Class B common stock. The Class B common stock can be converted, on a share for share basis, into Class A or Class A Special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0C6DFF"/>
        </w:rPr>
        <w:t>Dividends Declared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tcPr>
          <w:p>
            <w:pPr>
              <w:spacing w:after="0"/>
              <w:rPr>
                <w:sz w:val="14"/>
                <w:szCs w:val="14"/>
                <w:color w:val="auto"/>
              </w:rPr>
            </w:pPr>
          </w:p>
        </w:tc>
        <w:tc>
          <w:tcPr>
            <w:tcW w:w="21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2012</w:t>
            </w:r>
          </w:p>
        </w:tc>
        <w:tc>
          <w:tcPr>
            <w:tcW w:w="920" w:type="dxa"/>
            <w:vAlign w:val="bottom"/>
            <w:tcBorders>
              <w:top w:val="single" w:sz="8" w:color="auto"/>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Month Declared:</w:t>
            </w:r>
          </w:p>
        </w:tc>
        <w:tc>
          <w:tcPr>
            <w:tcW w:w="2060" w:type="dxa"/>
            <w:vAlign w:val="bottom"/>
            <w:tcBorders>
              <w:bottom w:val="single" w:sz="8" w:color="auto"/>
            </w:tcBorders>
            <w:gridSpan w:val="2"/>
          </w:tcPr>
          <w:p>
            <w:pPr>
              <w:ind w:left="700"/>
              <w:spacing w:after="0" w:line="142" w:lineRule="exact"/>
              <w:rPr>
                <w:sz w:val="20"/>
                <w:szCs w:val="20"/>
                <w:color w:val="auto"/>
              </w:rPr>
            </w:pPr>
            <w:r>
              <w:rPr>
                <w:rFonts w:ascii="Arial" w:cs="Arial" w:eastAsia="Arial" w:hAnsi="Arial"/>
                <w:sz w:val="14"/>
                <w:szCs w:val="14"/>
                <w:b w:val="1"/>
                <w:bCs w:val="1"/>
                <w:color w:val="auto"/>
              </w:rPr>
              <w:t>Dividend Per Share</w:t>
            </w:r>
          </w:p>
        </w:tc>
        <w:tc>
          <w:tcPr>
            <w:tcW w:w="26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Month Declared:</w:t>
            </w:r>
          </w:p>
        </w:tc>
        <w:tc>
          <w:tcPr>
            <w:tcW w:w="3080" w:type="dxa"/>
            <w:vAlign w:val="bottom"/>
            <w:tcBorders>
              <w:bottom w:val="single" w:sz="8" w:color="auto"/>
            </w:tcBorders>
            <w:gridSpan w:val="2"/>
          </w:tcPr>
          <w:p>
            <w:pPr>
              <w:ind w:left="1800"/>
              <w:spacing w:after="0" w:line="142" w:lineRule="exact"/>
              <w:rPr>
                <w:sz w:val="20"/>
                <w:szCs w:val="20"/>
                <w:color w:val="auto"/>
              </w:rPr>
            </w:pPr>
            <w:r>
              <w:rPr>
                <w:rFonts w:ascii="Arial" w:cs="Arial" w:eastAsia="Arial" w:hAnsi="Arial"/>
                <w:sz w:val="14"/>
                <w:szCs w:val="14"/>
                <w:color w:val="auto"/>
              </w:rPr>
              <w:t>Dividend Per Share</w:t>
            </w:r>
          </w:p>
        </w:tc>
      </w:tr>
      <w:tr>
        <w:trPr>
          <w:trHeight w:val="177"/>
        </w:trPr>
        <w:tc>
          <w:tcPr>
            <w:tcW w:w="3680" w:type="dxa"/>
            <w:vAlign w:val="bottom"/>
            <w:gridSpan w:val="2"/>
          </w:tcPr>
          <w:p>
            <w:pPr>
              <w:spacing w:after="0" w:line="177" w:lineRule="exact"/>
              <w:rPr>
                <w:sz w:val="20"/>
                <w:szCs w:val="20"/>
                <w:color w:val="auto"/>
              </w:rPr>
            </w:pPr>
            <w:r>
              <w:rPr>
                <w:rFonts w:ascii="Arial" w:cs="Arial" w:eastAsia="Arial" w:hAnsi="Arial"/>
                <w:sz w:val="18"/>
                <w:szCs w:val="18"/>
                <w:color w:val="auto"/>
              </w:rPr>
              <w:t>February</w:t>
            </w:r>
          </w:p>
        </w:tc>
        <w:tc>
          <w:tcPr>
            <w:tcW w:w="1160" w:type="dxa"/>
            <w:vAlign w:val="bottom"/>
          </w:tcPr>
          <w:p>
            <w:pPr>
              <w:ind w:left="700"/>
              <w:spacing w:after="0" w:line="177"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177" w:lineRule="exact"/>
              <w:rPr>
                <w:sz w:val="20"/>
                <w:szCs w:val="20"/>
                <w:color w:val="auto"/>
              </w:rPr>
            </w:pPr>
            <w:r>
              <w:rPr>
                <w:rFonts w:ascii="Arial" w:cs="Arial" w:eastAsia="Arial" w:hAnsi="Arial"/>
                <w:sz w:val="18"/>
                <w:szCs w:val="18"/>
                <w:b w:val="1"/>
                <w:bCs w:val="1"/>
                <w:color w:val="auto"/>
              </w:rPr>
              <w:t>0.195</w:t>
            </w:r>
          </w:p>
        </w:tc>
        <w:tc>
          <w:tcPr>
            <w:tcW w:w="2600" w:type="dxa"/>
            <w:vAlign w:val="bottom"/>
          </w:tcPr>
          <w:p>
            <w:pPr>
              <w:ind w:left="100"/>
              <w:spacing w:after="0" w:line="177" w:lineRule="exact"/>
              <w:rPr>
                <w:sz w:val="20"/>
                <w:szCs w:val="20"/>
                <w:color w:val="auto"/>
              </w:rPr>
            </w:pPr>
            <w:r>
              <w:rPr>
                <w:rFonts w:ascii="Arial" w:cs="Arial" w:eastAsia="Arial" w:hAnsi="Arial"/>
                <w:sz w:val="18"/>
                <w:szCs w:val="18"/>
                <w:color w:val="auto"/>
              </w:rPr>
              <w:t>February</w:t>
            </w:r>
          </w:p>
        </w:tc>
        <w:tc>
          <w:tcPr>
            <w:tcW w:w="2160" w:type="dxa"/>
            <w:vAlign w:val="bottom"/>
          </w:tcPr>
          <w:p>
            <w:pPr>
              <w:ind w:left="1800"/>
              <w:spacing w:after="0" w:line="177"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177" w:lineRule="exact"/>
              <w:rPr>
                <w:sz w:val="20"/>
                <w:szCs w:val="20"/>
                <w:color w:val="auto"/>
              </w:rPr>
            </w:pPr>
            <w:r>
              <w:rPr>
                <w:rFonts w:ascii="Arial" w:cs="Arial" w:eastAsia="Arial" w:hAnsi="Arial"/>
                <w:sz w:val="18"/>
                <w:szCs w:val="18"/>
                <w:color w:val="auto"/>
              </w:rPr>
              <w:t>0.1625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May</w:t>
            </w:r>
          </w:p>
        </w:tc>
        <w:tc>
          <w:tcPr>
            <w:tcW w:w="11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0.195</w:t>
            </w: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May</w:t>
            </w:r>
          </w:p>
        </w:tc>
        <w:tc>
          <w:tcPr>
            <w:tcW w:w="216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0.1625</w:t>
            </w: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July</w:t>
            </w:r>
          </w:p>
        </w:tc>
        <w:tc>
          <w:tcPr>
            <w:tcW w:w="1160" w:type="dxa"/>
            <w:vAlign w:val="bottom"/>
          </w:tcPr>
          <w:p>
            <w:pPr>
              <w:ind w:left="70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0.195</w:t>
            </w:r>
          </w:p>
        </w:tc>
        <w:tc>
          <w:tcPr>
            <w:tcW w:w="2600" w:type="dxa"/>
            <w:vAlign w:val="bottom"/>
          </w:tcPr>
          <w:p>
            <w:pPr>
              <w:ind w:left="100"/>
              <w:spacing w:after="0" w:line="202" w:lineRule="exact"/>
              <w:rPr>
                <w:sz w:val="20"/>
                <w:szCs w:val="20"/>
                <w:color w:val="auto"/>
              </w:rPr>
            </w:pPr>
            <w:r>
              <w:rPr>
                <w:rFonts w:ascii="Arial" w:cs="Arial" w:eastAsia="Arial" w:hAnsi="Arial"/>
                <w:sz w:val="18"/>
                <w:szCs w:val="18"/>
                <w:color w:val="auto"/>
              </w:rPr>
              <w:t>July</w:t>
            </w:r>
          </w:p>
        </w:tc>
        <w:tc>
          <w:tcPr>
            <w:tcW w:w="2160" w:type="dxa"/>
            <w:vAlign w:val="bottom"/>
          </w:tcPr>
          <w:p>
            <w:pPr>
              <w:ind w:left="18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0.1625</w:t>
            </w:r>
          </w:p>
        </w:tc>
      </w:tr>
      <w:tr>
        <w:trPr>
          <w:trHeight w:val="221"/>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October (paid in January 2014)</w:t>
            </w: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0.195</w:t>
            </w: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October (paid in January 2013)</w:t>
            </w:r>
          </w:p>
        </w:tc>
        <w:tc>
          <w:tcPr>
            <w:tcW w:w="21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0.1625</w:t>
            </w:r>
          </w:p>
        </w:tc>
      </w:tr>
      <w:tr>
        <w:trPr>
          <w:trHeight w:val="196"/>
        </w:trPr>
        <w:tc>
          <w:tcPr>
            <w:tcW w:w="36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0C6DFF"/>
            </w:tcBorders>
          </w:tcPr>
          <w:p>
            <w:pPr>
              <w:ind w:left="70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0.78</w:t>
            </w:r>
          </w:p>
        </w:tc>
        <w:tc>
          <w:tcPr>
            <w:tcW w:w="26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0C6DFF"/>
            </w:tcBorders>
          </w:tcPr>
          <w:p>
            <w:pPr>
              <w:ind w:left="180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color w:val="auto"/>
              </w:rPr>
              <w:t>0.65</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to continue to pay quarterly dividends, although each dividend is subject to approval by our Board of Directors. In January 2014, our Board of Directors approved a 15% increase in our dividend to $0.90 per share on an annualized basis and approved our first quarter dividend of $0.225 per share to be paid in April 2014.</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Holders of Class A common stock in the aggregate hold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 of the voting power of our common stock. The number of votes that each share of Class A common stock has at any given time depends on the number of shares of Class A common stock and Class B common stock then outstanding. Holders of shares of Class A Special common stock cannot vote in the election of directors or otherwise, except where class voting is required by law. In that case, shares of Class A Special common stock have the same number of votes per share as shares of Class A common stock. The Class B common stock has a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nondilutable voting interest, and each share of Class B common stock has 15 votes per share.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Record holders as of December 31, 2013, are presented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7240" w:type="dxa"/>
            <w:vAlign w:val="bottom"/>
          </w:tcPr>
          <w:p>
            <w:pPr>
              <w:jc w:val="right"/>
              <w:ind w:right="42"/>
              <w:spacing w:after="0"/>
              <w:rPr>
                <w:sz w:val="20"/>
                <w:szCs w:val="20"/>
                <w:color w:val="auto"/>
              </w:rPr>
            </w:pPr>
            <w:r>
              <w:rPr>
                <w:rFonts w:ascii="Arial" w:cs="Arial" w:eastAsia="Arial" w:hAnsi="Arial"/>
                <w:sz w:val="14"/>
                <w:szCs w:val="14"/>
                <w:color w:val="auto"/>
              </w:rPr>
              <w:t>Record</w:t>
            </w:r>
          </w:p>
        </w:tc>
      </w:tr>
      <w:tr>
        <w:trPr>
          <w:trHeight w:val="149"/>
        </w:trPr>
        <w:tc>
          <w:tcPr>
            <w:tcW w:w="41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Stock Class</w:t>
            </w:r>
          </w:p>
        </w:tc>
        <w:tc>
          <w:tcPr>
            <w:tcW w:w="7240" w:type="dxa"/>
            <w:vAlign w:val="bottom"/>
            <w:tcBorders>
              <w:bottom w:val="single" w:sz="8" w:color="auto"/>
            </w:tcBorders>
          </w:tcPr>
          <w:p>
            <w:pPr>
              <w:jc w:val="right"/>
              <w:ind w:right="42"/>
              <w:spacing w:after="0" w:line="149" w:lineRule="exact"/>
              <w:rPr>
                <w:sz w:val="20"/>
                <w:szCs w:val="20"/>
                <w:color w:val="auto"/>
              </w:rPr>
            </w:pPr>
            <w:r>
              <w:rPr>
                <w:rFonts w:ascii="Arial" w:cs="Arial" w:eastAsia="Arial" w:hAnsi="Arial"/>
                <w:sz w:val="14"/>
                <w:szCs w:val="14"/>
                <w:color w:val="auto"/>
              </w:rPr>
              <w:t>Holders</w:t>
            </w:r>
          </w:p>
        </w:tc>
      </w:tr>
      <w:tr>
        <w:trPr>
          <w:trHeight w:val="199"/>
        </w:trPr>
        <w:tc>
          <w:tcPr>
            <w:tcW w:w="4180" w:type="dxa"/>
            <w:vAlign w:val="bottom"/>
          </w:tcPr>
          <w:p>
            <w:pPr>
              <w:spacing w:after="0" w:line="200" w:lineRule="exact"/>
              <w:rPr>
                <w:sz w:val="20"/>
                <w:szCs w:val="20"/>
                <w:color w:val="auto"/>
              </w:rPr>
            </w:pPr>
            <w:r>
              <w:rPr>
                <w:rFonts w:ascii="Arial" w:cs="Arial" w:eastAsia="Arial" w:hAnsi="Arial"/>
                <w:sz w:val="18"/>
                <w:szCs w:val="18"/>
                <w:color w:val="auto"/>
              </w:rPr>
              <w:t>Class A Common Stock</w:t>
            </w:r>
          </w:p>
        </w:tc>
        <w:tc>
          <w:tcPr>
            <w:tcW w:w="7240" w:type="dxa"/>
            <w:vAlign w:val="bottom"/>
          </w:tcPr>
          <w:p>
            <w:pPr>
              <w:jc w:val="right"/>
              <w:ind w:right="42"/>
              <w:spacing w:after="0" w:line="200" w:lineRule="exact"/>
              <w:rPr>
                <w:sz w:val="20"/>
                <w:szCs w:val="20"/>
                <w:color w:val="auto"/>
              </w:rPr>
            </w:pPr>
            <w:r>
              <w:rPr>
                <w:rFonts w:ascii="Arial" w:cs="Arial" w:eastAsia="Arial" w:hAnsi="Arial"/>
                <w:sz w:val="18"/>
                <w:szCs w:val="18"/>
                <w:color w:val="auto"/>
              </w:rPr>
              <w:t>539,922</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Class A Special Common Stock</w:t>
            </w:r>
          </w:p>
        </w:tc>
        <w:tc>
          <w:tcPr>
            <w:tcW w:w="7240" w:type="dxa"/>
            <w:vAlign w:val="bottom"/>
          </w:tcPr>
          <w:p>
            <w:pPr>
              <w:jc w:val="right"/>
              <w:ind w:right="42"/>
              <w:spacing w:after="0" w:line="202" w:lineRule="exact"/>
              <w:rPr>
                <w:sz w:val="20"/>
                <w:szCs w:val="20"/>
                <w:color w:val="auto"/>
              </w:rPr>
            </w:pPr>
            <w:r>
              <w:rPr>
                <w:rFonts w:ascii="Arial" w:cs="Arial" w:eastAsia="Arial" w:hAnsi="Arial"/>
                <w:sz w:val="18"/>
                <w:szCs w:val="18"/>
                <w:color w:val="auto"/>
              </w:rPr>
              <w:t>1,584</w:t>
            </w:r>
          </w:p>
        </w:tc>
      </w:tr>
      <w:tr>
        <w:trPr>
          <w:trHeight w:val="199"/>
        </w:trPr>
        <w:tc>
          <w:tcPr>
            <w:tcW w:w="4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Class B Common Stock</w:t>
            </w:r>
          </w:p>
        </w:tc>
        <w:tc>
          <w:tcPr>
            <w:tcW w:w="7240" w:type="dxa"/>
            <w:vAlign w:val="bottom"/>
            <w:tcBorders>
              <w:bottom w:val="single" w:sz="8" w:color="auto"/>
            </w:tcBorders>
          </w:tcPr>
          <w:p>
            <w:pPr>
              <w:jc w:val="right"/>
              <w:ind w:right="42"/>
              <w:spacing w:after="0" w:line="200" w:lineRule="exact"/>
              <w:rPr>
                <w:sz w:val="20"/>
                <w:szCs w:val="20"/>
                <w:color w:val="auto"/>
              </w:rPr>
            </w:pPr>
            <w:r>
              <w:rPr>
                <w:rFonts w:ascii="Arial" w:cs="Arial" w:eastAsia="Arial" w:hAnsi="Arial"/>
                <w:sz w:val="18"/>
                <w:szCs w:val="18"/>
                <w:color w:val="auto"/>
              </w:rPr>
              <w:t>3</w:t>
            </w:r>
          </w:p>
        </w:tc>
      </w:tr>
      <w:tr>
        <w:trPr>
          <w:trHeight w:val="506"/>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7240" w:type="dxa"/>
            <w:vAlign w:val="bottom"/>
          </w:tcPr>
          <w:p>
            <w:pPr>
              <w:jc w:val="right"/>
              <w:ind w:right="5502"/>
              <w:spacing w:after="0"/>
              <w:rPr>
                <w:sz w:val="20"/>
                <w:szCs w:val="20"/>
                <w:color w:val="auto"/>
              </w:rPr>
            </w:pPr>
            <w:r>
              <w:rPr>
                <w:rFonts w:ascii="Arial" w:cs="Arial" w:eastAsia="Arial" w:hAnsi="Arial"/>
                <w:sz w:val="14"/>
                <w:szCs w:val="14"/>
                <w:b w:val="1"/>
                <w:bCs w:val="1"/>
                <w:color w:val="auto"/>
              </w:rPr>
              <w:t>42</w:t>
            </w: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table below summarizes our repurchases under our Board-authorized share repurchase program during 2013. Under our share repurchase program, our Board gives management discretion to purchase either Class A or Class A Special common stock. During 2013, the Class A Special common stock traded at a discount to the Class A common stock and all of the shares repurchased were of Class A Special common stock. Subject to market conditions, including the amount of any price differential between the two classes of common stock, we currently expect to continue to repurchase primarily Class A Special common stock under our share repurchase program.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color w:val="auto"/>
                <w:w w:val="99"/>
              </w:rPr>
              <w:t>Total Number of</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49"/>
        </w:trPr>
        <w:tc>
          <w:tcPr>
            <w:tcW w:w="3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jc w:val="right"/>
              <w:ind w:right="2"/>
              <w:spacing w:after="0" w:line="149" w:lineRule="exact"/>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Maximum Dollar</w:t>
            </w:r>
          </w:p>
        </w:tc>
      </w:tr>
      <w:tr>
        <w:trPr>
          <w:trHeight w:val="149"/>
        </w:trPr>
        <w:tc>
          <w:tcPr>
            <w:tcW w:w="36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jc w:val="right"/>
              <w:ind w:right="2"/>
              <w:spacing w:after="0" w:line="149" w:lineRule="exact"/>
              <w:rPr>
                <w:sz w:val="20"/>
                <w:szCs w:val="20"/>
                <w:color w:val="auto"/>
              </w:rPr>
            </w:pPr>
            <w:r>
              <w:rPr>
                <w:rFonts w:ascii="Arial" w:cs="Arial" w:eastAsia="Arial" w:hAnsi="Arial"/>
                <w:sz w:val="14"/>
                <w:szCs w:val="14"/>
                <w:color w:val="auto"/>
              </w:rPr>
              <w:t>Purchased as</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Total Dollar</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w w:val="94"/>
              </w:rPr>
              <w:t>Value of Shares That</w:t>
            </w:r>
          </w:p>
        </w:tc>
      </w:tr>
      <w:tr>
        <w:trPr>
          <w:trHeight w:val="149"/>
        </w:trPr>
        <w:tc>
          <w:tcPr>
            <w:tcW w:w="3640" w:type="dxa"/>
            <w:vAlign w:val="bottom"/>
          </w:tcPr>
          <w:p>
            <w:pPr>
              <w:spacing w:after="0"/>
              <w:rPr>
                <w:sz w:val="12"/>
                <w:szCs w:val="12"/>
                <w:color w:val="auto"/>
              </w:rPr>
            </w:pPr>
          </w:p>
        </w:tc>
        <w:tc>
          <w:tcPr>
            <w:tcW w:w="2980" w:type="dxa"/>
            <w:vAlign w:val="bottom"/>
          </w:tcPr>
          <w:p>
            <w:pPr>
              <w:jc w:val="right"/>
              <w:spacing w:after="0" w:line="149" w:lineRule="exact"/>
              <w:rPr>
                <w:sz w:val="20"/>
                <w:szCs w:val="20"/>
                <w:color w:val="auto"/>
              </w:rPr>
            </w:pPr>
            <w:r>
              <w:rPr>
                <w:rFonts w:ascii="Arial" w:cs="Arial" w:eastAsia="Arial" w:hAnsi="Arial"/>
                <w:sz w:val="14"/>
                <w:szCs w:val="14"/>
                <w:color w:val="auto"/>
              </w:rPr>
              <w:t>Total Number of</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1"/>
              </w:rPr>
              <w:t>Average</w:t>
            </w:r>
          </w:p>
        </w:tc>
        <w:tc>
          <w:tcPr>
            <w:tcW w:w="1100" w:type="dxa"/>
            <w:vAlign w:val="bottom"/>
          </w:tcPr>
          <w:p>
            <w:pPr>
              <w:jc w:val="right"/>
              <w:ind w:right="2"/>
              <w:spacing w:after="0" w:line="149" w:lineRule="exact"/>
              <w:rPr>
                <w:sz w:val="20"/>
                <w:szCs w:val="20"/>
                <w:color w:val="auto"/>
              </w:rPr>
            </w:pPr>
            <w:r>
              <w:rPr>
                <w:rFonts w:ascii="Arial" w:cs="Arial" w:eastAsia="Arial" w:hAnsi="Arial"/>
                <w:sz w:val="14"/>
                <w:szCs w:val="14"/>
                <w:color w:val="auto"/>
              </w:rPr>
              <w:t>Part of Publicly</w:t>
            </w:r>
          </w:p>
        </w:tc>
        <w:tc>
          <w:tcPr>
            <w:tcW w:w="2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Amount</w:t>
            </w:r>
          </w:p>
        </w:tc>
        <w:tc>
          <w:tcPr>
            <w:tcW w:w="15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May Yet Be Purchased</w:t>
            </w:r>
          </w:p>
        </w:tc>
      </w:tr>
      <w:tr>
        <w:trPr>
          <w:trHeight w:val="128"/>
        </w:trPr>
        <w:tc>
          <w:tcPr>
            <w:tcW w:w="3640" w:type="dxa"/>
            <w:vAlign w:val="bottom"/>
          </w:tcPr>
          <w:p>
            <w:pPr>
              <w:spacing w:after="0"/>
              <w:rPr>
                <w:sz w:val="11"/>
                <w:szCs w:val="11"/>
                <w:color w:val="auto"/>
              </w:rPr>
            </w:pPr>
          </w:p>
        </w:tc>
        <w:tc>
          <w:tcPr>
            <w:tcW w:w="2980" w:type="dxa"/>
            <w:vAlign w:val="bottom"/>
          </w:tcPr>
          <w:p>
            <w:pPr>
              <w:jc w:val="right"/>
              <w:spacing w:after="0" w:line="129" w:lineRule="exact"/>
              <w:rPr>
                <w:sz w:val="20"/>
                <w:szCs w:val="20"/>
                <w:color w:val="auto"/>
              </w:rPr>
            </w:pPr>
            <w:r>
              <w:rPr>
                <w:rFonts w:ascii="Arial" w:cs="Arial" w:eastAsia="Arial" w:hAnsi="Arial"/>
                <w:sz w:val="14"/>
                <w:szCs w:val="14"/>
                <w:color w:val="auto"/>
              </w:rPr>
              <w:t>Shares</w:t>
            </w: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Price Per</w:t>
            </w:r>
          </w:p>
        </w:tc>
        <w:tc>
          <w:tcPr>
            <w:tcW w:w="1100" w:type="dxa"/>
            <w:vAlign w:val="bottom"/>
          </w:tcPr>
          <w:p>
            <w:pPr>
              <w:jc w:val="right"/>
              <w:ind w:right="2"/>
              <w:spacing w:after="0" w:line="129" w:lineRule="exact"/>
              <w:rPr>
                <w:sz w:val="20"/>
                <w:szCs w:val="20"/>
                <w:color w:val="auto"/>
              </w:rPr>
            </w:pPr>
            <w:r>
              <w:rPr>
                <w:rFonts w:ascii="Arial" w:cs="Arial" w:eastAsia="Arial" w:hAnsi="Arial"/>
                <w:sz w:val="14"/>
                <w:szCs w:val="14"/>
                <w:color w:val="auto"/>
              </w:rPr>
              <w:t>Announced</w:t>
            </w:r>
          </w:p>
        </w:tc>
        <w:tc>
          <w:tcPr>
            <w:tcW w:w="20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4"/>
                <w:szCs w:val="14"/>
                <w:color w:val="auto"/>
              </w:rPr>
              <w:t>Purchased Under</w:t>
            </w:r>
          </w:p>
        </w:tc>
        <w:tc>
          <w:tcPr>
            <w:tcW w:w="18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Arial" w:cs="Arial" w:eastAsia="Arial" w:hAnsi="Arial"/>
                <w:sz w:val="14"/>
                <w:szCs w:val="14"/>
                <w:color w:val="auto"/>
              </w:rPr>
              <w:t>Under the</w:t>
            </w:r>
          </w:p>
        </w:tc>
      </w:tr>
      <w:tr>
        <w:trPr>
          <w:trHeight w:val="183"/>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Purchased</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Authorization</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the Authorization</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3"/>
                <w:szCs w:val="13"/>
                <w:color w:val="auto"/>
              </w:rPr>
              <w:t>Authorization</w:t>
            </w:r>
            <w:r>
              <w:rPr>
                <w:rFonts w:ascii="Arial" w:cs="Arial" w:eastAsia="Arial" w:hAnsi="Arial"/>
                <w:sz w:val="21"/>
                <w:szCs w:val="21"/>
                <w:color w:val="auto"/>
                <w:vertAlign w:val="superscript"/>
              </w:rPr>
              <w:t>(a)</w:t>
            </w:r>
          </w:p>
        </w:tc>
      </w:tr>
      <w:tr>
        <w:trPr>
          <w:trHeight w:val="199"/>
        </w:trPr>
        <w:tc>
          <w:tcPr>
            <w:tcW w:w="3640" w:type="dxa"/>
            <w:vAlign w:val="bottom"/>
          </w:tcPr>
          <w:p>
            <w:pPr>
              <w:spacing w:after="0" w:line="200" w:lineRule="exact"/>
              <w:rPr>
                <w:sz w:val="20"/>
                <w:szCs w:val="20"/>
                <w:color w:val="auto"/>
              </w:rPr>
            </w:pPr>
            <w:r>
              <w:rPr>
                <w:rFonts w:ascii="Arial" w:cs="Arial" w:eastAsia="Arial" w:hAnsi="Arial"/>
                <w:sz w:val="18"/>
                <w:szCs w:val="18"/>
                <w:color w:val="auto"/>
              </w:rPr>
              <w:t>First Quarter 2013</w:t>
            </w:r>
          </w:p>
        </w:tc>
        <w:tc>
          <w:tcPr>
            <w:tcW w:w="2980" w:type="dxa"/>
            <w:vAlign w:val="bottom"/>
          </w:tcPr>
          <w:p>
            <w:pPr>
              <w:jc w:val="right"/>
              <w:spacing w:after="0" w:line="200" w:lineRule="exact"/>
              <w:rPr>
                <w:sz w:val="20"/>
                <w:szCs w:val="20"/>
                <w:color w:val="auto"/>
              </w:rPr>
            </w:pPr>
            <w:r>
              <w:rPr>
                <w:rFonts w:ascii="Arial" w:cs="Arial" w:eastAsia="Arial" w:hAnsi="Arial"/>
                <w:sz w:val="18"/>
                <w:szCs w:val="18"/>
                <w:color w:val="auto"/>
              </w:rPr>
              <w:t>13,285,909</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37.63</w:t>
            </w:r>
          </w:p>
        </w:tc>
        <w:tc>
          <w:tcPr>
            <w:tcW w:w="1100" w:type="dxa"/>
            <w:vAlign w:val="bottom"/>
          </w:tcPr>
          <w:p>
            <w:pPr>
              <w:jc w:val="right"/>
              <w:ind w:right="2"/>
              <w:spacing w:after="0" w:line="200" w:lineRule="exact"/>
              <w:rPr>
                <w:sz w:val="20"/>
                <w:szCs w:val="20"/>
                <w:color w:val="auto"/>
              </w:rPr>
            </w:pPr>
            <w:r>
              <w:rPr>
                <w:rFonts w:ascii="Arial" w:cs="Arial" w:eastAsia="Arial" w:hAnsi="Arial"/>
                <w:sz w:val="18"/>
                <w:szCs w:val="18"/>
                <w:color w:val="auto"/>
              </w:rPr>
              <w:t>13,285,909</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500,000,000</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0" w:lineRule="exact"/>
              <w:rPr>
                <w:sz w:val="20"/>
                <w:szCs w:val="20"/>
                <w:color w:val="auto"/>
              </w:rPr>
            </w:pPr>
            <w:r>
              <w:rPr>
                <w:rFonts w:ascii="Arial" w:cs="Arial" w:eastAsia="Arial" w:hAnsi="Arial"/>
                <w:sz w:val="18"/>
                <w:szCs w:val="18"/>
                <w:color w:val="auto"/>
              </w:rPr>
              <w:t>3,000,000,000</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Second Quarter 2013</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12,622,459</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39.61</w:t>
            </w:r>
          </w:p>
        </w:tc>
        <w:tc>
          <w:tcPr>
            <w:tcW w:w="1100" w:type="dxa"/>
            <w:vAlign w:val="bottom"/>
          </w:tcPr>
          <w:p>
            <w:pPr>
              <w:jc w:val="right"/>
              <w:ind w:right="2"/>
              <w:spacing w:after="0" w:line="202" w:lineRule="exact"/>
              <w:rPr>
                <w:sz w:val="20"/>
                <w:szCs w:val="20"/>
                <w:color w:val="auto"/>
              </w:rPr>
            </w:pPr>
            <w:r>
              <w:rPr>
                <w:rFonts w:ascii="Arial" w:cs="Arial" w:eastAsia="Arial" w:hAnsi="Arial"/>
                <w:sz w:val="18"/>
                <w:szCs w:val="18"/>
                <w:color w:val="auto"/>
              </w:rPr>
              <w:t>12,622,459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500,000,000</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2,500,000,000</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Third Quarter 2013</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12,003,261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41.66</w:t>
            </w:r>
          </w:p>
        </w:tc>
        <w:tc>
          <w:tcPr>
            <w:tcW w:w="1100" w:type="dxa"/>
            <w:vAlign w:val="bottom"/>
          </w:tcPr>
          <w:p>
            <w:pPr>
              <w:jc w:val="right"/>
              <w:ind w:right="2"/>
              <w:spacing w:after="0" w:line="202" w:lineRule="exact"/>
              <w:rPr>
                <w:sz w:val="20"/>
                <w:szCs w:val="20"/>
                <w:color w:val="auto"/>
              </w:rPr>
            </w:pPr>
            <w:r>
              <w:rPr>
                <w:rFonts w:ascii="Arial" w:cs="Arial" w:eastAsia="Arial" w:hAnsi="Arial"/>
                <w:sz w:val="18"/>
                <w:szCs w:val="18"/>
                <w:color w:val="auto"/>
              </w:rPr>
              <w:t>12,003,261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500,000,000</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2,000,000,000</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October 1-31, 2013</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2,000,000,000</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November 1-30, 2013</w:t>
            </w:r>
          </w:p>
        </w:tc>
        <w:tc>
          <w:tcPr>
            <w:tcW w:w="2980" w:type="dxa"/>
            <w:vAlign w:val="bottom"/>
          </w:tcPr>
          <w:p>
            <w:pPr>
              <w:jc w:val="right"/>
              <w:spacing w:after="0" w:line="202" w:lineRule="exact"/>
              <w:rPr>
                <w:sz w:val="20"/>
                <w:szCs w:val="20"/>
                <w:color w:val="auto"/>
              </w:rPr>
            </w:pPr>
            <w:r>
              <w:rPr>
                <w:rFonts w:ascii="Arial" w:cs="Arial" w:eastAsia="Arial" w:hAnsi="Arial"/>
                <w:sz w:val="18"/>
                <w:szCs w:val="18"/>
                <w:color w:val="auto"/>
              </w:rPr>
              <w:t>5,536,264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45.16</w:t>
            </w:r>
          </w:p>
        </w:tc>
        <w:tc>
          <w:tcPr>
            <w:tcW w:w="1100" w:type="dxa"/>
            <w:vAlign w:val="bottom"/>
          </w:tcPr>
          <w:p>
            <w:pPr>
              <w:jc w:val="right"/>
              <w:ind w:right="2"/>
              <w:spacing w:after="0" w:line="202" w:lineRule="exact"/>
              <w:rPr>
                <w:sz w:val="20"/>
                <w:szCs w:val="20"/>
                <w:color w:val="auto"/>
              </w:rPr>
            </w:pPr>
            <w:r>
              <w:rPr>
                <w:rFonts w:ascii="Arial" w:cs="Arial" w:eastAsia="Arial" w:hAnsi="Arial"/>
                <w:sz w:val="18"/>
                <w:szCs w:val="18"/>
                <w:color w:val="auto"/>
              </w:rPr>
              <w:t>5,536,264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250,000,000</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1,750,000,000</w:t>
            </w:r>
          </w:p>
        </w:tc>
      </w:tr>
      <w:tr>
        <w:trPr>
          <w:trHeight w:val="199"/>
        </w:trPr>
        <w:tc>
          <w:tcPr>
            <w:tcW w:w="36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December 1-31, 2013</w:t>
            </w:r>
          </w:p>
        </w:tc>
        <w:tc>
          <w:tcPr>
            <w:tcW w:w="2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5,292,452</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47.24</w:t>
            </w:r>
          </w:p>
        </w:tc>
        <w:tc>
          <w:tcPr>
            <w:tcW w:w="1100" w:type="dxa"/>
            <w:vAlign w:val="bottom"/>
            <w:tcBorders>
              <w:bottom w:val="single" w:sz="8" w:color="auto"/>
            </w:tcBorders>
          </w:tcPr>
          <w:p>
            <w:pPr>
              <w:jc w:val="right"/>
              <w:ind w:right="2"/>
              <w:spacing w:after="0" w:line="200" w:lineRule="exact"/>
              <w:rPr>
                <w:sz w:val="20"/>
                <w:szCs w:val="20"/>
                <w:color w:val="auto"/>
              </w:rPr>
            </w:pPr>
            <w:r>
              <w:rPr>
                <w:rFonts w:ascii="Arial" w:cs="Arial" w:eastAsia="Arial" w:hAnsi="Arial"/>
                <w:sz w:val="18"/>
                <w:szCs w:val="18"/>
                <w:color w:val="auto"/>
              </w:rPr>
              <w:t>5,292,452</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250,000,000</w:t>
            </w:r>
          </w:p>
        </w:tc>
        <w:tc>
          <w:tcPr>
            <w:tcW w:w="18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1,500,000,000</w:t>
            </w:r>
          </w:p>
        </w:tc>
      </w:tr>
      <w:tr>
        <w:trPr>
          <w:trHeight w:val="196"/>
        </w:trPr>
        <w:tc>
          <w:tcPr>
            <w:tcW w:w="36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29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48,740,345</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41.03</w:t>
            </w:r>
          </w:p>
        </w:tc>
        <w:tc>
          <w:tcPr>
            <w:tcW w:w="1100" w:type="dxa"/>
            <w:vAlign w:val="bottom"/>
            <w:tcBorders>
              <w:bottom w:val="single" w:sz="8" w:color="0C6DFF"/>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48,740,345</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9"/>
              </w:rPr>
              <w:t>2,000,000,000</w:t>
            </w:r>
          </w:p>
        </w:tc>
        <w:tc>
          <w:tcPr>
            <w:tcW w:w="1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1,500,000,000</w:t>
            </w:r>
          </w:p>
        </w:tc>
      </w:tr>
    </w:tbl>
    <w:p>
      <w:pPr>
        <w:spacing w:after="0" w:line="67" w:lineRule="exact"/>
        <w:rPr>
          <w:sz w:val="20"/>
          <w:szCs w:val="20"/>
          <w:color w:val="auto"/>
        </w:rPr>
      </w:pPr>
    </w:p>
    <w:p>
      <w:pPr>
        <w:ind w:left="300" w:hanging="292"/>
        <w:spacing w:after="0" w:line="231" w:lineRule="auto"/>
        <w:tabs>
          <w:tab w:leader="none" w:pos="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which does not have an expiration date. Under this authorization, we may repurchase shares in the open market or in private transactions.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total number of shares purchased during 2013 does not include any shares received in the administration of employee share-based compensation plans.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2014, our Board of Directors increased our share repurchase program authorization to $7.5 billion, which does not have an expiration date. Under this authorization, we may repurchase shares in the open market or in private transactions. We expect to repurchase $3 billion of shares during 2014, subject to market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Common Stock Sales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sales prices of Comcast’s Class A and Class A Special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56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4"/>
                <w:szCs w:val="14"/>
                <w:color w:val="auto"/>
              </w:rPr>
              <w:t>Class A</w:t>
            </w:r>
          </w:p>
        </w:tc>
        <w:tc>
          <w:tcPr>
            <w:tcW w:w="152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Class A Special</w:t>
            </w:r>
          </w:p>
        </w:tc>
      </w:tr>
      <w:tr>
        <w:trPr>
          <w:trHeight w:val="223"/>
        </w:trPr>
        <w:tc>
          <w:tcPr>
            <w:tcW w:w="20" w:type="dxa"/>
            <w:vAlign w:val="bottom"/>
          </w:tcPr>
          <w:p>
            <w:pPr>
              <w:spacing w:after="0"/>
              <w:rPr>
                <w:sz w:val="19"/>
                <w:szCs w:val="19"/>
                <w:color w:val="auto"/>
              </w:rPr>
            </w:pPr>
          </w:p>
        </w:tc>
        <w:tc>
          <w:tcPr>
            <w:tcW w:w="8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r>
      <w:tr>
        <w:trPr>
          <w:trHeight w:val="177"/>
        </w:trPr>
        <w:tc>
          <w:tcPr>
            <w:tcW w:w="20" w:type="dxa"/>
            <w:vAlign w:val="bottom"/>
          </w:tcPr>
          <w:p>
            <w:pPr>
              <w:spacing w:after="0"/>
              <w:rPr>
                <w:sz w:val="15"/>
                <w:szCs w:val="15"/>
                <w:color w:val="auto"/>
              </w:rPr>
            </w:pPr>
          </w:p>
        </w:tc>
        <w:tc>
          <w:tcPr>
            <w:tcW w:w="8320" w:type="dxa"/>
            <w:vAlign w:val="bottom"/>
          </w:tcPr>
          <w:p>
            <w:pPr>
              <w:spacing w:after="0" w:line="177" w:lineRule="exact"/>
              <w:rPr>
                <w:sz w:val="20"/>
                <w:szCs w:val="20"/>
                <w:color w:val="auto"/>
              </w:rPr>
            </w:pPr>
            <w:r>
              <w:rPr>
                <w:rFonts w:ascii="Arial" w:cs="Arial" w:eastAsia="Arial" w:hAnsi="Arial"/>
                <w:sz w:val="18"/>
                <w:szCs w:val="18"/>
                <w:b w:val="1"/>
                <w:bCs w:val="1"/>
                <w:color w:val="auto"/>
              </w:rPr>
              <w:t>2013</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First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$ 42.01</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$ 37.21</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$ 40.33</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$ 35.84</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Second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$ 43.74</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$ 38.75</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$ 41.88</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$ 37.35</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Third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$ 46.33</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$ 40.26</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$ 46.00</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$ 38.55</w:t>
            </w:r>
          </w:p>
        </w:tc>
      </w:tr>
      <w:tr>
        <w:trPr>
          <w:trHeight w:val="233"/>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Fourth Quarter</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$ 52.09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$ 44.09</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$ 49.94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$ 42.62</w:t>
            </w:r>
          </w:p>
        </w:tc>
      </w:tr>
      <w:tr>
        <w:trPr>
          <w:trHeight w:val="302"/>
        </w:trPr>
        <w:tc>
          <w:tcPr>
            <w:tcW w:w="8340" w:type="dxa"/>
            <w:vAlign w:val="bottom"/>
            <w:gridSpan w:val="2"/>
          </w:tcPr>
          <w:p>
            <w:pPr>
              <w:spacing w:after="0"/>
              <w:rPr>
                <w:sz w:val="20"/>
                <w:szCs w:val="20"/>
                <w:color w:val="auto"/>
              </w:rPr>
            </w:pPr>
            <w:r>
              <w:rPr>
                <w:rFonts w:ascii="Arial" w:cs="Arial" w:eastAsia="Arial" w:hAnsi="Arial"/>
                <w:sz w:val="18"/>
                <w:szCs w:val="18"/>
                <w:color w:val="auto"/>
              </w:rPr>
              <w:t>2012</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$ 30.41</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$ 24.28</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$ 30.00</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$ 23.97</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$ 31.99</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$ 28.09</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$ 31.48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$ 27.80</w:t>
            </w:r>
          </w:p>
        </w:tc>
      </w:tr>
      <w:tr>
        <w:trPr>
          <w:trHeight w:val="203"/>
        </w:trPr>
        <w:tc>
          <w:tcPr>
            <w:tcW w:w="834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$ 36.90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$ 31.04</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$ 35.83</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$ 30.60</w:t>
            </w:r>
          </w:p>
        </w:tc>
      </w:tr>
      <w:tr>
        <w:trPr>
          <w:trHeight w:val="199"/>
        </w:trPr>
        <w:tc>
          <w:tcPr>
            <w:tcW w:w="8340" w:type="dxa"/>
            <w:vAlign w:val="bottom"/>
            <w:gridSpan w:val="2"/>
          </w:tcPr>
          <w:p>
            <w:pPr>
              <w:spacing w:after="0" w:line="200" w:lineRule="exact"/>
              <w:rPr>
                <w:sz w:val="20"/>
                <w:szCs w:val="20"/>
                <w:color w:val="auto"/>
              </w:rPr>
            </w:pPr>
            <w:r>
              <w:rPr>
                <w:rFonts w:ascii="Arial" w:cs="Arial" w:eastAsia="Arial" w:hAnsi="Arial"/>
                <w:sz w:val="18"/>
                <w:szCs w:val="18"/>
                <w:color w:val="auto"/>
              </w:rPr>
              <w:t>Fourth Quarter</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$ 38.22</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$ 34.94</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$ 36.91</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$ 34.00</w:t>
            </w:r>
          </w:p>
        </w:tc>
      </w:tr>
      <w:tr>
        <w:trPr>
          <w:trHeight w:val="506"/>
        </w:trPr>
        <w:tc>
          <w:tcPr>
            <w:tcW w:w="20" w:type="dxa"/>
            <w:vAlign w:val="bottom"/>
          </w:tcPr>
          <w:p>
            <w:pPr>
              <w:spacing w:after="0"/>
              <w:rPr>
                <w:sz w:val="24"/>
                <w:szCs w:val="24"/>
                <w:color w:val="auto"/>
              </w:rPr>
            </w:pPr>
          </w:p>
        </w:tc>
        <w:tc>
          <w:tcPr>
            <w:tcW w:w="8320" w:type="dxa"/>
            <w:vAlign w:val="bottom"/>
            <w:tcBorders>
              <w:top w:val="single" w:sz="8" w:color="auto"/>
            </w:tcBorders>
          </w:tcPr>
          <w:p>
            <w:pPr>
              <w:jc w:val="right"/>
              <w:ind w:right="2422"/>
              <w:spacing w:after="0"/>
              <w:rPr>
                <w:sz w:val="20"/>
                <w:szCs w:val="20"/>
                <w:color w:val="auto"/>
              </w:rPr>
            </w:pPr>
            <w:r>
              <w:rPr>
                <w:rFonts w:ascii="Arial" w:cs="Arial" w:eastAsia="Arial" w:hAnsi="Arial"/>
                <w:sz w:val="14"/>
                <w:szCs w:val="14"/>
                <w:b w:val="1"/>
                <w:bCs w:val="1"/>
                <w:color w:val="auto"/>
              </w:rPr>
              <w:t>43</w:t>
            </w: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graph compares the yearly percentage change in the cumulative total shareholder return on Comcast’s Class A common stock and Class A Special common stock during the five years ended December 31, 2013 with the cumulative total returns on the Standard &amp; Poor’s 500 Stock Index and with a select peer group consisting of us and other companies engaged in the cable, communications and media industries. This peer group consists of us (Class A and Class A Special common stock), as well as Cablevision Systems Corporation (Class A), DISH Network Corporation (Class A), DirecTV Inc. and Time Warner Cable Inc. (the “cable subgroup”), and Time Warner Inc., Walt Disney Company, Viacom Inc. (Class B), Twenty-First Century Fox, Inc. (formerly News Corporation) (Class A), and CBS Corporation (Class B) (the “media subgroup”). The peer group was constructed as a composite peer group in which the cable subgroup is weighted 64% and the media subgroup is weighted 36% based on the respective revenue of our Cable Communications and NBCUniversal segments. The graph assumes $100 was invested on December 31, 2008 in our Class A common stock and Class A Special common stock and in each of the following indices and assumes the reinvestment of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184150</wp:posOffset>
            </wp:positionV>
            <wp:extent cx="5093970" cy="1903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9397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2009</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2010</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2013</w:t>
            </w:r>
          </w:p>
        </w:tc>
      </w:tr>
      <w:tr>
        <w:trPr>
          <w:trHeight w:val="199"/>
        </w:trPr>
        <w:tc>
          <w:tcPr>
            <w:tcW w:w="5060" w:type="dxa"/>
            <w:vAlign w:val="bottom"/>
          </w:tcPr>
          <w:p>
            <w:pPr>
              <w:spacing w:after="0" w:line="200" w:lineRule="exact"/>
              <w:rPr>
                <w:sz w:val="20"/>
                <w:szCs w:val="20"/>
                <w:color w:val="auto"/>
              </w:rPr>
            </w:pPr>
            <w:r>
              <w:rPr>
                <w:rFonts w:ascii="Arial" w:cs="Arial" w:eastAsia="Arial" w:hAnsi="Arial"/>
                <w:sz w:val="18"/>
                <w:szCs w:val="18"/>
                <w:color w:val="auto"/>
              </w:rPr>
              <w:t>Comcast Class A</w:t>
            </w:r>
          </w:p>
        </w:tc>
        <w:tc>
          <w:tcPr>
            <w:tcW w:w="36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$ 101</w:t>
            </w:r>
          </w:p>
        </w:tc>
        <w:tc>
          <w:tcPr>
            <w:tcW w:w="68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$ 134</w:t>
            </w:r>
          </w:p>
        </w:tc>
        <w:tc>
          <w:tcPr>
            <w:tcW w:w="66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$ 148</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$ 238</w:t>
            </w:r>
          </w:p>
        </w:tc>
        <w:tc>
          <w:tcPr>
            <w:tcW w:w="680" w:type="dxa"/>
            <w:vAlign w:val="bottom"/>
          </w:tcPr>
          <w:p>
            <w:pPr>
              <w:jc w:val="right"/>
              <w:ind w:right="16"/>
              <w:spacing w:after="0" w:line="200" w:lineRule="exact"/>
              <w:rPr>
                <w:sz w:val="20"/>
                <w:szCs w:val="20"/>
                <w:color w:val="auto"/>
              </w:rPr>
            </w:pPr>
            <w:r>
              <w:rPr>
                <w:rFonts w:ascii="Arial" w:cs="Arial" w:eastAsia="Arial" w:hAnsi="Arial"/>
                <w:sz w:val="18"/>
                <w:szCs w:val="18"/>
                <w:color w:val="auto"/>
              </w:rPr>
              <w:t>$ 336</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Comcast Class A Special</w:t>
            </w:r>
          </w:p>
        </w:tc>
        <w:tc>
          <w:tcPr>
            <w:tcW w:w="3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$ 101</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$ 133</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$ 154</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$ 240</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$ 338</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S&amp;P 500 Stock Index</w:t>
            </w:r>
          </w:p>
        </w:tc>
        <w:tc>
          <w:tcPr>
            <w:tcW w:w="3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$ 126</w:t>
            </w:r>
          </w:p>
        </w:tc>
        <w:tc>
          <w:tcPr>
            <w:tcW w:w="6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$ 145</w:t>
            </w: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$ 148</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$ 171</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$ 226</w:t>
            </w:r>
          </w:p>
        </w:tc>
      </w:tr>
      <w:tr>
        <w:trPr>
          <w:trHeight w:val="199"/>
        </w:trPr>
        <w:tc>
          <w:tcPr>
            <w:tcW w:w="50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Peer Group Index</w:t>
            </w:r>
          </w:p>
        </w:tc>
        <w:tc>
          <w:tcPr>
            <w:tcW w:w="3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$ 126</w:t>
            </w:r>
          </w:p>
        </w:tc>
        <w:tc>
          <w:tcPr>
            <w:tcW w:w="680" w:type="dxa"/>
            <w:vAlign w:val="bottom"/>
            <w:tcBorders>
              <w:bottom w:val="single" w:sz="8" w:color="auto"/>
            </w:tcBorders>
          </w:tcPr>
          <w:p>
            <w:pPr>
              <w:jc w:val="right"/>
              <w:ind w:right="36"/>
              <w:spacing w:after="0" w:line="200" w:lineRule="exact"/>
              <w:rPr>
                <w:sz w:val="20"/>
                <w:szCs w:val="20"/>
                <w:color w:val="auto"/>
              </w:rPr>
            </w:pPr>
            <w:r>
              <w:rPr>
                <w:rFonts w:ascii="Arial" w:cs="Arial" w:eastAsia="Arial" w:hAnsi="Arial"/>
                <w:sz w:val="18"/>
                <w:szCs w:val="18"/>
                <w:color w:val="auto"/>
              </w:rPr>
              <w:t>$ 160</w:t>
            </w:r>
          </w:p>
        </w:tc>
        <w:tc>
          <w:tcPr>
            <w:tcW w:w="66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$ 175</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$ 252</w:t>
            </w:r>
          </w:p>
        </w:tc>
        <w:tc>
          <w:tcPr>
            <w:tcW w:w="680" w:type="dxa"/>
            <w:vAlign w:val="bottom"/>
            <w:tcBorders>
              <w:bottom w:val="single" w:sz="8" w:color="auto"/>
            </w:tcBorders>
          </w:tcPr>
          <w:p>
            <w:pPr>
              <w:jc w:val="right"/>
              <w:ind w:right="16"/>
              <w:spacing w:after="0" w:line="200" w:lineRule="exact"/>
              <w:rPr>
                <w:sz w:val="20"/>
                <w:szCs w:val="20"/>
                <w:color w:val="auto"/>
              </w:rPr>
            </w:pPr>
            <w:r>
              <w:rPr>
                <w:rFonts w:ascii="Arial" w:cs="Arial" w:eastAsia="Arial" w:hAnsi="Arial"/>
                <w:sz w:val="18"/>
                <w:szCs w:val="18"/>
                <w:color w:val="auto"/>
              </w:rPr>
              <w:t>$ 369</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NBCUniversal is a wholly owned subsidiary of NBCUniversal Holdings and there is no market for its equity securities.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6: Selected Financial Data</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2011</w:t>
            </w:r>
            <w:r>
              <w:rPr>
                <w:rFonts w:ascii="Arial" w:cs="Arial" w:eastAsia="Arial" w:hAnsi="Arial"/>
                <w:sz w:val="22"/>
                <w:szCs w:val="22"/>
                <w:color w:val="auto"/>
                <w:vertAlign w:val="superscript"/>
              </w:rPr>
              <w:t>(b)</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6060" w:type="dxa"/>
            <w:vAlign w:val="bottom"/>
          </w:tcPr>
          <w:p>
            <w:pPr>
              <w:spacing w:after="0" w:line="200" w:lineRule="exact"/>
              <w:rPr>
                <w:sz w:val="20"/>
                <w:szCs w:val="20"/>
                <w:color w:val="auto"/>
              </w:rPr>
            </w:pPr>
            <w:r>
              <w:rPr>
                <w:rFonts w:ascii="Arial" w:cs="Arial" w:eastAsia="Arial" w:hAnsi="Arial"/>
                <w:sz w:val="18"/>
                <w:szCs w:val="18"/>
                <w:b w:val="1"/>
                <w:bCs w:val="1"/>
                <w:color w:val="auto"/>
              </w:rPr>
              <w:t>Statement of Income Data</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64,657</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60" w:type="dxa"/>
            <w:vAlign w:val="bottom"/>
          </w:tcPr>
          <w:p>
            <w:pPr>
              <w:spacing w:after="0" w:line="181" w:lineRule="exact"/>
              <w:rPr>
                <w:sz w:val="20"/>
                <w:szCs w:val="20"/>
                <w:color w:val="auto"/>
              </w:rPr>
            </w:pPr>
            <w:r>
              <w:rPr>
                <w:rFonts w:ascii="Arial" w:cs="Arial" w:eastAsia="Arial" w:hAnsi="Arial"/>
                <w:sz w:val="18"/>
                <w:szCs w:val="18"/>
                <w:color w:val="auto"/>
              </w:rPr>
              <w:t>Revenue</w:t>
            </w: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62,570</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55,842</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37,937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35,756</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13,563</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12,179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10,721</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7,980</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25"/>
        </w:trPr>
        <w:tc>
          <w:tcPr>
            <w:tcW w:w="6060" w:type="dxa"/>
            <w:vAlign w:val="bottom"/>
          </w:tcPr>
          <w:p>
            <w:pPr>
              <w:spacing w:after="0" w:line="225" w:lineRule="exact"/>
              <w:rPr>
                <w:sz w:val="20"/>
                <w:szCs w:val="20"/>
                <w:color w:val="auto"/>
              </w:rPr>
            </w:pPr>
            <w:r>
              <w:rPr>
                <w:rFonts w:ascii="Arial" w:cs="Arial" w:eastAsia="Arial" w:hAnsi="Arial"/>
                <w:sz w:val="18"/>
                <w:szCs w:val="18"/>
                <w:color w:val="auto"/>
              </w:rPr>
              <w:t>Net income attributable to Comcast Corporation</w:t>
            </w:r>
            <w:r>
              <w:rPr>
                <w:rFonts w:ascii="Arial" w:cs="Arial" w:eastAsia="Arial" w:hAnsi="Arial"/>
                <w:sz w:val="22"/>
                <w:szCs w:val="22"/>
                <w:color w:val="auto"/>
                <w:vertAlign w:val="superscript"/>
              </w:rPr>
              <w:t>(a)</w:t>
            </w:r>
          </w:p>
        </w:tc>
        <w:tc>
          <w:tcPr>
            <w:tcW w:w="58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6,816</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6,203</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4,160</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2.60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60" w:type="dxa"/>
            <w:vAlign w:val="bottom"/>
          </w:tcPr>
          <w:p>
            <w:pPr>
              <w:ind w:left="220"/>
              <w:spacing w:after="0"/>
              <w:rPr>
                <w:sz w:val="20"/>
                <w:szCs w:val="20"/>
                <w:color w:val="auto"/>
              </w:rPr>
            </w:pPr>
            <w:r>
              <w:rPr>
                <w:rFonts w:ascii="Arial" w:cs="Arial" w:eastAsia="Arial" w:hAnsi="Arial"/>
                <w:sz w:val="18"/>
                <w:szCs w:val="18"/>
                <w:color w:val="auto"/>
              </w:rPr>
              <w:t>shareholders</w:t>
            </w:r>
          </w:p>
        </w:tc>
        <w:tc>
          <w:tcPr>
            <w:tcW w:w="5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02"/>
        </w:trPr>
        <w:tc>
          <w:tcPr>
            <w:tcW w:w="6060" w:type="dxa"/>
            <w:vAlign w:val="bottom"/>
          </w:tcPr>
          <w:p>
            <w:pPr>
              <w:spacing w:after="0"/>
              <w:rPr>
                <w:sz w:val="20"/>
                <w:szCs w:val="20"/>
                <w:color w:val="auto"/>
              </w:rPr>
            </w:pPr>
            <w:r>
              <w:rPr>
                <w:rFonts w:ascii="Arial" w:cs="Arial" w:eastAsia="Arial" w:hAnsi="Arial"/>
                <w:sz w:val="18"/>
                <w:szCs w:val="18"/>
                <w:color w:val="auto"/>
              </w:rPr>
              <w:t>Diluted earnings per common share attributable to Comcast Corporation</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2.56</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060" w:type="dxa"/>
            <w:vAlign w:val="bottom"/>
          </w:tcPr>
          <w:p>
            <w:pPr>
              <w:ind w:left="220"/>
              <w:spacing w:after="0" w:line="181" w:lineRule="exact"/>
              <w:rPr>
                <w:sz w:val="20"/>
                <w:szCs w:val="20"/>
                <w:color w:val="auto"/>
              </w:rPr>
            </w:pPr>
            <w:r>
              <w:rPr>
                <w:rFonts w:ascii="Arial" w:cs="Arial" w:eastAsia="Arial" w:hAnsi="Arial"/>
                <w:sz w:val="18"/>
                <w:szCs w:val="18"/>
                <w:color w:val="auto"/>
              </w:rPr>
              <w:t>shareholders</w:t>
            </w: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2.28</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1.50</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1.29</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Dividends declared per common share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0.297</w:t>
            </w:r>
          </w:p>
        </w:tc>
        <w:tc>
          <w:tcPr>
            <w:tcW w:w="0" w:type="dxa"/>
            <w:vAlign w:val="bottom"/>
          </w:tcPr>
          <w:p>
            <w:pPr>
              <w:spacing w:after="0"/>
              <w:rPr>
                <w:sz w:val="1"/>
                <w:szCs w:val="1"/>
                <w:color w:val="auto"/>
              </w:rPr>
            </w:pPr>
          </w:p>
        </w:tc>
      </w:tr>
      <w:tr>
        <w:trPr>
          <w:trHeight w:val="199"/>
        </w:trPr>
        <w:tc>
          <w:tcPr>
            <w:tcW w:w="6060" w:type="dxa"/>
            <w:vAlign w:val="bottom"/>
          </w:tcPr>
          <w:p>
            <w:pPr>
              <w:spacing w:after="0" w:line="200" w:lineRule="exact"/>
              <w:rPr>
                <w:sz w:val="20"/>
                <w:szCs w:val="20"/>
                <w:color w:val="auto"/>
              </w:rPr>
            </w:pPr>
            <w:r>
              <w:rPr>
                <w:rFonts w:ascii="Arial" w:cs="Arial" w:eastAsia="Arial" w:hAnsi="Arial"/>
                <w:sz w:val="18"/>
                <w:szCs w:val="18"/>
                <w:b w:val="1"/>
                <w:bCs w:val="1"/>
                <w:color w:val="auto"/>
              </w:rPr>
              <w:t>Balance Sheet Data (at year end)</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158,813</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60" w:type="dxa"/>
            <w:vAlign w:val="bottom"/>
          </w:tcPr>
          <w:p>
            <w:pPr>
              <w:spacing w:after="0" w:line="181" w:lineRule="exact"/>
              <w:rPr>
                <w:sz w:val="20"/>
                <w:szCs w:val="20"/>
                <w:color w:val="auto"/>
              </w:rPr>
            </w:pPr>
            <w:r>
              <w:rPr>
                <w:rFonts w:ascii="Arial" w:cs="Arial" w:eastAsia="Arial" w:hAnsi="Arial"/>
                <w:sz w:val="18"/>
                <w:szCs w:val="18"/>
                <w:color w:val="auto"/>
              </w:rPr>
              <w:t>Total assets</w:t>
            </w: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164,971</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157,818</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118,534</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112,733</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Total debt, including current portion</w:t>
            </w:r>
          </w:p>
        </w:tc>
        <w:tc>
          <w:tcPr>
            <w:tcW w:w="58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47,847</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40,458</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39,309</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31,415</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29,096</w:t>
            </w: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Comcast Corporation shareholders’ equity</w:t>
            </w:r>
          </w:p>
        </w:tc>
        <w:tc>
          <w:tcPr>
            <w:tcW w:w="58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50,694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49,356</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47,274</w:t>
            </w:r>
          </w:p>
        </w:tc>
        <w:tc>
          <w:tcPr>
            <w:tcW w:w="200" w:type="dxa"/>
            <w:vAlign w:val="bottom"/>
          </w:tcPr>
          <w:p>
            <w:pPr>
              <w:spacing w:after="0"/>
              <w:rPr>
                <w:sz w:val="17"/>
                <w:szCs w:val="17"/>
                <w:color w:val="auto"/>
              </w:rPr>
            </w:pPr>
          </w:p>
        </w:tc>
        <w:tc>
          <w:tcPr>
            <w:tcW w:w="8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44,354</w:t>
            </w:r>
          </w:p>
        </w:tc>
        <w:tc>
          <w:tcPr>
            <w:tcW w:w="20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42,721</w:t>
            </w:r>
          </w:p>
        </w:tc>
        <w:tc>
          <w:tcPr>
            <w:tcW w:w="0" w:type="dxa"/>
            <w:vAlign w:val="bottom"/>
          </w:tcPr>
          <w:p>
            <w:pPr>
              <w:spacing w:after="0"/>
              <w:rPr>
                <w:sz w:val="1"/>
                <w:szCs w:val="1"/>
                <w:color w:val="auto"/>
              </w:rPr>
            </w:pPr>
          </w:p>
        </w:tc>
      </w:tr>
      <w:tr>
        <w:trPr>
          <w:trHeight w:val="225"/>
        </w:trPr>
        <w:tc>
          <w:tcPr>
            <w:tcW w:w="6060" w:type="dxa"/>
            <w:vAlign w:val="bottom"/>
          </w:tcPr>
          <w:p>
            <w:pPr>
              <w:spacing w:after="0"/>
              <w:rPr>
                <w:sz w:val="20"/>
                <w:szCs w:val="20"/>
                <w:color w:val="auto"/>
              </w:rPr>
            </w:pPr>
            <w:r>
              <w:rPr>
                <w:rFonts w:ascii="Arial" w:cs="Arial" w:eastAsia="Arial" w:hAnsi="Arial"/>
                <w:sz w:val="18"/>
                <w:szCs w:val="18"/>
                <w:b w:val="1"/>
                <w:bCs w:val="1"/>
                <w:color w:val="auto"/>
              </w:rPr>
              <w:t>Statement of Cash Flows Data</w:t>
            </w: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14,160</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60" w:type="dxa"/>
            <w:vAlign w:val="bottom"/>
          </w:tcPr>
          <w:p>
            <w:pPr>
              <w:ind w:left="220"/>
              <w:spacing w:after="0" w:line="181" w:lineRule="exact"/>
              <w:rPr>
                <w:sz w:val="20"/>
                <w:szCs w:val="20"/>
                <w:color w:val="auto"/>
              </w:rPr>
            </w:pPr>
            <w:r>
              <w:rPr>
                <w:rFonts w:ascii="Arial" w:cs="Arial" w:eastAsia="Arial" w:hAnsi="Arial"/>
                <w:sz w:val="18"/>
                <w:szCs w:val="18"/>
                <w:color w:val="auto"/>
              </w:rPr>
              <w:t>Operating activities</w:t>
            </w: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14,854</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14,345</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11,179</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03"/>
        </w:trPr>
        <w:tc>
          <w:tcPr>
            <w:tcW w:w="6060" w:type="dxa"/>
            <w:vAlign w:val="bottom"/>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5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(9,514)</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(1,486)</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(12,508)</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(5,711)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Financing activities</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72" w:lineRule="auto"/>
        <w:tabs>
          <w:tab w:leader="none" w:pos="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For 2013, 2012 and 2011, refer to Management’s Discussion and Analysis of Financial Condition and Results of Operations included in this Annual Report on Form 10-K for a discussion of the effects of items impacting net income attributable to Comcast Corporation. In 2013, 2012 and 2011, net income attributable to Comcast Corporation is stated after deducting net income attributable to noncontrolling interests of $319 million, $1.7 billion and $1 billion, respectively. The reduction in net income attributable to noncontrolling interests in 2013 was primarily due to the Redemption Transaction in March 2013. See Note 4 to Comcast’s consolidated financial statements for additional information on the Redemption Transaction.</w:t>
      </w:r>
    </w:p>
    <w:p>
      <w:pPr>
        <w:spacing w:after="0" w:line="36" w:lineRule="exact"/>
        <w:rPr>
          <w:rFonts w:ascii="Arial" w:cs="Arial" w:eastAsia="Arial" w:hAnsi="Arial"/>
          <w:sz w:val="12"/>
          <w:szCs w:val="12"/>
          <w:color w:val="auto"/>
        </w:rPr>
      </w:pPr>
    </w:p>
    <w:p>
      <w:pPr>
        <w:jc w:val="both"/>
        <w:ind w:left="300" w:hanging="292"/>
        <w:spacing w:after="0" w:line="228"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 January 28, 2011, we completed the NBCUniversal transaction in which Comcast acquired a controlling interest in NBCUniversal. The results of operations of NBCUniversal are included in the financial information above for all periods following January 28, 2011. Refer to Note 4 to Comcast’s consolidated financial statements for additional information on the NBCUniversal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Omitted pursuant to General Instruction I(2)(a) to Form 10-K.</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7: Management’s Discussion and Analysis of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Introduction and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Cable is the nation’s largest provider of video, high-speed Internet and voice services (“cable services”) to residential customers under the XFINITY brand, and we also provide similar services to small and medium-sized businesses. As of December 31, 2013, our cable systems served 21.7 million video customers, 20.7 million high-speed Internet customers and 10.7 million voice customers and passed more than 53 million homes and businesses. Our Cable Communications segment generates revenue primarily from subscriptions to our cable services, which we market individually and in packages, and from the sale of advertising. In 2013, our Cable Communications segment generated 65% of our consolidated revenue and 80% of our operating income before depreciation and amortization.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offer a broad variety of video services with access to hundreds of channels, including premium networks, such as HBO, Showtime, Starz and Cinemax, pay-per-view channels, as well as On Demand, our video-on-demand service, and an interactive, on-screen program guide. Our video customers may also subscribe to a higher level of video service, including our HD video and DVR services. Our video customers have the ability to use XFINITY TV online or our mobile apps for smartphones and tablets to view certain live television programming and some of our On Demand content, browse program listings, and schedule and manage DVR recordings online.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high-speed Internet services generally provide Internet access at downstream speeds of up to 105 Mbps, and we also have introduced downstream speeds of up to 505 Mbps in limited markets. Our high-speed Internet service for business customers also includes a website hosting service and an interactive tool that allows customers to share, coordinate and store documents online.</w:t>
      </w:r>
    </w:p>
    <w:p>
      <w:pPr>
        <w:spacing w:after="0" w:line="15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voice services provide local and long-distance calling and other features. For our business voice customers, we also offer additional features such as hosted voice services that use cloud network servers, a business directory listing and the added capacity for multiple phone lines.</w:t>
      </w:r>
    </w:p>
    <w:p>
      <w:pPr>
        <w:spacing w:after="0" w:line="1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video, high-speed Internet and voice services that we offer to small and medium-sized business customers, we offer Ethernet network services to our medium-sized business customers that connect multiple locations. We also provide cellular backhaul services to mobile network operators to help our customers manage network bandwidth.</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sell advertising, under the Spotlight brand, that we receive through our distribution agreements with cable networks. We generally receive an allocation of scheduled advertising time on cable networks that we sell to local, regional and national advertisers.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majority of our Cable Communications segment revenue is generated from subscriptions to our cable services. Customers are typically billed in advance on a monthly basis based on the services and features they receive and the type of equipment they use. Residential customers may generally discontinue service at any time, while business customers may only discontinue service in accordance with the terms of their contracts, which typically have 2 to 5 year terms.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most significant operating cost for our Cable Communications segment is the programming expenses we incur to provide content to our video customers. We anticipate that our programming expenses will continue to increase. We have, and will continue to attempt to, offset increases in programming expenses through rate increases, the sale of additional video and other services, and through operating efficiencies.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The Cable Networks, Broadcast Television, Filmed Entertainment and Theme Parks segments comprise the NBCUniversal businesses and are collectively referred to as the “NBCUniversal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w:t>
      </w:r>
    </w:p>
    <w:p>
      <w:pPr>
        <w:jc w:val="both"/>
        <w:spacing w:after="0" w:line="271"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entertainment networks (USA Network, Syfy, E!, Bravo, Oxygen, Esquire Network, Sprout, Chiller, G4, Cloo, and Universal HD); our national cable news and information networks (MSNBC, CNBC and CNBC World); our national cable sports networks (Golf Channel and NBC Sports Network); our regional sports and news networks; various international cable networks; and our cable television production operations. Our Cable Networks segment generates revenue primarily from the distribution of our cable network programming to multichannel video providers, the sale of advertising on our cable networks and our related digital media properties, and the licensing of our owned programming.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0C6DFF"/>
        </w:rPr>
        <w:t>Broadcast Television</w:t>
      </w:r>
    </w:p>
    <w:p>
      <w:pPr>
        <w:jc w:val="both"/>
        <w:spacing w:after="0" w:line="237"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10 NBC and 17 Telemundo owned local broadcast television stations and our broadcast television production operations. Our Broadcast Television segment generates revenue primarily from the sale of advertising on our broadcast networks, our owned local broadcast television stations and our related digital media properties, the licensing of our owned programming and fees received under retransmission consent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w:t>
      </w:r>
    </w:p>
    <w:p>
      <w:pPr>
        <w:jc w:val="both"/>
        <w:spacing w:after="0" w:line="236"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Focus Features and Illumination names. Our Filmed Entertainment segment generates revenue primarily from the worldwide distribution of our owned and acquired films for exhibition in movie theaters, the licensing of our owned and acquired films through various distribution platforms, and the sale of our owned and acquired films on standard-definition video discs and Blu-ray discs (together, “DVDs”) and through digital distributors. Our Filmed Entertainment segment also generates revenue from producing and licensing live stage plays, from distributing filmed entertainment produced by third parties, as well as from various digital media properties.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Theme Parks</w:t>
      </w:r>
    </w:p>
    <w:p>
      <w:pPr>
        <w:jc w:val="both"/>
        <w:spacing w:after="0" w:line="237" w:lineRule="auto"/>
        <w:rPr>
          <w:sz w:val="20"/>
          <w:szCs w:val="20"/>
          <w:color w:val="auto"/>
        </w:rPr>
      </w:pPr>
      <w:r>
        <w:rPr>
          <w:rFonts w:ascii="Arial" w:cs="Arial" w:eastAsia="Arial" w:hAnsi="Arial"/>
          <w:sz w:val="18"/>
          <w:szCs w:val="18"/>
          <w:color w:val="auto"/>
        </w:rPr>
        <w:t>Our Theme Parks segment consists primarily of our Universal theme parks in Orlando and Hollywood. Our Theme Parks segment generates revenue primarily from theme park attendance and per capita spending. Per capita spending includes ticket price and in-park spending on food, beverages and merchandise. We also receive fees from third parties that own and operate Universal Studios Japan and Universal Studios Singapore for intellectual property licenses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47</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Developments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more significant developments in our businesses during 2013:</w:t>
      </w:r>
    </w:p>
    <w:p>
      <w:pPr>
        <w:spacing w:after="0" w:line="117" w:lineRule="exact"/>
        <w:rPr>
          <w:sz w:val="20"/>
          <w:szCs w:val="20"/>
          <w:color w:val="auto"/>
        </w:rPr>
      </w:pPr>
    </w:p>
    <w:p>
      <w:pPr>
        <w:ind w:left="1020" w:right="1240" w:hanging="215"/>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consolidated revenue of 3.3% to $64.7 billion and an increase in consolidated operating income of 11.4% to $13.6 billion</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in March 2013 of GE’s remaining 49% common equity interest in NBCUniversal Holdings and NBCUniversal’s purchase from GE of certain properties NBCUniversal occupies; see “Redemption Transaction” below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spacing w:after="0" w:line="117" w:lineRule="exact"/>
        <w:rPr>
          <w:sz w:val="20"/>
          <w:szCs w:val="20"/>
          <w:color w:val="auto"/>
        </w:rPr>
      </w:pPr>
    </w:p>
    <w:p>
      <w:pPr>
        <w:ind w:left="1020" w:right="1240" w:hanging="215"/>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Cable Communications segment revenue of 5.6% to $41.8 billion and an increase in Cable Communications segment operating income before depreciation and amortization of 5.8% to $17.2 billion</w:t>
      </w:r>
    </w:p>
    <w:p>
      <w:pPr>
        <w:spacing w:after="0" w:line="114" w:lineRule="exact"/>
        <w:rPr>
          <w:rFonts w:ascii="Arial" w:cs="Arial" w:eastAsia="Arial" w:hAnsi="Arial"/>
          <w:sz w:val="18"/>
          <w:szCs w:val="18"/>
          <w:color w:val="auto"/>
        </w:rPr>
      </w:pPr>
    </w:p>
    <w:p>
      <w:pPr>
        <w:jc w:val="both"/>
        <w:ind w:left="1020" w:right="1240" w:hanging="215"/>
        <w:spacing w:after="0" w:line="23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Cable Communications segment capital expenditures of 9.8% to $5.4 billion primarily due to the investment in our IP and cloud-enabled video platform, referred to as our X1 platform, the deployment of our wireless gateways in customers’ homes, and our continued investment in network infrastructure, as well as the expansion of business services and our home security and automation services</w:t>
      </w:r>
    </w:p>
    <w:p>
      <w:pPr>
        <w:spacing w:after="0" w:line="114" w:lineRule="exact"/>
        <w:rPr>
          <w:rFonts w:ascii="Arial" w:cs="Arial" w:eastAsia="Arial" w:hAnsi="Arial"/>
          <w:sz w:val="18"/>
          <w:szCs w:val="18"/>
          <w:color w:val="auto"/>
        </w:rPr>
      </w:pPr>
    </w:p>
    <w:p>
      <w:pPr>
        <w:ind w:left="1020" w:right="1240" w:hanging="215"/>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X1 platform is now available in all of the markets in which we operate, and we have purchased and deployed over 7 million wireless gateways</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expansion of video offerings for our customers via On Demand and online, including the launch of a mobile app that enables live-streaming of certain programming content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Segments</w:t>
      </w:r>
    </w:p>
    <w:p>
      <w:pPr>
        <w:spacing w:after="0" w:line="117" w:lineRule="exact"/>
        <w:rPr>
          <w:sz w:val="20"/>
          <w:szCs w:val="20"/>
          <w:color w:val="auto"/>
        </w:rPr>
      </w:pPr>
    </w:p>
    <w:p>
      <w:pPr>
        <w:jc w:val="both"/>
        <w:ind w:left="1020" w:right="1240" w:hanging="215"/>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total NBCUniversal revenue of 5.7% to $23.7 billion when excluding the impact from our broadcasts of the Super Bowl and London Olympics in 2012, and a decrease of 0.7% when including the $1.4 billion of revenue in the prior year related to these events</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total NBCUniversal operating income before depreciation and amortization of 15.2% to $4.7 billion</w:t>
      </w:r>
    </w:p>
    <w:p>
      <w:pPr>
        <w:spacing w:after="0" w:line="117"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continued investment in original programming and sports programming rights at both our cable networks and broadcast networks and the continued investment in new attractions at our Universal theme parks, including the </w:t>
      </w:r>
      <w:r>
        <w:rPr>
          <w:rFonts w:ascii="Arial" w:cs="Arial" w:eastAsia="Arial" w:hAnsi="Arial"/>
          <w:sz w:val="18"/>
          <w:szCs w:val="18"/>
          <w:i w:val="1"/>
          <w:iCs w:val="1"/>
          <w:color w:val="auto"/>
        </w:rPr>
        <w:t xml:space="preserve">Transformers </w:t>
      </w:r>
      <w:r>
        <w:rPr>
          <w:rFonts w:ascii="Arial" w:cs="Arial" w:eastAsia="Arial" w:hAnsi="Arial"/>
          <w:sz w:val="18"/>
          <w:szCs w:val="18"/>
          <w:color w:val="auto"/>
        </w:rPr>
        <w:t>and</w:t>
      </w:r>
      <w:r>
        <w:rPr>
          <w:rFonts w:ascii="Arial" w:cs="Arial" w:eastAsia="Arial" w:hAnsi="Arial"/>
          <w:sz w:val="18"/>
          <w:szCs w:val="18"/>
          <w:i w:val="1"/>
          <w:iCs w:val="1"/>
          <w:color w:val="auto"/>
        </w:rPr>
        <w:t xml:space="preserve"> Despicable Me </w:t>
      </w:r>
      <w:r>
        <w:rPr>
          <w:rFonts w:ascii="Arial" w:cs="Arial" w:eastAsia="Arial" w:hAnsi="Arial"/>
          <w:sz w:val="18"/>
          <w:szCs w:val="18"/>
          <w:color w:val="auto"/>
        </w:rPr>
        <w:t>attractions and the expansion of the</w:t>
      </w:r>
      <w:r>
        <w:rPr>
          <w:rFonts w:ascii="Arial" w:cs="Arial" w:eastAsia="Arial" w:hAnsi="Arial"/>
          <w:sz w:val="18"/>
          <w:szCs w:val="18"/>
          <w:i w:val="1"/>
          <w:iCs w:val="1"/>
          <w:color w:val="auto"/>
        </w:rPr>
        <w:t xml:space="preserve"> Harry Potter </w:t>
      </w:r>
      <w:r>
        <w:rPr>
          <w:rFonts w:ascii="Arial" w:cs="Arial" w:eastAsia="Arial" w:hAnsi="Arial"/>
          <w:sz w:val="18"/>
          <w:szCs w:val="18"/>
          <w:color w:val="auto"/>
        </w:rPr>
        <w:t>attraction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Redemption Transaction</w:t>
      </w:r>
    </w:p>
    <w:p>
      <w:pPr>
        <w:jc w:val="both"/>
        <w:spacing w:after="0" w:line="237" w:lineRule="auto"/>
        <w:rPr>
          <w:sz w:val="20"/>
          <w:szCs w:val="20"/>
          <w:color w:val="auto"/>
        </w:rPr>
      </w:pPr>
      <w:r>
        <w:rPr>
          <w:rFonts w:ascii="Arial" w:cs="Arial" w:eastAsia="Arial" w:hAnsi="Arial"/>
          <w:sz w:val="18"/>
          <w:szCs w:val="18"/>
          <w:color w:val="auto"/>
        </w:rPr>
        <w:t>On March 19, 2013, Comcast acquired GE’s remaining 49% common equity interest in NBCUniversal Holdings for approximately $16.7 billion (the “Redemption Transaction”). In addition to this transaction, NBCUniversal purchased from GE certain properties NBCUniversal occupies at 30 Rockefeller Plaza in New York City and CNBC’s headquarters in Englewood Cliffs, New Jersey for $1.4 billion. See Note 4 to Comcast’s consolidated financial statements for additional information on these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competitive, consumer-driven and rapidly changing environments and compete with 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growing number of companies that provide a broad range of communications products and services and entertainment, news and information content to consumers. Additionally, there continue to be new companies with significant financial resources that potentially may compete on a larger scale with our cable services, as well as with our cable and broadcast networks and filmed entertainment businesses.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Competition for the cable services we offer consists primarily of direct broadcast satellite (“DBS”) providers, which have a national footprint and compete in all our service areas, and phone companies, which overlap approximately 45% of our service areas and are continuing to expand their fiber-based networks. We also compete with other providers of traditional cable services. All of these companies typically offer features, pricing and packaging for services comparable to our cable services.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NBCUniversal’s businesses also face substantial and increasing competition from providers of similar types of content, as well as from other forms of entertainment and recreational activities. NBCUniversal also must compete to obtain talent, programming and other resources required in operating its businesses.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Technological changes are further intensifying and complicating the competitive landscape for all of our businesses by challenging existing business models and affecting consumer behavior. Newer services and devices that enable online digital distribution of movies, television shows, and other cable and broadcast video programming continue to gain consumer acceptance and evolve, including some services that charge a nominal or no fee for such programming. These services and devices may potentially negatively affect demand for our video services, as well as demand for our cable network, broadcast television and filmed entertainment content, as the number of entertainment choices available to consumers increases and as video programming is more reliably delivered over the Internet and more easily viewed via the Internet on televisions. Wireless services and devices also continue to evolve allowing consumers to access information, entertainment and communication services, which could negatively impact demand for our cable services, including for our voice services as people substitute mobile phones for landline phones. In addition, delayed viewing and advertising skipping have become more common as the penetration of DVRs and similar products has increased and as content has become increasingly available via video-on-demand services and Internet sources, which may have a negative impact on our advertising revenue.</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Cable Communications segment, we believe that adding more content and delivering it on an increasing variety of platforms will assist in attracting and retaining customers for our cable services. We are also developing and launching new technology initiatives, such as our X1 platform, and deploying new wireless gateway devices, to further enhance our video and high-speed Internet services. In our NBCUniversal segments, to compete for consumers of our content and for customers at our theme parks, we have invested, and will continue to invest, substantial amounts in acquiring content and producing original content for our cable networks and broadcast television networks, including the acquisition of sports rights, and will continue to invest in our film productions and in the development of new theme park attractions. See “Business — Competition”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calendar quarter and increased net customer additions in the third and fourth calendar quarters of each year.</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in our Cable Communications, Cable Networks and Broadcast Television segments is subject to cyclical advertising patterns and changes in viewership levels. Our U.S.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49</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and issue-oriented advertising. Our Broadcast Television revenue and operating costs and expenses are also cyclical as a result of our periodic broadcasts of the Olympic Games and the Super Bowl. Our advertising revenue generally increases in the period of these broadcasts from increased demand for advertising time, and our operating costs and expenses also increase as a result of our production costs and the amortization of the related rights fees. All of the revenue and operating costs and expenses associated with our broadcasts of the 2012 London Olympics and the 2012 Super Bowl were reported in our Broadcast Television segment.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in our Filmed Entertainment segment fluctuates due to the timing of the release of films in movie theaters and the release of our films on DVD and through digital distributors. Release dates are determined by several factors, including competition and the timing of vacation and holiday periods. As a result, revenue tends to be seasonal, with increases experienced each year during the summer months and around the holidays. Revenue in our Cable Networks and Broadcast Television segments fluctuates depending on the timing of when our programming is aired on television, which typically results in higher advertising revenue in the second and fourth calendar quarter of each year. Revenue in our Cable Networks, Broadcast Television and Filmed Entertainment segments also fluctuates due to the timing of when our owned content is made available to licensees.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local entertainment offerings and seasonal weather variations. Our theme parks generally experience peak attendance during the summer months when schools are closed and during early winter and spring holiday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13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 to 2013</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58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64,657</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62,570</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w w:val="98"/>
              </w:rPr>
              <w:t>55,842</w:t>
            </w:r>
          </w:p>
        </w:tc>
        <w:tc>
          <w:tcPr>
            <w:tcW w:w="1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3.3%</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7"/>
                <w:szCs w:val="17"/>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19,670</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(1.3)</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5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19,929</w:t>
            </w:r>
          </w:p>
        </w:tc>
        <w:tc>
          <w:tcPr>
            <w:tcW w:w="220" w:type="dxa"/>
            <w:vAlign w:val="bottom"/>
          </w:tcPr>
          <w:p>
            <w:pPr>
              <w:spacing w:after="0"/>
              <w:rPr>
                <w:sz w:val="15"/>
                <w:szCs w:val="15"/>
                <w:color w:val="auto"/>
              </w:rPr>
            </w:pPr>
          </w:p>
        </w:tc>
        <w:tc>
          <w:tcPr>
            <w:tcW w:w="700" w:type="dxa"/>
            <w:vAlign w:val="bottom"/>
          </w:tcPr>
          <w:p>
            <w:pPr>
              <w:jc w:val="right"/>
              <w:ind w:right="54"/>
              <w:spacing w:after="0" w:line="181" w:lineRule="exact"/>
              <w:rPr>
                <w:sz w:val="20"/>
                <w:szCs w:val="20"/>
                <w:color w:val="auto"/>
              </w:rPr>
            </w:pPr>
            <w:r>
              <w:rPr>
                <w:rFonts w:ascii="Arial" w:cs="Arial" w:eastAsia="Arial" w:hAnsi="Arial"/>
                <w:sz w:val="18"/>
                <w:szCs w:val="18"/>
                <w:color w:val="auto"/>
                <w:w w:val="98"/>
              </w:rPr>
              <w:t>16,596</w:t>
            </w:r>
          </w:p>
        </w:tc>
        <w:tc>
          <w:tcPr>
            <w:tcW w:w="1120" w:type="dxa"/>
            <w:vAlign w:val="bottom"/>
            <w:vMerge w:val="continue"/>
          </w:tcPr>
          <w:p>
            <w:pPr>
              <w:spacing w:after="0"/>
              <w:rPr>
                <w:sz w:val="15"/>
                <w:szCs w:val="15"/>
                <w:color w:val="auto"/>
              </w:rPr>
            </w:pPr>
          </w:p>
        </w:tc>
        <w:tc>
          <w:tcPr>
            <w:tcW w:w="1080" w:type="dxa"/>
            <w:vAlign w:val="bottom"/>
          </w:tcPr>
          <w:p>
            <w:pPr>
              <w:jc w:val="right"/>
              <w:ind w:right="135"/>
              <w:spacing w:after="0" w:line="181"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5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18,584</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17,833</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8"/>
              </w:rPr>
              <w:t>16,646</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4.2</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5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4,969</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4,831</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4,243</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2.9</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6,254</w:t>
            </w: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6,150</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6,040</w:t>
            </w:r>
          </w:p>
        </w:tc>
        <w:tc>
          <w:tcPr>
            <w:tcW w:w="1120" w:type="dxa"/>
            <w:vAlign w:val="bottom"/>
          </w:tcPr>
          <w:p>
            <w:pPr>
              <w:jc w:val="right"/>
              <w:ind w:right="155"/>
              <w:spacing w:after="0" w:line="202" w:lineRule="exact"/>
              <w:rPr>
                <w:sz w:val="20"/>
                <w:szCs w:val="20"/>
                <w:color w:val="auto"/>
              </w:rPr>
            </w:pPr>
            <w:r>
              <w:rPr>
                <w:rFonts w:ascii="Arial" w:cs="Arial" w:eastAsia="Arial" w:hAnsi="Arial"/>
                <w:sz w:val="18"/>
                <w:szCs w:val="18"/>
                <w:b w:val="1"/>
                <w:bCs w:val="1"/>
                <w:color w:val="auto"/>
              </w:rPr>
              <w:t>1.7</w:t>
            </w:r>
          </w:p>
        </w:tc>
        <w:tc>
          <w:tcPr>
            <w:tcW w:w="10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1,617</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1,648</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1,596</w:t>
            </w: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(1.9)</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10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13,563</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12,179</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w w:val="98"/>
              </w:rPr>
              <w:t>10,721</w:t>
            </w:r>
          </w:p>
        </w:tc>
        <w:tc>
          <w:tcPr>
            <w:tcW w:w="1120" w:type="dxa"/>
            <w:vAlign w:val="bottom"/>
          </w:tcPr>
          <w:p>
            <w:pPr>
              <w:jc w:val="right"/>
              <w:ind w:right="155"/>
              <w:spacing w:after="0" w:line="177" w:lineRule="exact"/>
              <w:rPr>
                <w:sz w:val="20"/>
                <w:szCs w:val="20"/>
                <w:color w:val="auto"/>
              </w:rPr>
            </w:pPr>
            <w:r>
              <w:rPr>
                <w:rFonts w:ascii="Arial" w:cs="Arial" w:eastAsia="Arial" w:hAnsi="Arial"/>
                <w:sz w:val="18"/>
                <w:szCs w:val="18"/>
                <w:b w:val="1"/>
                <w:bCs w:val="1"/>
                <w:color w:val="auto"/>
              </w:rPr>
              <w:t>11.4</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income (expense) items, net</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NM</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177"/>
        </w:trPr>
        <w:tc>
          <w:tcPr>
            <w:tcW w:w="612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58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11,115</w:t>
            </w:r>
          </w:p>
        </w:tc>
        <w:tc>
          <w:tcPr>
            <w:tcW w:w="200" w:type="dxa"/>
            <w:vAlign w:val="bottom"/>
          </w:tcPr>
          <w:p>
            <w:pPr>
              <w:spacing w:after="0"/>
              <w:rPr>
                <w:sz w:val="15"/>
                <w:szCs w:val="15"/>
                <w:color w:val="auto"/>
              </w:rPr>
            </w:pPr>
          </w:p>
        </w:tc>
        <w:tc>
          <w:tcPr>
            <w:tcW w:w="7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11,609</w:t>
            </w:r>
          </w:p>
        </w:tc>
        <w:tc>
          <w:tcPr>
            <w:tcW w:w="220" w:type="dxa"/>
            <w:vAlign w:val="bottom"/>
          </w:tcPr>
          <w:p>
            <w:pPr>
              <w:spacing w:after="0"/>
              <w:rPr>
                <w:sz w:val="15"/>
                <w:szCs w:val="15"/>
                <w:color w:val="auto"/>
              </w:rPr>
            </w:pPr>
          </w:p>
        </w:tc>
        <w:tc>
          <w:tcPr>
            <w:tcW w:w="700" w:type="dxa"/>
            <w:vAlign w:val="bottom"/>
          </w:tcPr>
          <w:p>
            <w:pPr>
              <w:jc w:val="right"/>
              <w:ind w:right="54"/>
              <w:spacing w:after="0" w:line="177" w:lineRule="exact"/>
              <w:rPr>
                <w:sz w:val="20"/>
                <w:szCs w:val="20"/>
                <w:color w:val="auto"/>
              </w:rPr>
            </w:pPr>
            <w:r>
              <w:rPr>
                <w:rFonts w:ascii="Arial" w:cs="Arial" w:eastAsia="Arial" w:hAnsi="Arial"/>
                <w:sz w:val="18"/>
                <w:szCs w:val="18"/>
                <w:color w:val="auto"/>
              </w:rPr>
              <w:t>8,207</w:t>
            </w:r>
          </w:p>
        </w:tc>
        <w:tc>
          <w:tcPr>
            <w:tcW w:w="1120" w:type="dxa"/>
            <w:vAlign w:val="bottom"/>
          </w:tcPr>
          <w:p>
            <w:pPr>
              <w:jc w:val="right"/>
              <w:ind w:right="95"/>
              <w:spacing w:after="0" w:line="177" w:lineRule="exact"/>
              <w:rPr>
                <w:sz w:val="20"/>
                <w:szCs w:val="20"/>
                <w:color w:val="auto"/>
              </w:rPr>
            </w:pPr>
            <w:r>
              <w:rPr>
                <w:rFonts w:ascii="Arial" w:cs="Arial" w:eastAsia="Arial" w:hAnsi="Arial"/>
                <w:sz w:val="18"/>
                <w:szCs w:val="18"/>
                <w:b w:val="1"/>
                <w:bCs w:val="1"/>
                <w:color w:val="auto"/>
              </w:rPr>
              <w:t>(4.3)</w:t>
            </w:r>
          </w:p>
        </w:tc>
        <w:tc>
          <w:tcPr>
            <w:tcW w:w="1080" w:type="dxa"/>
            <w:vAlign w:val="bottom"/>
          </w:tcPr>
          <w:p>
            <w:pPr>
              <w:jc w:val="right"/>
              <w:ind w:right="135"/>
              <w:spacing w:after="0" w:line="177"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1"/>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6.3</w:t>
            </w: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9"/>
        </w:trPr>
        <w:tc>
          <w:tcPr>
            <w:tcW w:w="6120" w:type="dxa"/>
            <w:vAlign w:val="bottom"/>
            <w:gridSpan w:val="2"/>
          </w:tcPr>
          <w:p>
            <w:pPr>
              <w:spacing w:after="0" w:line="200" w:lineRule="exact"/>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7"/>
                <w:szCs w:val="17"/>
                <w:color w:val="auto"/>
              </w:rPr>
            </w:pP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7,135</w:t>
            </w:r>
          </w:p>
        </w:tc>
        <w:tc>
          <w:tcPr>
            <w:tcW w:w="200" w:type="dxa"/>
            <w:vAlign w:val="bottom"/>
          </w:tcPr>
          <w:p>
            <w:pPr>
              <w:spacing w:after="0"/>
              <w:rPr>
                <w:sz w:val="17"/>
                <w:szCs w:val="17"/>
                <w:color w:val="auto"/>
              </w:rPr>
            </w:pPr>
          </w:p>
        </w:tc>
        <w:tc>
          <w:tcPr>
            <w:tcW w:w="7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7,865</w:t>
            </w:r>
          </w:p>
        </w:tc>
        <w:tc>
          <w:tcPr>
            <w:tcW w:w="220" w:type="dxa"/>
            <w:vAlign w:val="bottom"/>
          </w:tcPr>
          <w:p>
            <w:pPr>
              <w:spacing w:after="0"/>
              <w:rPr>
                <w:sz w:val="17"/>
                <w:szCs w:val="17"/>
                <w:color w:val="auto"/>
              </w:rPr>
            </w:pP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5,157</w:t>
            </w:r>
          </w:p>
        </w:tc>
        <w:tc>
          <w:tcPr>
            <w:tcW w:w="1120" w:type="dxa"/>
            <w:vAlign w:val="bottom"/>
          </w:tcPr>
          <w:p>
            <w:pPr>
              <w:jc w:val="right"/>
              <w:ind w:right="95"/>
              <w:spacing w:after="0" w:line="200" w:lineRule="exact"/>
              <w:rPr>
                <w:sz w:val="20"/>
                <w:szCs w:val="20"/>
                <w:color w:val="auto"/>
              </w:rPr>
            </w:pPr>
            <w:r>
              <w:rPr>
                <w:rFonts w:ascii="Arial" w:cs="Arial" w:eastAsia="Arial" w:hAnsi="Arial"/>
                <w:sz w:val="18"/>
                <w:szCs w:val="18"/>
                <w:b w:val="1"/>
                <w:bCs w:val="1"/>
                <w:color w:val="auto"/>
              </w:rPr>
              <w:t>(9.3)</w:t>
            </w:r>
          </w:p>
        </w:tc>
        <w:tc>
          <w:tcPr>
            <w:tcW w:w="108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3"/>
        </w:trPr>
        <w:tc>
          <w:tcPr>
            <w:tcW w:w="61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w:t>
            </w:r>
          </w:p>
        </w:tc>
        <w:tc>
          <w:tcPr>
            <w:tcW w:w="5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(319)</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8"/>
                <w:szCs w:val="18"/>
                <w:b w:val="1"/>
                <w:bCs w:val="1"/>
                <w:color w:val="auto"/>
              </w:rPr>
              <w:t>(80.9)</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subsidiary preferred stock</w:t>
            </w: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c>
          <w:tcPr>
            <w:tcW w:w="11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right"/>
              <w:ind w:right="135"/>
              <w:spacing w:after="0" w:line="200" w:lineRule="exact"/>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61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5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6,816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6,203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4,160</w:t>
            </w:r>
          </w:p>
        </w:tc>
        <w:tc>
          <w:tcPr>
            <w:tcW w:w="11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9.9%</w:t>
            </w:r>
          </w:p>
        </w:tc>
        <w:tc>
          <w:tcPr>
            <w:tcW w:w="10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0C6DFF"/>
        </w:rPr>
        <w:t>2013 Consolidated Operating Results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09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our Cable Communications, Cable Networks, Filmed Entertainment and Theme Parks segments accounted for substantially all of the increase in consolidated revenue. The increase was partially offset by a decrease in revenue in our Broadcast Television segment due to revenue recorded in 2012 attributable to our broadcasts of the 2012 Super Bowl and the 2012 London Olympics. Excluding $259 million and $1.2 billion of revenue associated with our broadcasts of the 2012 Super Bowl and the 2012 London Olympics, respectively, consolidated revenue increased 5.8% in 2013.</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our Cable Communications, Broadcast Television and Filmed Entertainment segments accounted for substantially all of the increase in consolidated revenue. The increase in our Broadcast Television segment was primarily due to our broadcasts of the 2012 Super Bowl and the 2012 London Olympics.</w:t>
      </w:r>
    </w:p>
    <w:p>
      <w:pPr>
        <w:spacing w:after="0" w:line="154" w:lineRule="exact"/>
        <w:rPr>
          <w:sz w:val="20"/>
          <w:szCs w:val="20"/>
          <w:color w:val="auto"/>
        </w:rPr>
      </w:pPr>
    </w:p>
    <w:p>
      <w:pPr>
        <w:ind w:right="3140"/>
        <w:spacing w:after="0" w:line="328" w:lineRule="auto"/>
        <w:rPr>
          <w:sz w:val="20"/>
          <w:szCs w:val="20"/>
          <w:color w:val="auto"/>
        </w:rPr>
      </w:pPr>
      <w:r>
        <w:rPr>
          <w:rFonts w:ascii="Arial" w:cs="Arial" w:eastAsia="Arial" w:hAnsi="Arial"/>
          <w:sz w:val="18"/>
          <w:szCs w:val="18"/>
          <w:color w:val="auto"/>
        </w:rPr>
        <w:t xml:space="preserve">Revenue for our segments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our Cable Communications, Cable Networks and Theme Parks segments accounted for substantially all of the increase in consolidated costs and expenses, excluding depreciation and amortization (“operating costs and expenses”). The increase was partially offset by a decrease in operating costs and expenses in our Broadcast Television segment due to operating costs and expenses recorded in 2012 attributable to our broadcasts of the 2012 Super Bowl and the 2012 London Olympics.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2012, our Cable Communications, Broadcast Television and Filmed Entertainment segments accounted for substantially all of the increase in consolidated operating costs and expenses. The increase in our Broadcast Television segment was primarily due to our broadcasts of the 2012 Super Bowl and the 2012 London Olympics.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Consolidated depreciation and amortization increased slightly in 2013 primarily due to increases in capital spending in our Cable Communications and Theme Parks segments, as well as depreciation associated with the acquisition of real estate properties by NBCUniversal in 2013. Consolidated depreciation and amortization increased slightly in 2012 primarily due to the impact of consolidating NBCUniversal and Universal Orlando for a full year period for the first time in 2012.</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consolidated financial statements (see Note 19 to Comcast’s consolidated financial statements and Note 18 to NBCUniversal’s consolidated financial statements). This measure should not be considered a substitute for operating income (loss), net income (loss) attributable to Comcast Corporation, net income (loss) attributable to NBCUniversal, net cash provided by operating activities, or other measures of performance or liquidity we have reported in accordance with GAAP.</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Beginning in 2013, revenue in our Cable Communications segment from certain business customers, such as hotels, restaurants and bars, is presented in business services revenue rather than in video revenue. Also beginning in 2013, operating costs and expenses for our Cable Communications segment present franchise and other regulatory fees under a new caption, and the former technical labor caption was expanded to include both technical and product support expenses; previously, franchise and other regulatory fees and product support expenses had been included under the “other” caption. The presentation of operating costs and expenses in our Cable Networks, Broadcast Television and Filmed Entertainment segments was also expanded to present programming and production costs, other operating and administrative expenses, and advertising, marketing and promotion expenses. Reclassifications have been made to 2012 and 2011 to conform to the classifications used in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Cable Communications 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929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 Change from</w:t>
            </w:r>
          </w:p>
        </w:tc>
        <w:tc>
          <w:tcPr>
            <w:tcW w:w="1280" w:type="dxa"/>
            <w:vAlign w:val="bottom"/>
            <w:gridSpan w:val="2"/>
          </w:tcPr>
          <w:p>
            <w:pPr>
              <w:jc w:val="right"/>
              <w:ind w:right="133"/>
              <w:spacing w:after="0"/>
              <w:rPr>
                <w:sz w:val="20"/>
                <w:szCs w:val="20"/>
                <w:color w:val="auto"/>
              </w:rPr>
            </w:pPr>
            <w:r>
              <w:rPr>
                <w:rFonts w:ascii="Arial" w:cs="Arial" w:eastAsia="Arial" w:hAnsi="Arial"/>
                <w:sz w:val="14"/>
                <w:szCs w:val="14"/>
                <w:color w:val="auto"/>
              </w:rPr>
              <w:t>% Change from</w:t>
            </w:r>
          </w:p>
        </w:tc>
        <w:tc>
          <w:tcPr>
            <w:tcW w:w="0" w:type="dxa"/>
            <w:vAlign w:val="bottom"/>
          </w:tcPr>
          <w:p>
            <w:pPr>
              <w:spacing w:after="0"/>
              <w:rPr>
                <w:sz w:val="1"/>
                <w:szCs w:val="1"/>
                <w:color w:val="auto"/>
              </w:rPr>
            </w:pPr>
          </w:p>
        </w:tc>
      </w:tr>
      <w:tr>
        <w:trPr>
          <w:trHeight w:val="179"/>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12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b w:val="1"/>
                <w:bCs w:val="1"/>
                <w:color w:val="auto"/>
              </w:rPr>
              <w:t>2012 to 2013</w:t>
            </w:r>
          </w:p>
        </w:tc>
        <w:tc>
          <w:tcPr>
            <w:tcW w:w="128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199"/>
        </w:trPr>
        <w:tc>
          <w:tcPr>
            <w:tcW w:w="55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Residential:</w:t>
            </w:r>
          </w:p>
        </w:tc>
        <w:tc>
          <w:tcPr>
            <w:tcW w:w="1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$ 20,535</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w:t>
            </w: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00" w:type="dxa"/>
            <w:vAlign w:val="bottom"/>
          </w:tcPr>
          <w:p>
            <w:pPr>
              <w:ind w:left="420"/>
              <w:spacing w:after="0" w:line="181" w:lineRule="exact"/>
              <w:rPr>
                <w:sz w:val="20"/>
                <w:szCs w:val="20"/>
                <w:color w:val="auto"/>
              </w:rPr>
            </w:pPr>
            <w:r>
              <w:rPr>
                <w:rFonts w:ascii="Arial" w:cs="Arial" w:eastAsia="Arial" w:hAnsi="Arial"/>
                <w:sz w:val="18"/>
                <w:szCs w:val="18"/>
                <w:color w:val="auto"/>
              </w:rPr>
              <w:t>Video</w:t>
            </w:r>
          </w:p>
        </w:tc>
        <w:tc>
          <w:tcPr>
            <w:tcW w:w="1620" w:type="dxa"/>
            <w:vAlign w:val="bottom"/>
            <w:gridSpan w:val="2"/>
            <w:vMerge w:val="continue"/>
          </w:tcPr>
          <w:p>
            <w:pPr>
              <w:spacing w:after="0"/>
              <w:rPr>
                <w:sz w:val="15"/>
                <w:szCs w:val="15"/>
                <w:color w:val="auto"/>
              </w:rPr>
            </w:pPr>
          </w:p>
        </w:tc>
        <w:tc>
          <w:tcPr>
            <w:tcW w:w="8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$ 19,952</w:t>
            </w:r>
          </w:p>
        </w:tc>
        <w:tc>
          <w:tcPr>
            <w:tcW w:w="8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$ 19,464</w:t>
            </w: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420"/>
              <w:spacing w:after="0" w:line="202" w:lineRule="exact"/>
              <w:rPr>
                <w:sz w:val="20"/>
                <w:szCs w:val="20"/>
                <w:color w:val="auto"/>
              </w:rPr>
            </w:pPr>
            <w:r>
              <w:rPr>
                <w:rFonts w:ascii="Arial" w:cs="Arial" w:eastAsia="Arial" w:hAnsi="Arial"/>
                <w:sz w:val="18"/>
                <w:szCs w:val="18"/>
                <w:color w:val="auto"/>
              </w:rPr>
              <w:t>High-speed Internet</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10,334</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9,544</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8,743</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8.3</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420"/>
              <w:spacing w:after="0" w:line="202" w:lineRule="exact"/>
              <w:rPr>
                <w:sz w:val="20"/>
                <w:szCs w:val="20"/>
                <w:color w:val="auto"/>
              </w:rPr>
            </w:pPr>
            <w:r>
              <w:rPr>
                <w:rFonts w:ascii="Arial" w:cs="Arial" w:eastAsia="Arial" w:hAnsi="Arial"/>
                <w:sz w:val="18"/>
                <w:szCs w:val="18"/>
                <w:color w:val="auto"/>
              </w:rPr>
              <w:t>Voice</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3,657</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3,557</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3,503</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2.8</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Business services</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3,241</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2,565</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1,953</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26.4</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2,189</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2,284</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2,001</w:t>
            </w:r>
          </w:p>
        </w:tc>
        <w:tc>
          <w:tcPr>
            <w:tcW w:w="460" w:type="dxa"/>
            <w:vAlign w:val="bottom"/>
          </w:tcPr>
          <w:p>
            <w:pPr>
              <w:spacing w:after="0"/>
              <w:rPr>
                <w:sz w:val="17"/>
                <w:szCs w:val="17"/>
                <w:color w:val="auto"/>
              </w:rPr>
            </w:pPr>
          </w:p>
        </w:tc>
        <w:tc>
          <w:tcPr>
            <w:tcW w:w="8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(4.2)</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1,880</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1,702</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1,562</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10.5</w:t>
            </w: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620" w:type="dxa"/>
            <w:vAlign w:val="bottom"/>
            <w:gridSpan w:val="2"/>
          </w:tcPr>
          <w:p>
            <w:pPr>
              <w:jc w:val="right"/>
              <w:ind w:right="20"/>
              <w:spacing w:after="0" w:line="177" w:lineRule="exact"/>
              <w:rPr>
                <w:sz w:val="20"/>
                <w:szCs w:val="20"/>
                <w:color w:val="auto"/>
              </w:rPr>
            </w:pPr>
            <w:r>
              <w:rPr>
                <w:rFonts w:ascii="Arial" w:cs="Arial" w:eastAsia="Arial" w:hAnsi="Arial"/>
                <w:sz w:val="18"/>
                <w:szCs w:val="18"/>
                <w:b w:val="1"/>
                <w:bCs w:val="1"/>
                <w:color w:val="auto"/>
              </w:rPr>
              <w:t>41,836</w:t>
            </w:r>
          </w:p>
        </w:tc>
        <w:tc>
          <w:tcPr>
            <w:tcW w:w="8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39,604</w:t>
            </w:r>
          </w:p>
        </w:tc>
        <w:tc>
          <w:tcPr>
            <w:tcW w:w="8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37,226</w:t>
            </w:r>
          </w:p>
        </w:tc>
        <w:tc>
          <w:tcPr>
            <w:tcW w:w="460" w:type="dxa"/>
            <w:vAlign w:val="bottom"/>
          </w:tcPr>
          <w:p>
            <w:pPr>
              <w:spacing w:after="0"/>
              <w:rPr>
                <w:sz w:val="15"/>
                <w:szCs w:val="15"/>
                <w:color w:val="auto"/>
              </w:rPr>
            </w:pPr>
          </w:p>
        </w:tc>
        <w:tc>
          <w:tcPr>
            <w:tcW w:w="820" w:type="dxa"/>
            <w:vAlign w:val="bottom"/>
          </w:tcPr>
          <w:p>
            <w:pPr>
              <w:jc w:val="right"/>
              <w:ind w:right="94"/>
              <w:spacing w:after="0" w:line="177" w:lineRule="exact"/>
              <w:rPr>
                <w:sz w:val="20"/>
                <w:szCs w:val="20"/>
                <w:color w:val="auto"/>
              </w:rPr>
            </w:pPr>
            <w:r>
              <w:rPr>
                <w:rFonts w:ascii="Arial" w:cs="Arial" w:eastAsia="Arial" w:hAnsi="Arial"/>
                <w:sz w:val="18"/>
                <w:szCs w:val="18"/>
                <w:b w:val="1"/>
                <w:bCs w:val="1"/>
                <w:color w:val="auto"/>
              </w:rPr>
              <w:t>5.6</w:t>
            </w:r>
          </w:p>
        </w:tc>
        <w:tc>
          <w:tcPr>
            <w:tcW w:w="620" w:type="dxa"/>
            <w:vAlign w:val="bottom"/>
          </w:tcPr>
          <w:p>
            <w:pPr>
              <w:spacing w:after="0"/>
              <w:rPr>
                <w:sz w:val="15"/>
                <w:szCs w:val="15"/>
                <w:color w:val="auto"/>
              </w:rPr>
            </w:pPr>
          </w:p>
        </w:tc>
        <w:tc>
          <w:tcPr>
            <w:tcW w:w="660" w:type="dxa"/>
            <w:vAlign w:val="bottom"/>
          </w:tcPr>
          <w:p>
            <w:pPr>
              <w:jc w:val="right"/>
              <w:ind w:right="133"/>
              <w:spacing w:after="0" w:line="177"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5"/>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9,107</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8.6</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00" w:type="dxa"/>
            <w:vAlign w:val="bottom"/>
          </w:tcPr>
          <w:p>
            <w:pPr>
              <w:ind w:left="200"/>
              <w:spacing w:after="0" w:line="181" w:lineRule="exact"/>
              <w:rPr>
                <w:sz w:val="20"/>
                <w:szCs w:val="20"/>
                <w:color w:val="auto"/>
              </w:rPr>
            </w:pPr>
            <w:r>
              <w:rPr>
                <w:rFonts w:ascii="Arial" w:cs="Arial" w:eastAsia="Arial" w:hAnsi="Arial"/>
                <w:sz w:val="18"/>
                <w:szCs w:val="18"/>
                <w:color w:val="auto"/>
              </w:rPr>
              <w:t>Programming</w:t>
            </w:r>
          </w:p>
        </w:tc>
        <w:tc>
          <w:tcPr>
            <w:tcW w:w="1620" w:type="dxa"/>
            <w:vAlign w:val="bottom"/>
            <w:gridSpan w:val="2"/>
            <w:vMerge w:val="continue"/>
          </w:tcPr>
          <w:p>
            <w:pPr>
              <w:spacing w:after="0"/>
              <w:rPr>
                <w:sz w:val="15"/>
                <w:szCs w:val="15"/>
                <w:color w:val="auto"/>
              </w:rPr>
            </w:pPr>
          </w:p>
        </w:tc>
        <w:tc>
          <w:tcPr>
            <w:tcW w:w="8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8,386</w:t>
            </w:r>
          </w:p>
        </w:tc>
        <w:tc>
          <w:tcPr>
            <w:tcW w:w="86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7,851</w:t>
            </w: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jc w:val="right"/>
              <w:ind w:right="133"/>
              <w:spacing w:after="0" w:line="18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Technical and product support</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5,349</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5,187</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5,048</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3.1</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Customer service</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2,097</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1,995</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1,911</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5.1</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Franchise and other regulatory fees</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1,246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1,104</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6.0</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2,896</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2,731</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2,430</w:t>
            </w:r>
          </w:p>
        </w:tc>
        <w:tc>
          <w:tcPr>
            <w:tcW w:w="460" w:type="dxa"/>
            <w:vAlign w:val="bottom"/>
          </w:tcPr>
          <w:p>
            <w:pPr>
              <w:spacing w:after="0"/>
              <w:rPr>
                <w:sz w:val="17"/>
                <w:szCs w:val="17"/>
                <w:color w:val="auto"/>
              </w:rPr>
            </w:pPr>
          </w:p>
        </w:tc>
        <w:tc>
          <w:tcPr>
            <w:tcW w:w="820" w:type="dxa"/>
            <w:vAlign w:val="bottom"/>
          </w:tcPr>
          <w:p>
            <w:pPr>
              <w:jc w:val="right"/>
              <w:ind w:right="94"/>
              <w:spacing w:after="0" w:line="202" w:lineRule="exact"/>
              <w:rPr>
                <w:sz w:val="20"/>
                <w:szCs w:val="20"/>
                <w:color w:val="auto"/>
              </w:rPr>
            </w:pPr>
            <w:r>
              <w:rPr>
                <w:rFonts w:ascii="Arial" w:cs="Arial" w:eastAsia="Arial" w:hAnsi="Arial"/>
                <w:sz w:val="18"/>
                <w:szCs w:val="18"/>
                <w:b w:val="1"/>
                <w:bCs w:val="1"/>
                <w:color w:val="auto"/>
              </w:rPr>
              <w:t>6.0</w:t>
            </w:r>
          </w:p>
        </w:tc>
        <w:tc>
          <w:tcPr>
            <w:tcW w:w="620" w:type="dxa"/>
            <w:vAlign w:val="bottom"/>
          </w:tcPr>
          <w:p>
            <w:pPr>
              <w:spacing w:after="0"/>
              <w:rPr>
                <w:sz w:val="17"/>
                <w:szCs w:val="17"/>
                <w:color w:val="auto"/>
              </w:rPr>
            </w:pPr>
          </w:p>
        </w:tc>
        <w:tc>
          <w:tcPr>
            <w:tcW w:w="6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3,936</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3,874</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3,594</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1.6</w:t>
            </w: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6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24,631</w:t>
            </w: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23,349</w:t>
            </w: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21,938</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b w:val="1"/>
                <w:bCs w:val="1"/>
                <w:color w:val="auto"/>
              </w:rPr>
              <w:t>5.5</w:t>
            </w: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Operating income before depreciation and amortization</w:t>
            </w:r>
          </w:p>
        </w:tc>
        <w:tc>
          <w:tcPr>
            <w:tcW w:w="1620" w:type="dxa"/>
            <w:vAlign w:val="bottom"/>
            <w:tcBorders>
              <w:bottom w:val="single" w:sz="8" w:color="0C6DFF"/>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$ 17,205</w:t>
            </w:r>
          </w:p>
        </w:tc>
        <w:tc>
          <w:tcPr>
            <w:tcW w:w="86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$ 16,255</w:t>
            </w:r>
          </w:p>
        </w:tc>
        <w:tc>
          <w:tcPr>
            <w:tcW w:w="86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$ 15,288</w:t>
            </w:r>
          </w:p>
        </w:tc>
        <w:tc>
          <w:tcPr>
            <w:tcW w:w="460" w:type="dxa"/>
            <w:vAlign w:val="bottom"/>
            <w:tcBorders>
              <w:bottom w:val="single" w:sz="8" w:color="0C6DFF"/>
            </w:tcBorders>
          </w:tcPr>
          <w:p>
            <w:pPr>
              <w:spacing w:after="0"/>
              <w:rPr>
                <w:sz w:val="17"/>
                <w:szCs w:val="17"/>
                <w:color w:val="auto"/>
              </w:rPr>
            </w:pP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5.8%</w:t>
            </w:r>
          </w:p>
        </w:tc>
        <w:tc>
          <w:tcPr>
            <w:tcW w:w="620" w:type="dxa"/>
            <w:vAlign w:val="bottom"/>
            <w:tcBorders>
              <w:bottom w:val="single" w:sz="8" w:color="0C6DFF"/>
            </w:tcBorders>
          </w:tcPr>
          <w:p>
            <w:pPr>
              <w:spacing w:after="0"/>
              <w:rPr>
                <w:sz w:val="17"/>
                <w:szCs w:val="17"/>
                <w:color w:val="auto"/>
              </w:rPr>
            </w:pP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70"/>
        </w:trPr>
        <w:tc>
          <w:tcPr>
            <w:tcW w:w="5520" w:type="dxa"/>
            <w:vAlign w:val="bottom"/>
            <w:gridSpan w:val="2"/>
          </w:tcPr>
          <w:p>
            <w:pPr>
              <w:spacing w:after="0"/>
              <w:rPr>
                <w:sz w:val="20"/>
                <w:szCs w:val="20"/>
                <w:color w:val="auto"/>
              </w:rPr>
            </w:pPr>
            <w:r>
              <w:rPr>
                <w:rFonts w:ascii="Arial" w:cs="Arial" w:eastAsia="Arial" w:hAnsi="Arial"/>
                <w:sz w:val="18"/>
                <w:szCs w:val="18"/>
                <w:color w:val="0C6DFF"/>
              </w:rPr>
              <w:t>Customer Metrics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55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520" w:type="dxa"/>
            <w:vAlign w:val="bottom"/>
            <w:gridSpan w:val="2"/>
            <w:vMerge w:val="restart"/>
          </w:tcPr>
          <w:p>
            <w:pPr>
              <w:spacing w:after="0"/>
              <w:rPr>
                <w:sz w:val="20"/>
                <w:szCs w:val="20"/>
                <w:color w:val="auto"/>
              </w:rPr>
            </w:pPr>
            <w:r>
              <w:rPr>
                <w:rFonts w:ascii="Arial" w:cs="Arial" w:eastAsia="Arial" w:hAnsi="Arial"/>
                <w:sz w:val="14"/>
                <w:szCs w:val="14"/>
                <w:color w:val="auto"/>
              </w:rPr>
              <w:t>December 31 (in thousands)</w:t>
            </w:r>
          </w:p>
        </w:tc>
        <w:tc>
          <w:tcPr>
            <w:tcW w:w="1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4"/>
                <w:szCs w:val="14"/>
                <w:color w:val="auto"/>
              </w:rPr>
              <w:t>Total Customers</w:t>
            </w:r>
          </w:p>
        </w:tc>
        <w:tc>
          <w:tcPr>
            <w:tcW w:w="4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color w:val="auto"/>
              </w:rPr>
              <w:t>Net Additional Customers</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auto"/>
            </w:tcBorders>
            <w:gridSpan w:val="2"/>
            <w:vMerge w:val="continue"/>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2011</w:t>
            </w: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5520" w:type="dxa"/>
            <w:vAlign w:val="bottom"/>
            <w:gridSpan w:val="2"/>
          </w:tcPr>
          <w:p>
            <w:pPr>
              <w:spacing w:after="0" w:line="177" w:lineRule="exact"/>
              <w:rPr>
                <w:sz w:val="20"/>
                <w:szCs w:val="20"/>
                <w:color w:val="auto"/>
              </w:rPr>
            </w:pPr>
            <w:r>
              <w:rPr>
                <w:rFonts w:ascii="Arial" w:cs="Arial" w:eastAsia="Arial" w:hAnsi="Arial"/>
                <w:sz w:val="18"/>
                <w:szCs w:val="18"/>
                <w:color w:val="auto"/>
              </w:rPr>
              <w:t>Video customers</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w w:val="98"/>
              </w:rPr>
              <w:t>21,690</w:t>
            </w:r>
          </w:p>
        </w:tc>
        <w:tc>
          <w:tcPr>
            <w:tcW w:w="66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21,995</w:t>
            </w:r>
          </w:p>
        </w:tc>
        <w:tc>
          <w:tcPr>
            <w:tcW w:w="840" w:type="dxa"/>
            <w:vAlign w:val="bottom"/>
            <w:gridSpan w:val="2"/>
          </w:tcPr>
          <w:p>
            <w:pPr>
              <w:jc w:val="right"/>
              <w:ind w:right="32"/>
              <w:spacing w:after="0" w:line="177" w:lineRule="exact"/>
              <w:rPr>
                <w:sz w:val="20"/>
                <w:szCs w:val="20"/>
                <w:color w:val="auto"/>
              </w:rPr>
            </w:pPr>
            <w:r>
              <w:rPr>
                <w:rFonts w:ascii="Arial" w:cs="Arial" w:eastAsia="Arial" w:hAnsi="Arial"/>
                <w:sz w:val="18"/>
                <w:szCs w:val="18"/>
                <w:color w:val="auto"/>
              </w:rPr>
              <w:t>22,331</w:t>
            </w:r>
          </w:p>
        </w:tc>
        <w:tc>
          <w:tcPr>
            <w:tcW w:w="820" w:type="dxa"/>
            <w:vAlign w:val="bottom"/>
          </w:tcPr>
          <w:p>
            <w:pPr>
              <w:jc w:val="right"/>
              <w:ind w:right="114"/>
              <w:spacing w:after="0" w:line="177" w:lineRule="exact"/>
              <w:rPr>
                <w:sz w:val="20"/>
                <w:szCs w:val="20"/>
                <w:color w:val="auto"/>
              </w:rPr>
            </w:pPr>
            <w:r>
              <w:rPr>
                <w:rFonts w:ascii="Arial" w:cs="Arial" w:eastAsia="Arial" w:hAnsi="Arial"/>
                <w:sz w:val="18"/>
                <w:szCs w:val="18"/>
                <w:b w:val="1"/>
                <w:bCs w:val="1"/>
                <w:color w:val="auto"/>
              </w:rPr>
              <w:t>(305)</w:t>
            </w:r>
          </w:p>
        </w:tc>
        <w:tc>
          <w:tcPr>
            <w:tcW w:w="620" w:type="dxa"/>
            <w:vAlign w:val="bottom"/>
          </w:tcPr>
          <w:p>
            <w:pPr>
              <w:jc w:val="right"/>
              <w:ind w:right="22"/>
              <w:spacing w:after="0" w:line="177" w:lineRule="exact"/>
              <w:rPr>
                <w:sz w:val="20"/>
                <w:szCs w:val="20"/>
                <w:color w:val="auto"/>
              </w:rPr>
            </w:pPr>
            <w:r>
              <w:rPr>
                <w:rFonts w:ascii="Arial" w:cs="Arial" w:eastAsia="Arial" w:hAnsi="Arial"/>
                <w:sz w:val="18"/>
                <w:szCs w:val="18"/>
                <w:color w:val="auto"/>
              </w:rPr>
              <w:t>(336)</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w w:val="98"/>
              </w:rPr>
              <w:t>20,662</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19,367</w:t>
            </w:r>
          </w:p>
        </w:tc>
        <w:tc>
          <w:tcPr>
            <w:tcW w:w="84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18,144</w:t>
            </w:r>
          </w:p>
        </w:tc>
        <w:tc>
          <w:tcPr>
            <w:tcW w:w="820" w:type="dxa"/>
            <w:vAlign w:val="bottom"/>
          </w:tcPr>
          <w:p>
            <w:pPr>
              <w:jc w:val="right"/>
              <w:ind w:right="174"/>
              <w:spacing w:after="0" w:line="202" w:lineRule="exact"/>
              <w:rPr>
                <w:sz w:val="20"/>
                <w:szCs w:val="20"/>
                <w:color w:val="auto"/>
              </w:rPr>
            </w:pPr>
            <w:r>
              <w:rPr>
                <w:rFonts w:ascii="Arial" w:cs="Arial" w:eastAsia="Arial" w:hAnsi="Arial"/>
                <w:sz w:val="18"/>
                <w:szCs w:val="18"/>
                <w:b w:val="1"/>
                <w:bCs w:val="1"/>
                <w:color w:val="auto"/>
              </w:rPr>
              <w:t>1,296</w:t>
            </w:r>
          </w:p>
        </w:tc>
        <w:tc>
          <w:tcPr>
            <w:tcW w:w="620" w:type="dxa"/>
            <w:vAlign w:val="bottom"/>
          </w:tcPr>
          <w:p>
            <w:pPr>
              <w:jc w:val="right"/>
              <w:ind w:right="82"/>
              <w:spacing w:after="0" w:line="202" w:lineRule="exact"/>
              <w:rPr>
                <w:sz w:val="20"/>
                <w:szCs w:val="20"/>
                <w:color w:val="auto"/>
              </w:rPr>
            </w:pPr>
            <w:r>
              <w:rPr>
                <w:rFonts w:ascii="Arial" w:cs="Arial" w:eastAsia="Arial" w:hAnsi="Arial"/>
                <w:sz w:val="18"/>
                <w:szCs w:val="18"/>
                <w:color w:val="auto"/>
                <w:w w:val="97"/>
              </w:rPr>
              <w:t>1,223</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1"/>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Voice customers</w:t>
            </w: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8"/>
              </w:rPr>
              <w:t>10,723</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9,955</w:t>
            </w:r>
          </w:p>
        </w:tc>
        <w:tc>
          <w:tcPr>
            <w:tcW w:w="8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9,342</w:t>
            </w: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768</w:t>
            </w: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613</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includes residential and business customers.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Cable Communications segment leverages our existing cable distribution system to grow revenue by, among other things, adding new customers, encouraging existing cable customers to add new or higher tier services, and growing other services such as our business services offerings and our home security and automation services. We offer our cable services in bundles and often provide promotional incentives. We seek to balance promotional offers and rate increases with their expected effects on the number of customers and overall revenue.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Video</w:t>
      </w:r>
    </w:p>
    <w:p>
      <w:pPr>
        <w:jc w:val="both"/>
        <w:spacing w:after="0" w:line="236" w:lineRule="auto"/>
        <w:rPr>
          <w:sz w:val="20"/>
          <w:szCs w:val="20"/>
          <w:color w:val="auto"/>
        </w:rPr>
      </w:pPr>
      <w:r>
        <w:rPr>
          <w:rFonts w:ascii="Arial" w:cs="Arial" w:eastAsia="Arial" w:hAnsi="Arial"/>
          <w:sz w:val="18"/>
          <w:szCs w:val="18"/>
          <w:color w:val="auto"/>
        </w:rPr>
        <w:t>Video revenue increased 2.9% and 2.5% in 2013 and 2012, respectively. Increases in revenue of approximately 5% in both years were primarily related to customers receiving additional and higher levels of video service, as well as from rate adjustments. As of December 31, 2013, 12.4 million customers subscribed to at least one of our HDTV or DVR advanced services compared to 11.8 million customers and 10.9 million customers as of December 31, 2012 and 2011, respectively. In both years, the increases in revenue were partially offset by fewer residential video customers. These decreases were primarily due to competitive pressures in our service areas from phone and satellite competitors and the impact of rate adjustments. We may experience further declines in the number of residential video customers.</w:t>
      </w:r>
    </w:p>
    <w:p>
      <w:pPr>
        <w:spacing w:after="0" w:line="32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40% of the homes and businesses in the areas we serve subscribed to our video services, compared to 41% and 43% as of December 31, 2012 and 2011,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High-Speed Internet</w:t>
      </w:r>
    </w:p>
    <w:p>
      <w:pPr>
        <w:jc w:val="both"/>
        <w:ind w:right="20"/>
        <w:spacing w:after="0" w:line="238" w:lineRule="auto"/>
        <w:rPr>
          <w:sz w:val="20"/>
          <w:szCs w:val="20"/>
          <w:color w:val="auto"/>
        </w:rPr>
      </w:pPr>
      <w:r>
        <w:rPr>
          <w:rFonts w:ascii="Arial" w:cs="Arial" w:eastAsia="Arial" w:hAnsi="Arial"/>
          <w:sz w:val="18"/>
          <w:szCs w:val="18"/>
          <w:color w:val="auto"/>
        </w:rPr>
        <w:t>High-speed Internet revenue increased 8.3% and 9.2% in 2013 and 2012, respectively. Increases in the number of residential customers accounted for increases in revenue of approximately 6% in both years. The remaining increases in revenue in 2013 and 2012 were primarily due to higher rates from customers receiving higher levels of service and rate adjustments.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38% of the homes and businesses in the areas we serve subscribed to our high-speed Internet services, compared to 36% and 35% as of December 31, 2012 and 2011, respectively. Our customer base continues to grow as consumers continue to choose our high-speed Internet service and seek higher speed offerings.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Voice</w:t>
      </w:r>
    </w:p>
    <w:p>
      <w:pPr>
        <w:jc w:val="both"/>
        <w:spacing w:after="0" w:line="273" w:lineRule="auto"/>
        <w:rPr>
          <w:sz w:val="20"/>
          <w:szCs w:val="20"/>
          <w:color w:val="auto"/>
        </w:rPr>
      </w:pPr>
      <w:r>
        <w:rPr>
          <w:rFonts w:ascii="Arial" w:cs="Arial" w:eastAsia="Arial" w:hAnsi="Arial"/>
          <w:sz w:val="16"/>
          <w:szCs w:val="16"/>
          <w:color w:val="auto"/>
        </w:rPr>
        <w:t>Voice revenue increased 2.8% and 1.5% in 2013 and 2012, respectively. Increases in the number of residential customers receiving our services through our discounted bundled offerings accounted for increases in revenue of approximately 6% and 4% in 2013 and 2012, respectively. These increases were partially offset in both years by the impact of the allocation of voice revenue for our bundled customers because revenue attributable to voice services represents a lower proportion of the bundled rate. The amounts allocated to voice revenue in the bundled rate have decreased in 2013 and 2012 because video and high-speed Internet rates have increased, while voice rates have remained relatively flat.</w:t>
      </w:r>
    </w:p>
    <w:p>
      <w:pPr>
        <w:spacing w:after="0" w:line="12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As of December 31, 2013, 20% of the homes and businesses in the areas we serve subscribed to our voice services, compared to 19% and 18% as of December 31, 2012 and 2011,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Business Services</w:t>
      </w:r>
    </w:p>
    <w:p>
      <w:pPr>
        <w:jc w:val="both"/>
        <w:spacing w:after="0" w:line="236" w:lineRule="auto"/>
        <w:rPr>
          <w:sz w:val="20"/>
          <w:szCs w:val="20"/>
          <w:color w:val="auto"/>
        </w:rPr>
      </w:pPr>
      <w:r>
        <w:rPr>
          <w:rFonts w:ascii="Arial" w:cs="Arial" w:eastAsia="Arial" w:hAnsi="Arial"/>
          <w:sz w:val="18"/>
          <w:szCs w:val="18"/>
          <w:color w:val="auto"/>
        </w:rPr>
        <w:t>Business services revenue increased 26.4% and 31.3% in 2013 and 2012, respectively. The increases in both years were primarily due to a higher number of business customers receiving our cable services. The remaining increases in both years were primarily due to continued growth in the number of medium-sized business customers, including those receiving our Ethernet network and cellular backhaul services. In 2013, our medium-sized business customers represented 19% of total business services revenue, compared to 15% and 12% in 2012 and 2011, respectively. We believe these increases in business customers are primarily the result of our efforts to gain market share from competitors by offering competitive products and pricing.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on cable networks that we sell to local, regional and national advertisers under the Spotlight brand. In most cases, the available advertising time is sold by our sales force. In some cases, we work with representation firms as an extension of our sales force to sell a portion of the advertising time allocated to us. We also represent the advertising sales of other multichannel video providers in some markets. In addition, we generate revenue from the sale of advertising online and on our On Demand service.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Advertising revenue is affected by the strength of the advertising market and general economic conditions. Advertising revenue decreased 4.2% in 2013 primarily due to lower political advertising revenue. Excluding the impact of political advertising revenue in 2012, advertising revenue increased 4.8% primarily due to increases in the national and regional advertising markets. Advertising revenue increased 14.1% in 2012 primarily due to increases in political advertising revenue and improvements in the local and regional advertising markets, which were primarily driven by increased spending from automotive advertisers.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54</w:t>
            </w: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receive revenue related to cable franchise and other regulatory fees, our digital media center, commissions from electronic retailing networks, and fees from other services. Cable franchise and regulatory fees represent the fees required to be paid to federal, state and local authorities that we pass through to our customers. Under the terms of our cable franchise agreements, we are generally required to pay to the cable franchising authority an amount based on our gross video revenue. The changes in franchise and other regulatory fees collected from our cable services customers are generally due to changes in the revenue on which the fees apply.</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revenue increased 10.5% and 9.0% in 2013 and 2012, respectively, primarily due to increases in franchise and other regulatory fees and in revenue from other services, including our home security and automation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continue to focus on controlling the growth of expenses. Our operating margin, which is our operating income before depreciation and amortization as a percentage of revenue, for 2013, 2012 and 2011 was 41.1%, 41.0% and 41.1%,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Costs</w:t>
      </w:r>
    </w:p>
    <w:p>
      <w:pPr>
        <w:jc w:val="both"/>
        <w:spacing w:after="0" w:line="236" w:lineRule="auto"/>
        <w:rPr>
          <w:sz w:val="20"/>
          <w:szCs w:val="20"/>
          <w:color w:val="auto"/>
        </w:rPr>
      </w:pPr>
      <w:r>
        <w:rPr>
          <w:rFonts w:ascii="Arial" w:cs="Arial" w:eastAsia="Arial" w:hAnsi="Arial"/>
          <w:sz w:val="18"/>
          <w:szCs w:val="18"/>
          <w:color w:val="auto"/>
        </w:rPr>
        <w:t>Programming expenses, our largest operating expense, are the fees we pay to license the programming we distribute to our video customers. These expenses are affected by the programming license fees charged by cable networks, fees for retransmission of the signals from local broadcast television stations, the number of video customers we serve and the amount of content we provide. Programming costs increased in 2013 and 2012 primarily due to increases in programming license fees, including sports programming and retransmission consent fees, and fees to secure rights for additional programming for our customers across an increasing number of platforms.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programming expenses will continue to increase as we provide additional content, including in HD, to our video customers; as we deliver this content through an increasing number of platforms, including On Demand, online and through our mobile apps for smartphones and tablets; and as the fees we pay increase, primarily from sports programming costs and retransmission consent fees. We believe that adding more content and delivering it on various platforms will help us to attract and retain video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Technical and Product Support Expenses</w:t>
      </w:r>
    </w:p>
    <w:p>
      <w:pPr>
        <w:jc w:val="both"/>
        <w:spacing w:after="0" w:line="237" w:lineRule="auto"/>
        <w:rPr>
          <w:sz w:val="20"/>
          <w:szCs w:val="20"/>
          <w:color w:val="auto"/>
        </w:rPr>
      </w:pPr>
      <w:r>
        <w:rPr>
          <w:rFonts w:ascii="Arial" w:cs="Arial" w:eastAsia="Arial" w:hAnsi="Arial"/>
          <w:sz w:val="18"/>
          <w:szCs w:val="18"/>
          <w:color w:val="auto"/>
        </w:rPr>
        <w:t>Technical and product support expenses include costs to complete service call and installation activities, as well as network operations, product development, fulfillment and provisioning costs. Technical and product support expenses increased in 2013 and 2012 primarily due to expenses related to customer fulfillment activities and expenses related to the development, delivery and support of our products and services, and continued growth in business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Customer Service Expenses</w:t>
      </w:r>
    </w:p>
    <w:p>
      <w:pPr>
        <w:jc w:val="both"/>
        <w:spacing w:after="0" w:line="236" w:lineRule="auto"/>
        <w:rPr>
          <w:sz w:val="20"/>
          <w:szCs w:val="20"/>
          <w:color w:val="auto"/>
        </w:rPr>
      </w:pPr>
      <w:r>
        <w:rPr>
          <w:rFonts w:ascii="Arial" w:cs="Arial" w:eastAsia="Arial" w:hAnsi="Arial"/>
          <w:sz w:val="18"/>
          <w:szCs w:val="18"/>
          <w:color w:val="auto"/>
        </w:rPr>
        <w:t>Customer service expenses include the personnel and other costs associated with handling customer sales and service activity. Customer service expenses increased in 2013 and 2012 primarily due to increases in total labor costs associated with increases in customer service activity. The increases in customer service activity were primarily due to increases in the number of customers as well as sales and related support activities associated with the continued deployment of enhanced services and devices, including our X1 platform and wireless gateways, and continued growth in business services.</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Franchise and Other Regulatory Fees</w:t>
      </w:r>
    </w:p>
    <w:p>
      <w:pPr>
        <w:spacing w:after="0"/>
        <w:rPr>
          <w:sz w:val="20"/>
          <w:szCs w:val="20"/>
          <w:color w:val="auto"/>
        </w:rPr>
      </w:pPr>
      <w:r>
        <w:rPr>
          <w:rFonts w:ascii="Arial" w:cs="Arial" w:eastAsia="Arial" w:hAnsi="Arial"/>
          <w:sz w:val="18"/>
          <w:szCs w:val="18"/>
          <w:color w:val="auto"/>
        </w:rPr>
        <w:t>Franchise and other regulatory fees increased in 2013 and 2012 primarily due to increases in residential and business services revenue.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 Expenses</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increased in 2013 and 2012 primarily due to increases in spending associated with attracting new residential and business services customers and expanding our services to existing customers.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Costs and Expenses</w:t>
      </w:r>
    </w:p>
    <w:p>
      <w:pPr>
        <w:spacing w:after="0"/>
        <w:rPr>
          <w:sz w:val="20"/>
          <w:szCs w:val="20"/>
          <w:color w:val="auto"/>
        </w:rPr>
      </w:pPr>
      <w:r>
        <w:rPr>
          <w:rFonts w:ascii="Arial" w:cs="Arial" w:eastAsia="Arial" w:hAnsi="Arial"/>
          <w:sz w:val="18"/>
          <w:szCs w:val="18"/>
          <w:color w:val="auto"/>
        </w:rPr>
        <w:t>Other costs and expenses increased in 2013 and 2012 primarily due to increases in other administrative costs and advertising sales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Segments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discussion below compares the NBCUniversal segments’ actual results for 2013 and 2012, as well as the pro forma combined results for 2011. The pro forma combined amounts for 2011 presented in the tables below include pro forma adjustments as if the NBCUniversal and Universal Orlando transactions each had occurred on January 1, 2010. Pro forma combined amounts are not necessarily indicative of what our results would have been had we operated the NBCUniversal contributed businesses or Universal Orlando since that date, nor of our future results.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2013, 2012 and 2011, there were no changes to NBCUniversal’s accounting principles or practices that had a material effect on its net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2013 NBCUniversal Segments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526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NBCUniversal segments for 2013, 2012 and 2011 are presented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55"/>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right"/>
              <w:ind w:right="115"/>
              <w:spacing w:after="0" w:line="141" w:lineRule="exact"/>
              <w:rPr>
                <w:sz w:val="20"/>
                <w:szCs w:val="20"/>
                <w:color w:val="auto"/>
              </w:rPr>
            </w:pPr>
            <w:r>
              <w:rPr>
                <w:rFonts w:ascii="Arial" w:cs="Arial" w:eastAsia="Arial" w:hAnsi="Arial"/>
                <w:sz w:val="14"/>
                <w:szCs w:val="14"/>
                <w:color w:val="auto"/>
              </w:rPr>
              <w:t>Pro Forma</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Actual</w:t>
            </w:r>
          </w:p>
        </w:tc>
        <w:tc>
          <w:tcPr>
            <w:tcW w:w="180" w:type="dxa"/>
            <w:vAlign w:val="bottom"/>
          </w:tcPr>
          <w:p>
            <w:pPr>
              <w:spacing w:after="0"/>
              <w:rPr>
                <w:sz w:val="12"/>
                <w:szCs w:val="12"/>
                <w:color w:val="auto"/>
              </w:rPr>
            </w:pPr>
          </w:p>
        </w:tc>
        <w:tc>
          <w:tcPr>
            <w:tcW w:w="900" w:type="dxa"/>
            <w:vAlign w:val="bottom"/>
            <w:gridSpan w:val="2"/>
          </w:tcPr>
          <w:p>
            <w:pPr>
              <w:jc w:val="right"/>
              <w:ind w:right="314"/>
              <w:spacing w:after="0" w:line="149" w:lineRule="exact"/>
              <w:rPr>
                <w:sz w:val="20"/>
                <w:szCs w:val="20"/>
                <w:color w:val="auto"/>
              </w:rPr>
            </w:pPr>
            <w:r>
              <w:rPr>
                <w:rFonts w:ascii="Arial" w:cs="Arial" w:eastAsia="Arial" w:hAnsi="Arial"/>
                <w:sz w:val="14"/>
                <w:szCs w:val="14"/>
                <w:color w:val="auto"/>
              </w:rPr>
              <w:t>Actual</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Pro Forma</w:t>
            </w:r>
          </w:p>
        </w:tc>
        <w:tc>
          <w:tcPr>
            <w:tcW w:w="9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Combined</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6"/>
              <w:spacing w:after="0" w:line="141" w:lineRule="exact"/>
              <w:rPr>
                <w:sz w:val="20"/>
                <w:szCs w:val="20"/>
                <w:color w:val="auto"/>
              </w:rPr>
            </w:pPr>
            <w:r>
              <w:rPr>
                <w:rFonts w:ascii="Arial" w:cs="Arial" w:eastAsia="Arial" w:hAnsi="Arial"/>
                <w:sz w:val="14"/>
                <w:szCs w:val="14"/>
                <w:color w:val="auto"/>
              </w:rPr>
              <w:t>For the</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ind w:right="96"/>
              <w:spacing w:after="0" w:line="149" w:lineRule="exact"/>
              <w:rPr>
                <w:sz w:val="20"/>
                <w:szCs w:val="20"/>
                <w:color w:val="auto"/>
              </w:rPr>
            </w:pPr>
            <w:r>
              <w:rPr>
                <w:rFonts w:ascii="Arial" w:cs="Arial" w:eastAsia="Arial" w:hAnsi="Arial"/>
                <w:sz w:val="14"/>
                <w:szCs w:val="14"/>
                <w:color w:val="auto"/>
                <w:w w:val="93"/>
              </w:rPr>
              <w:t>Period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jc w:val="right"/>
              <w:ind w:right="207"/>
              <w:spacing w:after="0"/>
              <w:rPr>
                <w:sz w:val="20"/>
                <w:szCs w:val="20"/>
                <w:color w:val="auto"/>
              </w:rPr>
            </w:pPr>
            <w:r>
              <w:rPr>
                <w:rFonts w:ascii="Arial" w:cs="Arial" w:eastAsia="Arial" w:hAnsi="Arial"/>
                <w:sz w:val="14"/>
                <w:szCs w:val="14"/>
                <w:b w:val="1"/>
                <w:bCs w:val="1"/>
                <w:color w:val="auto"/>
                <w:w w:val="97"/>
              </w:rPr>
              <w:t>% Change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tcPr>
          <w:p>
            <w:pPr>
              <w:jc w:val="right"/>
              <w:ind w:right="96"/>
              <w:spacing w:after="0" w:line="146" w:lineRule="exact"/>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tcPr>
          <w:p>
            <w:pPr>
              <w:jc w:val="right"/>
              <w:ind w:right="197"/>
              <w:spacing w:after="0" w:line="146"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35"/>
              <w:spacing w:after="0" w:line="149" w:lineRule="exact"/>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2"/>
                <w:szCs w:val="12"/>
                <w:color w:val="auto"/>
              </w:rPr>
            </w:pPr>
          </w:p>
        </w:tc>
        <w:tc>
          <w:tcPr>
            <w:tcW w:w="820" w:type="dxa"/>
            <w:vAlign w:val="bottom"/>
            <w:gridSpan w:val="2"/>
          </w:tcPr>
          <w:p>
            <w:pPr>
              <w:jc w:val="right"/>
              <w:ind w:right="35"/>
              <w:spacing w:after="0" w:line="149" w:lineRule="exact"/>
              <w:rPr>
                <w:sz w:val="20"/>
                <w:szCs w:val="20"/>
                <w:color w:val="auto"/>
              </w:rPr>
            </w:pPr>
            <w:r>
              <w:rPr>
                <w:rFonts w:ascii="Arial" w:cs="Arial" w:eastAsia="Arial" w:hAnsi="Arial"/>
                <w:sz w:val="14"/>
                <w:szCs w:val="14"/>
                <w:color w:val="auto"/>
                <w:w w:val="91"/>
              </w:rPr>
              <w:t>Year Ended</w:t>
            </w:r>
          </w:p>
        </w:tc>
        <w:tc>
          <w:tcPr>
            <w:tcW w:w="180" w:type="dxa"/>
            <w:vAlign w:val="bottom"/>
          </w:tcPr>
          <w:p>
            <w:pPr>
              <w:spacing w:after="0"/>
              <w:rPr>
                <w:sz w:val="12"/>
                <w:szCs w:val="12"/>
                <w:color w:val="auto"/>
              </w:rPr>
            </w:pPr>
          </w:p>
        </w:tc>
        <w:tc>
          <w:tcPr>
            <w:tcW w:w="90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w w:val="94"/>
              </w:rPr>
              <w:t>Year Ended</w:t>
            </w:r>
          </w:p>
        </w:tc>
        <w:tc>
          <w:tcPr>
            <w:tcW w:w="860" w:type="dxa"/>
            <w:vAlign w:val="bottom"/>
            <w:gridSpan w:val="2"/>
          </w:tcPr>
          <w:p>
            <w:pPr>
              <w:jc w:val="right"/>
              <w:ind w:right="96"/>
              <w:spacing w:after="0" w:line="149" w:lineRule="exact"/>
              <w:rPr>
                <w:sz w:val="20"/>
                <w:szCs w:val="20"/>
                <w:color w:val="auto"/>
              </w:rPr>
            </w:pPr>
            <w:r>
              <w:rPr>
                <w:rFonts w:ascii="Arial" w:cs="Arial" w:eastAsia="Arial" w:hAnsi="Arial"/>
                <w:sz w:val="14"/>
                <w:szCs w:val="14"/>
                <w:color w:val="auto"/>
              </w:rPr>
              <w:t>through</w:t>
            </w:r>
          </w:p>
        </w:tc>
        <w:tc>
          <w:tcPr>
            <w:tcW w:w="9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Year Ended</w:t>
            </w:r>
          </w:p>
        </w:tc>
        <w:tc>
          <w:tcPr>
            <w:tcW w:w="960" w:type="dxa"/>
            <w:vAlign w:val="bottom"/>
            <w:gridSpan w:val="2"/>
          </w:tcPr>
          <w:p>
            <w:pPr>
              <w:jc w:val="right"/>
              <w:ind w:right="207"/>
              <w:spacing w:after="0" w:line="149" w:lineRule="exact"/>
              <w:rPr>
                <w:sz w:val="20"/>
                <w:szCs w:val="20"/>
                <w:color w:val="auto"/>
              </w:rPr>
            </w:pPr>
            <w:r>
              <w:rPr>
                <w:rFonts w:ascii="Arial" w:cs="Arial" w:eastAsia="Arial" w:hAnsi="Arial"/>
                <w:sz w:val="14"/>
                <w:szCs w:val="14"/>
                <w:b w:val="1"/>
                <w:bCs w:val="1"/>
                <w:color w:val="auto"/>
              </w:rPr>
              <w:t>2012</w:t>
            </w:r>
          </w:p>
        </w:tc>
        <w:tc>
          <w:tcPr>
            <w:tcW w:w="980" w:type="dxa"/>
            <w:vAlign w:val="bottom"/>
          </w:tcPr>
          <w:p>
            <w:pPr>
              <w:jc w:val="right"/>
              <w:ind w:right="177"/>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5"/>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color w:val="auto"/>
              </w:rPr>
              <w:t>December 31</w:t>
            </w:r>
          </w:p>
        </w:tc>
        <w:tc>
          <w:tcPr>
            <w:tcW w:w="10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December 31</w:t>
            </w:r>
          </w:p>
        </w:tc>
        <w:tc>
          <w:tcPr>
            <w:tcW w:w="8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color w:val="auto"/>
                <w:w w:val="95"/>
              </w:rPr>
              <w:t>January 28</w:t>
            </w: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w:t>
            </w: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to 2013</w:t>
            </w: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to 2012</w:t>
            </w:r>
          </w:p>
        </w:tc>
        <w:tc>
          <w:tcPr>
            <w:tcW w:w="0" w:type="dxa"/>
            <w:vAlign w:val="bottom"/>
          </w:tcPr>
          <w:p>
            <w:pPr>
              <w:spacing w:after="0"/>
              <w:rPr>
                <w:sz w:val="1"/>
                <w:szCs w:val="1"/>
                <w:color w:val="auto"/>
              </w:rPr>
            </w:pPr>
          </w:p>
        </w:tc>
      </w:tr>
      <w:tr>
        <w:trPr>
          <w:trHeight w:val="199"/>
        </w:trPr>
        <w:tc>
          <w:tcPr>
            <w:tcW w:w="45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9,201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vMerge w:val="restart"/>
          </w:tcPr>
          <w:p>
            <w:pPr>
              <w:jc w:val="right"/>
              <w:ind w:right="47"/>
              <w:spacing w:after="0"/>
              <w:rPr>
                <w:sz w:val="20"/>
                <w:szCs w:val="20"/>
                <w:color w:val="auto"/>
              </w:rPr>
            </w:pPr>
            <w:r>
              <w:rPr>
                <w:rFonts w:ascii="Arial" w:cs="Arial" w:eastAsia="Arial" w:hAnsi="Arial"/>
                <w:sz w:val="18"/>
                <w:szCs w:val="18"/>
                <w:b w:val="1"/>
                <w:bCs w:val="1"/>
                <w:color w:val="auto"/>
              </w:rPr>
              <w:t>5.4%</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20" w:type="dxa"/>
            <w:vAlign w:val="bottom"/>
          </w:tcPr>
          <w:p>
            <w:pPr>
              <w:jc w:val="right"/>
              <w:ind w:right="35"/>
              <w:spacing w:after="0" w:line="181" w:lineRule="exact"/>
              <w:rPr>
                <w:sz w:val="20"/>
                <w:szCs w:val="20"/>
                <w:color w:val="auto"/>
              </w:rPr>
            </w:pPr>
            <w:r>
              <w:rPr>
                <w:rFonts w:ascii="Arial" w:cs="Arial" w:eastAsia="Arial" w:hAnsi="Arial"/>
                <w:sz w:val="18"/>
                <w:szCs w:val="18"/>
                <w:color w:val="auto"/>
              </w:rPr>
              <w:t>8,727</w:t>
            </w: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tcPr>
          <w:p>
            <w:pPr>
              <w:jc w:val="right"/>
              <w:ind w:right="94"/>
              <w:spacing w:after="0" w:line="181" w:lineRule="exact"/>
              <w:rPr>
                <w:sz w:val="20"/>
                <w:szCs w:val="20"/>
                <w:color w:val="auto"/>
              </w:rPr>
            </w:pPr>
            <w:r>
              <w:rPr>
                <w:rFonts w:ascii="Arial" w:cs="Arial" w:eastAsia="Arial" w:hAnsi="Arial"/>
                <w:sz w:val="18"/>
                <w:szCs w:val="18"/>
                <w:color w:val="auto"/>
              </w:rPr>
              <w:t>8,061</w:t>
            </w:r>
          </w:p>
        </w:tc>
        <w:tc>
          <w:tcPr>
            <w:tcW w:w="28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96"/>
              <w:spacing w:after="0" w:line="181" w:lineRule="exact"/>
              <w:rPr>
                <w:sz w:val="20"/>
                <w:szCs w:val="20"/>
                <w:color w:val="auto"/>
              </w:rPr>
            </w:pPr>
            <w:r>
              <w:rPr>
                <w:rFonts w:ascii="Arial" w:cs="Arial" w:eastAsia="Arial" w:hAnsi="Arial"/>
                <w:sz w:val="18"/>
                <w:szCs w:val="18"/>
                <w:color w:val="auto"/>
              </w:rPr>
              <w:t>385</w:t>
            </w:r>
          </w:p>
        </w:tc>
        <w:tc>
          <w:tcPr>
            <w:tcW w:w="2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line="181" w:lineRule="exact"/>
              <w:rPr>
                <w:sz w:val="20"/>
                <w:szCs w:val="20"/>
                <w:color w:val="auto"/>
              </w:rPr>
            </w:pPr>
            <w:r>
              <w:rPr>
                <w:rFonts w:ascii="Arial" w:cs="Arial" w:eastAsia="Arial" w:hAnsi="Arial"/>
                <w:sz w:val="18"/>
                <w:szCs w:val="18"/>
                <w:color w:val="auto"/>
              </w:rPr>
              <w:t>8,446</w:t>
            </w:r>
          </w:p>
        </w:tc>
        <w:tc>
          <w:tcPr>
            <w:tcW w:w="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tcPr>
          <w:p>
            <w:pPr>
              <w:jc w:val="right"/>
              <w:ind w:right="37"/>
              <w:spacing w:after="0" w:line="181"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7,120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8,200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5,982</w:t>
            </w:r>
          </w:p>
        </w:tc>
        <w:tc>
          <w:tcPr>
            <w:tcW w:w="280" w:type="dxa"/>
            <w:vAlign w:val="bottom"/>
          </w:tcPr>
          <w:p>
            <w:pPr>
              <w:spacing w:after="0"/>
              <w:rPr>
                <w:sz w:val="17"/>
                <w:szCs w:val="17"/>
                <w:color w:val="auto"/>
              </w:rPr>
            </w:pPr>
          </w:p>
        </w:tc>
        <w:tc>
          <w:tcPr>
            <w:tcW w:w="5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467</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6,449</w:t>
            </w:r>
          </w:p>
        </w:tc>
        <w:tc>
          <w:tcPr>
            <w:tcW w:w="20" w:type="dxa"/>
            <w:vAlign w:val="bottom"/>
          </w:tcPr>
          <w:p>
            <w:pPr>
              <w:spacing w:after="0"/>
              <w:rPr>
                <w:sz w:val="17"/>
                <w:szCs w:val="17"/>
                <w:color w:val="auto"/>
              </w:rPr>
            </w:pPr>
          </w:p>
        </w:tc>
        <w:tc>
          <w:tcPr>
            <w:tcW w:w="960" w:type="dxa"/>
            <w:vAlign w:val="bottom"/>
            <w:gridSpan w:val="2"/>
          </w:tcPr>
          <w:p>
            <w:pPr>
              <w:jc w:val="right"/>
              <w:ind w:right="147"/>
              <w:spacing w:after="0" w:line="202" w:lineRule="exact"/>
              <w:rPr>
                <w:sz w:val="20"/>
                <w:szCs w:val="20"/>
                <w:color w:val="auto"/>
              </w:rPr>
            </w:pPr>
            <w:r>
              <w:rPr>
                <w:rFonts w:ascii="Arial" w:cs="Arial" w:eastAsia="Arial" w:hAnsi="Arial"/>
                <w:sz w:val="18"/>
                <w:szCs w:val="18"/>
                <w:b w:val="1"/>
                <w:bCs w:val="1"/>
                <w:color w:val="auto"/>
              </w:rPr>
              <w:t>(13.2)</w:t>
            </w:r>
          </w:p>
        </w:tc>
        <w:tc>
          <w:tcPr>
            <w:tcW w:w="98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5,452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5,159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4,239</w:t>
            </w:r>
          </w:p>
        </w:tc>
        <w:tc>
          <w:tcPr>
            <w:tcW w:w="280" w:type="dxa"/>
            <w:vAlign w:val="bottom"/>
          </w:tcPr>
          <w:p>
            <w:pPr>
              <w:spacing w:after="0"/>
              <w:rPr>
                <w:sz w:val="17"/>
                <w:szCs w:val="17"/>
                <w:color w:val="auto"/>
              </w:rPr>
            </w:pPr>
          </w:p>
        </w:tc>
        <w:tc>
          <w:tcPr>
            <w:tcW w:w="5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353</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4,592</w:t>
            </w:r>
          </w:p>
        </w:tc>
        <w:tc>
          <w:tcPr>
            <w:tcW w:w="20" w:type="dxa"/>
            <w:vAlign w:val="bottom"/>
          </w:tcPr>
          <w:p>
            <w:pPr>
              <w:spacing w:after="0"/>
              <w:rPr>
                <w:sz w:val="17"/>
                <w:szCs w:val="17"/>
                <w:color w:val="auto"/>
              </w:rPr>
            </w:pPr>
          </w:p>
        </w:tc>
        <w:tc>
          <w:tcPr>
            <w:tcW w:w="960" w:type="dxa"/>
            <w:vAlign w:val="bottom"/>
            <w:gridSpan w:val="2"/>
          </w:tcPr>
          <w:p>
            <w:pPr>
              <w:jc w:val="right"/>
              <w:ind w:right="207"/>
              <w:spacing w:after="0" w:line="202" w:lineRule="exact"/>
              <w:rPr>
                <w:sz w:val="20"/>
                <w:szCs w:val="20"/>
                <w:color w:val="auto"/>
              </w:rPr>
            </w:pPr>
            <w:r>
              <w:rPr>
                <w:rFonts w:ascii="Arial" w:cs="Arial" w:eastAsia="Arial" w:hAnsi="Arial"/>
                <w:sz w:val="18"/>
                <w:szCs w:val="18"/>
                <w:b w:val="1"/>
                <w:bCs w:val="1"/>
                <w:color w:val="auto"/>
              </w:rPr>
              <w:t>5.7</w:t>
            </w:r>
          </w:p>
        </w:tc>
        <w:tc>
          <w:tcPr>
            <w:tcW w:w="98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2,235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2,085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1,874</w:t>
            </w:r>
          </w:p>
        </w:tc>
        <w:tc>
          <w:tcPr>
            <w:tcW w:w="280" w:type="dxa"/>
            <w:vAlign w:val="bottom"/>
          </w:tcPr>
          <w:p>
            <w:pPr>
              <w:spacing w:after="0"/>
              <w:rPr>
                <w:sz w:val="17"/>
                <w:szCs w:val="17"/>
                <w:color w:val="auto"/>
              </w:rPr>
            </w:pPr>
          </w:p>
        </w:tc>
        <w:tc>
          <w:tcPr>
            <w:tcW w:w="5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115</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1,989</w:t>
            </w:r>
          </w:p>
        </w:tc>
        <w:tc>
          <w:tcPr>
            <w:tcW w:w="20" w:type="dxa"/>
            <w:vAlign w:val="bottom"/>
          </w:tcPr>
          <w:p>
            <w:pPr>
              <w:spacing w:after="0"/>
              <w:rPr>
                <w:sz w:val="17"/>
                <w:szCs w:val="17"/>
                <w:color w:val="auto"/>
              </w:rPr>
            </w:pPr>
          </w:p>
        </w:tc>
        <w:tc>
          <w:tcPr>
            <w:tcW w:w="960" w:type="dxa"/>
            <w:vAlign w:val="bottom"/>
            <w:gridSpan w:val="2"/>
          </w:tcPr>
          <w:p>
            <w:pPr>
              <w:jc w:val="right"/>
              <w:ind w:right="207"/>
              <w:spacing w:after="0" w:line="202" w:lineRule="exact"/>
              <w:rPr>
                <w:sz w:val="20"/>
                <w:szCs w:val="20"/>
                <w:color w:val="auto"/>
              </w:rPr>
            </w:pPr>
            <w:r>
              <w:rPr>
                <w:rFonts w:ascii="Arial" w:cs="Arial" w:eastAsia="Arial" w:hAnsi="Arial"/>
                <w:sz w:val="18"/>
                <w:szCs w:val="18"/>
                <w:b w:val="1"/>
                <w:bCs w:val="1"/>
                <w:color w:val="auto"/>
              </w:rPr>
              <w:t>7.2</w:t>
            </w:r>
          </w:p>
        </w:tc>
        <w:tc>
          <w:tcPr>
            <w:tcW w:w="9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(896)</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7"/>
              <w:spacing w:after="0"/>
              <w:rPr>
                <w:sz w:val="20"/>
                <w:szCs w:val="20"/>
                <w:color w:val="auto"/>
              </w:rPr>
            </w:pPr>
            <w:r>
              <w:rPr>
                <w:rFonts w:ascii="Arial" w:cs="Arial" w:eastAsia="Arial" w:hAnsi="Arial"/>
                <w:sz w:val="18"/>
                <w:szCs w:val="18"/>
                <w:b w:val="1"/>
                <w:bCs w:val="1"/>
                <w:color w:val="auto"/>
              </w:rPr>
              <w:t>NM</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45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0C6DFF"/>
            </w:tcBorders>
            <w:gridSpan w:val="3"/>
          </w:tcPr>
          <w:p>
            <w:pPr>
              <w:jc w:val="right"/>
              <w:ind w:right="35"/>
              <w:spacing w:after="0" w:line="196" w:lineRule="exact"/>
              <w:rPr>
                <w:sz w:val="20"/>
                <w:szCs w:val="20"/>
                <w:color w:val="auto"/>
              </w:rPr>
            </w:pPr>
            <w:r>
              <w:rPr>
                <w:rFonts w:ascii="Arial" w:cs="Arial" w:eastAsia="Arial" w:hAnsi="Arial"/>
                <w:sz w:val="18"/>
                <w:szCs w:val="18"/>
                <w:b w:val="1"/>
                <w:bCs w:val="1"/>
                <w:color w:val="auto"/>
              </w:rPr>
              <w:t>23,650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0C6DFF"/>
            </w:tcBorders>
            <w:gridSpan w:val="2"/>
          </w:tcPr>
          <w:p>
            <w:pPr>
              <w:jc w:val="right"/>
              <w:ind w:right="35"/>
              <w:spacing w:after="0" w:line="196" w:lineRule="exact"/>
              <w:rPr>
                <w:sz w:val="20"/>
                <w:szCs w:val="20"/>
                <w:color w:val="auto"/>
              </w:rPr>
            </w:pPr>
            <w:r>
              <w:rPr>
                <w:rFonts w:ascii="Arial" w:cs="Arial" w:eastAsia="Arial" w:hAnsi="Arial"/>
                <w:sz w:val="18"/>
                <w:szCs w:val="18"/>
                <w:color w:val="auto"/>
              </w:rPr>
              <w:t>23,812</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0C6DFF"/>
            </w:tcBorders>
          </w:tcPr>
          <w:p>
            <w:pPr>
              <w:spacing w:after="0"/>
              <w:rPr>
                <w:sz w:val="17"/>
                <w:szCs w:val="17"/>
                <w:color w:val="auto"/>
              </w:rPr>
            </w:pPr>
          </w:p>
        </w:tc>
        <w:tc>
          <w:tcPr>
            <w:tcW w:w="740" w:type="dxa"/>
            <w:vAlign w:val="bottom"/>
            <w:tcBorders>
              <w:bottom w:val="single" w:sz="8" w:color="0C6DFF"/>
            </w:tcBorders>
          </w:tcPr>
          <w:p>
            <w:pPr>
              <w:jc w:val="right"/>
              <w:ind w:right="94"/>
              <w:spacing w:after="0" w:line="196" w:lineRule="exact"/>
              <w:rPr>
                <w:sz w:val="20"/>
                <w:szCs w:val="20"/>
                <w:color w:val="auto"/>
              </w:rPr>
            </w:pPr>
            <w:r>
              <w:rPr>
                <w:rFonts w:ascii="Arial" w:cs="Arial" w:eastAsia="Arial" w:hAnsi="Arial"/>
                <w:sz w:val="18"/>
                <w:szCs w:val="18"/>
                <w:color w:val="auto"/>
                <w:w w:val="98"/>
              </w:rPr>
              <w:t>19,260</w:t>
            </w:r>
          </w:p>
        </w:tc>
        <w:tc>
          <w:tcPr>
            <w:tcW w:w="860" w:type="dxa"/>
            <w:vAlign w:val="bottom"/>
            <w:tcBorders>
              <w:bottom w:val="single" w:sz="8" w:color="0C6DFF"/>
            </w:tcBorders>
            <w:gridSpan w:val="2"/>
          </w:tcPr>
          <w:p>
            <w:pPr>
              <w:jc w:val="right"/>
              <w:ind w:right="96"/>
              <w:spacing w:after="0" w:line="196" w:lineRule="exact"/>
              <w:rPr>
                <w:sz w:val="20"/>
                <w:szCs w:val="20"/>
                <w:color w:val="auto"/>
              </w:rPr>
            </w:pPr>
            <w:r>
              <w:rPr>
                <w:rFonts w:ascii="Arial" w:cs="Arial" w:eastAsia="Arial" w:hAnsi="Arial"/>
                <w:sz w:val="18"/>
                <w:szCs w:val="18"/>
                <w:color w:val="auto"/>
              </w:rPr>
              <w:t>$  1,864</w:t>
            </w:r>
          </w:p>
        </w:tc>
        <w:tc>
          <w:tcPr>
            <w:tcW w:w="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21,124</w:t>
            </w:r>
          </w:p>
        </w:tc>
        <w:tc>
          <w:tcPr>
            <w:tcW w:w="20" w:type="dxa"/>
            <w:vAlign w:val="bottom"/>
            <w:tcBorders>
              <w:bottom w:val="single" w:sz="8" w:color="0C6DFF"/>
            </w:tcBorders>
          </w:tcPr>
          <w:p>
            <w:pPr>
              <w:spacing w:after="0"/>
              <w:rPr>
                <w:sz w:val="17"/>
                <w:szCs w:val="17"/>
                <w:color w:val="auto"/>
              </w:rPr>
            </w:pPr>
          </w:p>
        </w:tc>
        <w:tc>
          <w:tcPr>
            <w:tcW w:w="96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(0.7)%</w:t>
            </w:r>
          </w:p>
        </w:tc>
        <w:tc>
          <w:tcPr>
            <w:tcW w:w="98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77"/>
        </w:trPr>
        <w:tc>
          <w:tcPr>
            <w:tcW w:w="45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3,501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vMerge w:val="restart"/>
          </w:tcPr>
          <w:p>
            <w:pPr>
              <w:jc w:val="right"/>
              <w:ind w:right="47"/>
              <w:spacing w:after="0"/>
              <w:rPr>
                <w:sz w:val="20"/>
                <w:szCs w:val="20"/>
                <w:color w:val="auto"/>
              </w:rPr>
            </w:pPr>
            <w:r>
              <w:rPr>
                <w:rFonts w:ascii="Arial" w:cs="Arial" w:eastAsia="Arial" w:hAnsi="Arial"/>
                <w:sz w:val="18"/>
                <w:szCs w:val="18"/>
                <w:b w:val="1"/>
                <w:bCs w:val="1"/>
                <w:color w:val="auto"/>
              </w:rPr>
              <w:t>6.0%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Pr>
          <w:p>
            <w:pPr>
              <w:ind w:left="200"/>
              <w:spacing w:after="0" w:line="181" w:lineRule="exact"/>
              <w:rPr>
                <w:sz w:val="20"/>
                <w:szCs w:val="20"/>
                <w:color w:val="auto"/>
              </w:rPr>
            </w:pPr>
            <w:r>
              <w:rPr>
                <w:rFonts w:ascii="Arial" w:cs="Arial" w:eastAsia="Arial" w:hAnsi="Arial"/>
                <w:sz w:val="18"/>
                <w:szCs w:val="18"/>
                <w:color w:val="auto"/>
              </w:rPr>
              <w:t>Cable Networks</w:t>
            </w:r>
          </w:p>
        </w:tc>
        <w:tc>
          <w:tcPr>
            <w:tcW w:w="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20" w:type="dxa"/>
            <w:vAlign w:val="bottom"/>
          </w:tcPr>
          <w:p>
            <w:pPr>
              <w:jc w:val="right"/>
              <w:ind w:right="35"/>
              <w:spacing w:after="0" w:line="181" w:lineRule="exact"/>
              <w:rPr>
                <w:sz w:val="20"/>
                <w:szCs w:val="20"/>
                <w:color w:val="auto"/>
              </w:rPr>
            </w:pPr>
            <w:r>
              <w:rPr>
                <w:rFonts w:ascii="Arial" w:cs="Arial" w:eastAsia="Arial" w:hAnsi="Arial"/>
                <w:sz w:val="18"/>
                <w:szCs w:val="18"/>
                <w:color w:val="auto"/>
              </w:rPr>
              <w:t>3,303</w:t>
            </w:r>
          </w:p>
        </w:tc>
        <w:tc>
          <w:tcPr>
            <w:tcW w:w="18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tcPr>
          <w:p>
            <w:pPr>
              <w:jc w:val="right"/>
              <w:ind w:right="94"/>
              <w:spacing w:after="0" w:line="181" w:lineRule="exact"/>
              <w:rPr>
                <w:sz w:val="20"/>
                <w:szCs w:val="20"/>
                <w:color w:val="auto"/>
              </w:rPr>
            </w:pPr>
            <w:r>
              <w:rPr>
                <w:rFonts w:ascii="Arial" w:cs="Arial" w:eastAsia="Arial" w:hAnsi="Arial"/>
                <w:sz w:val="18"/>
                <w:szCs w:val="18"/>
                <w:color w:val="auto"/>
              </w:rPr>
              <w:t>3,199</w:t>
            </w:r>
          </w:p>
        </w:tc>
        <w:tc>
          <w:tcPr>
            <w:tcW w:w="28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96"/>
              <w:spacing w:after="0" w:line="181" w:lineRule="exact"/>
              <w:rPr>
                <w:sz w:val="20"/>
                <w:szCs w:val="20"/>
                <w:color w:val="auto"/>
              </w:rPr>
            </w:pPr>
            <w:r>
              <w:rPr>
                <w:rFonts w:ascii="Arial" w:cs="Arial" w:eastAsia="Arial" w:hAnsi="Arial"/>
                <w:sz w:val="18"/>
                <w:szCs w:val="18"/>
                <w:color w:val="auto"/>
              </w:rPr>
              <w:t>153</w:t>
            </w:r>
          </w:p>
        </w:tc>
        <w:tc>
          <w:tcPr>
            <w:tcW w:w="22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line="181" w:lineRule="exact"/>
              <w:rPr>
                <w:sz w:val="20"/>
                <w:szCs w:val="20"/>
                <w:color w:val="auto"/>
              </w:rPr>
            </w:pPr>
            <w:r>
              <w:rPr>
                <w:rFonts w:ascii="Arial" w:cs="Arial" w:eastAsia="Arial" w:hAnsi="Arial"/>
                <w:sz w:val="18"/>
                <w:szCs w:val="18"/>
                <w:color w:val="auto"/>
              </w:rPr>
              <w:t>3,352</w:t>
            </w:r>
          </w:p>
        </w:tc>
        <w:tc>
          <w:tcPr>
            <w:tcW w:w="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345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358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124</w:t>
            </w:r>
          </w:p>
        </w:tc>
        <w:tc>
          <w:tcPr>
            <w:tcW w:w="280" w:type="dxa"/>
            <w:vAlign w:val="bottom"/>
          </w:tcPr>
          <w:p>
            <w:pPr>
              <w:spacing w:after="0"/>
              <w:rPr>
                <w:sz w:val="17"/>
                <w:szCs w:val="17"/>
                <w:color w:val="auto"/>
              </w:rPr>
            </w:pP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109</w:t>
            </w:r>
          </w:p>
        </w:tc>
        <w:tc>
          <w:tcPr>
            <w:tcW w:w="20" w:type="dxa"/>
            <w:vAlign w:val="bottom"/>
          </w:tcPr>
          <w:p>
            <w:pPr>
              <w:spacing w:after="0"/>
              <w:rPr>
                <w:sz w:val="17"/>
                <w:szCs w:val="17"/>
                <w:color w:val="auto"/>
              </w:rPr>
            </w:pPr>
          </w:p>
        </w:tc>
        <w:tc>
          <w:tcPr>
            <w:tcW w:w="960" w:type="dxa"/>
            <w:vAlign w:val="bottom"/>
            <w:gridSpan w:val="2"/>
          </w:tcPr>
          <w:p>
            <w:pPr>
              <w:jc w:val="right"/>
              <w:ind w:right="147"/>
              <w:spacing w:after="0" w:line="202" w:lineRule="exact"/>
              <w:rPr>
                <w:sz w:val="20"/>
                <w:szCs w:val="20"/>
                <w:color w:val="auto"/>
              </w:rPr>
            </w:pPr>
            <w:r>
              <w:rPr>
                <w:rFonts w:ascii="Arial" w:cs="Arial" w:eastAsia="Arial" w:hAnsi="Arial"/>
                <w:sz w:val="18"/>
                <w:szCs w:val="18"/>
                <w:b w:val="1"/>
                <w:bCs w:val="1"/>
                <w:color w:val="auto"/>
              </w:rPr>
              <w:t>(3.6)</w:t>
            </w:r>
          </w:p>
        </w:tc>
        <w:tc>
          <w:tcPr>
            <w:tcW w:w="98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483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5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960" w:type="dxa"/>
            <w:vAlign w:val="bottom"/>
            <w:gridSpan w:val="2"/>
          </w:tcPr>
          <w:p>
            <w:pPr>
              <w:jc w:val="right"/>
              <w:ind w:right="207"/>
              <w:spacing w:after="0" w:line="202" w:lineRule="exact"/>
              <w:rPr>
                <w:sz w:val="20"/>
                <w:szCs w:val="20"/>
                <w:color w:val="auto"/>
              </w:rPr>
            </w:pPr>
            <w:r>
              <w:rPr>
                <w:rFonts w:ascii="Arial" w:cs="Arial" w:eastAsia="Arial" w:hAnsi="Arial"/>
                <w:sz w:val="18"/>
                <w:szCs w:val="18"/>
                <w:b w:val="1"/>
                <w:bCs w:val="1"/>
                <w:color w:val="auto"/>
              </w:rPr>
              <w:t>509.7</w:t>
            </w:r>
          </w:p>
        </w:tc>
        <w:tc>
          <w:tcPr>
            <w:tcW w:w="980" w:type="dxa"/>
            <w:vAlign w:val="bottom"/>
          </w:tcPr>
          <w:p>
            <w:pPr>
              <w:jc w:val="right"/>
              <w:ind w:right="197"/>
              <w:spacing w:after="0" w:line="202" w:lineRule="exact"/>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1,004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953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830</w:t>
            </w:r>
          </w:p>
        </w:tc>
        <w:tc>
          <w:tcPr>
            <w:tcW w:w="280" w:type="dxa"/>
            <w:vAlign w:val="bottom"/>
          </w:tcPr>
          <w:p>
            <w:pPr>
              <w:spacing w:after="0"/>
              <w:rPr>
                <w:sz w:val="17"/>
                <w:szCs w:val="17"/>
                <w:color w:val="auto"/>
              </w:rPr>
            </w:pPr>
          </w:p>
        </w:tc>
        <w:tc>
          <w:tcPr>
            <w:tcW w:w="5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7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867</w:t>
            </w:r>
          </w:p>
        </w:tc>
        <w:tc>
          <w:tcPr>
            <w:tcW w:w="20" w:type="dxa"/>
            <w:vAlign w:val="bottom"/>
          </w:tcPr>
          <w:p>
            <w:pPr>
              <w:spacing w:after="0"/>
              <w:rPr>
                <w:sz w:val="17"/>
                <w:szCs w:val="17"/>
                <w:color w:val="auto"/>
              </w:rPr>
            </w:pPr>
          </w:p>
        </w:tc>
        <w:tc>
          <w:tcPr>
            <w:tcW w:w="960" w:type="dxa"/>
            <w:vAlign w:val="bottom"/>
            <w:gridSpan w:val="2"/>
          </w:tcPr>
          <w:p>
            <w:pPr>
              <w:jc w:val="right"/>
              <w:ind w:right="207"/>
              <w:spacing w:after="0" w:line="202" w:lineRule="exact"/>
              <w:rPr>
                <w:sz w:val="20"/>
                <w:szCs w:val="20"/>
                <w:color w:val="auto"/>
              </w:rPr>
            </w:pPr>
            <w:r>
              <w:rPr>
                <w:rFonts w:ascii="Arial" w:cs="Arial" w:eastAsia="Arial" w:hAnsi="Arial"/>
                <w:sz w:val="18"/>
                <w:szCs w:val="18"/>
                <w:b w:val="1"/>
                <w:bCs w:val="1"/>
                <w:color w:val="auto"/>
              </w:rPr>
              <w:t>5.3</w:t>
            </w:r>
          </w:p>
        </w:tc>
        <w:tc>
          <w:tcPr>
            <w:tcW w:w="9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Headquarters, other and eliminations</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(718)</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rPr>
              <w:t>(2.3)</w:t>
            </w: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00" w:type="dxa"/>
            <w:vAlign w:val="bottom"/>
          </w:tcPr>
          <w:p>
            <w:pPr>
              <w:spacing w:after="0" w:line="177" w:lineRule="exact"/>
              <w:rPr>
                <w:sz w:val="20"/>
                <w:szCs w:val="20"/>
                <w:color w:val="auto"/>
              </w:rPr>
            </w:pPr>
            <w:r>
              <w:rPr>
                <w:rFonts w:ascii="Arial" w:cs="Arial" w:eastAsia="Arial" w:hAnsi="Arial"/>
                <w:sz w:val="18"/>
                <w:szCs w:val="18"/>
                <w:b w:val="1"/>
                <w:bCs w:val="1"/>
                <w:color w:val="auto"/>
              </w:rPr>
              <w:t>Total operating income before depreciation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0C6DFF"/>
            </w:tcBorders>
          </w:tcPr>
          <w:p>
            <w:pPr>
              <w:spacing w:after="0"/>
              <w:rPr>
                <w:sz w:val="19"/>
                <w:szCs w:val="19"/>
                <w:color w:val="auto"/>
              </w:rPr>
            </w:pPr>
          </w:p>
        </w:tc>
        <w:tc>
          <w:tcPr>
            <w:tcW w:w="200" w:type="dxa"/>
            <w:vAlign w:val="bottom"/>
            <w:tcBorders>
              <w:bottom w:val="single" w:sz="8" w:color="0C6DFF"/>
            </w:tcBorders>
          </w:tcPr>
          <w:p>
            <w:pPr>
              <w:spacing w:after="0"/>
              <w:rPr>
                <w:sz w:val="19"/>
                <w:szCs w:val="19"/>
                <w:color w:val="auto"/>
              </w:rPr>
            </w:pPr>
          </w:p>
        </w:tc>
        <w:tc>
          <w:tcPr>
            <w:tcW w:w="60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b w:val="1"/>
                <w:bCs w:val="1"/>
                <w:color w:val="auto"/>
              </w:rPr>
              <w:t>4,732</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C6DFF"/>
            </w:tcBorders>
          </w:tcPr>
          <w:p>
            <w:pPr>
              <w:spacing w:after="0"/>
              <w:rPr>
                <w:sz w:val="19"/>
                <w:szCs w:val="19"/>
                <w:color w:val="auto"/>
              </w:rPr>
            </w:pPr>
          </w:p>
        </w:tc>
        <w:tc>
          <w:tcPr>
            <w:tcW w:w="620" w:type="dxa"/>
            <w:vAlign w:val="bottom"/>
            <w:tcBorders>
              <w:bottom w:val="single" w:sz="8" w:color="0C6DFF"/>
            </w:tcBorders>
          </w:tcPr>
          <w:p>
            <w:pPr>
              <w:jc w:val="right"/>
              <w:ind w:right="35"/>
              <w:spacing w:after="0"/>
              <w:rPr>
                <w:sz w:val="20"/>
                <w:szCs w:val="20"/>
                <w:color w:val="auto"/>
              </w:rPr>
            </w:pPr>
            <w:r>
              <w:rPr>
                <w:rFonts w:ascii="Arial" w:cs="Arial" w:eastAsia="Arial" w:hAnsi="Arial"/>
                <w:sz w:val="18"/>
                <w:szCs w:val="18"/>
                <w:color w:val="auto"/>
              </w:rPr>
              <w:t>4,107</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0C6DFF"/>
            </w:tcBorders>
          </w:tcPr>
          <w:p>
            <w:pPr>
              <w:spacing w:after="0"/>
              <w:rPr>
                <w:sz w:val="19"/>
                <w:szCs w:val="19"/>
                <w:color w:val="auto"/>
              </w:rPr>
            </w:pPr>
          </w:p>
        </w:tc>
        <w:tc>
          <w:tcPr>
            <w:tcW w:w="740" w:type="dxa"/>
            <w:vAlign w:val="bottom"/>
            <w:tcBorders>
              <w:bottom w:val="single" w:sz="8" w:color="0C6DFF"/>
            </w:tcBorders>
          </w:tcPr>
          <w:p>
            <w:pPr>
              <w:jc w:val="right"/>
              <w:ind w:right="94"/>
              <w:spacing w:after="0"/>
              <w:rPr>
                <w:sz w:val="20"/>
                <w:szCs w:val="20"/>
                <w:color w:val="auto"/>
              </w:rPr>
            </w:pPr>
            <w:r>
              <w:rPr>
                <w:rFonts w:ascii="Arial" w:cs="Arial" w:eastAsia="Arial" w:hAnsi="Arial"/>
                <w:sz w:val="18"/>
                <w:szCs w:val="18"/>
                <w:color w:val="auto"/>
              </w:rPr>
              <w:t>3,462</w:t>
            </w:r>
          </w:p>
        </w:tc>
        <w:tc>
          <w:tcPr>
            <w:tcW w:w="280" w:type="dxa"/>
            <w:vAlign w:val="bottom"/>
            <w:tcBorders>
              <w:bottom w:val="single" w:sz="8" w:color="0C6DFF"/>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96"/>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0C6DFF"/>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15"/>
              <w:spacing w:after="0"/>
              <w:rPr>
                <w:sz w:val="20"/>
                <w:szCs w:val="20"/>
                <w:color w:val="auto"/>
              </w:rPr>
            </w:pPr>
            <w:r>
              <w:rPr>
                <w:rFonts w:ascii="Arial" w:cs="Arial" w:eastAsia="Arial" w:hAnsi="Arial"/>
                <w:sz w:val="18"/>
                <w:szCs w:val="18"/>
                <w:color w:val="auto"/>
              </w:rPr>
              <w:t>3,769</w:t>
            </w:r>
          </w:p>
        </w:tc>
        <w:tc>
          <w:tcPr>
            <w:tcW w:w="20" w:type="dxa"/>
            <w:vAlign w:val="bottom"/>
            <w:tcBorders>
              <w:bottom w:val="single" w:sz="8" w:color="0C6DFF"/>
            </w:tcBorders>
          </w:tcPr>
          <w:p>
            <w:pPr>
              <w:spacing w:after="0"/>
              <w:rPr>
                <w:sz w:val="19"/>
                <w:szCs w:val="19"/>
                <w:color w:val="auto"/>
              </w:rPr>
            </w:pPr>
          </w:p>
        </w:tc>
        <w:tc>
          <w:tcPr>
            <w:tcW w:w="960" w:type="dxa"/>
            <w:vAlign w:val="bottom"/>
            <w:tcBorders>
              <w:bottom w:val="single" w:sz="8" w:color="0C6DFF"/>
            </w:tcBorders>
            <w:gridSpan w:val="2"/>
          </w:tcPr>
          <w:p>
            <w:pPr>
              <w:jc w:val="right"/>
              <w:ind w:right="47"/>
              <w:spacing w:after="0"/>
              <w:rPr>
                <w:sz w:val="20"/>
                <w:szCs w:val="20"/>
                <w:color w:val="auto"/>
              </w:rPr>
            </w:pPr>
            <w:r>
              <w:rPr>
                <w:rFonts w:ascii="Arial" w:cs="Arial" w:eastAsia="Arial" w:hAnsi="Arial"/>
                <w:sz w:val="18"/>
                <w:szCs w:val="18"/>
                <w:b w:val="1"/>
                <w:bCs w:val="1"/>
                <w:color w:val="auto"/>
              </w:rPr>
              <w:t>15.2%</w:t>
            </w:r>
          </w:p>
        </w:tc>
        <w:tc>
          <w:tcPr>
            <w:tcW w:w="980" w:type="dxa"/>
            <w:vAlign w:val="bottom"/>
            <w:tcBorders>
              <w:bottom w:val="single" w:sz="8" w:color="0C6DFF"/>
            </w:tcBorders>
          </w:tcPr>
          <w:p>
            <w:pPr>
              <w:jc w:val="right"/>
              <w:ind w:right="37"/>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70"/>
        </w:trPr>
        <w:tc>
          <w:tcPr>
            <w:tcW w:w="5960" w:type="dxa"/>
            <w:vAlign w:val="bottom"/>
            <w:gridSpan w:val="8"/>
          </w:tcPr>
          <w:p>
            <w:pPr>
              <w:spacing w:after="0"/>
              <w:rPr>
                <w:sz w:val="20"/>
                <w:szCs w:val="20"/>
                <w:color w:val="auto"/>
              </w:rPr>
            </w:pPr>
            <w:r>
              <w:rPr>
                <w:rFonts w:ascii="Arial" w:cs="Arial" w:eastAsia="Arial" w:hAnsi="Arial"/>
                <w:sz w:val="18"/>
                <w:szCs w:val="18"/>
                <w:b w:val="1"/>
                <w:bCs w:val="1"/>
                <w:color w:val="0C6DFF"/>
                <w:w w:val="98"/>
              </w:rPr>
              <w:t>Cable Networks Segment Actual and Pro Forma Results of Operations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4500" w:type="dxa"/>
            <w:vAlign w:val="bottom"/>
            <w:tcBorders>
              <w:bottom w:val="single" w:sz="8" w:color="0C6DFF"/>
            </w:tcBorders>
          </w:tcPr>
          <w:p>
            <w:pPr>
              <w:spacing w:after="0"/>
              <w:rPr>
                <w:sz w:val="3"/>
                <w:szCs w:val="3"/>
                <w:color w:val="auto"/>
              </w:rPr>
            </w:pPr>
          </w:p>
        </w:tc>
        <w:tc>
          <w:tcPr>
            <w:tcW w:w="180" w:type="dxa"/>
            <w:vAlign w:val="bottom"/>
            <w:tcBorders>
              <w:bottom w:val="single" w:sz="8" w:color="0C6DFF"/>
            </w:tcBorders>
          </w:tcPr>
          <w:p>
            <w:pPr>
              <w:spacing w:after="0"/>
              <w:rPr>
                <w:sz w:val="3"/>
                <w:szCs w:val="3"/>
                <w:color w:val="auto"/>
              </w:rPr>
            </w:pPr>
          </w:p>
        </w:tc>
        <w:tc>
          <w:tcPr>
            <w:tcW w:w="80" w:type="dxa"/>
            <w:vAlign w:val="bottom"/>
            <w:tcBorders>
              <w:bottom w:val="single" w:sz="8" w:color="0C6DFF"/>
            </w:tcBorders>
          </w:tcPr>
          <w:p>
            <w:pPr>
              <w:spacing w:after="0"/>
              <w:rPr>
                <w:sz w:val="3"/>
                <w:szCs w:val="3"/>
                <w:color w:val="auto"/>
              </w:rPr>
            </w:pPr>
          </w:p>
        </w:tc>
        <w:tc>
          <w:tcPr>
            <w:tcW w:w="200" w:type="dxa"/>
            <w:vAlign w:val="bottom"/>
            <w:tcBorders>
              <w:bottom w:val="single" w:sz="8" w:color="0C6DFF"/>
            </w:tcBorders>
          </w:tcPr>
          <w:p>
            <w:pPr>
              <w:spacing w:after="0"/>
              <w:rPr>
                <w:sz w:val="3"/>
                <w:szCs w:val="3"/>
                <w:color w:val="auto"/>
              </w:rPr>
            </w:pPr>
          </w:p>
        </w:tc>
        <w:tc>
          <w:tcPr>
            <w:tcW w:w="600" w:type="dxa"/>
            <w:vAlign w:val="bottom"/>
            <w:tcBorders>
              <w:bottom w:val="single" w:sz="8" w:color="0C6DFF"/>
            </w:tcBorders>
          </w:tcPr>
          <w:p>
            <w:pPr>
              <w:spacing w:after="0"/>
              <w:rPr>
                <w:sz w:val="3"/>
                <w:szCs w:val="3"/>
                <w:color w:val="auto"/>
              </w:rPr>
            </w:pPr>
          </w:p>
        </w:tc>
        <w:tc>
          <w:tcPr>
            <w:tcW w:w="180" w:type="dxa"/>
            <w:vAlign w:val="bottom"/>
            <w:tcBorders>
              <w:bottom w:val="single" w:sz="8" w:color="0C6DFF"/>
            </w:tcBorders>
          </w:tcPr>
          <w:p>
            <w:pPr>
              <w:spacing w:after="0"/>
              <w:rPr>
                <w:sz w:val="3"/>
                <w:szCs w:val="3"/>
                <w:color w:val="auto"/>
              </w:rPr>
            </w:pPr>
          </w:p>
        </w:tc>
        <w:tc>
          <w:tcPr>
            <w:tcW w:w="200" w:type="dxa"/>
            <w:vAlign w:val="bottom"/>
            <w:tcBorders>
              <w:bottom w:val="single" w:sz="8" w:color="0C6DFF"/>
            </w:tcBorders>
          </w:tcPr>
          <w:p>
            <w:pPr>
              <w:spacing w:after="0"/>
              <w:rPr>
                <w:sz w:val="3"/>
                <w:szCs w:val="3"/>
                <w:color w:val="auto"/>
              </w:rPr>
            </w:pPr>
          </w:p>
        </w:tc>
        <w:tc>
          <w:tcPr>
            <w:tcW w:w="620" w:type="dxa"/>
            <w:vAlign w:val="bottom"/>
            <w:tcBorders>
              <w:bottom w:val="single" w:sz="8" w:color="0C6DFF"/>
            </w:tcBorders>
          </w:tcPr>
          <w:p>
            <w:pPr>
              <w:spacing w:after="0"/>
              <w:rPr>
                <w:sz w:val="3"/>
                <w:szCs w:val="3"/>
                <w:color w:val="auto"/>
              </w:rPr>
            </w:pPr>
          </w:p>
        </w:tc>
        <w:tc>
          <w:tcPr>
            <w:tcW w:w="180" w:type="dxa"/>
            <w:vAlign w:val="bottom"/>
            <w:tcBorders>
              <w:bottom w:val="single" w:sz="8" w:color="0C6DFF"/>
            </w:tcBorders>
          </w:tcPr>
          <w:p>
            <w:pPr>
              <w:spacing w:after="0"/>
              <w:rPr>
                <w:sz w:val="3"/>
                <w:szCs w:val="3"/>
                <w:color w:val="auto"/>
              </w:rPr>
            </w:pPr>
          </w:p>
        </w:tc>
        <w:tc>
          <w:tcPr>
            <w:tcW w:w="160" w:type="dxa"/>
            <w:vAlign w:val="bottom"/>
            <w:tcBorders>
              <w:bottom w:val="single" w:sz="8" w:color="0C6DFF"/>
            </w:tcBorders>
          </w:tcPr>
          <w:p>
            <w:pPr>
              <w:spacing w:after="0"/>
              <w:rPr>
                <w:sz w:val="3"/>
                <w:szCs w:val="3"/>
                <w:color w:val="auto"/>
              </w:rPr>
            </w:pPr>
          </w:p>
        </w:tc>
        <w:tc>
          <w:tcPr>
            <w:tcW w:w="740" w:type="dxa"/>
            <w:vAlign w:val="bottom"/>
            <w:tcBorders>
              <w:bottom w:val="single" w:sz="8" w:color="0C6DFF"/>
            </w:tcBorders>
          </w:tcPr>
          <w:p>
            <w:pPr>
              <w:spacing w:after="0"/>
              <w:rPr>
                <w:sz w:val="3"/>
                <w:szCs w:val="3"/>
                <w:color w:val="auto"/>
              </w:rPr>
            </w:pPr>
          </w:p>
        </w:tc>
        <w:tc>
          <w:tcPr>
            <w:tcW w:w="280" w:type="dxa"/>
            <w:vAlign w:val="bottom"/>
            <w:tcBorders>
              <w:bottom w:val="single" w:sz="8" w:color="0C6DFF"/>
            </w:tcBorders>
          </w:tcPr>
          <w:p>
            <w:pPr>
              <w:spacing w:after="0"/>
              <w:rPr>
                <w:sz w:val="3"/>
                <w:szCs w:val="3"/>
                <w:color w:val="auto"/>
              </w:rPr>
            </w:pPr>
          </w:p>
        </w:tc>
        <w:tc>
          <w:tcPr>
            <w:tcW w:w="580" w:type="dxa"/>
            <w:vAlign w:val="bottom"/>
            <w:tcBorders>
              <w:bottom w:val="single" w:sz="8" w:color="0C6DFF"/>
            </w:tcBorders>
          </w:tcPr>
          <w:p>
            <w:pPr>
              <w:spacing w:after="0"/>
              <w:rPr>
                <w:sz w:val="3"/>
                <w:szCs w:val="3"/>
                <w:color w:val="auto"/>
              </w:rPr>
            </w:pPr>
          </w:p>
        </w:tc>
        <w:tc>
          <w:tcPr>
            <w:tcW w:w="220" w:type="dxa"/>
            <w:vAlign w:val="bottom"/>
            <w:tcBorders>
              <w:bottom w:val="single" w:sz="8" w:color="0C6DFF"/>
            </w:tcBorders>
          </w:tcPr>
          <w:p>
            <w:pPr>
              <w:spacing w:after="0"/>
              <w:rPr>
                <w:sz w:val="3"/>
                <w:szCs w:val="3"/>
                <w:color w:val="auto"/>
              </w:rPr>
            </w:pPr>
          </w:p>
        </w:tc>
        <w:tc>
          <w:tcPr>
            <w:tcW w:w="720" w:type="dxa"/>
            <w:vAlign w:val="bottom"/>
            <w:tcBorders>
              <w:bottom w:val="single" w:sz="8" w:color="0C6DFF"/>
            </w:tcBorders>
          </w:tcPr>
          <w:p>
            <w:pPr>
              <w:spacing w:after="0"/>
              <w:rPr>
                <w:sz w:val="3"/>
                <w:szCs w:val="3"/>
                <w:color w:val="auto"/>
              </w:rPr>
            </w:pPr>
          </w:p>
        </w:tc>
        <w:tc>
          <w:tcPr>
            <w:tcW w:w="20" w:type="dxa"/>
            <w:vAlign w:val="bottom"/>
            <w:tcBorders>
              <w:bottom w:val="single" w:sz="8" w:color="0C6DFF"/>
            </w:tcBorders>
          </w:tcPr>
          <w:p>
            <w:pPr>
              <w:spacing w:after="0"/>
              <w:rPr>
                <w:sz w:val="3"/>
                <w:szCs w:val="3"/>
                <w:color w:val="auto"/>
              </w:rPr>
            </w:pPr>
          </w:p>
        </w:tc>
        <w:tc>
          <w:tcPr>
            <w:tcW w:w="40" w:type="dxa"/>
            <w:vAlign w:val="bottom"/>
            <w:tcBorders>
              <w:bottom w:val="single" w:sz="8" w:color="0C6DFF"/>
            </w:tcBorders>
          </w:tcPr>
          <w:p>
            <w:pPr>
              <w:spacing w:after="0"/>
              <w:rPr>
                <w:sz w:val="3"/>
                <w:szCs w:val="3"/>
                <w:color w:val="auto"/>
              </w:rPr>
            </w:pPr>
          </w:p>
        </w:tc>
        <w:tc>
          <w:tcPr>
            <w:tcW w:w="920" w:type="dxa"/>
            <w:vAlign w:val="bottom"/>
            <w:tcBorders>
              <w:bottom w:val="single" w:sz="8" w:color="0C6DFF"/>
            </w:tcBorders>
          </w:tcPr>
          <w:p>
            <w:pPr>
              <w:spacing w:after="0"/>
              <w:rPr>
                <w:sz w:val="3"/>
                <w:szCs w:val="3"/>
                <w:color w:val="auto"/>
              </w:rPr>
            </w:pPr>
          </w:p>
        </w:tc>
        <w:tc>
          <w:tcPr>
            <w:tcW w:w="980" w:type="dxa"/>
            <w:vAlign w:val="bottom"/>
            <w:tcBorders>
              <w:bottom w:val="single" w:sz="8" w:color="0C6DFF"/>
            </w:tcBorders>
          </w:tcPr>
          <w:p>
            <w:pPr>
              <w:spacing w:after="0"/>
              <w:rPr>
                <w:sz w:val="3"/>
                <w:szCs w:val="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gridSpan w:val="3"/>
          </w:tcPr>
          <w:p>
            <w:pPr>
              <w:ind w:left="220"/>
              <w:spacing w:after="0" w:line="141" w:lineRule="exact"/>
              <w:rPr>
                <w:sz w:val="20"/>
                <w:szCs w:val="20"/>
                <w:color w:val="auto"/>
              </w:rPr>
            </w:pPr>
            <w:r>
              <w:rPr>
                <w:rFonts w:ascii="Arial" w:cs="Arial" w:eastAsia="Arial" w:hAnsi="Arial"/>
                <w:sz w:val="14"/>
                <w:szCs w:val="14"/>
                <w:color w:val="auto"/>
              </w:rPr>
              <w:t>Pro Forma</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
              <w:spacing w:after="0" w:line="149" w:lineRule="exact"/>
              <w:rPr>
                <w:sz w:val="20"/>
                <w:szCs w:val="20"/>
                <w:color w:val="auto"/>
              </w:rPr>
            </w:pPr>
            <w:r>
              <w:rPr>
                <w:rFonts w:ascii="Arial" w:cs="Arial" w:eastAsia="Arial" w:hAnsi="Arial"/>
                <w:sz w:val="14"/>
                <w:szCs w:val="14"/>
                <w:color w:val="auto"/>
              </w:rPr>
              <w:t>Actual</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4"/>
              <w:spacing w:after="0" w:line="149" w:lineRule="exact"/>
              <w:rPr>
                <w:sz w:val="20"/>
                <w:szCs w:val="20"/>
                <w:color w:val="auto"/>
              </w:rPr>
            </w:pPr>
            <w:r>
              <w:rPr>
                <w:rFonts w:ascii="Arial" w:cs="Arial" w:eastAsia="Arial" w:hAnsi="Arial"/>
                <w:sz w:val="14"/>
                <w:szCs w:val="14"/>
                <w:color w:val="auto"/>
              </w:rPr>
              <w:t>Actual</w:t>
            </w:r>
          </w:p>
        </w:tc>
        <w:tc>
          <w:tcPr>
            <w:tcW w:w="860" w:type="dxa"/>
            <w:vAlign w:val="bottom"/>
            <w:tcBorders>
              <w:bottom w:val="single" w:sz="8" w:color="auto"/>
            </w:tcBorders>
            <w:gridSpan w:val="2"/>
          </w:tcPr>
          <w:p>
            <w:pPr>
              <w:ind w:left="180"/>
              <w:spacing w:after="0" w:line="149" w:lineRule="exact"/>
              <w:rPr>
                <w:sz w:val="20"/>
                <w:szCs w:val="20"/>
                <w:color w:val="auto"/>
              </w:rPr>
            </w:pPr>
            <w:r>
              <w:rPr>
                <w:rFonts w:ascii="Arial" w:cs="Arial" w:eastAsia="Arial" w:hAnsi="Arial"/>
                <w:sz w:val="14"/>
                <w:szCs w:val="14"/>
                <w:color w:val="auto"/>
                <w:w w:val="99"/>
              </w:rPr>
              <w:t>Pro Forma</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Combined</w:t>
            </w:r>
          </w:p>
        </w:tc>
        <w:tc>
          <w:tcPr>
            <w:tcW w:w="4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For the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Period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vMerge w:val="restart"/>
          </w:tcPr>
          <w:p>
            <w:pPr>
              <w:jc w:val="right"/>
              <w:ind w:right="147"/>
              <w:spacing w:after="0"/>
              <w:rPr>
                <w:sz w:val="20"/>
                <w:szCs w:val="20"/>
                <w:color w:val="auto"/>
              </w:rPr>
            </w:pPr>
            <w:r>
              <w:rPr>
                <w:rFonts w:ascii="Arial" w:cs="Arial" w:eastAsia="Arial" w:hAnsi="Arial"/>
                <w:sz w:val="14"/>
                <w:szCs w:val="14"/>
                <w:b w:val="1"/>
                <w:bCs w:val="1"/>
                <w:color w:val="auto"/>
              </w:rPr>
              <w:t>% Change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tcPr>
          <w:p>
            <w:pPr>
              <w:jc w:val="right"/>
              <w:ind w:right="197"/>
              <w:spacing w:after="0" w:line="146"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Year Ended</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Year Ended</w:t>
            </w:r>
          </w:p>
        </w:tc>
        <w:tc>
          <w:tcPr>
            <w:tcW w:w="2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through</w:t>
            </w:r>
          </w:p>
        </w:tc>
        <w:tc>
          <w:tcPr>
            <w:tcW w:w="22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Year Ended</w:t>
            </w:r>
          </w:p>
        </w:tc>
        <w:tc>
          <w:tcPr>
            <w:tcW w:w="960" w:type="dxa"/>
            <w:vAlign w:val="bottom"/>
            <w:gridSpan w:val="2"/>
          </w:tcPr>
          <w:p>
            <w:pPr>
              <w:jc w:val="right"/>
              <w:ind w:right="147"/>
              <w:spacing w:after="0" w:line="149" w:lineRule="exact"/>
              <w:rPr>
                <w:sz w:val="20"/>
                <w:szCs w:val="20"/>
                <w:color w:val="auto"/>
              </w:rPr>
            </w:pPr>
            <w:r>
              <w:rPr>
                <w:rFonts w:ascii="Arial" w:cs="Arial" w:eastAsia="Arial" w:hAnsi="Arial"/>
                <w:sz w:val="14"/>
                <w:szCs w:val="14"/>
                <w:b w:val="1"/>
                <w:bCs w:val="1"/>
                <w:color w:val="auto"/>
              </w:rPr>
              <w:t>2012</w:t>
            </w:r>
          </w:p>
        </w:tc>
        <w:tc>
          <w:tcPr>
            <w:tcW w:w="980" w:type="dxa"/>
            <w:vAlign w:val="bottom"/>
          </w:tcPr>
          <w:p>
            <w:pPr>
              <w:jc w:val="right"/>
              <w:ind w:right="177"/>
              <w:spacing w:after="0" w:line="14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5"/>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December 31</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w w:val="97"/>
              </w:rPr>
              <w:t>December 31</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January 28</w:t>
            </w:r>
          </w:p>
        </w:tc>
        <w:tc>
          <w:tcPr>
            <w:tcW w:w="9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5"/>
              </w:rPr>
              <w:t>December 31</w:t>
            </w: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to 2013</w:t>
            </w:r>
          </w:p>
        </w:tc>
        <w:tc>
          <w:tcPr>
            <w:tcW w:w="9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to 2012</w:t>
            </w:r>
          </w:p>
        </w:tc>
        <w:tc>
          <w:tcPr>
            <w:tcW w:w="0" w:type="dxa"/>
            <w:vAlign w:val="bottom"/>
          </w:tcPr>
          <w:p>
            <w:pPr>
              <w:spacing w:after="0"/>
              <w:rPr>
                <w:sz w:val="1"/>
                <w:szCs w:val="1"/>
                <w:color w:val="auto"/>
              </w:rPr>
            </w:pPr>
          </w:p>
        </w:tc>
      </w:tr>
      <w:tr>
        <w:trPr>
          <w:trHeight w:val="199"/>
        </w:trPr>
        <w:tc>
          <w:tcPr>
            <w:tcW w:w="45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7"/>
                <w:szCs w:val="17"/>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4,905</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6.5%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Pr>
          <w:p>
            <w:pPr>
              <w:ind w:left="200"/>
              <w:spacing w:after="0" w:line="181" w:lineRule="exact"/>
              <w:rPr>
                <w:sz w:val="20"/>
                <w:szCs w:val="20"/>
                <w:color w:val="auto"/>
              </w:rPr>
            </w:pPr>
            <w:r>
              <w:rPr>
                <w:rFonts w:ascii="Arial" w:cs="Arial" w:eastAsia="Arial" w:hAnsi="Arial"/>
                <w:sz w:val="18"/>
                <w:szCs w:val="18"/>
                <w:color w:val="auto"/>
              </w:rPr>
              <w:t>Distribution</w:t>
            </w:r>
          </w:p>
        </w:tc>
        <w:tc>
          <w:tcPr>
            <w:tcW w:w="1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ind w:left="100"/>
              <w:spacing w:after="0" w:line="181"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4,604</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4,210</w:t>
            </w:r>
          </w:p>
        </w:tc>
        <w:tc>
          <w:tcPr>
            <w:tcW w:w="280" w:type="dxa"/>
            <w:vAlign w:val="bottom"/>
          </w:tcPr>
          <w:p>
            <w:pPr>
              <w:ind w:left="160"/>
              <w:spacing w:after="0" w:line="181"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188</w:t>
            </w:r>
          </w:p>
        </w:tc>
        <w:tc>
          <w:tcPr>
            <w:tcW w:w="220" w:type="dxa"/>
            <w:vAlign w:val="bottom"/>
          </w:tcPr>
          <w:p>
            <w:pPr>
              <w:ind w:left="120"/>
              <w:spacing w:after="0" w:line="18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4,398</w:t>
            </w:r>
          </w:p>
        </w:tc>
        <w:tc>
          <w:tcPr>
            <w:tcW w:w="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tcPr>
          <w:p>
            <w:pPr>
              <w:jc w:val="right"/>
              <w:ind w:right="37"/>
              <w:spacing w:after="0" w:line="181"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3,536</w:t>
            </w:r>
          </w:p>
        </w:tc>
        <w:tc>
          <w:tcPr>
            <w:tcW w:w="2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3,389</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3,154</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3,316</w:t>
            </w:r>
          </w:p>
        </w:tc>
        <w:tc>
          <w:tcPr>
            <w:tcW w:w="20" w:type="dxa"/>
            <w:vAlign w:val="bottom"/>
          </w:tcPr>
          <w:p>
            <w:pPr>
              <w:spacing w:after="0"/>
              <w:rPr>
                <w:sz w:val="17"/>
                <w:szCs w:val="17"/>
                <w:color w:val="auto"/>
              </w:rPr>
            </w:pPr>
          </w:p>
        </w:tc>
        <w:tc>
          <w:tcPr>
            <w:tcW w:w="960" w:type="dxa"/>
            <w:vAlign w:val="bottom"/>
            <w:gridSpan w:val="2"/>
          </w:tcPr>
          <w:p>
            <w:pPr>
              <w:jc w:val="right"/>
              <w:ind w:right="147"/>
              <w:spacing w:after="0" w:line="202" w:lineRule="exact"/>
              <w:rPr>
                <w:sz w:val="20"/>
                <w:szCs w:val="20"/>
                <w:color w:val="auto"/>
              </w:rPr>
            </w:pPr>
            <w:r>
              <w:rPr>
                <w:rFonts w:ascii="Arial" w:cs="Arial" w:eastAsia="Arial" w:hAnsi="Arial"/>
                <w:sz w:val="18"/>
                <w:szCs w:val="18"/>
                <w:b w:val="1"/>
                <w:bCs w:val="1"/>
                <w:color w:val="auto"/>
              </w:rPr>
              <w:t>4.3</w:t>
            </w:r>
          </w:p>
        </w:tc>
        <w:tc>
          <w:tcPr>
            <w:tcW w:w="9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Content licensing and other</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760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734</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rPr>
              <w:t>3.6</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9,201</w:t>
            </w:r>
          </w:p>
        </w:tc>
        <w:tc>
          <w:tcPr>
            <w:tcW w:w="200" w:type="dxa"/>
            <w:vAlign w:val="bottom"/>
          </w:tcPr>
          <w:p>
            <w:pPr>
              <w:spacing w:after="0"/>
              <w:rPr>
                <w:sz w:val="15"/>
                <w:szCs w:val="15"/>
                <w:color w:val="auto"/>
              </w:rPr>
            </w:pPr>
          </w:p>
        </w:tc>
        <w:tc>
          <w:tcPr>
            <w:tcW w:w="80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8,727</w:t>
            </w:r>
          </w:p>
        </w:tc>
        <w:tc>
          <w:tcPr>
            <w:tcW w:w="16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8,061</w:t>
            </w:r>
          </w:p>
        </w:tc>
        <w:tc>
          <w:tcPr>
            <w:tcW w:w="280" w:type="dxa"/>
            <w:vAlign w:val="bottom"/>
          </w:tcPr>
          <w:p>
            <w:pPr>
              <w:spacing w:after="0"/>
              <w:rPr>
                <w:sz w:val="15"/>
                <w:szCs w:val="15"/>
                <w:color w:val="auto"/>
              </w:rPr>
            </w:pPr>
          </w:p>
        </w:tc>
        <w:tc>
          <w:tcPr>
            <w:tcW w:w="580" w:type="dxa"/>
            <w:vAlign w:val="bottom"/>
          </w:tcPr>
          <w:p>
            <w:pPr>
              <w:jc w:val="right"/>
              <w:spacing w:after="0" w:line="177" w:lineRule="exact"/>
              <w:rPr>
                <w:sz w:val="20"/>
                <w:szCs w:val="20"/>
                <w:color w:val="auto"/>
              </w:rPr>
            </w:pPr>
            <w:r>
              <w:rPr>
                <w:rFonts w:ascii="Arial" w:cs="Arial" w:eastAsia="Arial" w:hAnsi="Arial"/>
                <w:sz w:val="18"/>
                <w:szCs w:val="18"/>
                <w:color w:val="auto"/>
              </w:rPr>
              <w:t>385</w:t>
            </w:r>
          </w:p>
        </w:tc>
        <w:tc>
          <w:tcPr>
            <w:tcW w:w="2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8,446</w:t>
            </w:r>
          </w:p>
        </w:tc>
        <w:tc>
          <w:tcPr>
            <w:tcW w:w="20" w:type="dxa"/>
            <w:vAlign w:val="bottom"/>
          </w:tcPr>
          <w:p>
            <w:pPr>
              <w:spacing w:after="0"/>
              <w:rPr>
                <w:sz w:val="15"/>
                <w:szCs w:val="15"/>
                <w:color w:val="auto"/>
              </w:rPr>
            </w:pPr>
          </w:p>
        </w:tc>
        <w:tc>
          <w:tcPr>
            <w:tcW w:w="960" w:type="dxa"/>
            <w:vAlign w:val="bottom"/>
            <w:gridSpan w:val="2"/>
          </w:tcPr>
          <w:p>
            <w:pPr>
              <w:jc w:val="right"/>
              <w:ind w:right="147"/>
              <w:spacing w:after="0" w:line="177" w:lineRule="exact"/>
              <w:rPr>
                <w:sz w:val="20"/>
                <w:szCs w:val="20"/>
                <w:color w:val="auto"/>
              </w:rPr>
            </w:pPr>
            <w:r>
              <w:rPr>
                <w:rFonts w:ascii="Arial" w:cs="Arial" w:eastAsia="Arial" w:hAnsi="Arial"/>
                <w:sz w:val="18"/>
                <w:szCs w:val="18"/>
                <w:b w:val="1"/>
                <w:bCs w:val="1"/>
                <w:color w:val="auto"/>
              </w:rPr>
              <w:t>5.4</w:t>
            </w:r>
          </w:p>
        </w:tc>
        <w:tc>
          <w:tcPr>
            <w:tcW w:w="980" w:type="dxa"/>
            <w:vAlign w:val="bottom"/>
          </w:tcPr>
          <w:p>
            <w:pPr>
              <w:jc w:val="right"/>
              <w:ind w:right="177"/>
              <w:spacing w:after="0" w:line="177"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5"/>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3,850</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vMerge w:val="restart"/>
          </w:tcPr>
          <w:p>
            <w:pPr>
              <w:jc w:val="right"/>
              <w:ind w:right="147"/>
              <w:spacing w:after="0"/>
              <w:rPr>
                <w:sz w:val="20"/>
                <w:szCs w:val="20"/>
                <w:color w:val="auto"/>
              </w:rPr>
            </w:pPr>
            <w:r>
              <w:rPr>
                <w:rFonts w:ascii="Arial" w:cs="Arial" w:eastAsia="Arial" w:hAnsi="Arial"/>
                <w:sz w:val="18"/>
                <w:szCs w:val="18"/>
                <w:b w:val="1"/>
                <w:bCs w:val="1"/>
                <w:color w:val="auto"/>
              </w:rPr>
              <w:t>5.2</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3,659</w:t>
            </w:r>
          </w:p>
        </w:tc>
        <w:tc>
          <w:tcPr>
            <w:tcW w:w="1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3,218</w:t>
            </w:r>
          </w:p>
        </w:tc>
        <w:tc>
          <w:tcPr>
            <w:tcW w:w="28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8"/>
                <w:szCs w:val="18"/>
                <w:color w:val="auto"/>
              </w:rPr>
              <w:t>167</w:t>
            </w:r>
          </w:p>
        </w:tc>
        <w:tc>
          <w:tcPr>
            <w:tcW w:w="22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3,385</w:t>
            </w:r>
          </w:p>
        </w:tc>
        <w:tc>
          <w:tcPr>
            <w:tcW w:w="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80" w:type="dxa"/>
            <w:vAlign w:val="bottom"/>
          </w:tcPr>
          <w:p>
            <w:pPr>
              <w:jc w:val="right"/>
              <w:ind w:right="177"/>
              <w:spacing w:after="0" w:line="181"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1,342</w:t>
            </w:r>
          </w:p>
        </w:tc>
        <w:tc>
          <w:tcPr>
            <w:tcW w:w="20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1,306</w:t>
            </w: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1,218</w:t>
            </w:r>
          </w:p>
        </w:tc>
        <w:tc>
          <w:tcPr>
            <w:tcW w:w="2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1,244</w:t>
            </w:r>
          </w:p>
        </w:tc>
        <w:tc>
          <w:tcPr>
            <w:tcW w:w="20" w:type="dxa"/>
            <w:vAlign w:val="bottom"/>
          </w:tcPr>
          <w:p>
            <w:pPr>
              <w:spacing w:after="0"/>
              <w:rPr>
                <w:sz w:val="17"/>
                <w:szCs w:val="17"/>
                <w:color w:val="auto"/>
              </w:rPr>
            </w:pPr>
          </w:p>
        </w:tc>
        <w:tc>
          <w:tcPr>
            <w:tcW w:w="960" w:type="dxa"/>
            <w:vAlign w:val="bottom"/>
            <w:gridSpan w:val="2"/>
          </w:tcPr>
          <w:p>
            <w:pPr>
              <w:jc w:val="right"/>
              <w:ind w:right="147"/>
              <w:spacing w:after="0" w:line="202" w:lineRule="exact"/>
              <w:rPr>
                <w:sz w:val="20"/>
                <w:szCs w:val="20"/>
                <w:color w:val="auto"/>
              </w:rPr>
            </w:pPr>
            <w:r>
              <w:rPr>
                <w:rFonts w:ascii="Arial" w:cs="Arial" w:eastAsia="Arial" w:hAnsi="Arial"/>
                <w:sz w:val="18"/>
                <w:szCs w:val="18"/>
                <w:b w:val="1"/>
                <w:bCs w:val="1"/>
                <w:color w:val="auto"/>
              </w:rPr>
              <w:t>2.8</w:t>
            </w:r>
          </w:p>
        </w:tc>
        <w:tc>
          <w:tcPr>
            <w:tcW w:w="9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508</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rPr>
              <w:t>10.7</w:t>
            </w: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5,700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5,424</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4,862</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5,094</w:t>
            </w: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7"/>
              <w:spacing w:after="0" w:line="196" w:lineRule="exact"/>
              <w:rPr>
                <w:sz w:val="20"/>
                <w:szCs w:val="20"/>
                <w:color w:val="auto"/>
              </w:rPr>
            </w:pPr>
            <w:r>
              <w:rPr>
                <w:rFonts w:ascii="Arial" w:cs="Arial" w:eastAsia="Arial" w:hAnsi="Arial"/>
                <w:sz w:val="18"/>
                <w:szCs w:val="18"/>
                <w:b w:val="1"/>
                <w:bCs w:val="1"/>
                <w:color w:val="auto"/>
              </w:rPr>
              <w:t>5.1</w:t>
            </w:r>
          </w:p>
        </w:tc>
        <w:tc>
          <w:tcPr>
            <w:tcW w:w="980" w:type="dxa"/>
            <w:vAlign w:val="bottom"/>
            <w:tcBorders>
              <w:bottom w:val="single" w:sz="8" w:color="auto"/>
            </w:tcBorders>
          </w:tcPr>
          <w:p>
            <w:pPr>
              <w:jc w:val="right"/>
              <w:ind w:right="177"/>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7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8"/>
              </w:rPr>
              <w:t>Operating income before depreciation and amortization</w:t>
            </w:r>
          </w:p>
        </w:tc>
        <w:tc>
          <w:tcPr>
            <w:tcW w:w="28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3,501</w:t>
            </w:r>
          </w:p>
        </w:tc>
        <w:tc>
          <w:tcPr>
            <w:tcW w:w="200" w:type="dxa"/>
            <w:vAlign w:val="bottom"/>
          </w:tcPr>
          <w:p>
            <w:pPr>
              <w:ind w:left="10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3,303</w:t>
            </w:r>
          </w:p>
        </w:tc>
        <w:tc>
          <w:tcPr>
            <w:tcW w:w="160" w:type="dxa"/>
            <w:vAlign w:val="bottom"/>
          </w:tcPr>
          <w:p>
            <w:pPr>
              <w:ind w:left="6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3,199</w:t>
            </w:r>
          </w:p>
        </w:tc>
        <w:tc>
          <w:tcPr>
            <w:tcW w:w="280" w:type="dxa"/>
            <w:vAlign w:val="bottom"/>
          </w:tcPr>
          <w:p>
            <w:pPr>
              <w:ind w:left="16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220" w:type="dxa"/>
            <w:vAlign w:val="bottom"/>
          </w:tcPr>
          <w:p>
            <w:pPr>
              <w:ind w:left="12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3,352</w:t>
            </w:r>
          </w:p>
        </w:tc>
        <w:tc>
          <w:tcPr>
            <w:tcW w:w="2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6.0%</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50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80" w:type="dxa"/>
            <w:vAlign w:val="bottom"/>
            <w:tcBorders>
              <w:top w:val="single" w:sz="8" w:color="0C6DFF"/>
            </w:tcBorders>
          </w:tcPr>
          <w:p>
            <w:pPr>
              <w:spacing w:after="0"/>
              <w:rPr>
                <w:sz w:val="24"/>
                <w:szCs w:val="24"/>
                <w:color w:val="auto"/>
              </w:rPr>
            </w:pPr>
          </w:p>
        </w:tc>
        <w:tc>
          <w:tcPr>
            <w:tcW w:w="200" w:type="dxa"/>
            <w:vAlign w:val="bottom"/>
            <w:tcBorders>
              <w:top w:val="single" w:sz="8" w:color="0C6DFF"/>
            </w:tcBorders>
          </w:tcPr>
          <w:p>
            <w:pPr>
              <w:spacing w:after="0"/>
              <w:rPr>
                <w:sz w:val="24"/>
                <w:szCs w:val="24"/>
                <w:color w:val="auto"/>
              </w:rPr>
            </w:pPr>
          </w:p>
        </w:tc>
        <w:tc>
          <w:tcPr>
            <w:tcW w:w="600" w:type="dxa"/>
            <w:vAlign w:val="bottom"/>
            <w:tcBorders>
              <w:top w:val="single" w:sz="8" w:color="0C6DFF"/>
            </w:tcBorders>
          </w:tcPr>
          <w:p>
            <w:pPr>
              <w:spacing w:after="0"/>
              <w:rPr>
                <w:sz w:val="24"/>
                <w:szCs w:val="24"/>
                <w:color w:val="auto"/>
              </w:rPr>
            </w:pPr>
          </w:p>
        </w:tc>
        <w:tc>
          <w:tcPr>
            <w:tcW w:w="380" w:type="dxa"/>
            <w:vAlign w:val="bottom"/>
            <w:tcBorders>
              <w:top w:val="single" w:sz="8" w:color="0C6DFF"/>
            </w:tcBorders>
            <w:gridSpan w:val="2"/>
          </w:tcPr>
          <w:p>
            <w:pPr>
              <w:jc w:val="right"/>
              <w:ind w:right="44"/>
              <w:spacing w:after="0"/>
              <w:rPr>
                <w:sz w:val="20"/>
                <w:szCs w:val="20"/>
                <w:color w:val="auto"/>
              </w:rPr>
            </w:pPr>
            <w:r>
              <w:rPr>
                <w:rFonts w:ascii="Arial" w:cs="Arial" w:eastAsia="Arial" w:hAnsi="Arial"/>
                <w:sz w:val="14"/>
                <w:szCs w:val="14"/>
                <w:b w:val="1"/>
                <w:bCs w:val="1"/>
                <w:color w:val="auto"/>
              </w:rPr>
              <w:t>57</w:t>
            </w:r>
          </w:p>
        </w:tc>
        <w:tc>
          <w:tcPr>
            <w:tcW w:w="62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160" w:type="dxa"/>
            <w:vAlign w:val="bottom"/>
            <w:tcBorders>
              <w:top w:val="single" w:sz="8" w:color="0C6DFF"/>
            </w:tcBorders>
          </w:tcPr>
          <w:p>
            <w:pPr>
              <w:spacing w:after="0"/>
              <w:rPr>
                <w:sz w:val="24"/>
                <w:szCs w:val="24"/>
                <w:color w:val="auto"/>
              </w:rPr>
            </w:pPr>
          </w:p>
        </w:tc>
        <w:tc>
          <w:tcPr>
            <w:tcW w:w="740" w:type="dxa"/>
            <w:vAlign w:val="bottom"/>
            <w:tcBorders>
              <w:top w:val="single" w:sz="8" w:color="0C6DFF"/>
            </w:tcBorders>
          </w:tcPr>
          <w:p>
            <w:pPr>
              <w:spacing w:after="0"/>
              <w:rPr>
                <w:sz w:val="24"/>
                <w:szCs w:val="24"/>
                <w:color w:val="auto"/>
              </w:rPr>
            </w:pPr>
          </w:p>
        </w:tc>
        <w:tc>
          <w:tcPr>
            <w:tcW w:w="280" w:type="dxa"/>
            <w:vAlign w:val="bottom"/>
            <w:tcBorders>
              <w:top w:val="single" w:sz="8" w:color="0C6DFF"/>
            </w:tcBorders>
          </w:tcPr>
          <w:p>
            <w:pPr>
              <w:spacing w:after="0"/>
              <w:rPr>
                <w:sz w:val="24"/>
                <w:szCs w:val="24"/>
                <w:color w:val="auto"/>
              </w:rPr>
            </w:pPr>
          </w:p>
        </w:tc>
        <w:tc>
          <w:tcPr>
            <w:tcW w:w="580" w:type="dxa"/>
            <w:vAlign w:val="bottom"/>
            <w:tcBorders>
              <w:top w:val="single" w:sz="8" w:color="0C6DFF"/>
            </w:tcBorders>
          </w:tcPr>
          <w:p>
            <w:pPr>
              <w:spacing w:after="0"/>
              <w:rPr>
                <w:sz w:val="24"/>
                <w:szCs w:val="24"/>
                <w:color w:val="auto"/>
              </w:rPr>
            </w:pPr>
          </w:p>
        </w:tc>
        <w:tc>
          <w:tcPr>
            <w:tcW w:w="220" w:type="dxa"/>
            <w:vAlign w:val="bottom"/>
            <w:tcBorders>
              <w:top w:val="single" w:sz="8" w:color="0C6DFF"/>
            </w:tcBorders>
          </w:tcPr>
          <w:p>
            <w:pPr>
              <w:spacing w:after="0"/>
              <w:rPr>
                <w:sz w:val="24"/>
                <w:szCs w:val="24"/>
                <w:color w:val="auto"/>
              </w:rPr>
            </w:pPr>
          </w:p>
        </w:tc>
        <w:tc>
          <w:tcPr>
            <w:tcW w:w="2680" w:type="dxa"/>
            <w:vAlign w:val="bottom"/>
            <w:tcBorders>
              <w:top w:val="single" w:sz="8" w:color="0C6DFF"/>
            </w:tcBorders>
            <w:gridSpan w:val="5"/>
          </w:tcPr>
          <w:p>
            <w:pPr>
              <w:jc w:val="right"/>
              <w:spacing w:after="0"/>
              <w:rPr>
                <w:sz w:val="20"/>
                <w:szCs w:val="20"/>
                <w:color w:val="auto"/>
              </w:rPr>
            </w:pPr>
            <w:r>
              <w:rPr>
                <w:rFonts w:ascii="Arial" w:cs="Arial" w:eastAsia="Arial" w:hAnsi="Arial"/>
                <w:sz w:val="14"/>
                <w:szCs w:val="14"/>
                <w:color w:val="auto"/>
                <w:w w:val="97"/>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Distribution</w:t>
      </w:r>
    </w:p>
    <w:p>
      <w:pPr>
        <w:jc w:val="both"/>
        <w:spacing w:after="0" w:line="239" w:lineRule="auto"/>
        <w:rPr>
          <w:sz w:val="20"/>
          <w:szCs w:val="20"/>
          <w:color w:val="auto"/>
        </w:rPr>
      </w:pPr>
      <w:r>
        <w:rPr>
          <w:rFonts w:ascii="Arial" w:cs="Arial" w:eastAsia="Arial" w:hAnsi="Arial"/>
          <w:sz w:val="18"/>
          <w:szCs w:val="18"/>
          <w:color w:val="auto"/>
        </w:rPr>
        <w:t>Distribution revenue is generated from distribution agreements with multichannel video providers and is affected by the number of subscribers receiving our cable networks and the fees we charge per subscriber.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Distribution revenue increased in 2013 and 2012 primarily due to increases in the contractual rates that we charged under distribution agreements.</w:t>
      </w:r>
    </w:p>
    <w:p>
      <w:pPr>
        <w:spacing w:after="0" w:line="18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2013, 2012 and 2011, 13% of our Cable Networks segment revenue was generated from our Cable Communications segment. These amounts are eliminated in Comcast’s consolidated financial statements but are included in the amounts presented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7" w:lineRule="auto"/>
        <w:rPr>
          <w:sz w:val="20"/>
          <w:szCs w:val="20"/>
          <w:color w:val="auto"/>
        </w:rPr>
      </w:pPr>
      <w:r>
        <w:rPr>
          <w:rFonts w:ascii="Arial" w:cs="Arial" w:eastAsia="Arial" w:hAnsi="Arial"/>
          <w:sz w:val="18"/>
          <w:szCs w:val="18"/>
          <w:color w:val="auto"/>
        </w:rPr>
        <w:t>Advertising revenue is generated from the sale of advertising time on our cable networks and related digital media properties. Our advertising revenue is generally based on audience ratings, the value of our viewer demographics to advertisers, and the number of advertising units we can place in our cable networks’ programming schedules. Advertising revenue is affected by the strength of the national advertising market, general economic conditions and the success of our programming.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increased 4.3% and 2.2% in 2013 and 2012, respectively. Higher prices and an increase in the volume of advertising units sold contributed to increases of 8.9% and 12.9% in 2013 and 2012, respectively. These increases were partially offset by continued declines in audience ratings at some of our networks.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 and Other</w:t>
      </w:r>
    </w:p>
    <w:p>
      <w:pPr>
        <w:jc w:val="both"/>
        <w:spacing w:after="0" w:line="239" w:lineRule="auto"/>
        <w:rPr>
          <w:sz w:val="20"/>
          <w:szCs w:val="20"/>
          <w:color w:val="auto"/>
        </w:rPr>
      </w:pPr>
      <w:r>
        <w:rPr>
          <w:rFonts w:ascii="Arial" w:cs="Arial" w:eastAsia="Arial" w:hAnsi="Arial"/>
          <w:sz w:val="18"/>
          <w:szCs w:val="18"/>
          <w:color w:val="auto"/>
        </w:rPr>
        <w:t>We also generate other revenue primarily from the licensing of our owned programming to various distribution platforms, including cable and broadcast networks, and to digital distributors.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Content licensing and other revenue increased in 2013 primarily due to a new licensing agreement entered into during the year. Content licensing and other revenue remained flat in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w:t>
      </w:r>
    </w:p>
    <w:p>
      <w:pPr>
        <w:jc w:val="both"/>
        <w:spacing w:after="0" w:line="238" w:lineRule="auto"/>
        <w:rPr>
          <w:sz w:val="20"/>
          <w:szCs w:val="20"/>
          <w:color w:val="auto"/>
        </w:rPr>
      </w:pPr>
      <w:r>
        <w:rPr>
          <w:rFonts w:ascii="Arial" w:cs="Arial" w:eastAsia="Arial" w:hAnsi="Arial"/>
          <w:sz w:val="18"/>
          <w:szCs w:val="18"/>
          <w:color w:val="auto"/>
        </w:rPr>
        <w:t>Programming and production costs include the amortization of owned and acquired programming, sports rights, direct production costs, residual and participation payments, production overhead, costs associated with the distribution of our programming to third-party networks and other distribution platforms, and on-air talent costs.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Programming and production costs increased in 2013 and 2012 primarily due to our continued investment in original programming at certain of our cable networks and higher sports programming costs. The increase in sports programming costs in 2013 included the impact from an increase in the number of NHL games compared to 2012 due to the NHL lockout in 2012 as well as costs associated with our broadcasts of the English Premier League soccer. The increase in sports programming costs in 2012 included the impact from an increase in the number of NBA games compared to 2011 due to the NBA lockout in 2011.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w:t>
      </w:r>
    </w:p>
    <w:p>
      <w:pPr>
        <w:spacing w:after="0"/>
        <w:rPr>
          <w:sz w:val="20"/>
          <w:szCs w:val="20"/>
          <w:color w:val="auto"/>
        </w:rPr>
      </w:pPr>
      <w:r>
        <w:rPr>
          <w:rFonts w:ascii="Arial" w:cs="Arial" w:eastAsia="Arial" w:hAnsi="Arial"/>
          <w:sz w:val="18"/>
          <w:szCs w:val="18"/>
          <w:color w:val="auto"/>
        </w:rPr>
        <w:t>Other operating and administrative costs and expenses include salaries, employee benefits, rent and other overhead expenses.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and administrative costs and expenses increased in 2013 and 2012 primarily due to an increase in employee-related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consist primarily of the costs incurred in promoting our cable networks and costs associated with digital media.</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marketing and promotion expenses increased in 2013 primarily due to increased spending on marketing across our cable network portfolio primarily due to the launch of new programming on our cable networks. Advertising, marketing and promotion expenses remained relatively flat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Broadcast Television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gridSpan w:val="2"/>
          </w:tcPr>
          <w:p>
            <w:pPr>
              <w:jc w:val="right"/>
              <w:ind w:right="56"/>
              <w:spacing w:after="0" w:line="141" w:lineRule="exact"/>
              <w:rPr>
                <w:sz w:val="20"/>
                <w:szCs w:val="20"/>
                <w:color w:val="auto"/>
              </w:rPr>
            </w:pPr>
            <w:r>
              <w:rPr>
                <w:rFonts w:ascii="Arial" w:cs="Arial" w:eastAsia="Arial" w:hAnsi="Arial"/>
                <w:sz w:val="14"/>
                <w:szCs w:val="14"/>
                <w:color w:val="auto"/>
              </w:rPr>
              <w:t>Pro Forma</w:t>
            </w: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rPr>
              <w:t>Actual</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7"/>
              <w:spacing w:after="0" w:line="149" w:lineRule="exact"/>
              <w:rPr>
                <w:sz w:val="20"/>
                <w:szCs w:val="20"/>
                <w:color w:val="auto"/>
              </w:rPr>
            </w:pPr>
            <w:r>
              <w:rPr>
                <w:rFonts w:ascii="Arial" w:cs="Arial" w:eastAsia="Arial" w:hAnsi="Arial"/>
                <w:sz w:val="14"/>
                <w:szCs w:val="14"/>
                <w:color w:val="auto"/>
              </w:rPr>
              <w:t>Actual</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39"/>
              <w:spacing w:after="0" w:line="149" w:lineRule="exact"/>
              <w:rPr>
                <w:sz w:val="20"/>
                <w:szCs w:val="20"/>
                <w:color w:val="auto"/>
              </w:rPr>
            </w:pPr>
            <w:r>
              <w:rPr>
                <w:rFonts w:ascii="Arial" w:cs="Arial" w:eastAsia="Arial" w:hAnsi="Arial"/>
                <w:sz w:val="14"/>
                <w:szCs w:val="14"/>
                <w:color w:val="auto"/>
                <w:w w:val="96"/>
              </w:rPr>
              <w:t>Pro Forma</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w w:val="93"/>
              </w:rPr>
              <w:t>Combined</w:t>
            </w: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040" w:type="dxa"/>
            <w:vAlign w:val="bottom"/>
            <w:gridSpan w:val="2"/>
          </w:tcPr>
          <w:p>
            <w:pPr>
              <w:jc w:val="right"/>
              <w:ind w:right="39"/>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January 29</w:t>
            </w:r>
          </w:p>
        </w:tc>
        <w:tc>
          <w:tcPr>
            <w:tcW w:w="160" w:type="dxa"/>
            <w:vAlign w:val="bottom"/>
          </w:tcPr>
          <w:p>
            <w:pPr>
              <w:spacing w:after="0"/>
              <w:rPr>
                <w:sz w:val="12"/>
                <w:szCs w:val="12"/>
                <w:color w:val="auto"/>
              </w:rPr>
            </w:pPr>
          </w:p>
        </w:tc>
        <w:tc>
          <w:tcPr>
            <w:tcW w:w="880" w:type="dxa"/>
            <w:vAlign w:val="bottom"/>
          </w:tcPr>
          <w:p>
            <w:pPr>
              <w:jc w:val="right"/>
              <w:ind w:right="39"/>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160" w:type="dxa"/>
            <w:vAlign w:val="bottom"/>
          </w:tcPr>
          <w:p>
            <w:pPr>
              <w:spacing w:after="0"/>
              <w:rPr>
                <w:sz w:val="11"/>
                <w:szCs w:val="11"/>
                <w:color w:val="auto"/>
              </w:rPr>
            </w:pPr>
          </w:p>
        </w:tc>
        <w:tc>
          <w:tcPr>
            <w:tcW w:w="880" w:type="dxa"/>
            <w:vAlign w:val="bottom"/>
          </w:tcPr>
          <w:p>
            <w:pPr>
              <w:jc w:val="right"/>
              <w:ind w:right="39"/>
              <w:spacing w:after="0" w:line="133" w:lineRule="exact"/>
              <w:rPr>
                <w:sz w:val="20"/>
                <w:szCs w:val="20"/>
                <w:color w:val="auto"/>
              </w:rPr>
            </w:pPr>
            <w:r>
              <w:rPr>
                <w:rFonts w:ascii="Arial" w:cs="Arial" w:eastAsia="Arial" w:hAnsi="Arial"/>
                <w:sz w:val="14"/>
                <w:szCs w:val="14"/>
                <w:color w:val="auto"/>
              </w:rPr>
              <w:t>through</w:t>
            </w:r>
          </w:p>
        </w:tc>
        <w:tc>
          <w:tcPr>
            <w:tcW w:w="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1120" w:type="dxa"/>
            <w:vAlign w:val="bottom"/>
            <w:vMerge w:val="continue"/>
          </w:tcPr>
          <w:p>
            <w:pPr>
              <w:spacing w:after="0"/>
              <w:rPr>
                <w:sz w:val="11"/>
                <w:szCs w:val="11"/>
                <w:color w:val="auto"/>
              </w:rPr>
            </w:pPr>
          </w:p>
        </w:tc>
        <w:tc>
          <w:tcPr>
            <w:tcW w:w="1080" w:type="dxa"/>
            <w:vAlign w:val="bottom"/>
          </w:tcPr>
          <w:p>
            <w:pPr>
              <w:jc w:val="right"/>
              <w:ind w:right="136"/>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January 28</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9"/>
              </w:rPr>
              <w:t>December 31</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2012 to 2013</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199"/>
        </w:trPr>
        <w:tc>
          <w:tcPr>
            <w:tcW w:w="43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4,930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00" w:type="dxa"/>
            <w:vAlign w:val="bottom"/>
          </w:tcPr>
          <w:p>
            <w:pPr>
              <w:ind w:left="200"/>
              <w:spacing w:after="0" w:line="181" w:lineRule="exact"/>
              <w:rPr>
                <w:sz w:val="20"/>
                <w:szCs w:val="20"/>
                <w:color w:val="auto"/>
              </w:rPr>
            </w:pPr>
            <w:r>
              <w:rPr>
                <w:rFonts w:ascii="Arial" w:cs="Arial" w:eastAsia="Arial" w:hAnsi="Arial"/>
                <w:sz w:val="18"/>
                <w:szCs w:val="18"/>
                <w:color w:val="auto"/>
              </w:rPr>
              <w:t>Advertising</w:t>
            </w: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ind w:left="60"/>
              <w:spacing w:after="0" w:line="181"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5,876</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3,976</w:t>
            </w: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9"/>
              <w:spacing w:after="0" w:line="181" w:lineRule="exact"/>
              <w:rPr>
                <w:sz w:val="20"/>
                <w:szCs w:val="20"/>
                <w:color w:val="auto"/>
              </w:rPr>
            </w:pPr>
            <w:r>
              <w:rPr>
                <w:rFonts w:ascii="Arial" w:cs="Arial" w:eastAsia="Arial" w:hAnsi="Arial"/>
                <w:sz w:val="18"/>
                <w:szCs w:val="18"/>
                <w:color w:val="auto"/>
              </w:rPr>
              <w:t>315</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4,291</w:t>
            </w:r>
          </w:p>
        </w:tc>
        <w:tc>
          <w:tcPr>
            <w:tcW w:w="112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1,447</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1,474</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160" w:type="dxa"/>
            <w:vAlign w:val="bottom"/>
          </w:tcPr>
          <w:p>
            <w:pPr>
              <w:spacing w:after="0"/>
              <w:rPr>
                <w:sz w:val="17"/>
                <w:szCs w:val="17"/>
                <w:color w:val="auto"/>
              </w:rPr>
            </w:pPr>
          </w:p>
        </w:tc>
        <w:tc>
          <w:tcPr>
            <w:tcW w:w="8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112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(1.8)</w:t>
            </w:r>
          </w:p>
        </w:tc>
        <w:tc>
          <w:tcPr>
            <w:tcW w:w="10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(12.6)</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0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7,120</w:t>
            </w:r>
          </w:p>
        </w:tc>
        <w:tc>
          <w:tcPr>
            <w:tcW w:w="18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8,200</w:t>
            </w:r>
          </w:p>
        </w:tc>
        <w:tc>
          <w:tcPr>
            <w:tcW w:w="20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5,982</w:t>
            </w:r>
          </w:p>
        </w:tc>
        <w:tc>
          <w:tcPr>
            <w:tcW w:w="160" w:type="dxa"/>
            <w:vAlign w:val="bottom"/>
          </w:tcPr>
          <w:p>
            <w:pPr>
              <w:spacing w:after="0"/>
              <w:rPr>
                <w:sz w:val="15"/>
                <w:szCs w:val="15"/>
                <w:color w:val="auto"/>
              </w:rPr>
            </w:pPr>
          </w:p>
        </w:tc>
        <w:tc>
          <w:tcPr>
            <w:tcW w:w="880" w:type="dxa"/>
            <w:vAlign w:val="bottom"/>
          </w:tcPr>
          <w:p>
            <w:pPr>
              <w:jc w:val="right"/>
              <w:ind w:right="39"/>
              <w:spacing w:after="0" w:line="177" w:lineRule="exact"/>
              <w:rPr>
                <w:sz w:val="20"/>
                <w:szCs w:val="20"/>
                <w:color w:val="auto"/>
              </w:rPr>
            </w:pPr>
            <w:r>
              <w:rPr>
                <w:rFonts w:ascii="Arial" w:cs="Arial" w:eastAsia="Arial" w:hAnsi="Arial"/>
                <w:sz w:val="18"/>
                <w:szCs w:val="18"/>
                <w:color w:val="auto"/>
              </w:rPr>
              <w:t>467</w:t>
            </w:r>
          </w:p>
        </w:tc>
        <w:tc>
          <w:tcPr>
            <w:tcW w:w="16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6,449</w:t>
            </w:r>
          </w:p>
        </w:tc>
        <w:tc>
          <w:tcPr>
            <w:tcW w:w="112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rPr>
              <w:t>(13.2)</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5"/>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5,192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(17.5)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0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6,291</w:t>
            </w:r>
          </w:p>
        </w:tc>
        <w:tc>
          <w:tcPr>
            <w:tcW w:w="2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4,515</w:t>
            </w:r>
          </w:p>
        </w:tc>
        <w:tc>
          <w:tcPr>
            <w:tcW w:w="160" w:type="dxa"/>
            <w:vAlign w:val="bottom"/>
          </w:tcPr>
          <w:p>
            <w:pPr>
              <w:spacing w:after="0"/>
              <w:rPr>
                <w:sz w:val="15"/>
                <w:szCs w:val="15"/>
                <w:color w:val="auto"/>
              </w:rPr>
            </w:pPr>
          </w:p>
        </w:tc>
        <w:tc>
          <w:tcPr>
            <w:tcW w:w="880" w:type="dxa"/>
            <w:vAlign w:val="bottom"/>
          </w:tcPr>
          <w:p>
            <w:pPr>
              <w:jc w:val="right"/>
              <w:ind w:right="39"/>
              <w:spacing w:after="0" w:line="181" w:lineRule="exact"/>
              <w:rPr>
                <w:sz w:val="20"/>
                <w:szCs w:val="20"/>
                <w:color w:val="auto"/>
              </w:rPr>
            </w:pPr>
            <w:r>
              <w:rPr>
                <w:rFonts w:ascii="Arial" w:cs="Arial" w:eastAsia="Arial" w:hAnsi="Arial"/>
                <w:sz w:val="18"/>
                <w:szCs w:val="18"/>
                <w:color w:val="auto"/>
              </w:rPr>
              <w:t>448</w:t>
            </w:r>
          </w:p>
        </w:tc>
        <w:tc>
          <w:tcPr>
            <w:tcW w:w="16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4,963</w:t>
            </w:r>
          </w:p>
        </w:tc>
        <w:tc>
          <w:tcPr>
            <w:tcW w:w="1120" w:type="dxa"/>
            <w:vAlign w:val="bottom"/>
            <w:vMerge w:val="continue"/>
          </w:tcPr>
          <w:p>
            <w:pPr>
              <w:spacing w:after="0"/>
              <w:rPr>
                <w:sz w:val="15"/>
                <w:szCs w:val="15"/>
                <w:color w:val="auto"/>
              </w:rPr>
            </w:pPr>
          </w:p>
        </w:tc>
        <w:tc>
          <w:tcPr>
            <w:tcW w:w="108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1,204</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160" w:type="dxa"/>
            <w:vAlign w:val="bottom"/>
          </w:tcPr>
          <w:p>
            <w:pPr>
              <w:spacing w:after="0"/>
              <w:rPr>
                <w:sz w:val="17"/>
                <w:szCs w:val="17"/>
                <w:color w:val="auto"/>
              </w:rPr>
            </w:pPr>
          </w:p>
        </w:tc>
        <w:tc>
          <w:tcPr>
            <w:tcW w:w="8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1,088</w:t>
            </w:r>
          </w:p>
        </w:tc>
        <w:tc>
          <w:tcPr>
            <w:tcW w:w="112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(0.2)</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10.0</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6,775</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7,842</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5,858</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482</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6,340</w:t>
            </w:r>
          </w:p>
        </w:tc>
        <w:tc>
          <w:tcPr>
            <w:tcW w:w="112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b w:val="1"/>
                <w:bCs w:val="1"/>
                <w:color w:val="auto"/>
              </w:rPr>
              <w:t>(13.6)</w:t>
            </w: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177"/>
        </w:trPr>
        <w:tc>
          <w:tcPr>
            <w:tcW w:w="43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(loss) before depreciation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345</w:t>
            </w:r>
          </w:p>
        </w:tc>
        <w:tc>
          <w:tcPr>
            <w:tcW w:w="18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109</w:t>
            </w:r>
          </w:p>
        </w:tc>
        <w:tc>
          <w:tcPr>
            <w:tcW w:w="11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(3.6)%</w:t>
            </w:r>
          </w:p>
        </w:tc>
        <w:tc>
          <w:tcPr>
            <w:tcW w:w="10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Advertising</w:t>
      </w:r>
    </w:p>
    <w:p>
      <w:pPr>
        <w:jc w:val="both"/>
        <w:spacing w:after="0" w:line="236" w:lineRule="auto"/>
        <w:rPr>
          <w:sz w:val="20"/>
          <w:szCs w:val="20"/>
          <w:color w:val="auto"/>
        </w:rPr>
      </w:pPr>
      <w:r>
        <w:rPr>
          <w:rFonts w:ascii="Arial" w:cs="Arial" w:eastAsia="Arial" w:hAnsi="Arial"/>
          <w:sz w:val="18"/>
          <w:szCs w:val="18"/>
          <w:color w:val="auto"/>
        </w:rPr>
        <w:t>Advertising revenue is generated from the sale of advertising time on our broadcast networks, our owned local television stations and our related digital media properties. Our advertising revenue is generally based on audience ratings, the value of our viewer demographics to advertisers, and the number of advertising units we can place in our broadcast networks’ and owned local television stations’ programming schedules. Advertising revenue is affected by the strength of the national and local advertising markets, general economic conditions, and the success and ratings of our programming.</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Advertising revenue decreased in 2013 and increased in 2012 primarily due to $1.2 billion of advertising revenue recorded in 2012 associated with our broadcasts of the 2012 Super Bowl and the 2012 London</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59</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Olympics. Excluding the impact of these events, advertising revenue increased 5% and 9% in 2013 and 2012, respectively, primarily due to higher prices and volume of advertising units sold, which included the impact of an increase in political advertising in 2012.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spacing w:after="0" w:line="237" w:lineRule="auto"/>
        <w:rPr>
          <w:sz w:val="20"/>
          <w:szCs w:val="20"/>
          <w:color w:val="auto"/>
        </w:rPr>
      </w:pPr>
      <w:r>
        <w:rPr>
          <w:rFonts w:ascii="Arial" w:cs="Arial" w:eastAsia="Arial" w:hAnsi="Arial"/>
          <w:sz w:val="18"/>
          <w:szCs w:val="18"/>
          <w:color w:val="auto"/>
        </w:rPr>
        <w:t>Content licensing revenue is generated from the licensing of our owned programming in the United States and internationally, including to cable and broadcast networks and digital distributors. The subsequent licensing of our owned programming series following the initial network license is critical to their financial success as the production and distribution costs related to our owned programming generally exceed the revenue generated from the initial network license.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Content licensing revenue decreased in 2013 and 2012 primarily due to the timing of licensing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also generate other revenue primarily from fees for retransmission consent of our owned broadcast television stations and associated fees received from our affiliated local television stations, as well as from the sale of our owned programming on DVDs and through online digital distributors. The sale of our owned programming is driven primarily by the popularity of our broadcast networks and programming series and, therefore, fluctuates based on consumer spending and acceptance. Other revenue also includes distribution revenue associated with our periodic broadcasts of the Olympic Games.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revenue decreased in 2013 and increased in 2012 primarily due to $266 million of distribution revenue from multichannel video providers in 2012 associated with our broadcast of the London Olympics. The decrease in 2013 was partially offset by an increase in fees received under our retransmission consent agreements.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w:t>
      </w:r>
    </w:p>
    <w:p>
      <w:pPr>
        <w:jc w:val="both"/>
        <w:spacing w:after="0" w:line="237" w:lineRule="auto"/>
        <w:rPr>
          <w:sz w:val="20"/>
          <w:szCs w:val="20"/>
          <w:color w:val="auto"/>
        </w:rPr>
      </w:pPr>
      <w:r>
        <w:rPr>
          <w:rFonts w:ascii="Arial" w:cs="Arial" w:eastAsia="Arial" w:hAnsi="Arial"/>
          <w:sz w:val="18"/>
          <w:szCs w:val="18"/>
          <w:color w:val="auto"/>
        </w:rPr>
        <w:t>Programming and production expenses relate to content originating on our broadcast networks and owned local broadcast television stations and include the amortization of owned and acquired programming costs, sports rights, direct production costs, residual and participation payments, production overhead, costs associated with the distribution of our programming to third-party networks and other distribution platforms, and on-air talent costs.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Programming and production costs decreased in 2013 and increased in 2012 primarily due to programming rights and production costs of $1.3 billion associated with our broadcasts of the 2012 London Olympics and 2012 Super Bowl. Excluding the impact of these events, programming and production costs increased in 2013 and 2012 primarily due to our continued investment in original programming.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w:t>
      </w:r>
    </w:p>
    <w:p>
      <w:pPr>
        <w:spacing w:after="0"/>
        <w:rPr>
          <w:sz w:val="20"/>
          <w:szCs w:val="20"/>
          <w:color w:val="auto"/>
        </w:rPr>
      </w:pPr>
      <w:r>
        <w:rPr>
          <w:rFonts w:ascii="Arial" w:cs="Arial" w:eastAsia="Arial" w:hAnsi="Arial"/>
          <w:sz w:val="18"/>
          <w:szCs w:val="18"/>
          <w:color w:val="auto"/>
        </w:rPr>
        <w:t>Other operating and administrative expenses include salaries, employee benefits, rent and other overhead expenses.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Other operating and administrative expenses remained relatively flat in 2013. Other operating and administrative expenses increased in 2012 primarily due to higher employee-related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w:t>
      </w:r>
    </w:p>
    <w:p>
      <w:pPr>
        <w:jc w:val="both"/>
        <w:spacing w:after="0" w:line="239" w:lineRule="auto"/>
        <w:rPr>
          <w:sz w:val="20"/>
          <w:szCs w:val="20"/>
          <w:color w:val="auto"/>
        </w:rPr>
      </w:pPr>
      <w:r>
        <w:rPr>
          <w:rFonts w:ascii="Arial" w:cs="Arial" w:eastAsia="Arial" w:hAnsi="Arial"/>
          <w:sz w:val="18"/>
          <w:szCs w:val="18"/>
          <w:color w:val="auto"/>
        </w:rPr>
        <w:t>Advertising, marketing and promotion expenses consist primarily of the costs associated with promoting our owned television programming, as well as the marketing of DVDs and costs associated with our digital media properties.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60</w:t>
            </w: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Advertising, marketing and promotion expenses increased in 2013 and 2012 primarily due to increased spending on marketing associated with our primetime schedule.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Filmed Entertainment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gridSpan w:val="2"/>
          </w:tcPr>
          <w:p>
            <w:pPr>
              <w:jc w:val="right"/>
              <w:ind w:right="76"/>
              <w:spacing w:after="0" w:line="141" w:lineRule="exact"/>
              <w:rPr>
                <w:sz w:val="20"/>
                <w:szCs w:val="20"/>
                <w:color w:val="auto"/>
              </w:rPr>
            </w:pPr>
            <w:r>
              <w:rPr>
                <w:rFonts w:ascii="Arial" w:cs="Arial" w:eastAsia="Arial" w:hAnsi="Arial"/>
                <w:sz w:val="14"/>
                <w:szCs w:val="14"/>
                <w:color w:val="auto"/>
              </w:rPr>
              <w:t>Pro Forma</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7"/>
              <w:spacing w:after="0" w:line="149" w:lineRule="exact"/>
              <w:rPr>
                <w:sz w:val="20"/>
                <w:szCs w:val="20"/>
                <w:color w:val="auto"/>
              </w:rPr>
            </w:pPr>
            <w:r>
              <w:rPr>
                <w:rFonts w:ascii="Arial" w:cs="Arial" w:eastAsia="Arial" w:hAnsi="Arial"/>
                <w:sz w:val="14"/>
                <w:szCs w:val="14"/>
                <w:color w:val="auto"/>
              </w:rPr>
              <w:t>Actual</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7"/>
              <w:spacing w:after="0" w:line="149" w:lineRule="exact"/>
              <w:rPr>
                <w:sz w:val="20"/>
                <w:szCs w:val="20"/>
                <w:color w:val="auto"/>
              </w:rPr>
            </w:pPr>
            <w:r>
              <w:rPr>
                <w:rFonts w:ascii="Arial" w:cs="Arial" w:eastAsia="Arial" w:hAnsi="Arial"/>
                <w:sz w:val="14"/>
                <w:szCs w:val="14"/>
                <w:color w:val="auto"/>
              </w:rPr>
              <w:t>Actual</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9"/>
              <w:spacing w:after="0" w:line="149" w:lineRule="exact"/>
              <w:rPr>
                <w:sz w:val="20"/>
                <w:szCs w:val="20"/>
                <w:color w:val="auto"/>
              </w:rPr>
            </w:pPr>
            <w:r>
              <w:rPr>
                <w:rFonts w:ascii="Arial" w:cs="Arial" w:eastAsia="Arial" w:hAnsi="Arial"/>
                <w:sz w:val="14"/>
                <w:szCs w:val="14"/>
                <w:color w:val="auto"/>
                <w:w w:val="93"/>
              </w:rPr>
              <w:t>Pro Forma</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6"/>
              <w:spacing w:after="0" w:line="149" w:lineRule="exact"/>
              <w:rPr>
                <w:sz w:val="20"/>
                <w:szCs w:val="20"/>
                <w:color w:val="auto"/>
              </w:rPr>
            </w:pPr>
            <w:r>
              <w:rPr>
                <w:rFonts w:ascii="Arial" w:cs="Arial" w:eastAsia="Arial" w:hAnsi="Arial"/>
                <w:sz w:val="14"/>
                <w:szCs w:val="14"/>
                <w:color w:val="auto"/>
                <w:w w:val="93"/>
              </w:rPr>
              <w:t>Combined</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040" w:type="dxa"/>
            <w:vAlign w:val="bottom"/>
            <w:gridSpan w:val="2"/>
          </w:tcPr>
          <w:p>
            <w:pPr>
              <w:jc w:val="right"/>
              <w:ind w:right="39"/>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January 29</w:t>
            </w:r>
          </w:p>
        </w:tc>
        <w:tc>
          <w:tcPr>
            <w:tcW w:w="160" w:type="dxa"/>
            <w:vAlign w:val="bottom"/>
          </w:tcPr>
          <w:p>
            <w:pPr>
              <w:spacing w:after="0"/>
              <w:rPr>
                <w:sz w:val="12"/>
                <w:szCs w:val="12"/>
                <w:color w:val="auto"/>
              </w:rPr>
            </w:pPr>
          </w:p>
        </w:tc>
        <w:tc>
          <w:tcPr>
            <w:tcW w:w="880" w:type="dxa"/>
            <w:vAlign w:val="bottom"/>
          </w:tcPr>
          <w:p>
            <w:pPr>
              <w:jc w:val="right"/>
              <w:ind w:right="39"/>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6" w:lineRule="exact"/>
              <w:rPr>
                <w:sz w:val="20"/>
                <w:szCs w:val="20"/>
                <w:color w:val="auto"/>
              </w:rPr>
            </w:pPr>
            <w:r>
              <w:rPr>
                <w:rFonts w:ascii="Arial" w:cs="Arial" w:eastAsia="Arial" w:hAnsi="Arial"/>
                <w:sz w:val="14"/>
                <w:szCs w:val="14"/>
                <w:color w:val="auto"/>
                <w:w w:val="91"/>
              </w:rPr>
              <w:t>Year Ended</w:t>
            </w:r>
          </w:p>
        </w:tc>
        <w:tc>
          <w:tcPr>
            <w:tcW w:w="22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rPr>
              <w:t>through</w:t>
            </w:r>
          </w:p>
        </w:tc>
        <w:tc>
          <w:tcPr>
            <w:tcW w:w="160" w:type="dxa"/>
            <w:vAlign w:val="bottom"/>
          </w:tcPr>
          <w:p>
            <w:pPr>
              <w:spacing w:after="0"/>
              <w:rPr>
                <w:sz w:val="12"/>
                <w:szCs w:val="12"/>
                <w:color w:val="auto"/>
              </w:rPr>
            </w:pPr>
          </w:p>
        </w:tc>
        <w:tc>
          <w:tcPr>
            <w:tcW w:w="880" w:type="dxa"/>
            <w:vAlign w:val="bottom"/>
          </w:tcPr>
          <w:p>
            <w:pPr>
              <w:jc w:val="right"/>
              <w:ind w:right="39"/>
              <w:spacing w:after="0" w:line="146" w:lineRule="exact"/>
              <w:rPr>
                <w:sz w:val="20"/>
                <w:szCs w:val="20"/>
                <w:color w:val="auto"/>
              </w:rPr>
            </w:pPr>
            <w:r>
              <w:rPr>
                <w:rFonts w:ascii="Arial" w:cs="Arial" w:eastAsia="Arial" w:hAnsi="Arial"/>
                <w:sz w:val="14"/>
                <w:szCs w:val="14"/>
                <w:color w:val="auto"/>
              </w:rPr>
              <w:t>through</w:t>
            </w:r>
          </w:p>
        </w:tc>
        <w:tc>
          <w:tcPr>
            <w:tcW w:w="16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4"/>
                <w:szCs w:val="14"/>
                <w:color w:val="auto"/>
                <w:w w:val="94"/>
              </w:rPr>
              <w:t>Year Ended</w:t>
            </w:r>
          </w:p>
        </w:tc>
        <w:tc>
          <w:tcPr>
            <w:tcW w:w="1060" w:type="dxa"/>
            <w:vAlign w:val="bottom"/>
            <w:vMerge w:val="continue"/>
          </w:tcPr>
          <w:p>
            <w:pPr>
              <w:spacing w:after="0"/>
              <w:rPr>
                <w:sz w:val="12"/>
                <w:szCs w:val="12"/>
                <w:color w:val="auto"/>
              </w:rPr>
            </w:pPr>
          </w:p>
        </w:tc>
        <w:tc>
          <w:tcPr>
            <w:tcW w:w="1080" w:type="dxa"/>
            <w:vAlign w:val="bottom"/>
          </w:tcPr>
          <w:p>
            <w:pPr>
              <w:jc w:val="right"/>
              <w:ind w:right="136"/>
              <w:spacing w:after="0" w:line="146"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65"/>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9"/>
              </w:rPr>
              <w:t>December 31</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January 28</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December 31</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8"/>
              </w:rPr>
              <w:t>2012 to 2013</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199"/>
        </w:trPr>
        <w:tc>
          <w:tcPr>
            <w:tcW w:w="43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8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1,568</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Pr>
          <w:p>
            <w:pPr>
              <w:ind w:left="200"/>
              <w:spacing w:after="0" w:line="181" w:lineRule="exact"/>
              <w:rPr>
                <w:sz w:val="20"/>
                <w:szCs w:val="20"/>
                <w:color w:val="auto"/>
              </w:rPr>
            </w:pPr>
            <w:r>
              <w:rPr>
                <w:rFonts w:ascii="Arial" w:cs="Arial" w:eastAsia="Arial" w:hAnsi="Arial"/>
                <w:sz w:val="18"/>
                <w:szCs w:val="18"/>
                <w:color w:val="auto"/>
              </w:rPr>
              <w:t>Theatrical</w:t>
            </w: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ind w:left="60"/>
              <w:spacing w:after="0" w:line="181"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1,390</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983</w:t>
            </w: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9"/>
              <w:spacing w:after="0" w:line="181" w:lineRule="exact"/>
              <w:rPr>
                <w:sz w:val="20"/>
                <w:szCs w:val="20"/>
                <w:color w:val="auto"/>
              </w:rPr>
            </w:pPr>
            <w:r>
              <w:rPr>
                <w:rFonts w:ascii="Arial" w:cs="Arial" w:eastAsia="Arial" w:hAnsi="Arial"/>
                <w:sz w:val="18"/>
                <w:szCs w:val="18"/>
                <w:color w:val="auto"/>
              </w:rPr>
              <w:t>58</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1,041</w:t>
            </w:r>
          </w:p>
        </w:tc>
        <w:tc>
          <w:tcPr>
            <w:tcW w:w="1060" w:type="dxa"/>
            <w:vAlign w:val="bottom"/>
            <w:vMerge w:val="continue"/>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Content licensing</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1,654</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1,540</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1,234</w:t>
            </w:r>
          </w:p>
        </w:tc>
        <w:tc>
          <w:tcPr>
            <w:tcW w:w="160" w:type="dxa"/>
            <w:vAlign w:val="bottom"/>
          </w:tcPr>
          <w:p>
            <w:pPr>
              <w:spacing w:after="0"/>
              <w:rPr>
                <w:sz w:val="17"/>
                <w:szCs w:val="17"/>
                <w:color w:val="auto"/>
              </w:rPr>
            </w:pPr>
          </w:p>
        </w:tc>
        <w:tc>
          <w:tcPr>
            <w:tcW w:w="8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171</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1,405</w:t>
            </w:r>
          </w:p>
        </w:tc>
        <w:tc>
          <w:tcPr>
            <w:tcW w:w="106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7.4</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Home entertainment</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1,828</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1,834</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160" w:type="dxa"/>
            <w:vAlign w:val="bottom"/>
          </w:tcPr>
          <w:p>
            <w:pPr>
              <w:spacing w:after="0"/>
              <w:rPr>
                <w:sz w:val="17"/>
                <w:szCs w:val="17"/>
                <w:color w:val="auto"/>
              </w:rPr>
            </w:pPr>
          </w:p>
        </w:tc>
        <w:tc>
          <w:tcPr>
            <w:tcW w:w="8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96</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1,655</w:t>
            </w:r>
          </w:p>
        </w:tc>
        <w:tc>
          <w:tcPr>
            <w:tcW w:w="106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(0.3)</w:t>
            </w:r>
          </w:p>
        </w:tc>
        <w:tc>
          <w:tcPr>
            <w:tcW w:w="10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1.8</w:t>
            </w: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60" w:type="dxa"/>
            <w:vAlign w:val="bottom"/>
          </w:tcPr>
          <w:p>
            <w:pPr>
              <w:spacing w:after="0" w:line="177" w:lineRule="exact"/>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5,452</w:t>
            </w:r>
          </w:p>
        </w:tc>
        <w:tc>
          <w:tcPr>
            <w:tcW w:w="180" w:type="dxa"/>
            <w:vAlign w:val="bottom"/>
          </w:tcPr>
          <w:p>
            <w:pPr>
              <w:spacing w:after="0"/>
              <w:rPr>
                <w:sz w:val="15"/>
                <w:szCs w:val="15"/>
                <w:color w:val="auto"/>
              </w:rPr>
            </w:pPr>
          </w:p>
        </w:tc>
        <w:tc>
          <w:tcPr>
            <w:tcW w:w="760" w:type="dxa"/>
            <w:vAlign w:val="bottom"/>
          </w:tcPr>
          <w:p>
            <w:pPr>
              <w:jc w:val="right"/>
              <w:spacing w:after="0" w:line="177" w:lineRule="exact"/>
              <w:rPr>
                <w:sz w:val="20"/>
                <w:szCs w:val="20"/>
                <w:color w:val="auto"/>
              </w:rPr>
            </w:pPr>
            <w:r>
              <w:rPr>
                <w:rFonts w:ascii="Arial" w:cs="Arial" w:eastAsia="Arial" w:hAnsi="Arial"/>
                <w:sz w:val="18"/>
                <w:szCs w:val="18"/>
                <w:color w:val="auto"/>
              </w:rPr>
              <w:t>5,159</w:t>
            </w:r>
          </w:p>
        </w:tc>
        <w:tc>
          <w:tcPr>
            <w:tcW w:w="2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4,239</w:t>
            </w:r>
          </w:p>
        </w:tc>
        <w:tc>
          <w:tcPr>
            <w:tcW w:w="160" w:type="dxa"/>
            <w:vAlign w:val="bottom"/>
          </w:tcPr>
          <w:p>
            <w:pPr>
              <w:spacing w:after="0"/>
              <w:rPr>
                <w:sz w:val="15"/>
                <w:szCs w:val="15"/>
                <w:color w:val="auto"/>
              </w:rPr>
            </w:pPr>
          </w:p>
        </w:tc>
        <w:tc>
          <w:tcPr>
            <w:tcW w:w="880" w:type="dxa"/>
            <w:vAlign w:val="bottom"/>
          </w:tcPr>
          <w:p>
            <w:pPr>
              <w:jc w:val="right"/>
              <w:ind w:right="39"/>
              <w:spacing w:after="0" w:line="177" w:lineRule="exact"/>
              <w:rPr>
                <w:sz w:val="20"/>
                <w:szCs w:val="20"/>
                <w:color w:val="auto"/>
              </w:rPr>
            </w:pPr>
            <w:r>
              <w:rPr>
                <w:rFonts w:ascii="Arial" w:cs="Arial" w:eastAsia="Arial" w:hAnsi="Arial"/>
                <w:sz w:val="18"/>
                <w:szCs w:val="18"/>
                <w:color w:val="auto"/>
              </w:rPr>
              <w:t>353</w:t>
            </w:r>
          </w:p>
        </w:tc>
        <w:tc>
          <w:tcPr>
            <w:tcW w:w="16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4,592</w:t>
            </w:r>
          </w:p>
        </w:tc>
        <w:tc>
          <w:tcPr>
            <w:tcW w:w="1060" w:type="dxa"/>
            <w:vAlign w:val="bottom"/>
          </w:tcPr>
          <w:p>
            <w:pPr>
              <w:jc w:val="right"/>
              <w:ind w:right="136"/>
              <w:spacing w:after="0" w:line="177" w:lineRule="exact"/>
              <w:rPr>
                <w:sz w:val="20"/>
                <w:szCs w:val="20"/>
                <w:color w:val="auto"/>
              </w:rPr>
            </w:pPr>
            <w:r>
              <w:rPr>
                <w:rFonts w:ascii="Arial" w:cs="Arial" w:eastAsia="Arial" w:hAnsi="Arial"/>
                <w:sz w:val="18"/>
                <w:szCs w:val="18"/>
                <w:b w:val="1"/>
                <w:bCs w:val="1"/>
                <w:color w:val="auto"/>
              </w:rPr>
              <w:t>5.7</w:t>
            </w:r>
          </w:p>
        </w:tc>
        <w:tc>
          <w:tcPr>
            <w:tcW w:w="1080" w:type="dxa"/>
            <w:vAlign w:val="bottom"/>
          </w:tcPr>
          <w:p>
            <w:pPr>
              <w:jc w:val="right"/>
              <w:ind w:right="136"/>
              <w:spacing w:after="0" w:line="177"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5"/>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2,982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vMerge w:val="restart"/>
          </w:tcPr>
          <w:p>
            <w:pPr>
              <w:jc w:val="right"/>
              <w:ind w:right="76"/>
              <w:spacing w:after="0"/>
              <w:rPr>
                <w:sz w:val="20"/>
                <w:szCs w:val="20"/>
                <w:color w:val="auto"/>
              </w:rPr>
            </w:pPr>
            <w:r>
              <w:rPr>
                <w:rFonts w:ascii="Arial" w:cs="Arial" w:eastAsia="Arial" w:hAnsi="Arial"/>
                <w:sz w:val="18"/>
                <w:szCs w:val="18"/>
                <w:b w:val="1"/>
                <w:bCs w:val="1"/>
                <w:color w:val="auto"/>
              </w:rPr>
              <w:t>(0.7)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Arial" w:cs="Arial" w:eastAsia="Arial" w:hAnsi="Arial"/>
                <w:sz w:val="18"/>
                <w:szCs w:val="18"/>
                <w:color w:val="auto"/>
              </w:rPr>
              <w:t>3,002</w:t>
            </w:r>
          </w:p>
        </w:tc>
        <w:tc>
          <w:tcPr>
            <w:tcW w:w="22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2,266</w:t>
            </w:r>
          </w:p>
        </w:tc>
        <w:tc>
          <w:tcPr>
            <w:tcW w:w="160" w:type="dxa"/>
            <w:vAlign w:val="bottom"/>
          </w:tcPr>
          <w:p>
            <w:pPr>
              <w:spacing w:after="0"/>
              <w:rPr>
                <w:sz w:val="15"/>
                <w:szCs w:val="15"/>
                <w:color w:val="auto"/>
              </w:rPr>
            </w:pPr>
          </w:p>
        </w:tc>
        <w:tc>
          <w:tcPr>
            <w:tcW w:w="880" w:type="dxa"/>
            <w:vAlign w:val="bottom"/>
          </w:tcPr>
          <w:p>
            <w:pPr>
              <w:jc w:val="right"/>
              <w:ind w:right="39"/>
              <w:spacing w:after="0" w:line="181" w:lineRule="exact"/>
              <w:rPr>
                <w:sz w:val="20"/>
                <w:szCs w:val="20"/>
                <w:color w:val="auto"/>
              </w:rPr>
            </w:pPr>
            <w:r>
              <w:rPr>
                <w:rFonts w:ascii="Arial" w:cs="Arial" w:eastAsia="Arial" w:hAnsi="Arial"/>
                <w:sz w:val="18"/>
                <w:szCs w:val="18"/>
                <w:color w:val="auto"/>
              </w:rPr>
              <w:t>205</w:t>
            </w:r>
          </w:p>
        </w:tc>
        <w:tc>
          <w:tcPr>
            <w:tcW w:w="16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2,471</w:t>
            </w:r>
          </w:p>
        </w:tc>
        <w:tc>
          <w:tcPr>
            <w:tcW w:w="1060" w:type="dxa"/>
            <w:vAlign w:val="bottom"/>
            <w:vMerge w:val="continue"/>
          </w:tcPr>
          <w:p>
            <w:pPr>
              <w:spacing w:after="0"/>
              <w:rPr>
                <w:sz w:val="15"/>
                <w:szCs w:val="15"/>
                <w:color w:val="auto"/>
              </w:rPr>
            </w:pPr>
          </w:p>
        </w:tc>
        <w:tc>
          <w:tcPr>
            <w:tcW w:w="1080" w:type="dxa"/>
            <w:vAlign w:val="bottom"/>
          </w:tcPr>
          <w:p>
            <w:pPr>
              <w:jc w:val="right"/>
              <w:ind w:right="136"/>
              <w:spacing w:after="0" w:line="181"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716</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652</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768</w:t>
            </w:r>
          </w:p>
        </w:tc>
        <w:tc>
          <w:tcPr>
            <w:tcW w:w="160" w:type="dxa"/>
            <w:vAlign w:val="bottom"/>
          </w:tcPr>
          <w:p>
            <w:pPr>
              <w:spacing w:after="0"/>
              <w:rPr>
                <w:sz w:val="17"/>
                <w:szCs w:val="17"/>
                <w:color w:val="auto"/>
              </w:rPr>
            </w:pPr>
          </w:p>
        </w:tc>
        <w:tc>
          <w:tcPr>
            <w:tcW w:w="8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823</w:t>
            </w:r>
          </w:p>
        </w:tc>
        <w:tc>
          <w:tcPr>
            <w:tcW w:w="1060" w:type="dxa"/>
            <w:vAlign w:val="bottom"/>
          </w:tcPr>
          <w:p>
            <w:pPr>
              <w:jc w:val="right"/>
              <w:ind w:right="136"/>
              <w:spacing w:after="0" w:line="202" w:lineRule="exact"/>
              <w:rPr>
                <w:sz w:val="20"/>
                <w:szCs w:val="20"/>
                <w:color w:val="auto"/>
              </w:rPr>
            </w:pPr>
            <w:r>
              <w:rPr>
                <w:rFonts w:ascii="Arial" w:cs="Arial" w:eastAsia="Arial" w:hAnsi="Arial"/>
                <w:sz w:val="18"/>
                <w:szCs w:val="18"/>
                <w:b w:val="1"/>
                <w:bCs w:val="1"/>
                <w:color w:val="auto"/>
              </w:rPr>
              <w:t>9.8</w:t>
            </w:r>
          </w:p>
        </w:tc>
        <w:tc>
          <w:tcPr>
            <w:tcW w:w="10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Advertising, marketing and promotion</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(10.8)</w:t>
            </w:r>
          </w:p>
        </w:tc>
        <w:tc>
          <w:tcPr>
            <w:tcW w:w="10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4,969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4,212</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356</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4,568</w:t>
            </w:r>
          </w:p>
        </w:tc>
        <w:tc>
          <w:tcPr>
            <w:tcW w:w="10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b w:val="1"/>
                <w:bCs w:val="1"/>
                <w:color w:val="auto"/>
              </w:rPr>
              <w:t>(2.2)</w:t>
            </w:r>
          </w:p>
        </w:tc>
        <w:tc>
          <w:tcPr>
            <w:tcW w:w="1080" w:type="dxa"/>
            <w:vAlign w:val="bottom"/>
            <w:tcBorders>
              <w:bottom w:val="single" w:sz="8" w:color="auto"/>
            </w:tcBorders>
          </w:tcPr>
          <w:p>
            <w:pPr>
              <w:jc w:val="right"/>
              <w:ind w:right="136"/>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7"/>
        </w:trPr>
        <w:tc>
          <w:tcPr>
            <w:tcW w:w="43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(loss) before depreciation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6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0C6DFF"/>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483</w:t>
            </w:r>
          </w:p>
        </w:tc>
        <w:tc>
          <w:tcPr>
            <w:tcW w:w="18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24</w:t>
            </w:r>
          </w:p>
        </w:tc>
        <w:tc>
          <w:tcPr>
            <w:tcW w:w="10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509.7%</w:t>
            </w:r>
          </w:p>
        </w:tc>
        <w:tc>
          <w:tcPr>
            <w:tcW w:w="10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Theatrical</w:t>
      </w:r>
    </w:p>
    <w:p>
      <w:pPr>
        <w:jc w:val="both"/>
        <w:spacing w:after="0" w:line="236" w:lineRule="auto"/>
        <w:rPr>
          <w:sz w:val="20"/>
          <w:szCs w:val="20"/>
          <w:color w:val="auto"/>
        </w:rPr>
      </w:pPr>
      <w:r>
        <w:rPr>
          <w:rFonts w:ascii="Arial" w:cs="Arial" w:eastAsia="Arial" w:hAnsi="Arial"/>
          <w:sz w:val="18"/>
          <w:szCs w:val="18"/>
          <w:color w:val="auto"/>
        </w:rPr>
        <w:t>Theatrical revenue is generated from the worldwide theatrical release of our owned and acquired films for exhibition in movie theaters and is significantly affected by the timing of each release and the number of films we distribute, as well as their acceptance by consumers. Theatrical revenue is also affected by the number of exhibition screens, ticket prices, the percentage of ticket sale retention by the exhibitors and the popularity of competing films at the time our films are released. The success of a film in movie theaters is a significant factor in determining the revenue a film is likely to generate in succeeding distribution platforms.</w:t>
      </w:r>
    </w:p>
    <w:p>
      <w:pPr>
        <w:spacing w:after="0" w:line="1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Theatrical revenue increased in 2013 primarily due to the strong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r>
        <w:rPr>
          <w:rFonts w:ascii="Arial" w:cs="Arial" w:eastAsia="Arial" w:hAnsi="Arial"/>
          <w:sz w:val="18"/>
          <w:szCs w:val="18"/>
          <w:color w:val="auto"/>
        </w:rPr>
        <w:t xml:space="preserve">. Theatrical revenue increased in 2012 primarily due to the strong performance of </w:t>
      </w:r>
      <w:r>
        <w:rPr>
          <w:rFonts w:ascii="Arial" w:cs="Arial" w:eastAsia="Arial" w:hAnsi="Arial"/>
          <w:sz w:val="18"/>
          <w:szCs w:val="18"/>
          <w:i w:val="1"/>
          <w:iCs w:val="1"/>
          <w:color w:val="auto"/>
        </w:rPr>
        <w:t>Ted</w:t>
      </w:r>
      <w:r>
        <w:rPr>
          <w:rFonts w:ascii="Arial" w:cs="Arial" w:eastAsia="Arial" w:hAnsi="Arial"/>
          <w:sz w:val="18"/>
          <w:szCs w:val="18"/>
          <w:color w:val="auto"/>
        </w:rPr>
        <w:t xml:space="preserve">, </w:t>
      </w:r>
      <w:r>
        <w:rPr>
          <w:rFonts w:ascii="Arial" w:cs="Arial" w:eastAsia="Arial" w:hAnsi="Arial"/>
          <w:sz w:val="18"/>
          <w:szCs w:val="18"/>
          <w:i w:val="1"/>
          <w:iCs w:val="1"/>
          <w:color w:val="auto"/>
        </w:rPr>
        <w:t>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Bourne Legacy</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0C6DFF"/>
        </w:rPr>
        <w:t>Content Licensing</w:t>
      </w:r>
    </w:p>
    <w:p>
      <w:pPr>
        <w:jc w:val="both"/>
        <w:ind w:right="20"/>
        <w:spacing w:after="0" w:line="239" w:lineRule="auto"/>
        <w:rPr>
          <w:sz w:val="20"/>
          <w:szCs w:val="20"/>
          <w:color w:val="auto"/>
        </w:rPr>
      </w:pPr>
      <w:r>
        <w:rPr>
          <w:rFonts w:ascii="Arial" w:cs="Arial" w:eastAsia="Arial" w:hAnsi="Arial"/>
          <w:sz w:val="18"/>
          <w:szCs w:val="18"/>
          <w:color w:val="auto"/>
        </w:rPr>
        <w:t>Content licensing revenue is generated primarily from the licensing of our owned and acquired films to cable, broadcast and premium networks, as well as to digital distributors.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Content licensing revenue increased in 2013 primarily due to the international licensing of our 2012 theatrical releases as well as from the licensing of our current year theatrical releases to digital distributors. Content</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licensing revenue increased in 2012 primarily due to a higher volume of our owned and acquired films made available to licensees in 2012, as well as an increase in the licensing of our content to digital distributors.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Home Entertainment</w:t>
      </w:r>
    </w:p>
    <w:p>
      <w:pPr>
        <w:jc w:val="both"/>
        <w:spacing w:after="0" w:line="237" w:lineRule="auto"/>
        <w:rPr>
          <w:sz w:val="20"/>
          <w:szCs w:val="20"/>
          <w:color w:val="auto"/>
        </w:rPr>
      </w:pPr>
      <w:r>
        <w:rPr>
          <w:rFonts w:ascii="Arial" w:cs="Arial" w:eastAsia="Arial" w:hAnsi="Arial"/>
          <w:sz w:val="18"/>
          <w:szCs w:val="18"/>
          <w:color w:val="auto"/>
        </w:rPr>
        <w:t>Home entertainment revenue is generated from the sale of our owned and acquired films on DVDs to retail stores, rental kiosks and subscription by mail services, and through digital distributors. Home entertainment revenue is significantly affected by the timing and number of our releases and their acceptance by consumers. Release dates are determined by several factors, including the timing of the exhibition of a film in movie theaters, holiday periods and the timing of competitive releases.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Home entertainment revenue remained flat in 2013 primarily due to a decrease in the number of releases in 2013 compared to 2012 offset by the strong performance of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r>
        <w:rPr>
          <w:rFonts w:ascii="Arial" w:cs="Arial" w:eastAsia="Arial" w:hAnsi="Arial"/>
          <w:sz w:val="18"/>
          <w:szCs w:val="18"/>
          <w:color w:val="auto"/>
        </w:rPr>
        <w:t xml:space="preserve"> Home entertainment revenue increased in 2012 primarily due to an increased number of, and improved performance of, our 2012 releases compared to our 2011 releases.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While we experienced successful DVD releases in 2013 such as </w:t>
      </w:r>
      <w:r>
        <w:rPr>
          <w:rFonts w:ascii="Arial" w:cs="Arial" w:eastAsia="Arial" w:hAnsi="Arial"/>
          <w:sz w:val="18"/>
          <w:szCs w:val="18"/>
          <w:i w:val="1"/>
          <w:iCs w:val="1"/>
          <w:color w:val="auto"/>
        </w:rPr>
        <w:t>Despicable Me 2</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and Furious 6</w:t>
      </w:r>
      <w:r>
        <w:rPr>
          <w:rFonts w:ascii="Arial" w:cs="Arial" w:eastAsia="Arial" w:hAnsi="Arial"/>
          <w:sz w:val="18"/>
          <w:szCs w:val="18"/>
          <w:color w:val="auto"/>
        </w:rPr>
        <w:t>, the overall DVD market continues to experience declines due to the impact of weak economic conditions, the maturation of the standard-definition DVD format, piracy, and increasing shifts in consumer behavior toward digital distributors, subscription rental services and discount rental kiosks, which generate less revenue per transaction than DVD sales.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8" w:lineRule="auto"/>
        <w:rPr>
          <w:sz w:val="20"/>
          <w:szCs w:val="20"/>
          <w:color w:val="auto"/>
        </w:rPr>
      </w:pPr>
      <w:r>
        <w:rPr>
          <w:rFonts w:ascii="Arial" w:cs="Arial" w:eastAsia="Arial" w:hAnsi="Arial"/>
          <w:sz w:val="18"/>
          <w:szCs w:val="18"/>
          <w:color w:val="auto"/>
        </w:rPr>
        <w:t>We also generate revenue from producing and licensing live stage plays, distributing filmed entertainment produced by third parties and from various digital media properties. Other revenue increased slightly in 2013 primarily due to an increase in revenue generated from our stage plays. Other revenue decreased in 2012 primarily due to lower revenue generated from our stage plays as a result of fewer productions.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Programming and Production</w:t>
      </w:r>
    </w:p>
    <w:p>
      <w:pPr>
        <w:jc w:val="both"/>
        <w:spacing w:after="0" w:line="236" w:lineRule="auto"/>
        <w:rPr>
          <w:sz w:val="20"/>
          <w:szCs w:val="20"/>
          <w:color w:val="auto"/>
        </w:rPr>
      </w:pPr>
      <w:r>
        <w:rPr>
          <w:rFonts w:ascii="Arial" w:cs="Arial" w:eastAsia="Arial" w:hAnsi="Arial"/>
          <w:sz w:val="18"/>
          <w:szCs w:val="18"/>
          <w:color w:val="auto"/>
        </w:rPr>
        <w:t>Programming and production expenses include the amortization of capitalized film production and acquisition costs, residual and participation payments, and distribution expenses. Residual payments represent amounts payable to certain of our employees, including freelance and temporary employees, who are represented by labor unions or guilds and are based on post-theatrical revenue. Participation payments are primarily based on film performance and represent contingent consideration payable to creative talent, third parties that have entered into cofinancing agreements with us and other parties involved in the production of a film.</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Programming and production costs decreased slightly in 2013 and increased in 2012 primarily due to higher amortization of film costs in 2012 associated with the higher cost of our 2012 film slate.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Other Operating and Administrative</w:t>
      </w:r>
    </w:p>
    <w:p>
      <w:pPr>
        <w:spacing w:after="0"/>
        <w:rPr>
          <w:sz w:val="20"/>
          <w:szCs w:val="20"/>
          <w:color w:val="auto"/>
        </w:rPr>
      </w:pPr>
      <w:r>
        <w:rPr>
          <w:rFonts w:ascii="Arial" w:cs="Arial" w:eastAsia="Arial" w:hAnsi="Arial"/>
          <w:sz w:val="18"/>
          <w:szCs w:val="18"/>
          <w:color w:val="auto"/>
        </w:rPr>
        <w:t>Other operating and administrative expenses include salaries, employee benefits, rent and other overhead expenses.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operating and administrative expenses increased in 2013 primarily due to the realization of a receivable in 2012 that was previously reserved for as uncollectible. Other operating and administrative expenses decreased in 2012 due to lower costs associated with our stage plays business as a result of fewer productions.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Advertising, Marketing and Promotion</w:t>
      </w:r>
    </w:p>
    <w:p>
      <w:pPr>
        <w:jc w:val="both"/>
        <w:spacing w:after="0" w:line="239" w:lineRule="auto"/>
        <w:rPr>
          <w:sz w:val="20"/>
          <w:szCs w:val="20"/>
          <w:color w:val="auto"/>
        </w:rPr>
      </w:pPr>
      <w:r>
        <w:rPr>
          <w:rFonts w:ascii="Arial" w:cs="Arial" w:eastAsia="Arial" w:hAnsi="Arial"/>
          <w:sz w:val="18"/>
          <w:szCs w:val="18"/>
          <w:color w:val="auto"/>
        </w:rPr>
        <w:t>Advertising and marketing expenses consist primarily of expenses associated with advertising for our theatrical releases and the marketing of DVDs. We incur significant marketing expenses before and throughout the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release of a film in movie theaters. As a result, we typically incur losses on a film prior to and during the film’s exhibition in movie theaters and may not realize profits, if any, until the film generates home entertainment and content licensing revenue. The costs associated with producing and marketing films have generally increased in recent years and may continue to increase in the future.</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marketing and promotion expenses decreased in 2013 primarily due to fewer significant theatrical releases in 2013 compared to 2012. Advertising, marketing and promotion expenses increased in 2012 primarily due to an increase in marketing costs associated with our 2012 theatrical and DVD releases.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Theme Parks Segment Actual and Pro Forma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142"/>
              <w:spacing w:after="0"/>
              <w:rPr>
                <w:sz w:val="20"/>
                <w:szCs w:val="20"/>
                <w:color w:val="auto"/>
              </w:rPr>
            </w:pPr>
            <w:r>
              <w:rPr>
                <w:rFonts w:ascii="Arial" w:cs="Arial" w:eastAsia="Arial" w:hAnsi="Arial"/>
                <w:sz w:val="14"/>
                <w:szCs w:val="14"/>
                <w:color w:val="auto"/>
                <w:w w:val="94"/>
              </w:rPr>
              <w:t>Actual</w:t>
            </w:r>
            <w:r>
              <w:rPr>
                <w:rFonts w:ascii="Arial" w:cs="Arial" w:eastAsia="Arial" w:hAnsi="Arial"/>
                <w:sz w:val="22"/>
                <w:szCs w:val="22"/>
                <w:color w:val="auto"/>
                <w:w w:val="94"/>
                <w:vertAlign w:val="superscript"/>
              </w:rPr>
              <w:t>(a)</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Pro Forma</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2"/>
              <w:spacing w:after="0" w:line="149" w:lineRule="exact"/>
              <w:rPr>
                <w:sz w:val="20"/>
                <w:szCs w:val="20"/>
                <w:color w:val="auto"/>
              </w:rPr>
            </w:pPr>
            <w:r>
              <w:rPr>
                <w:rFonts w:ascii="Arial" w:cs="Arial" w:eastAsia="Arial" w:hAnsi="Arial"/>
                <w:sz w:val="14"/>
                <w:szCs w:val="14"/>
                <w:color w:val="auto"/>
              </w:rPr>
              <w:t>Actual</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5"/>
              <w:spacing w:after="0" w:line="149" w:lineRule="exact"/>
              <w:rPr>
                <w:sz w:val="20"/>
                <w:szCs w:val="20"/>
                <w:color w:val="auto"/>
              </w:rPr>
            </w:pPr>
            <w:r>
              <w:rPr>
                <w:rFonts w:ascii="Arial" w:cs="Arial" w:eastAsia="Arial" w:hAnsi="Arial"/>
                <w:sz w:val="14"/>
                <w:szCs w:val="14"/>
                <w:color w:val="auto"/>
                <w:w w:val="93"/>
              </w:rPr>
              <w:t>Pro Forma</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0"/>
              <w:spacing w:after="0" w:line="149" w:lineRule="exact"/>
              <w:rPr>
                <w:sz w:val="20"/>
                <w:szCs w:val="20"/>
                <w:color w:val="auto"/>
              </w:rPr>
            </w:pPr>
            <w:r>
              <w:rPr>
                <w:rFonts w:ascii="Arial" w:cs="Arial" w:eastAsia="Arial" w:hAnsi="Arial"/>
                <w:sz w:val="14"/>
                <w:szCs w:val="14"/>
                <w:color w:val="auto"/>
                <w:w w:val="93"/>
              </w:rPr>
              <w:t>Combined</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00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January 29</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January 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2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18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4"/>
                <w:szCs w:val="14"/>
                <w:color w:val="auto"/>
              </w:rPr>
              <w:t>through</w:t>
            </w:r>
          </w:p>
        </w:tc>
        <w:tc>
          <w:tcPr>
            <w:tcW w:w="16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w w:val="94"/>
              </w:rPr>
              <w:t>Year Ended</w:t>
            </w:r>
          </w:p>
        </w:tc>
        <w:tc>
          <w:tcPr>
            <w:tcW w:w="1060" w:type="dxa"/>
            <w:vAlign w:val="bottom"/>
            <w:vMerge w:val="continue"/>
          </w:tcPr>
          <w:p>
            <w:pPr>
              <w:spacing w:after="0"/>
              <w:rPr>
                <w:sz w:val="11"/>
                <w:szCs w:val="11"/>
                <w:color w:val="auto"/>
              </w:rPr>
            </w:pPr>
          </w:p>
        </w:tc>
        <w:tc>
          <w:tcPr>
            <w:tcW w:w="1080" w:type="dxa"/>
            <w:vAlign w:val="bottom"/>
          </w:tcPr>
          <w:p>
            <w:pPr>
              <w:jc w:val="right"/>
              <w:ind w:right="140"/>
              <w:spacing w:after="0" w:line="133"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9"/>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9"/>
              </w:rPr>
              <w:t>December 31</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January 28</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December 31</w:t>
            </w:r>
          </w:p>
        </w:tc>
        <w:tc>
          <w:tcPr>
            <w:tcW w:w="10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8"/>
              </w:rPr>
              <w:t>2012 to 2013</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177"/>
        </w:trPr>
        <w:tc>
          <w:tcPr>
            <w:tcW w:w="444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2,235</w:t>
            </w:r>
          </w:p>
        </w:tc>
        <w:tc>
          <w:tcPr>
            <w:tcW w:w="160" w:type="dxa"/>
            <w:vAlign w:val="bottom"/>
          </w:tcPr>
          <w:p>
            <w:pPr>
              <w:ind w:left="60"/>
              <w:spacing w:after="0" w:line="177"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2,085</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1,874</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color w:val="auto"/>
              </w:rPr>
              <w:t>115</w:t>
            </w:r>
          </w:p>
        </w:tc>
        <w:tc>
          <w:tcPr>
            <w:tcW w:w="160" w:type="dxa"/>
            <w:vAlign w:val="bottom"/>
          </w:tcPr>
          <w:p>
            <w:pPr>
              <w:ind w:left="60"/>
              <w:spacing w:after="0" w:line="177"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1,989</w:t>
            </w:r>
          </w:p>
        </w:tc>
        <w:tc>
          <w:tcPr>
            <w:tcW w:w="1060" w:type="dxa"/>
            <w:vAlign w:val="bottom"/>
          </w:tcPr>
          <w:p>
            <w:pPr>
              <w:ind w:left="600"/>
              <w:spacing w:after="0" w:line="177" w:lineRule="exact"/>
              <w:rPr>
                <w:sz w:val="20"/>
                <w:szCs w:val="20"/>
                <w:color w:val="auto"/>
              </w:rPr>
            </w:pPr>
            <w:r>
              <w:rPr>
                <w:rFonts w:ascii="Arial" w:cs="Arial" w:eastAsia="Arial" w:hAnsi="Arial"/>
                <w:sz w:val="18"/>
                <w:szCs w:val="18"/>
                <w:b w:val="1"/>
                <w:bCs w:val="1"/>
                <w:color w:val="auto"/>
              </w:rPr>
              <w:t>7.2%</w:t>
            </w:r>
          </w:p>
        </w:tc>
        <w:tc>
          <w:tcPr>
            <w:tcW w:w="1080" w:type="dxa"/>
            <w:vAlign w:val="bottom"/>
          </w:tcPr>
          <w:p>
            <w:pPr>
              <w:ind w:left="620"/>
              <w:spacing w:after="0" w:line="177"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0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8.8</w:t>
            </w:r>
          </w:p>
        </w:tc>
        <w:tc>
          <w:tcPr>
            <w:tcW w:w="10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77"/>
        </w:trPr>
        <w:tc>
          <w:tcPr>
            <w:tcW w:w="4440" w:type="dxa"/>
            <w:vAlign w:val="bottom"/>
          </w:tcPr>
          <w:p>
            <w:pPr>
              <w:spacing w:after="0" w:line="177" w:lineRule="exact"/>
              <w:rPr>
                <w:sz w:val="20"/>
                <w:szCs w:val="20"/>
                <w:color w:val="auto"/>
              </w:rPr>
            </w:pPr>
            <w:r>
              <w:rPr>
                <w:rFonts w:ascii="Arial" w:cs="Arial" w:eastAsia="Arial" w:hAnsi="Arial"/>
                <w:sz w:val="18"/>
                <w:szCs w:val="18"/>
                <w:b w:val="1"/>
                <w:bCs w:val="1"/>
                <w:color w:val="auto"/>
              </w:rPr>
              <w:t>Operating income before depreciation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40" w:type="dxa"/>
            <w:vAlign w:val="bottom"/>
            <w:tcBorders>
              <w:bottom w:val="single" w:sz="8" w:color="0C6DFF"/>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1,004</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953</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0C6DFF"/>
            </w:tcBorders>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867</w:t>
            </w:r>
          </w:p>
        </w:tc>
        <w:tc>
          <w:tcPr>
            <w:tcW w:w="1060" w:type="dxa"/>
            <w:vAlign w:val="bottom"/>
            <w:tcBorders>
              <w:bottom w:val="single" w:sz="8" w:color="0C6DFF"/>
            </w:tcBorders>
          </w:tcPr>
          <w:p>
            <w:pPr>
              <w:ind w:left="600"/>
              <w:spacing w:after="0"/>
              <w:rPr>
                <w:sz w:val="20"/>
                <w:szCs w:val="20"/>
                <w:color w:val="auto"/>
              </w:rPr>
            </w:pPr>
            <w:r>
              <w:rPr>
                <w:rFonts w:ascii="Arial" w:cs="Arial" w:eastAsia="Arial" w:hAnsi="Arial"/>
                <w:sz w:val="18"/>
                <w:szCs w:val="18"/>
                <w:b w:val="1"/>
                <w:bCs w:val="1"/>
                <w:color w:val="auto"/>
              </w:rPr>
              <w:t>5.3%</w:t>
            </w:r>
          </w:p>
        </w:tc>
        <w:tc>
          <w:tcPr>
            <w:tcW w:w="1080" w:type="dxa"/>
            <w:vAlign w:val="bottom"/>
            <w:tcBorders>
              <w:bottom w:val="single" w:sz="8" w:color="0C6DFF"/>
            </w:tcBorders>
          </w:tcPr>
          <w:p>
            <w:pPr>
              <w:ind w:left="6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and Universal Orlando for the period January 29, 2011 through December 31, 2011. The results of operations for Universal Orlando for the period January 29, 2011 through June 30, 2011 are eliminated from our consolidated results because Universal Orlando was recorded as an equity method investment during that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revenue is generated primarily from theme park attendance and per capita spending at our Universal theme parks in Orlando and Hollywood, as well as from license and other fees.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Attendance at our theme parks and per capita spending depend heavily on the general environment for travel and tourism, including consumer spending on travel and other recreational activities. License and other fees relate primarily to our agreements with third parties that operate the Universal Studios Japan and the Universal Studios Singapore theme parks to license the Universal Studios brand name and other intellectual property.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Theme Parks segment revenue increased in 2013 and 2012 primarily due to higher guest attendance and increases in per capita spending at our Orlando and Hollywood theme parks. The increases in 2013 and 2012 were primarily driven by the continued success of </w:t>
      </w:r>
      <w:r>
        <w:rPr>
          <w:rFonts w:ascii="Arial" w:cs="Arial" w:eastAsia="Arial" w:hAnsi="Arial"/>
          <w:sz w:val="18"/>
          <w:szCs w:val="18"/>
          <w:i w:val="1"/>
          <w:iCs w:val="1"/>
          <w:color w:val="auto"/>
        </w:rPr>
        <w:t>The Wizarding World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Harry Potter </w:t>
      </w:r>
      <w:r>
        <w:rPr>
          <w:rFonts w:ascii="Arial" w:cs="Arial" w:eastAsia="Arial" w:hAnsi="Arial"/>
          <w:sz w:val="18"/>
          <w:szCs w:val="18"/>
          <w:color w:val="auto"/>
        </w:rPr>
        <w:t>attraction in Orlando and the</w:t>
      </w:r>
      <w:r>
        <w:rPr>
          <w:rFonts w:ascii="Arial" w:cs="Arial" w:eastAsia="Arial" w:hAnsi="Arial"/>
          <w:sz w:val="18"/>
          <w:szCs w:val="18"/>
          <w:i w:val="1"/>
          <w:iCs w:val="1"/>
          <w:color w:val="auto"/>
        </w:rPr>
        <w:t xml:space="preserve"> Transformers </w:t>
      </w:r>
      <w:r>
        <w:rPr>
          <w:rFonts w:ascii="Arial" w:cs="Arial" w:eastAsia="Arial" w:hAnsi="Arial"/>
          <w:sz w:val="18"/>
          <w:szCs w:val="18"/>
          <w:color w:val="auto"/>
        </w:rPr>
        <w:t>attractions in Orlando and Hollywood, which opened in June 2013 and May 2012,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Theme Parks segment operating costs and expenses consist primarily of theme park operations, including repairs and maintenance and related administrative expenses; food, beverage and merchandise costs; labor costs; and sales and marketing costs.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Theme Parks segment operating costs and expenses increased in 2013 and 2012 primarily due to additional costs at our Orlando and Hollywood theme parks associated with additional attractions and increases in food, beverage and merchandise costs associated with the increases in attendance.</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Headquarters,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Headquarters and Other operating costs and expenses incurred by our NBCUniversal businesses include overhead, personnel costs and costs associated with corporate initiatives. Operating costs and expenses increased in 2013 primarily due to higher employee costs. Operating costs and expenses remained flat in 2012 primarily due to higher technology and administrative costs offset by the impact of transaction-related costs associated with the 2011 NBCUniversal transaction, including severance and other compensation-related costs.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Eliminations include the results of operations for Universal Orlando for the period January 29, 2011 through June 30, 2011. Our Theme Parks segment included the results of operations of Universal Orlando for this period because these amounts had been reflected in our segment performance measure. These amounts were not included when we measured total NBCUniversal and our consolidated results of operations because we recorded Universal Orlando as an equity method investment for the period January 29, 2011 through June 30,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Corporate and Other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200"/>
              <w:spacing w:after="0"/>
              <w:rPr>
                <w:sz w:val="20"/>
                <w:szCs w:val="20"/>
                <w:color w:val="auto"/>
              </w:rPr>
            </w:pPr>
            <w:r>
              <w:rPr>
                <w:rFonts w:ascii="Arial" w:cs="Arial" w:eastAsia="Arial" w:hAnsi="Arial"/>
                <w:sz w:val="14"/>
                <w:szCs w:val="14"/>
                <w:color w:val="auto"/>
              </w:rPr>
              <w:t>% Change</w:t>
            </w:r>
          </w:p>
        </w:tc>
      </w:tr>
      <w:tr>
        <w:trPr>
          <w:trHeight w:val="165"/>
        </w:trPr>
        <w:tc>
          <w:tcPr>
            <w:tcW w:w="6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2011</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2012 to 2013</w:t>
            </w: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2011 to 2012</w:t>
            </w:r>
          </w:p>
        </w:tc>
      </w:tr>
      <w:tr>
        <w:trPr>
          <w:trHeight w:val="177"/>
        </w:trPr>
        <w:tc>
          <w:tcPr>
            <w:tcW w:w="6020" w:type="dxa"/>
            <w:vAlign w:val="bottom"/>
          </w:tcPr>
          <w:p>
            <w:pPr>
              <w:spacing w:after="0" w:line="177" w:lineRule="exact"/>
              <w:rPr>
                <w:sz w:val="20"/>
                <w:szCs w:val="20"/>
                <w:color w:val="auto"/>
              </w:rPr>
            </w:pPr>
            <w:r>
              <w:rPr>
                <w:rFonts w:ascii="Arial" w:cs="Arial" w:eastAsia="Arial" w:hAnsi="Arial"/>
                <w:sz w:val="18"/>
                <w:szCs w:val="18"/>
                <w:b w:val="1"/>
                <w:bCs w:val="1"/>
                <w:color w:val="auto"/>
              </w:rPr>
              <w:t>Revenue</w:t>
            </w:r>
          </w:p>
        </w:tc>
        <w:tc>
          <w:tcPr>
            <w:tcW w:w="10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7"/>
              <w:spacing w:after="0" w:line="177" w:lineRule="exact"/>
              <w:rPr>
                <w:sz w:val="20"/>
                <w:szCs w:val="20"/>
                <w:color w:val="auto"/>
              </w:rPr>
            </w:pPr>
            <w:r>
              <w:rPr>
                <w:rFonts w:ascii="Arial" w:cs="Arial" w:eastAsia="Arial" w:hAnsi="Arial"/>
                <w:sz w:val="18"/>
                <w:szCs w:val="18"/>
                <w:b w:val="1"/>
                <w:bCs w:val="1"/>
                <w:color w:val="auto"/>
              </w:rPr>
              <w:t>600</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57"/>
              <w:spacing w:after="0" w:line="177" w:lineRule="exact"/>
              <w:rPr>
                <w:sz w:val="20"/>
                <w:szCs w:val="20"/>
                <w:color w:val="auto"/>
              </w:rPr>
            </w:pPr>
            <w:r>
              <w:rPr>
                <w:rFonts w:ascii="Arial" w:cs="Arial" w:eastAsia="Arial" w:hAnsi="Arial"/>
                <w:sz w:val="18"/>
                <w:szCs w:val="18"/>
                <w:color w:val="auto"/>
              </w:rPr>
              <w:t>498</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7"/>
              <w:spacing w:after="0" w:line="177" w:lineRule="exact"/>
              <w:rPr>
                <w:sz w:val="20"/>
                <w:szCs w:val="20"/>
                <w:color w:val="auto"/>
              </w:rPr>
            </w:pPr>
            <w:r>
              <w:rPr>
                <w:rFonts w:ascii="Arial" w:cs="Arial" w:eastAsia="Arial" w:hAnsi="Arial"/>
                <w:sz w:val="18"/>
                <w:szCs w:val="18"/>
                <w:color w:val="auto"/>
              </w:rPr>
              <w:t>558</w:t>
            </w:r>
          </w:p>
        </w:tc>
        <w:tc>
          <w:tcPr>
            <w:tcW w:w="1180" w:type="dxa"/>
            <w:vAlign w:val="bottom"/>
          </w:tcPr>
          <w:p>
            <w:pPr>
              <w:jc w:val="right"/>
              <w:ind w:right="60"/>
              <w:spacing w:after="0" w:line="177" w:lineRule="exact"/>
              <w:rPr>
                <w:sz w:val="20"/>
                <w:szCs w:val="20"/>
                <w:color w:val="auto"/>
              </w:rPr>
            </w:pPr>
            <w:r>
              <w:rPr>
                <w:rFonts w:ascii="Arial" w:cs="Arial" w:eastAsia="Arial" w:hAnsi="Arial"/>
                <w:sz w:val="18"/>
                <w:szCs w:val="18"/>
                <w:b w:val="1"/>
                <w:bCs w:val="1"/>
                <w:color w:val="auto"/>
              </w:rPr>
              <w:t>20.6%</w:t>
            </w:r>
          </w:p>
        </w:tc>
        <w:tc>
          <w:tcPr>
            <w:tcW w:w="1140" w:type="dxa"/>
            <w:vAlign w:val="bottom"/>
          </w:tcPr>
          <w:p>
            <w:pPr>
              <w:jc w:val="right"/>
              <w:spacing w:after="0" w:line="177" w:lineRule="exact"/>
              <w:rPr>
                <w:sz w:val="20"/>
                <w:szCs w:val="20"/>
                <w:color w:val="auto"/>
              </w:rPr>
            </w:pPr>
            <w:r>
              <w:rPr>
                <w:rFonts w:ascii="Arial" w:cs="Arial" w:eastAsia="Arial" w:hAnsi="Arial"/>
                <w:sz w:val="18"/>
                <w:szCs w:val="18"/>
                <w:color w:val="auto"/>
              </w:rPr>
              <w:t>(10.8)%</w:t>
            </w:r>
          </w:p>
        </w:tc>
      </w:tr>
      <w:tr>
        <w:trPr>
          <w:trHeight w:val="221"/>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1,089</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874</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974</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(10.3)</w:t>
            </w:r>
          </w:p>
        </w:tc>
      </w:tr>
      <w:tr>
        <w:trPr>
          <w:trHeight w:val="196"/>
        </w:trPr>
        <w:tc>
          <w:tcPr>
            <w:tcW w:w="60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Operating income (loss) before depreciation and amortization</w:t>
            </w:r>
          </w:p>
        </w:tc>
        <w:tc>
          <w:tcPr>
            <w:tcW w:w="10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(489)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(376)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9"/>
              </w:rPr>
              <w:t>(416)</w:t>
            </w:r>
          </w:p>
        </w:tc>
        <w:tc>
          <w:tcPr>
            <w:tcW w:w="1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(30.2)%</w:t>
            </w:r>
          </w:p>
        </w:tc>
        <w:tc>
          <w:tcPr>
            <w:tcW w:w="1140" w:type="dxa"/>
            <w:vAlign w:val="bottom"/>
            <w:tcBorders>
              <w:bottom w:val="single" w:sz="8" w:color="0C6DFF"/>
            </w:tcBorders>
          </w:tcPr>
          <w:p>
            <w:pPr>
              <w:jc w:val="right"/>
              <w:ind w:right="40"/>
              <w:spacing w:after="0" w:line="196" w:lineRule="exact"/>
              <w:rPr>
                <w:sz w:val="20"/>
                <w:szCs w:val="20"/>
                <w:color w:val="auto"/>
              </w:rPr>
            </w:pPr>
            <w:r>
              <w:rPr>
                <w:rFonts w:ascii="Arial" w:cs="Arial" w:eastAsia="Arial" w:hAnsi="Arial"/>
                <w:sz w:val="18"/>
                <w:szCs w:val="18"/>
                <w:color w:val="auto"/>
              </w:rPr>
              <w:t>9.7%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revenue primarily relates to Comcast-Spectacor, which owns the Philadelphia Flyers and the Wells Fargo Center arena in Philadelphia and operates arena management-related businesses.</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Other revenue increased in 2013 primarily due to an increase in the number of NHL games compared to 2012 due to the lockout in 2012. Other revenue decreased in 2012 primarily due to a loss in revenue associated with the NHL lockout.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 of corporate initiatives incurred by our Comcast businesses and operating costs and expenses associated with Comcast-Spectacor.</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Corporate and Other operating costs and expenses increased in 2013 primarily due to $74 million of expenses associated with the final settlement of the terminated qualified pension plan that provided benefits to former employees of a company we acquired as part of the AT&amp;T Broadband transaction in 2002 as well as an increase in labor costs in our Comcast-Spectacor business. Corporate and Other operating costs and expenses decreased in 2012 primarily due to the NHL lockout.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Other Income (Expense)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2011</w:t>
            </w:r>
          </w:p>
        </w:tc>
      </w:tr>
      <w:tr>
        <w:trPr>
          <w:trHeight w:val="177"/>
        </w:trPr>
        <w:tc>
          <w:tcPr>
            <w:tcW w:w="6240" w:type="dxa"/>
            <w:vAlign w:val="bottom"/>
          </w:tcPr>
          <w:p>
            <w:pPr>
              <w:spacing w:after="0" w:line="177" w:lineRule="exact"/>
              <w:rPr>
                <w:sz w:val="20"/>
                <w:szCs w:val="20"/>
                <w:color w:val="auto"/>
              </w:rPr>
            </w:pPr>
            <w:r>
              <w:rPr>
                <w:rFonts w:ascii="Arial" w:cs="Arial" w:eastAsia="Arial" w:hAnsi="Arial"/>
                <w:sz w:val="18"/>
                <w:szCs w:val="18"/>
                <w:color w:val="auto"/>
              </w:rPr>
              <w:t>Interest expense</w:t>
            </w:r>
          </w:p>
        </w:tc>
        <w:tc>
          <w:tcPr>
            <w:tcW w:w="34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(2,574)</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77" w:lineRule="exact"/>
              <w:rPr>
                <w:sz w:val="20"/>
                <w:szCs w:val="20"/>
                <w:color w:val="auto"/>
              </w:rPr>
            </w:pPr>
            <w:r>
              <w:rPr>
                <w:rFonts w:ascii="Arial" w:cs="Arial" w:eastAsia="Arial" w:hAnsi="Arial"/>
                <w:sz w:val="18"/>
                <w:szCs w:val="18"/>
                <w:color w:val="auto"/>
              </w:rPr>
              <w:t>(2,521)</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 (2,505)</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Investment income (loss), net</w:t>
            </w:r>
          </w:p>
        </w:tc>
        <w:tc>
          <w:tcPr>
            <w:tcW w:w="346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576</w:t>
            </w:r>
          </w:p>
        </w:tc>
        <w:tc>
          <w:tcPr>
            <w:tcW w:w="200" w:type="dxa"/>
            <w:vAlign w:val="bottom"/>
          </w:tcPr>
          <w:p>
            <w:pPr>
              <w:spacing w:after="0"/>
              <w:rPr>
                <w:sz w:val="17"/>
                <w:szCs w:val="17"/>
                <w:color w:val="auto"/>
              </w:rPr>
            </w:pPr>
          </w:p>
        </w:tc>
        <w:tc>
          <w:tcPr>
            <w:tcW w:w="6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219</w:t>
            </w: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159</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17"/>
                <w:szCs w:val="17"/>
                <w:color w:val="auto"/>
              </w:rPr>
            </w:pPr>
          </w:p>
        </w:tc>
        <w:tc>
          <w:tcPr>
            <w:tcW w:w="6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959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21"/>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3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196"/>
        </w:trPr>
        <w:tc>
          <w:tcPr>
            <w:tcW w:w="62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(2,448)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(570)</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(2,514)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expense increased in 2013 primarily due to an increase in our debt outstanding, partially offset by a lower average cost of debt. Interest expense remained flat in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Investment income (loss), net increased in 2013 primarily due to the $443 million gain related to the sale of our investment in Clearwire Corporation (“Clearwire”) in July 2013. The components of investment income (loss), net in 2013, 2012 and 2011 are presented in a table in Note 6 to Comcast’s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changes in equity in net income (losses) of investees, net in 2013 and 2012 were primarily due to the $876 million of income that was recorded in 2012 related to our portion of SpectrumCo’s gain on sale of its advanced wireless services spectrum licenses, as well as $142 million of total equity losses recorded in 2013 attributable to our investment in Hulu, LLC (“Hulu”). In July 2013, we entered into an agreement to provide capital contributions totaling $247 million to Hulu, which we had previously accounted for as a cost method investment. This represented an agreement to provide our first capital contribution to Hulu since our interest was acquired as part of the NBCUniversal transaction, therefore we began to apply the equity method of accounting for this investment. The change in the method of accounting for this investment required us to recognize Hulu’s accumulated losses from the date of the NBCUniversal transaction through July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changes in other income (expense), net in 2013 and 2012 were primarily due to the $1 billion gain recorded in 2012 related to the sale of our investment in A&amp;E Television Networks LLC (“A&amp;E Television Networks”), as well as an impairment of $236 million of our equity method investment in, and loans with, a regional sports cable network based in Houston, Texas, which was recorded in 2013.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Income tax expense reflects federal and state income taxes, adjustments associated with uncertain tax positions and, until the close of the Redemption Transaction in March 2013, the partnership structure of NBCUniversal Holdings whereby income tax expense was not recorded on the portion of its consolidated income that was attributable to GE’s noncontrolling interest. Our effective income tax rate in 2013, 2012 and 2011 was 35.8%, 32.3% and 37.2%, respectively. In 2013, our effective income tax rate increased due to the Redemption Transaction in March 2013 in which we acquired GE’s noncontrolling common equity interest in NBCUniversal and subsequently recorded income tax expense on all of its consolidated income. In addition, our 2013 income tax expense was reduced by $158 million due to the nontaxable portion of the increase in tax basis associated with the redemption of Liberty Media Series A common stock in October 2013. In 2012, our effective income tax rate decreased due to proportionately higher pretax income at NBCUniversal, which included NBCUniversal’s gain on the sale of its equity interest in A&amp;E Television Networks. In addition, our 2012 income tax expense decreased by $109 million due to certain changes in state tax laws that became</w:t>
      </w:r>
    </w:p>
    <w:p>
      <w:pPr>
        <w:spacing w:after="0" w:line="305"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65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in 2012. Our income tax expense in the future may continue to be impacted by adjustments to uncertain tax positions and related interest, and changes in tax laws. We expect our 2014 annual effective tax rate to be in the range of 37% to 39%, absent changes in tax laws or significant changes in uncertain tax positions.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Consolidated Net (Income) Loss Attributable to Noncontrolling Interests and Redeemable Subsidiary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decrease in net income attributable to noncontrolling interests and redeemable subsidiary preferred stock in 2013 was primarily due to our acquisition of GE’s remaining 49% common equity interest in NBCUniversal Holdings in March 2013. The increase in net income attributable to noncontrolling interests in 2012 was primarily due to GE’s allocated share of the increase in earnings of NBCUniversal during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to meet our debt repayment obligations, to fund our capital expenditures, to invest in business opportunities and to return capital to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We also maintain significant availability under our lines of credit and our commercial paper program to meet our short-term liquidity requirements.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commercial paper program provides a lower cost source of borrowing to fund our short-term working capital requirements and is supported by the Comcast and Comcast Cable Communications, LLC $6.25 billion revolving credit facility due June 2017. In September 2013, we increased the borrowing capacity of our commercial paper program from $2.25 billion to $6.25 billion.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amounts available under our consolidated revolving credit facilities, net of amounts outstanding under our commercial paper program and outstanding letters of credit, totaled $4.7 billion, which included $100 million available under NBCUniversal Enterprise, Inc.’s (“NBCUniversal Enterprise”) credit facility.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2013, we, four of our wholly owned cable holding company subsidiaries (the “cable guarantors”) and NBCUniversal entered into a series of agreements and supplemental indentures to include NBCUniversal as part of our existing cross-guarantee structure. As members of the cross-guarantee structure, we and the cable guarantors fully and unconditionally guarantee NBCUniversal’s public debt securities, and NBCUniversal fully and unconditionally guarantees all of our and the cable guarantors’ public debt securities, as well as our $6.25 billion revolving credit facility. We and the cable guarantors also fully and unconditionally guarantee NBCUniversal Enterprise’s $4 billion of senior notes and its $1.35 billion credit facility due March 2018. NBCUniversal does not guarantee the NBCUniversal Enterprise senior notes or credit facility. See Note 21 to Comcast’s consolidated financial statements for additional information on our subsidiary cross-guarantee structure.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NBCUniversal and our Cable Communications subsidiaries that have provided guarantees are subject to the covenants and restrictions set forth in the indentures governing our public debt securities and in the credit agreements governing the Comcast and Comcast Cable Communications credit facility. We test for compliance with the covenants for our credit facility on an ongoing basis. The only financial covenant is in our credit facility and pertains to leverage, which is the ratio of debt to operating income before depreciation and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66</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amortization, as defined in the credit facility. As of December 31, 2013, we met this financial covenant by a significant margin. We do not expect to have to reduce debt or improve operating results in order to continue to comply with this financial covenant.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Monetization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2013, the programs under which NBCUniversal monetized certain of its accounts receivable with a syndicate of banks were terminated. The final payments of $1.4 billion associated with the termination of these programs are a component of net cash provided by operating activities in Comcast’s and NBCUniversal’s consolidated statement of cash flows. See Note 17 to Comcast’s consolidated financial statements and Note 16 to NBCUniversal’s consolidated financial statements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Cash Provided by Operating Activities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r>
      <w:tr>
        <w:trPr>
          <w:trHeight w:val="177"/>
        </w:trPr>
        <w:tc>
          <w:tcPr>
            <w:tcW w:w="6640" w:type="dxa"/>
            <w:vAlign w:val="bottom"/>
          </w:tcPr>
          <w:p>
            <w:pPr>
              <w:spacing w:after="0" w:line="177" w:lineRule="exact"/>
              <w:rPr>
                <w:sz w:val="20"/>
                <w:szCs w:val="20"/>
                <w:color w:val="auto"/>
              </w:rPr>
            </w:pPr>
            <w:r>
              <w:rPr>
                <w:rFonts w:ascii="Arial" w:cs="Arial" w:eastAsia="Arial" w:hAnsi="Arial"/>
                <w:sz w:val="18"/>
                <w:szCs w:val="18"/>
                <w:color w:val="auto"/>
              </w:rPr>
              <w:t>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$ 13,563</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$ 12,179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$ 10,721</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7,871</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7,798</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7,636</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Operating income before depreciation and amortization</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21,434</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19,977</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18,357</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Noncash share-based compensation</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419</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371</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344</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Termination of receivables monetization programs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(1,442)</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operating assets and liabilities</w:t>
            </w:r>
          </w:p>
        </w:tc>
        <w:tc>
          <w:tcPr>
            <w:tcW w:w="2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r>
        <w:trPr>
          <w:trHeight w:val="177"/>
        </w:trPr>
        <w:tc>
          <w:tcPr>
            <w:tcW w:w="6640" w:type="dxa"/>
            <w:vAlign w:val="bottom"/>
          </w:tcPr>
          <w:p>
            <w:pPr>
              <w:ind w:left="220"/>
              <w:spacing w:after="0" w:line="177" w:lineRule="exact"/>
              <w:rPr>
                <w:sz w:val="20"/>
                <w:szCs w:val="20"/>
                <w:color w:val="auto"/>
              </w:rPr>
            </w:pPr>
            <w:r>
              <w:rPr>
                <w:rFonts w:ascii="Arial" w:cs="Arial" w:eastAsia="Arial" w:hAnsi="Arial"/>
                <w:sz w:val="18"/>
                <w:szCs w:val="18"/>
                <w:color w:val="auto"/>
              </w:rPr>
              <w:t>Cash basis operating income</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20,504</w:t>
            </w:r>
          </w:p>
        </w:tc>
        <w:tc>
          <w:tcPr>
            <w:tcW w:w="9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19,930</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18,098</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interest</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(2,355)</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(2,441)</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Payments of income taxes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(3,946)</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(2,841)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(1,626)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Proceeds from investments and other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162</w:t>
            </w: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213</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360</w:t>
            </w: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Excess tax benefits under share-based compensation</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66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$ 14,160</w:t>
            </w:r>
          </w:p>
        </w:tc>
        <w:tc>
          <w:tcPr>
            <w:tcW w:w="9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$ 14,854</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$ 14,345</w:t>
            </w: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changes in operating assets and liabilities in 2013 compared to the changes in 2012 were primarily due to the timing of receipts for our accounts receivable, increases in deferred revenue associated with our Olympics broadcasts and a decrease in film and television costs. The increases were partially offset by payments made in 2013 related to the termination of a film financing arrangement and payments of our accounts payable and accrued expenses related to trade creditors, as well as the timing of other operating items.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changes in operating assets and liabilities in 2012 compared to the changes in 2011 were primarily related to a decrease in film and television costs, partially offset by the settlement in 2012 of a $237 million liability associated with an unfavorable Olympic contract that had been recorded through the application of acquisition accounting in 2011, as well as the timing of other operating items, including accounts receivable and accounts payable and accrued expenses related to trade creditors.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Interest payments remained relatively flat in 2013 compared to 2012. The decrease in interest payments in 2012 was primarily due to the repayment and redemption of certain of our debt obligations.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increase in income tax payments in 2013 was primarily due to higher taxable income from operations, the net impact of the economic stimulus legislation, the settlement of tax disputes and the repatriation of foreign earnings. The increase in income tax payments in 2012 was primarily due to increases in taxable income, which resulted in higher federal tax payments made in 2012, and the lower net benefit in 2012 of the economic stimulus legislation. We expect income tax payments to increase in 2014 primarily due to higher taxable income from operations and the expiration of the economic stimulus legislation.</w:t>
      </w:r>
    </w:p>
    <w:p>
      <w:pPr>
        <w:spacing w:after="0" w:line="327"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cash used in investing activities in 2013 consisted primarily of cash paid for capital expenditures, acquisitions of real estate properties, purchases of investments and cash paid for intangible assets. Net cash used in investing activities in 2012 consisted primarily of cash paid for capital expenditures, cash paid for intangible assets and the purchase of investments and was substantially offset by proceeds from sales of businesses and investments and return of capital from investees.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Capital Expenditures</w:t>
      </w:r>
    </w:p>
    <w:p>
      <w:pPr>
        <w:jc w:val="both"/>
        <w:spacing w:after="0" w:line="238" w:lineRule="auto"/>
        <w:rPr>
          <w:sz w:val="20"/>
          <w:szCs w:val="20"/>
          <w:color w:val="auto"/>
        </w:rPr>
      </w:pPr>
      <w:r>
        <w:rPr>
          <w:rFonts w:ascii="Arial" w:cs="Arial" w:eastAsia="Arial" w:hAnsi="Arial"/>
          <w:sz w:val="18"/>
          <w:szCs w:val="18"/>
          <w:color w:val="auto"/>
        </w:rPr>
        <w:t>Our most significant recurring investing activity has been capital expenditures in our Cable Communications segment, and we expect that this will continue in the future. The table below summarizes the capital expenditures we incurred in our Cable Communications segment in 2013, 2012 and 2011.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604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38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$ 1,819</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$ 1,720</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$ 1,715</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2,990</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2,678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2,594</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Buildings and building improvements</w:t>
            </w:r>
          </w:p>
        </w:tc>
        <w:tc>
          <w:tcPr>
            <w:tcW w:w="3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21"/>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0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$ 5,403</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$ 4,921</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$ 4,806</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Cable Communications capital expenditures increased in 2013 and 2012 primarily due to an increase in customer premise equipment purchases, including purchases related to our X1 platform and our wireless gateways in 2013, and increased investment in business services and network capacity.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Capital expenditures in our NBCUniversal segments increased 52.0% to $1.2 billion in 2013 primarily due to continued investment at our Universal theme parks. Capital expenditures in our NBCUniversal segments increased 75.7% to $763 million in 2012 primarily due to increased investment at our Universal theme parks and increased investment in technical infrastructure to support our cable networks and broadcast television operations.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rate of growth of our capital expenditures for 2014 is expected to increase as we continue to invest significantly in the deployment of our X1 platform and wireless gateways to our customers and the expansion of business services and our home security and automation services. Capital expenditures for subsequent years will depend on numerous factors, including acquisitions, competition, changes in technology, regulatory changes, and the timing and rate of deployment of new services and capacity for existing services. In addition, we have invested and expect to continue to invest in existing and new attractions at our Universal theme parks.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Cash Paid for Intangible Assets</w:t>
      </w:r>
    </w:p>
    <w:p>
      <w:pPr>
        <w:spacing w:after="0"/>
        <w:rPr>
          <w:sz w:val="20"/>
          <w:szCs w:val="20"/>
          <w:color w:val="auto"/>
        </w:rPr>
      </w:pPr>
      <w:r>
        <w:rPr>
          <w:rFonts w:ascii="Arial" w:cs="Arial" w:eastAsia="Arial" w:hAnsi="Arial"/>
          <w:sz w:val="18"/>
          <w:szCs w:val="18"/>
          <w:color w:val="auto"/>
        </w:rPr>
        <w:t>In 2013 and 2012, cash paid for intangible assets consisted primarily of software.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Acquisitions of Real Estate Properties</w:t>
      </w:r>
    </w:p>
    <w:p>
      <w:pPr>
        <w:jc w:val="both"/>
        <w:spacing w:after="0" w:line="237" w:lineRule="auto"/>
        <w:rPr>
          <w:sz w:val="20"/>
          <w:szCs w:val="20"/>
          <w:color w:val="auto"/>
        </w:rPr>
      </w:pPr>
      <w:r>
        <w:rPr>
          <w:rFonts w:ascii="Arial" w:cs="Arial" w:eastAsia="Arial" w:hAnsi="Arial"/>
          <w:sz w:val="18"/>
          <w:szCs w:val="18"/>
          <w:color w:val="auto"/>
        </w:rPr>
        <w:t>In 2013, acquisitions of real estate properties included NBCUniversal’s purchases of the 30 Rockefeller Plaza properties it occupies in connection with the Redemption Transaction, NBCUniversal’s purchase of the property located at 10 Universal City Plaza, which is adjacent to Universal Studios in Hollywood, California and our purchase of an 80% interest in a business whose primary asset is our corporate headquarters located in Philadelphia, Pennsylvania.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68</w:t>
            </w: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Acquisitions</w:t>
      </w:r>
    </w:p>
    <w:p>
      <w:pPr>
        <w:jc w:val="both"/>
        <w:spacing w:after="0" w:line="238" w:lineRule="auto"/>
        <w:rPr>
          <w:sz w:val="20"/>
          <w:szCs w:val="20"/>
          <w:color w:val="auto"/>
        </w:rPr>
      </w:pPr>
      <w:r>
        <w:rPr>
          <w:rFonts w:ascii="Arial" w:cs="Arial" w:eastAsia="Arial" w:hAnsi="Arial"/>
          <w:sz w:val="18"/>
          <w:szCs w:val="18"/>
          <w:color w:val="auto"/>
        </w:rPr>
        <w:t>Our 2013 and 2012 acquisitions were not significant. In 2011, we closed the NBCUniversal transaction and NBCUniversal acquired the remaining 50% equity interest in Universal Orlando that it did not already own. See Note 4 to Comcast’s consolidated financial statements for additional information on our acquisitions.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Proceeds from Sales of Businesses and Investments</w:t>
      </w:r>
    </w:p>
    <w:p>
      <w:pPr>
        <w:jc w:val="both"/>
        <w:spacing w:after="0" w:line="236" w:lineRule="auto"/>
        <w:rPr>
          <w:sz w:val="20"/>
          <w:szCs w:val="20"/>
          <w:color w:val="auto"/>
        </w:rPr>
      </w:pPr>
      <w:r>
        <w:rPr>
          <w:rFonts w:ascii="Arial" w:cs="Arial" w:eastAsia="Arial" w:hAnsi="Arial"/>
          <w:sz w:val="18"/>
          <w:szCs w:val="18"/>
          <w:color w:val="auto"/>
        </w:rPr>
        <w:t>In 2013, proceeds from sales of businesses and investments were primarily related to the redemption of our Liberty Media Series A common stock by Liberty Media Corporation and the sale of our investment in Clearwire. In 2012, proceeds from sales of businesses and investments were primarily related to the A&amp;E Television Networks transaction. Following the close of the A&amp;E Television Networks transaction, NBCUniversal no longer receives dividends from A&amp;E Television Networks. In 2012 and 2011, NBCUniversal received $129 million and $196 million, respectively, in dividends from A&amp;E Television Networks, which were included in net cash provided by operating activities. In 2011, proceeds from sales of businesses and investments were primarily related to the sale of the Philadelphia 76ers.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Return of Capital from Investees</w:t>
      </w:r>
    </w:p>
    <w:p>
      <w:pPr>
        <w:jc w:val="both"/>
        <w:spacing w:after="0" w:line="238" w:lineRule="auto"/>
        <w:rPr>
          <w:sz w:val="20"/>
          <w:szCs w:val="20"/>
          <w:color w:val="auto"/>
        </w:rPr>
      </w:pPr>
      <w:r>
        <w:rPr>
          <w:rFonts w:ascii="Arial" w:cs="Arial" w:eastAsia="Arial" w:hAnsi="Arial"/>
          <w:sz w:val="18"/>
          <w:szCs w:val="18"/>
          <w:color w:val="auto"/>
        </w:rPr>
        <w:t>In 2013, return of capital from investees consisted primarily of a distribution received from The Weather Channel Holding Corp. (“The Weather Channel”). In 2012, return of capital from investees consisted primarily of distributions received from the SpectrumCo transaction. Our return of capital from investees in 2011 was not significant.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Purchases of Investments</w:t>
      </w:r>
    </w:p>
    <w:p>
      <w:pPr>
        <w:jc w:val="both"/>
        <w:spacing w:after="0" w:line="239" w:lineRule="auto"/>
        <w:rPr>
          <w:sz w:val="20"/>
          <w:szCs w:val="20"/>
          <w:color w:val="auto"/>
        </w:rPr>
      </w:pPr>
      <w:r>
        <w:rPr>
          <w:rFonts w:ascii="Arial" w:cs="Arial" w:eastAsia="Arial" w:hAnsi="Arial"/>
          <w:sz w:val="18"/>
          <w:szCs w:val="18"/>
          <w:color w:val="auto"/>
        </w:rPr>
        <w:t>In 2013, purchases of investments related primarily to equity securities that were held as collateral for our prepaid forward sale agreements. Our purchases of investments in 2012 and 2011 were not significant.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cash used in financing activities consisted primarily of our acquisition of GE’s remaining 49% common equity interest in NBCUniversal Holdings, repayments of debt, repurchases of our common stock, dividend payments and the effective settlement of our Station Venture liability, which were partially offset by proceeds from borrowings and issuances of common stock. Proceeds from borrowings fluctuate from year to year based on the amounts paid to fund acquisitions and debt repayments.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January 2013, we issued $750 million aggregate principal amount of 2.850% senior notes due 2023, $1.7 billion aggregate principal amount of 4.250% senior notes due 2033 and $500 million aggregate principal amount of 4.500% senior notes due 2043. In March 2013, in connection with the Redemption Transaction, we consolidated an additional $4 billion aggregate principal amount of senior notes issued by NBCUniversal Enterprise and $1.25 billion of borrowings under the NBCUniversal Enterprise credit facility.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2013, we repaid $2.3 billion aggregate principal amount of our debt outstanding at maturity.</w:t>
      </w:r>
    </w:p>
    <w:p>
      <w:pPr>
        <w:spacing w:after="0" w:line="15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See Note 9 to Comcast’s consolidated financial statements for additional information on our financing activities, including details of our debt repayments and borrowings, and long-term debt incurred in connection with the Redemption Transaction, including the debt issued by NBCUniversal Enterprise, which we now consolidate.</w:t>
      </w:r>
    </w:p>
    <w:p>
      <w:pPr>
        <w:spacing w:after="0" w:line="323"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69</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 and Dividends</w:t>
      </w:r>
    </w:p>
    <w:p>
      <w:pPr>
        <w:jc w:val="both"/>
        <w:spacing w:after="0" w:line="239" w:lineRule="auto"/>
        <w:rPr>
          <w:sz w:val="20"/>
          <w:szCs w:val="20"/>
          <w:color w:val="auto"/>
        </w:rPr>
      </w:pPr>
      <w:r>
        <w:rPr>
          <w:rFonts w:ascii="Arial" w:cs="Arial" w:eastAsia="Arial" w:hAnsi="Arial"/>
          <w:sz w:val="18"/>
          <w:szCs w:val="18"/>
          <w:color w:val="auto"/>
        </w:rPr>
        <w:t>In 2013, we repurchased 49 million shares of our Class A Special common stock for $2.0 billion. As of December 31, 2013, we had $1.5 billion remaining under this authorization.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2014, our Board of Directors increased our share repurchase program authorization to $7.5 billion, which does not have an expiration date. Under this authorization, we may repurchase shares in the open market or in private transactions. We intend to repurchase $3 billion of shares during 2014, subject to market conditions.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declared quarterly dividends totaling $2.0 billion in 2013. We paid dividends of $2.0 billion in 2013. In January 2014, our Board of Directors approved a 15% increase in our dividend to $0.90 per share on an annualized basis and approved our first quarter dividend of $0.225 per share to be paid in April 2014. We expect to continue to pay quarterly dividends, although each dividend is subject to approval by our Board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on our share repurchases and dividends paid in 2013,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123825</wp:posOffset>
            </wp:positionV>
            <wp:extent cx="5145405" cy="1783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future contractual obligations as of December 31, 2013 by the period in which the payments are due.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4"/>
                <w:szCs w:val="14"/>
                <w:color w:val="auto"/>
              </w:rPr>
              <w:t>Payment Due by Period</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Year 1</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Years 2-3</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Years 4-5</w:t>
            </w:r>
          </w:p>
        </w:tc>
        <w:tc>
          <w:tcPr>
            <w:tcW w:w="8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99"/>
        </w:trPr>
        <w:tc>
          <w:tcPr>
            <w:tcW w:w="7000" w:type="dxa"/>
            <w:vAlign w:val="bottom"/>
          </w:tcPr>
          <w:p>
            <w:pPr>
              <w:spacing w:after="0" w:line="200" w:lineRule="exact"/>
              <w:rPr>
                <w:sz w:val="20"/>
                <w:szCs w:val="20"/>
                <w:color w:val="auto"/>
              </w:rPr>
            </w:pPr>
            <w:r>
              <w:rPr>
                <w:rFonts w:ascii="Arial" w:cs="Arial" w:eastAsia="Arial" w:hAnsi="Arial"/>
                <w:sz w:val="18"/>
                <w:szCs w:val="18"/>
                <w:color w:val="auto"/>
              </w:rPr>
              <w:t>Debt obligations</w:t>
            </w:r>
            <w:r>
              <w:rPr>
                <w:rFonts w:ascii="Arial" w:cs="Arial" w:eastAsia="Arial" w:hAnsi="Arial"/>
                <w:sz w:val="22"/>
                <w:szCs w:val="22"/>
                <w:color w:val="auto"/>
                <w:vertAlign w:val="superscript"/>
              </w:rPr>
              <w:t>(a)</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rPr>
              <w:t>47,810</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3,273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6,910</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7,946</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29,681</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2,144</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385</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628</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(b)</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46,867</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8,434</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9,488</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7,573</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21,372</w:t>
            </w:r>
          </w:p>
        </w:tc>
        <w:tc>
          <w:tcPr>
            <w:tcW w:w="0" w:type="dxa"/>
            <w:vAlign w:val="bottom"/>
          </w:tcPr>
          <w:p>
            <w:pPr>
              <w:spacing w:after="0"/>
              <w:rPr>
                <w:sz w:val="1"/>
                <w:szCs w:val="1"/>
                <w:color w:val="auto"/>
              </w:rPr>
            </w:pPr>
          </w:p>
        </w:tc>
      </w:tr>
      <w:tr>
        <w:trPr>
          <w:trHeight w:val="199"/>
        </w:trPr>
        <w:tc>
          <w:tcPr>
            <w:tcW w:w="70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long-term liabilities reflected on the balance sheet</w:t>
            </w:r>
            <w:r>
              <w:rPr>
                <w:rFonts w:ascii="Arial" w:cs="Arial" w:eastAsia="Arial" w:hAnsi="Arial"/>
                <w:sz w:val="22"/>
                <w:szCs w:val="22"/>
                <w:color w:val="auto"/>
                <w:vertAlign w:val="superscript"/>
              </w:rPr>
              <w:t>(c)</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10,184</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3,674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1,757</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814</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0C6DFF"/>
            </w:tcBorders>
          </w:tcPr>
          <w:p>
            <w:pPr>
              <w:spacing w:after="0" w:line="197" w:lineRule="exact"/>
              <w:rPr>
                <w:sz w:val="20"/>
                <w:szCs w:val="20"/>
                <w:color w:val="auto"/>
              </w:rPr>
            </w:pPr>
            <w:r>
              <w:rPr>
                <w:rFonts w:ascii="Arial" w:cs="Arial" w:eastAsia="Arial" w:hAnsi="Arial"/>
                <w:sz w:val="18"/>
                <w:szCs w:val="18"/>
                <w:color w:val="auto"/>
              </w:rPr>
              <w:t>Total</w:t>
            </w:r>
            <w:r>
              <w:rPr>
                <w:rFonts w:ascii="Arial" w:cs="Arial" w:eastAsia="Arial" w:hAnsi="Arial"/>
                <w:sz w:val="22"/>
                <w:szCs w:val="22"/>
                <w:color w:val="auto"/>
                <w:vertAlign w:val="superscript"/>
              </w:rPr>
              <w:t>(d)</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8"/>
              </w:rPr>
              <w:t>107,042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8"/>
              </w:rPr>
              <w:t>15,773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18,794</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16,796</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55,679</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(long-term debt) and Note 18 (commitments and contingencies) to our consolidated financial statements.</w:t>
      </w:r>
    </w:p>
    <w:p>
      <w:pPr>
        <w:spacing w:after="0" w:line="55"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interest payments.</w:t>
      </w:r>
    </w:p>
    <w:p>
      <w:pPr>
        <w:spacing w:after="0" w:line="55"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Purchase obligations consist of agreements to purchase goods and services that are legally binding on us and specify all significant terms, including fixed or minimum quantities to be purchased and price provisions. Our purchase obligations related to our Cable Communications segment include programming contracts with cable networks and local broadcast television stations, contracts with customer premise equipment manufacturers, communication vendors and multichannel video providers for which we provide advertising sales representation, and other contracts entered into in the normal course of business. Cable Communications programming contracts in the table above include amounts payable under fixed or minimum guaranteed commitments and do not represent the total fees that are expected to be paid under programming contracts, which we expect to be higher because these contracts are generally based 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70</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20"/>
        <w:spacing w:after="0" w:line="224" w:lineRule="auto"/>
        <w:rPr>
          <w:sz w:val="20"/>
          <w:szCs w:val="20"/>
          <w:color w:val="auto"/>
        </w:rPr>
      </w:pPr>
      <w:r>
        <w:rPr>
          <w:rFonts w:ascii="Arial" w:cs="Arial" w:eastAsia="Arial" w:hAnsi="Arial"/>
          <w:sz w:val="14"/>
          <w:szCs w:val="14"/>
          <w:color w:val="auto"/>
        </w:rPr>
        <w:t xml:space="preserve">the number of subscribers receiving the programming. Our purchase obligations related to our NBCUniversal segments consist primarily of commitments to acquire film and television programming, including U.S. television rights to future Olympic Games through 2020, </w:t>
      </w:r>
      <w:r>
        <w:rPr>
          <w:rFonts w:ascii="Arial" w:cs="Arial" w:eastAsia="Arial" w:hAnsi="Arial"/>
          <w:sz w:val="14"/>
          <w:szCs w:val="14"/>
          <w:i w:val="1"/>
          <w:iCs w:val="1"/>
          <w:color w:val="auto"/>
        </w:rPr>
        <w:t>Sunday Night Football</w:t>
      </w:r>
      <w:r>
        <w:rPr>
          <w:rFonts w:ascii="Arial" w:cs="Arial" w:eastAsia="Arial" w:hAnsi="Arial"/>
          <w:sz w:val="14"/>
          <w:szCs w:val="14"/>
          <w:color w:val="auto"/>
        </w:rPr>
        <w:t xml:space="preserve"> on NBC through the 2022-23 season, including the Super Bowl in 2015, 2018 and 2021, NHL games through the 2020-21 season, Spanish-language U.S. television rights to FIFA World Cup games through 2022, U.S television rights to English Premier League soccer games through the 2015-16 season, certain PGA TOUR golf events through 2021 and certain NASCAR events through 2024, as well as obligations under various creative talent and employment agreements, including obligations to actors, producers, television personalities and executives, and various other television commitments. Purchase obligations do not include contracts with immaterial future commitments.</w:t>
      </w:r>
    </w:p>
    <w:p>
      <w:pPr>
        <w:spacing w:after="0" w:line="57" w:lineRule="exact"/>
        <w:rPr>
          <w:sz w:val="20"/>
          <w:szCs w:val="20"/>
          <w:color w:val="auto"/>
        </w:rPr>
      </w:pPr>
    </w:p>
    <w:p>
      <w:pPr>
        <w:jc w:val="both"/>
        <w:ind w:left="280" w:hanging="272"/>
        <w:spacing w:after="0" w:line="224" w:lineRule="auto"/>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long-term liabilities reflected on the balance sheet consist primarily of prepaid forward sale agreements of equity securities we hold; subsidiary preferred shares; deferred compensation obligations; pension, postretirement and postemployment benefit obligations; contingent consideration obligation related to the NBCUniversal transaction; and a contractual obligation acquired in connection with the Universal Orlando transaction. This contractual obligation involves financial interests held by a third party in certain NBCUniversal businesses and is based on a percentage of future revenue of the specified businesses. This contractual obligation provides the third party with the option, beginning in 2017, to require NBCUniversal to purchase the interest for cash in an amount equal to the fair value of the estimated future payments. Reserves for uncertain tax positions of $1.7 billion are not included in the table above because it is uncertain if and when these reserves will become payable. Payments of $1.6 billion of participations and residuals are also not included in the table above because we cannot make a reliable estimate of the period in which these obligations will be settled.</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contractual obligations are made up of the following components.</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41"/>
        </w:trPr>
        <w:tc>
          <w:tcPr>
            <w:tcW w:w="68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Liabilities recorded on the balance sheet</w:t>
            </w:r>
          </w:p>
        </w:tc>
        <w:tc>
          <w:tcPr>
            <w:tcW w:w="40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32"/>
              <w:spacing w:after="0" w:line="141" w:lineRule="exact"/>
              <w:rPr>
                <w:sz w:val="20"/>
                <w:szCs w:val="20"/>
                <w:color w:val="auto"/>
              </w:rPr>
            </w:pPr>
            <w:r>
              <w:rPr>
                <w:rFonts w:ascii="Arial" w:cs="Arial" w:eastAsia="Arial" w:hAnsi="Arial"/>
                <w:sz w:val="14"/>
                <w:szCs w:val="14"/>
                <w:color w:val="auto"/>
              </w:rPr>
              <w:t>59,410</w:t>
            </w:r>
          </w:p>
        </w:tc>
      </w:tr>
      <w:tr>
        <w:trPr>
          <w:trHeight w:val="149"/>
        </w:trPr>
        <w:tc>
          <w:tcPr>
            <w:tcW w:w="68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Commitments not recorded on the balance sheet</w:t>
            </w:r>
          </w:p>
        </w:tc>
        <w:tc>
          <w:tcPr>
            <w:tcW w:w="4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47,632</w:t>
            </w:r>
          </w:p>
        </w:tc>
      </w:tr>
      <w:tr>
        <w:trPr>
          <w:trHeight w:val="142"/>
        </w:trPr>
        <w:tc>
          <w:tcPr>
            <w:tcW w:w="6820" w:type="dxa"/>
            <w:vAlign w:val="bottom"/>
            <w:tcBorders>
              <w:bottom w:val="single" w:sz="8" w:color="0C6DFF"/>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400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C6DFF"/>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107,042</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we did not have any material off-balance sheet arrangements that are reasonably likely to have a current or future effect on our financial condition, results of operations, liquidity, capital expenditures or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Critical Accounting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our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the accounting for film and television costs, and the accounting for income taxes are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which are presented below. See Notes 8, 5 and 15 to Comcast’s consolidated financial statements for a discussion of our accounting policies with respect to these items.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Impairment Testing of Cable Franchise Rights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largest asset, our cable franchise rights, results from agreements we have with state and local governments that allow us to construct and operate a cable business within a specified geographic area. The value of a franchise is derived from the economic benefits we receive from the right to solicit new customers and to market new services, such as advanced video services and high-speed Internet and voice services, in a particular service area. The amounts we record for cable franchise rights are primarily a result of cable system acquisitions. Typically when we acquire a cable system, the most significant asset we record is the value of the cable franchise rights. Often these cable system acquisitions include multiple franchise areas. We currently serve approximately 6,400 franchise areas in the United States.</w:t>
      </w:r>
    </w:p>
    <w:p>
      <w:pPr>
        <w:spacing w:after="0" w:line="32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 carrying value of our cable franchise rights annually, or more frequently whenever events or changes in circumstances indicate that the carrying amount may exceed the fair value (“impairment testing”).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purpose of our impairment testing, we have grouped the recorded values of our various cable franchise rights into our three Cable Communications divisions or units of account. We evaluate the unit of account periodically to ensure our impairment testing is performed at an appropriate level.</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annual impairment test for indefinite-lived intangibles allows for the option to first assess qualitative factors to determine whether it is more likely than not that the fair value of an indefinite-lived intangible is less than its carrying amount. An entity may choose to perform the qualitative assessment or an entity may bypass the qualitative assessment and proceed directly to the quantitative impairment test. If it is determined, on the basis of qualitative factors, that the fair value of a reporting unit is, more likely than not, less than its carrying value, the quantitative impairment test is required. When performing a quantitative assessment, we estimate the fair value of our cable franchise rights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2013, we performed a qualitative assessment of our cable franchise rights. We considered various factors that would affect the estimated fair values of our cable franchise rights, including changes in our projected future cash flows associated with our Cable Communications segment, industry, market and macroeconomic conditions and also the 27% increase in our market capitalization since we performed our 2012 quantitative assessment. In addition, we considered the results of our 2012 quantitative assessment, in which the estimated fair values of our franchise rights exceeded the carrying value in our three Cable Communications Divisions by 19%, 33% and 37%, respectively. We also compared our weighted average cost of capital in 2013 to that used in our 2012 quantitative assessment and it had remained relatively consistent. Based on our 2013 qualitative assessment, we concluded that it was more likely than not that the estimated fair values of our franchise rights were higher than our carrying values and that the performance of a quantitative impairment test was not required.</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Since the adoption of the accounting guidance related to goodwill and intangible assets in 2002, we have not recorded any significant impairment charges to cable franchise rights as a result of our impairment testing. A future change in the unit of account could result in the recognition of an impairment charge.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could also record impairment charges in the future if there are changes in long-term market conditions, in expected future operating results, or in federal or state regulations that prevent us from recovering the carrying value of these cable franchise rights. Assumptions made about increased competition and economic conditions could also impact the results of any qualitative assessment and the valuations used in future annual quantitative impairment testing and result in a reduction in the fair values of our cable franchise rights.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individual film forecast computation method, which amortizes such costs using the ratio of the current period’s revenue to estimated total remaining gross revenue from all sources (“ultimate revenue”). Estimates of ultimate revenue have a significant impact on how quickly capitalized costs are amortized and, therefore, are updated regularly.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estimates of ultimate revenue for films generally include revenue from all sources that are expected to be earned within 10 years from the date of a film’s initial release. These estimates are based on the historical performance of similar content, as well as factors unique to the content itself. The most sensitive factor affecting our estimate of ultimate revenue for a film intended for theatrical release is the film’s theatrical performance, as subsequent revenue from the licensing and sale of a film has historically exhibited a high correlation to its theatrical performance. Upon a film’s release, our estimates of revenue from succeeding markets, including home entertainment and other distribution platforms, are revised based on historical relationships and an analysis of current market trends.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respect to television series or other owned television programming, the most sensitive factor affecting our estimate of ultimate revenue is whether the series can be successfully licensed beyond its initial license. Initial estimates of ultimate revenue are limited to the amount of revenue contracted for each episode under the initial license. Once it is determined that a series can be licensed for subsequent platforms, revenue estimates for these platforms, such as U.S. and international syndication, home entertainment, and other distribution platforms, are included in ultimate revenue. In the case of television series and owned television programming, revenue estimates for produced episodes include revenue expected to be earned within 10 years of delivery of the initial episode or, if still in production, 5 years from the delivery of the most recent episode, if later.</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Capitalized film and television costs, as well as stage play production costs, are subject to impairment testing when certain triggering events are identified. If the fair value of a production falls below its unamortized cost, we would record an adjustment for the amount by which the unamortized capitalized costs exceed the production’s fair value. The fair value assessment is generally based on estimated future discounted cash flows, which are supported by our internal forecasts. Adjustments to capitalized film and stage play production costs of $167 million and $161 million were recorded in 2013 and 2012,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prepare and file tax returns based on our interpretation of tax laws and regulations, and we record estimates based on these judgments and interpretations.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and certain financing transactions. Significant judgment is required in assessing and estimating the tax consequences of these transactions. We determine whether it is more-likely-than-not that a tax position will be sustained on examination, including the resolution of any related appeals or litigation processes, based on the technical merits of the position. In evaluating whether a tax position has met the more-likely-than-not recognition threshold, we presume that the position will be examined by the appropriate taxing authority that has full knowledge of all relevant information. A tax position that meets the more-likely-than-not recognition threshold is measured to determine the amount of benefit to be recognized in our financial statements. The tax position is measured at the largest amount of benefit that has a greater than 50% likelihood of being realized when the position is ultimately resolved.</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adjust our estimates periodically to reflect changes in circumstances in ongoing examinations by and settlements with the various taxing authorities, as well as changes in tax laws, regulations and precedent. We believe that adequate accruals have been made for income taxes. When uncertain tax positions are ultimately</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resolved, either individually or in the aggregate, differences between our estimated amounts and the actual amounts are not expected to have a material adverse effect on our consolidated financial position but could possibly be material to our consolidated results of operations or cash flow for any one period. As of December 31, 2013, our uncertain tax positions and related accrued interest were $1.7 billion and $780 million,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7A: 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Interest Rate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a mix of fixed-rate and variable-rate debt and we are exposed to the market risk of adverse changes in interest rates. In order to manage the cost and volatility relating to the interest cost of our outstanding debt, we enter into various interest rate risk management derivative transactions in accordance with our policies.</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monitor our exposure to the risk of adverse changes in interest rates through the use of techniques that include market value and sensitivity analyses. We do not engage in any speculative or leveraged derivative transactions.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interest rate derivative financial instruments, which may include swaps, rate locks, caps and collars, represent an integral part of our interest rate risk management program. Our interest rate derivative financial instruments reduced the portion of Comcast’s total consolidated debt at fixed rates as of December 31, 2013 to 83.5% from 91.5%. NBCUniversal’s interest rate derivative financial instruments reduced the portion of NBCUniversal’s total consolidated debt at fixed rates as of December 31, 2013 to 93.2% from 99.9%.</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2013, 2012 and 2011, the effect of our interest rate derivative financial instruments was to decrease Comcast’s consolidated interest expense by $98 million, $106 million and $136 million, respectively. The effect of NBCUniversal’s interest rate derivative financial instruments was not material to NBCUniversal’s consolidated financial statements for all periods presented. Interest rate derivative financial instruments may have a significant effect on Comcast’s interest expense in the future.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table below summarizes the fair values and contract terms of financial instruments subject to interest rate risk maintained by us as of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Arial" w:cs="Arial" w:eastAsia="Arial" w:hAnsi="Arial"/>
                <w:sz w:val="14"/>
                <w:szCs w:val="14"/>
                <w:color w:val="auto"/>
              </w:rPr>
              <w:t>Estimated</w:t>
            </w:r>
          </w:p>
        </w:tc>
      </w:tr>
      <w:tr>
        <w:trPr>
          <w:trHeight w:val="149"/>
        </w:trPr>
        <w:tc>
          <w:tcPr>
            <w:tcW w:w="3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Fair Value as of</w:t>
            </w:r>
          </w:p>
        </w:tc>
      </w:tr>
      <w:tr>
        <w:trPr>
          <w:trHeight w:val="149"/>
        </w:trPr>
        <w:tc>
          <w:tcPr>
            <w:tcW w:w="3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2"/>
              <w:spacing w:after="0" w:line="149" w:lineRule="exact"/>
              <w:rPr>
                <w:sz w:val="20"/>
                <w:szCs w:val="20"/>
                <w:color w:val="auto"/>
              </w:rPr>
            </w:pPr>
            <w:r>
              <w:rPr>
                <w:rFonts w:ascii="Arial" w:cs="Arial" w:eastAsia="Arial" w:hAnsi="Arial"/>
                <w:sz w:val="14"/>
                <w:szCs w:val="14"/>
                <w:color w:val="auto"/>
                <w:w w:val="95"/>
              </w:rPr>
              <w:t>December 31,</w:t>
            </w:r>
          </w:p>
        </w:tc>
      </w:tr>
      <w:tr>
        <w:trPr>
          <w:trHeight w:val="163"/>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2018</w:t>
            </w:r>
          </w:p>
        </w:tc>
        <w:tc>
          <w:tcPr>
            <w:tcW w:w="9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2013</w:t>
            </w:r>
          </w:p>
        </w:tc>
      </w:tr>
      <w:tr>
        <w:trPr>
          <w:trHeight w:val="199"/>
        </w:trPr>
        <w:tc>
          <w:tcPr>
            <w:tcW w:w="3300" w:type="dxa"/>
            <w:vAlign w:val="bottom"/>
          </w:tcPr>
          <w:p>
            <w:pPr>
              <w:spacing w:after="0" w:line="200" w:lineRule="exact"/>
              <w:rPr>
                <w:sz w:val="20"/>
                <w:szCs w:val="20"/>
                <w:color w:val="auto"/>
              </w:rPr>
            </w:pPr>
            <w:r>
              <w:rPr>
                <w:rFonts w:ascii="Arial" w:cs="Arial" w:eastAsia="Arial" w:hAnsi="Arial"/>
                <w:sz w:val="18"/>
                <w:szCs w:val="18"/>
                <w:b w:val="1"/>
                <w:bCs w:val="1"/>
                <w:color w:val="auto"/>
              </w:rPr>
              <w:t>Debt</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Fixed rate</w:t>
            </w:r>
          </w:p>
        </w:tc>
        <w:tc>
          <w:tcPr>
            <w:tcW w:w="14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$ 1,930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3,370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7"/>
              </w:rPr>
              <w:t>2,801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2,557</w:t>
            </w: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$ 3,444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29,695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w w:val="98"/>
              </w:rPr>
              <w:t>43,797</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47,773</w:t>
            </w:r>
          </w:p>
        </w:tc>
      </w:tr>
      <w:tr>
        <w:trPr>
          <w:trHeight w:val="203"/>
        </w:trPr>
        <w:tc>
          <w:tcPr>
            <w:tcW w:w="3300" w:type="dxa"/>
            <w:vAlign w:val="bottom"/>
          </w:tcPr>
          <w:p>
            <w:pPr>
              <w:ind w:left="220"/>
              <w:spacing w:after="0" w:line="202" w:lineRule="exact"/>
              <w:rPr>
                <w:sz w:val="20"/>
                <w:szCs w:val="20"/>
                <w:color w:val="auto"/>
              </w:rPr>
            </w:pPr>
            <w:r>
              <w:rPr>
                <w:rFonts w:ascii="Arial" w:cs="Arial" w:eastAsia="Arial" w:hAnsi="Arial"/>
                <w:sz w:val="18"/>
                <w:szCs w:val="18"/>
                <w:color w:val="auto"/>
              </w:rPr>
              <w:t>Average interest rate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Variable rate</w:t>
            </w:r>
          </w:p>
        </w:tc>
        <w:tc>
          <w:tcPr>
            <w:tcW w:w="14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$ 1,350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700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$ 1,950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4,050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4,050</w:t>
            </w:r>
          </w:p>
        </w:tc>
      </w:tr>
      <w:tr>
        <w:trPr>
          <w:trHeight w:val="181"/>
        </w:trPr>
        <w:tc>
          <w:tcPr>
            <w:tcW w:w="3300" w:type="dxa"/>
            <w:vAlign w:val="bottom"/>
          </w:tcPr>
          <w:p>
            <w:pPr>
              <w:ind w:left="220"/>
              <w:spacing w:after="0" w:line="181" w:lineRule="exact"/>
              <w:rPr>
                <w:sz w:val="20"/>
                <w:szCs w:val="20"/>
                <w:color w:val="auto"/>
              </w:rPr>
            </w:pPr>
            <w:r>
              <w:rPr>
                <w:rFonts w:ascii="Arial" w:cs="Arial" w:eastAsia="Arial" w:hAnsi="Arial"/>
                <w:sz w:val="18"/>
                <w:szCs w:val="18"/>
                <w:color w:val="auto"/>
              </w:rPr>
              <w:t>Average interest rate</w:t>
            </w: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0.7%</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4.9%</w:t>
            </w:r>
          </w:p>
        </w:tc>
        <w:tc>
          <w:tcPr>
            <w:tcW w:w="1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5"/>
        </w:trPr>
        <w:tc>
          <w:tcPr>
            <w:tcW w:w="3300" w:type="dxa"/>
            <w:vAlign w:val="bottom"/>
          </w:tcPr>
          <w:p>
            <w:pPr>
              <w:spacing w:after="0"/>
              <w:rPr>
                <w:sz w:val="20"/>
                <w:szCs w:val="20"/>
                <w:color w:val="auto"/>
              </w:rPr>
            </w:pPr>
            <w:r>
              <w:rPr>
                <w:rFonts w:ascii="Arial" w:cs="Arial" w:eastAsia="Arial" w:hAnsi="Arial"/>
                <w:sz w:val="18"/>
                <w:szCs w:val="18"/>
                <w:b w:val="1"/>
                <w:bCs w:val="1"/>
                <w:color w:val="auto"/>
              </w:rPr>
              <w:t>Interest Rate Instruments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Fixed to variable swaps</w:t>
            </w:r>
          </w:p>
        </w:tc>
        <w:tc>
          <w:tcPr>
            <w:tcW w:w="146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$ 1,100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150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800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200</w:t>
            </w:r>
          </w:p>
        </w:tc>
        <w:tc>
          <w:tcPr>
            <w:tcW w:w="9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$ 1,600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3,850</w:t>
            </w:r>
          </w:p>
        </w:tc>
        <w:tc>
          <w:tcPr>
            <w:tcW w:w="160" w:type="dxa"/>
            <w:vAlign w:val="bottom"/>
          </w:tcPr>
          <w:p>
            <w:pPr>
              <w:ind w:lef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22"/>
              <w:spacing w:after="0" w:line="202" w:lineRule="exact"/>
              <w:rPr>
                <w:sz w:val="20"/>
                <w:szCs w:val="20"/>
                <w:color w:val="auto"/>
              </w:rPr>
            </w:pPr>
            <w:r>
              <w:rPr>
                <w:rFonts w:ascii="Arial" w:cs="Arial" w:eastAsia="Arial" w:hAnsi="Arial"/>
                <w:sz w:val="18"/>
                <w:szCs w:val="18"/>
                <w:color w:val="auto"/>
              </w:rPr>
              <w:t>140</w:t>
            </w:r>
          </w:p>
        </w:tc>
      </w:tr>
      <w:tr>
        <w:trPr>
          <w:trHeight w:val="203"/>
        </w:trPr>
        <w:tc>
          <w:tcPr>
            <w:tcW w:w="3300" w:type="dxa"/>
            <w:vAlign w:val="bottom"/>
          </w:tcPr>
          <w:p>
            <w:pPr>
              <w:ind w:left="220"/>
              <w:spacing w:after="0" w:line="202" w:lineRule="exact"/>
              <w:rPr>
                <w:sz w:val="20"/>
                <w:szCs w:val="20"/>
                <w:color w:val="auto"/>
              </w:rPr>
            </w:pPr>
            <w:r>
              <w:rPr>
                <w:rFonts w:ascii="Arial" w:cs="Arial" w:eastAsia="Arial" w:hAnsi="Arial"/>
                <w:sz w:val="18"/>
                <w:szCs w:val="18"/>
                <w:color w:val="auto"/>
              </w:rPr>
              <w:t>Average pay rate</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9"/>
        </w:trPr>
        <w:tc>
          <w:tcPr>
            <w:tcW w:w="3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Average receive rate</w:t>
            </w:r>
          </w:p>
        </w:tc>
        <w:tc>
          <w:tcPr>
            <w:tcW w:w="14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6.3%</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370"/>
        </w:trPr>
        <w:tc>
          <w:tcPr>
            <w:tcW w:w="9320" w:type="dxa"/>
            <w:vAlign w:val="bottom"/>
            <w:gridSpan w:val="11"/>
          </w:tcPr>
          <w:p>
            <w:pPr>
              <w:spacing w:after="0"/>
              <w:rPr>
                <w:sz w:val="20"/>
                <w:szCs w:val="20"/>
                <w:color w:val="auto"/>
              </w:rPr>
            </w:pPr>
            <w:r>
              <w:rPr>
                <w:rFonts w:ascii="Arial" w:cs="Arial" w:eastAsia="Arial" w:hAnsi="Arial"/>
                <w:sz w:val="18"/>
                <w:szCs w:val="18"/>
                <w:color w:val="auto"/>
              </w:rPr>
              <w:t>The estimated fair value of our interest rate swaps in the table above includes $21 million related to NBCUniversal.</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1"/>
        </w:trPr>
        <w:tc>
          <w:tcPr>
            <w:tcW w:w="330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notional amount of each interest rate derivative financial instrument to calculate the interest to be paid or received. The notional amounts do not represent our exposure to credit loss. The estimated fair value approximates the amount of payments to be made or proceeds to be received to settle the outstanding contracts, including accrued interest. We estimate interest rates on variable rate debt and swaps using the average implied forward LIBOR through the year of maturity based on the yield curve in effect on December 31, 2013, plus the applicable borrowing margin on December 31, 2013.</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of our financial contracts include credit-ratings-based triggers that could affect our liquidity. In the ordinary course of business, some of Comcast’s swaps could be subject to termination provisions if it does not maintain investment grade credit ratings. As of December 31, 2013 and 2012, the estimated fair value of those swaps was not material. The amount to be paid or received upon termination, if any, would be based on the fair value of the outstanding contracts at that time.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See Note 2 to each of the Comcast and NBCUniversal consolidated financial statements for additional information on our accounting policies for derivative financial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Foreign Exchange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NBCUniversal has significant operations in a number of countries outside the United States, and certain of NBCUniversal’s operations are conducted in foreign currencies. The value of these currencies fluctuates relative to the U.S. dollar. These changes could adversely affect the U.S. dollar value of our non-U.S. revenue and operating costs and expenses and reduce international demand for our content, all of which could negatively affect our business, financial condition and results of operations in a given period or in specific territories.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overall strategy to manage the level of exposure to the risk of foreign exchange rate fluctuations, NBCUniversal enters into derivative financial instruments related to a significant portion of its foreign currency exposures. NBCUniversal enters into foreign currency forward contracts that change in value as foreign exchange rates change to protect the U.S. dollar equivalent value of its foreign currency assets, liabilities, commitments, and forecasted foreign currency revenue and expenses. In accordance with our policy, NBCUniversal hedges forecasted foreign currency transactions for periods generally not to exceed 18 months. In certain circumstances NBCUniversal enters into foreign exchange contracts with initial maturities in excess of 18 months. As of December 31, 2013 and 2012, NBCUniversal had foreign exchange contracts with a total notional value of $968 million and $820 million, respectively. As of December 31, 2013 and 2012, the aggregate estimated fair value of these foreign exchange contracts was not material.</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analyzed our foreign currency exposures related to NBCUniversal’s operations as of December 31, 2013, including our hedging contracts, to identify assets and liabilities denominated in a currency other than their functional currency. For these assets and liabilities, we then evaluated the effect of a 10% shift in currency exchange rates between those currencies and the U.S. dollar. The analysis of such shift in exchange rates indicated that there would be an immaterial effect on our 2013 income.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is also exposed to the market risks associated with fluctuations in foreign exchange rates as they relate to its foreign currency denominated debt obligations. Cross-currency swaps are used to effectively convert fixed-rate foreign currency denominated debt to fixed-rate U.S. dollar denominated debt, in order to hedge the risk that the cash flows related to annual interest payments and the payment of principal at maturity may be adversely affected by fluctuations in currency exchange rates. The gains and losses on the cross-currency swaps offset changes in the U.S. dollar equivalent value of the related exposures. As of December 31, 2013 and 2012, the fair value of our cross-currency swaps on our £625 million principal amount of 5.50% senior notes due 2029 was an asset of $73 million and $30 million, respectively.</w:t>
      </w:r>
    </w:p>
    <w:p>
      <w:pPr>
        <w:spacing w:after="0" w:line="326"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75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Equity Price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is exposed to the market risk of changes in the equity prices of its investments in marketable securities. Comcast enters into various derivative transactions in accordance with its policies to manage the volatility related to these exposures. Through market value and sensitivity analyses, Comcast monitors its equity price risk exposures to ensure that the instruments are matched with the underlying assets or liabilities, reduce its risks relating to equity prices, and maintain a high correlation to the risk inherent in the hedged item.</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limit Comcast’s exposure to and the benefits from price fluctuations in the common stock of some of its investments, it uses equity derivative financial instruments. These derivative financial instruments, which are accounted for at fair value, may include equity collar agreements, prepaid forward sale agreements and indexed debt instruments.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2013 and 2012, the changes in the fair value of the investments that Comcast accounted for as available-for-sale or trading securities were substantially offset by the changes in the fair values of the equity derivative financial instruments. See Note 6 to Comcast’s consolidated financial statements for additional information on its investments and investment income (loss), net.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Counterparty Credit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and NBCUniversal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Comcast has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December 31, 2013 and 2012, Comcast was not required to post collateral under the terms of these agreements. As of December 31, 2013, the collateral that Comcast held from certain of its counterparties under the terms of these agreements was not material.</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76</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8: Comcast Corporation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Index</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8260" w:type="dxa"/>
            <w:vAlign w:val="bottom"/>
            <w:gridSpan w:val="9"/>
          </w:tcPr>
          <w:p>
            <w:pPr>
              <w:spacing w:after="0" w:line="170" w:lineRule="exact"/>
              <w:rPr>
                <w:rFonts w:ascii="Arial" w:cs="Arial" w:eastAsia="Arial" w:hAnsi="Arial"/>
                <w:sz w:val="18"/>
                <w:szCs w:val="18"/>
                <w:color w:val="0000EE"/>
              </w:rPr>
            </w:pPr>
            <w:hyperlink w:anchor="page82">
              <w:r>
                <w:rPr>
                  <w:rFonts w:ascii="Arial" w:cs="Arial" w:eastAsia="Arial" w:hAnsi="Arial"/>
                  <w:sz w:val="18"/>
                  <w:szCs w:val="18"/>
                  <w:color w:val="0000EE"/>
                </w:rPr>
                <w:t>Report of Management</w:t>
              </w:r>
            </w:hyperlink>
          </w:p>
        </w:tc>
        <w:tc>
          <w:tcPr>
            <w:tcW w:w="3160" w:type="dxa"/>
            <w:vAlign w:val="bottom"/>
          </w:tcPr>
          <w:p>
            <w:pPr>
              <w:jc w:val="right"/>
              <w:spacing w:after="0" w:line="170" w:lineRule="exact"/>
              <w:rPr>
                <w:sz w:val="20"/>
                <w:szCs w:val="20"/>
                <w:color w:val="auto"/>
              </w:rPr>
            </w:pPr>
            <w:r>
              <w:rPr>
                <w:rFonts w:ascii="Arial" w:cs="Arial" w:eastAsia="Arial" w:hAnsi="Arial"/>
                <w:sz w:val="18"/>
                <w:szCs w:val="18"/>
                <w:color w:val="auto"/>
              </w:rPr>
              <w:t>78</w:t>
            </w:r>
          </w:p>
        </w:tc>
      </w:tr>
      <w:tr>
        <w:trPr>
          <w:trHeight w:val="20"/>
        </w:trPr>
        <w:tc>
          <w:tcPr>
            <w:tcW w:w="1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45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Report of Independent Registered Public Accounting Firm</w:t>
              </w:r>
            </w:hyperlink>
          </w:p>
        </w:tc>
        <w:tc>
          <w:tcPr>
            <w:tcW w:w="37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Consolidated Balance Sheet</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22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 of Income</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2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86">
              <w:r>
                <w:rPr>
                  <w:rFonts w:ascii="Arial" w:cs="Arial" w:eastAsia="Arial" w:hAnsi="Arial"/>
                  <w:sz w:val="18"/>
                  <w:szCs w:val="18"/>
                  <w:color w:val="0000EE"/>
                  <w:w w:val="97"/>
                </w:rPr>
                <w:t>Consolidated Statement of Comprehensive Income</w:t>
              </w:r>
            </w:hyperlink>
          </w:p>
        </w:tc>
        <w:tc>
          <w:tcPr>
            <w:tcW w:w="4280" w:type="dxa"/>
            <w:vAlign w:val="bottom"/>
            <w:gridSpan w:val="2"/>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 of Cash Flows</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30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Consolidated Statement of Changes in Equity</w:t>
              </w:r>
            </w:hyperlink>
          </w:p>
        </w:tc>
        <w:tc>
          <w:tcPr>
            <w:tcW w:w="4700" w:type="dxa"/>
            <w:vAlign w:val="bottom"/>
            <w:gridSpan w:val="3"/>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91"/>
        </w:trPr>
        <w:tc>
          <w:tcPr>
            <w:tcW w:w="8260" w:type="dxa"/>
            <w:vAlign w:val="bottom"/>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3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80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r>
      <w:tr>
        <w:trPr>
          <w:trHeight w:val="348"/>
        </w:trPr>
        <w:tc>
          <w:tcPr>
            <w:tcW w:w="8260" w:type="dxa"/>
            <w:vAlign w:val="bottom"/>
            <w:gridSpan w:val="9"/>
          </w:tcPr>
          <w:p>
            <w:pPr>
              <w:spacing w:after="0"/>
              <w:rPr>
                <w:sz w:val="20"/>
                <w:szCs w:val="20"/>
                <w:color w:val="auto"/>
              </w:rPr>
            </w:pPr>
            <w:r>
              <w:rPr>
                <w:rFonts w:ascii="Arial" w:cs="Arial" w:eastAsia="Arial" w:hAnsi="Arial"/>
                <w:sz w:val="18"/>
                <w:szCs w:val="18"/>
                <w:b w:val="1"/>
                <w:bCs w:val="1"/>
                <w:color w:val="auto"/>
              </w:rPr>
              <w:t>NBCUniversal Media, LLC</w:t>
            </w:r>
          </w:p>
        </w:tc>
        <w:tc>
          <w:tcPr>
            <w:tcW w:w="3160" w:type="dxa"/>
            <w:vAlign w:val="bottom"/>
          </w:tcPr>
          <w:p>
            <w:pPr>
              <w:spacing w:after="0"/>
              <w:rPr>
                <w:sz w:val="24"/>
                <w:szCs w:val="24"/>
                <w:color w:val="auto"/>
              </w:rPr>
            </w:pPr>
          </w:p>
        </w:tc>
      </w:tr>
      <w:tr>
        <w:trPr>
          <w:trHeight w:val="211"/>
        </w:trPr>
        <w:tc>
          <w:tcPr>
            <w:tcW w:w="8260" w:type="dxa"/>
            <w:vAlign w:val="bottom"/>
            <w:gridSpan w:val="9"/>
          </w:tcPr>
          <w:p>
            <w:pPr>
              <w:spacing w:after="0"/>
              <w:rPr>
                <w:sz w:val="20"/>
                <w:szCs w:val="20"/>
                <w:color w:val="auto"/>
              </w:rPr>
            </w:pPr>
            <w:r>
              <w:rPr>
                <w:rFonts w:ascii="Arial" w:cs="Arial" w:eastAsia="Arial" w:hAnsi="Arial"/>
                <w:sz w:val="18"/>
                <w:szCs w:val="18"/>
                <w:color w:val="auto"/>
              </w:rPr>
              <w:t>See Index to NBCUniversal Media, LLC Financial Statements and Supplemental Data on page 145.</w:t>
            </w:r>
          </w:p>
        </w:tc>
        <w:tc>
          <w:tcPr>
            <w:tcW w:w="3160" w:type="dxa"/>
            <w:vAlign w:val="bottom"/>
          </w:tcPr>
          <w:p>
            <w:pPr>
              <w:spacing w:after="0"/>
              <w:rPr>
                <w:sz w:val="18"/>
                <w:szCs w:val="18"/>
                <w:color w:val="auto"/>
              </w:rPr>
            </w:pPr>
          </w:p>
        </w:tc>
      </w:tr>
      <w:tr>
        <w:trPr>
          <w:trHeight w:val="501"/>
        </w:trPr>
        <w:tc>
          <w:tcPr>
            <w:tcW w:w="8260" w:type="dxa"/>
            <w:vAlign w:val="bottom"/>
            <w:gridSpan w:val="9"/>
          </w:tcPr>
          <w:p>
            <w:pPr>
              <w:ind w:left="5680"/>
              <w:spacing w:after="0"/>
              <w:rPr>
                <w:sz w:val="20"/>
                <w:szCs w:val="20"/>
                <w:color w:val="auto"/>
              </w:rPr>
            </w:pPr>
            <w:r>
              <w:rPr>
                <w:rFonts w:ascii="Arial" w:cs="Arial" w:eastAsia="Arial" w:hAnsi="Arial"/>
                <w:sz w:val="14"/>
                <w:szCs w:val="14"/>
                <w:b w:val="1"/>
                <w:bCs w:val="1"/>
                <w:color w:val="auto"/>
              </w:rPr>
              <w:t>77</w:t>
            </w:r>
          </w:p>
        </w:tc>
        <w:tc>
          <w:tcPr>
            <w:tcW w:w="3160" w:type="dxa"/>
            <w:vAlign w:val="bottom"/>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Management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Financial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 is responsible for the preparation, integrity and fair presentation of information in Comcast’s consolidated financial statements, including estimates and judgments. The consolidated financial statements presented in this report have been prepared in accordance with accounting principles generally accepted in the United States. Our management believes the Comcast consolidated financial statements and other financial information included in this report fairly present, in all material respects, Comcast’s financial condition, results of operations and cash flows as of and for the periods presented in this report. The Comcast consolidated financial statements have been audited by Deloitte &amp; Touche LLP, an independent registered public accounting firm, as stated in their report, which is included herein.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Comcast’s Internal Control Over Financial Reporting</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63" w:lineRule="exact"/>
        <w:rPr>
          <w:sz w:val="20"/>
          <w:szCs w:val="20"/>
          <w:color w:val="auto"/>
        </w:rPr>
      </w:pPr>
    </w:p>
    <w:p>
      <w:pPr>
        <w:ind w:left="1020" w:right="126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0" w:lineRule="exact"/>
        <w:rPr>
          <w:rFonts w:ascii="Arial" w:cs="Arial" w:eastAsia="Arial" w:hAnsi="Arial"/>
          <w:sz w:val="18"/>
          <w:szCs w:val="18"/>
          <w:color w:val="auto"/>
        </w:rPr>
      </w:pPr>
    </w:p>
    <w:p>
      <w:pPr>
        <w:jc w:val="both"/>
        <w:ind w:left="1020" w:right="1260" w:hanging="215"/>
        <w:spacing w:after="0" w:line="28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29" w:lineRule="exact"/>
        <w:rPr>
          <w:rFonts w:ascii="Arial" w:cs="Arial" w:eastAsia="Arial" w:hAnsi="Arial"/>
          <w:sz w:val="16"/>
          <w:szCs w:val="16"/>
          <w:color w:val="auto"/>
        </w:rPr>
      </w:pPr>
    </w:p>
    <w:p>
      <w:pPr>
        <w:ind w:left="1020" w:right="1260" w:hanging="215"/>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in 1992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Comcast’s system of internal control over financial reporting was effective as of December 31, 2013. The effectiveness of Comcast’s internal controls over financial reporting of Comcast has been audited by Deloitte &amp; Touche LLP, an independent registered public accounting firm, as stated in their report, which is included herein.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Oversight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of the Board of Directors, which is comprised solely of independent directors, has oversight responsibility for our financial reporting process and the audits of Comcast’s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Conduct), and the nature, extent, and results of internal and external audits. Our auditors have full and free access and report directly to the Audit Committee. The Audit Committee recommended, and the Board of Directors approved, that the Comcast audited consolidated financial statements be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6285865"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858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20"/>
                <w:szCs w:val="20"/>
                <w:color w:val="auto"/>
              </w:rPr>
            </w:pPr>
            <w:r>
              <w:rPr>
                <w:rFonts w:ascii="Arial" w:cs="Arial" w:eastAsia="Arial" w:hAnsi="Arial"/>
                <w:sz w:val="18"/>
                <w:szCs w:val="18"/>
                <w:b w:val="1"/>
                <w:bCs w:val="1"/>
                <w:color w:val="auto"/>
              </w:rPr>
              <w:t>Brian L. Roberts</w:t>
            </w:r>
          </w:p>
        </w:tc>
        <w:tc>
          <w:tcPr>
            <w:tcW w:w="2400" w:type="dxa"/>
            <w:vAlign w:val="bottom"/>
          </w:tcPr>
          <w:p>
            <w:pPr>
              <w:ind w:left="520"/>
              <w:spacing w:after="0"/>
              <w:rPr>
                <w:sz w:val="20"/>
                <w:szCs w:val="20"/>
                <w:color w:val="auto"/>
              </w:rPr>
            </w:pPr>
            <w:r>
              <w:rPr>
                <w:rFonts w:ascii="Arial" w:cs="Arial" w:eastAsia="Arial" w:hAnsi="Arial"/>
                <w:sz w:val="18"/>
                <w:szCs w:val="18"/>
                <w:b w:val="1"/>
                <w:bCs w:val="1"/>
                <w:color w:val="auto"/>
              </w:rPr>
              <w:t>Michael J. Angelakis</w:t>
            </w:r>
          </w:p>
        </w:tc>
        <w:tc>
          <w:tcPr>
            <w:tcW w:w="5840" w:type="dxa"/>
            <w:vAlign w:val="bottom"/>
          </w:tcPr>
          <w:p>
            <w:pPr>
              <w:ind w:left="2800"/>
              <w:spacing w:after="0"/>
              <w:rPr>
                <w:sz w:val="20"/>
                <w:szCs w:val="20"/>
                <w:color w:val="auto"/>
              </w:rPr>
            </w:pPr>
            <w:r>
              <w:rPr>
                <w:rFonts w:ascii="Arial" w:cs="Arial" w:eastAsia="Arial" w:hAnsi="Arial"/>
                <w:sz w:val="18"/>
                <w:szCs w:val="18"/>
                <w:b w:val="1"/>
                <w:bCs w:val="1"/>
                <w:color w:val="auto"/>
              </w:rPr>
              <w:t>Lawrence J. Salva</w:t>
            </w:r>
          </w:p>
        </w:tc>
      </w:tr>
      <w:tr>
        <w:trPr>
          <w:trHeight w:val="203"/>
        </w:trPr>
        <w:tc>
          <w:tcPr>
            <w:tcW w:w="3160" w:type="dxa"/>
            <w:vAlign w:val="bottom"/>
          </w:tcPr>
          <w:p>
            <w:pPr>
              <w:spacing w:after="0" w:line="202" w:lineRule="exact"/>
              <w:rPr>
                <w:sz w:val="20"/>
                <w:szCs w:val="20"/>
                <w:color w:val="auto"/>
              </w:rPr>
            </w:pPr>
            <w:r>
              <w:rPr>
                <w:rFonts w:ascii="Arial" w:cs="Arial" w:eastAsia="Arial" w:hAnsi="Arial"/>
                <w:sz w:val="18"/>
                <w:szCs w:val="18"/>
                <w:color w:val="auto"/>
              </w:rPr>
              <w:t>Chairman and</w:t>
            </w:r>
          </w:p>
        </w:tc>
        <w:tc>
          <w:tcPr>
            <w:tcW w:w="2400" w:type="dxa"/>
            <w:vAlign w:val="bottom"/>
          </w:tcPr>
          <w:p>
            <w:pPr>
              <w:ind w:left="520"/>
              <w:spacing w:after="0" w:line="202" w:lineRule="exact"/>
              <w:rPr>
                <w:sz w:val="20"/>
                <w:szCs w:val="20"/>
                <w:color w:val="auto"/>
              </w:rPr>
            </w:pPr>
            <w:r>
              <w:rPr>
                <w:rFonts w:ascii="Arial" w:cs="Arial" w:eastAsia="Arial" w:hAnsi="Arial"/>
                <w:sz w:val="18"/>
                <w:szCs w:val="18"/>
                <w:color w:val="auto"/>
              </w:rPr>
              <w:t>Vice Chairman and</w:t>
            </w:r>
          </w:p>
        </w:tc>
        <w:tc>
          <w:tcPr>
            <w:tcW w:w="5840" w:type="dxa"/>
            <w:vAlign w:val="bottom"/>
          </w:tcPr>
          <w:p>
            <w:pPr>
              <w:ind w:left="2800"/>
              <w:spacing w:after="0" w:line="202" w:lineRule="exact"/>
              <w:rPr>
                <w:sz w:val="20"/>
                <w:szCs w:val="20"/>
                <w:color w:val="auto"/>
              </w:rPr>
            </w:pPr>
            <w:r>
              <w:rPr>
                <w:rFonts w:ascii="Arial" w:cs="Arial" w:eastAsia="Arial" w:hAnsi="Arial"/>
                <w:sz w:val="18"/>
                <w:szCs w:val="18"/>
                <w:color w:val="auto"/>
              </w:rPr>
              <w:t>Senior Vice President,</w:t>
            </w:r>
          </w:p>
        </w:tc>
      </w:tr>
      <w:tr>
        <w:trPr>
          <w:trHeight w:val="211"/>
        </w:trPr>
        <w:tc>
          <w:tcPr>
            <w:tcW w:w="3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400" w:type="dxa"/>
            <w:vAlign w:val="bottom"/>
          </w:tcPr>
          <w:p>
            <w:pPr>
              <w:ind w:left="520"/>
              <w:spacing w:after="0"/>
              <w:rPr>
                <w:sz w:val="20"/>
                <w:szCs w:val="20"/>
                <w:color w:val="auto"/>
              </w:rPr>
            </w:pPr>
            <w:r>
              <w:rPr>
                <w:rFonts w:ascii="Arial" w:cs="Arial" w:eastAsia="Arial" w:hAnsi="Arial"/>
                <w:sz w:val="18"/>
                <w:szCs w:val="18"/>
                <w:color w:val="auto"/>
              </w:rPr>
              <w:t>Chief Financial Officer</w:t>
            </w:r>
          </w:p>
        </w:tc>
        <w:tc>
          <w:tcPr>
            <w:tcW w:w="5840" w:type="dxa"/>
            <w:vAlign w:val="bottom"/>
          </w:tcPr>
          <w:p>
            <w:pPr>
              <w:ind w:left="2800"/>
              <w:spacing w:after="0"/>
              <w:rPr>
                <w:sz w:val="20"/>
                <w:szCs w:val="20"/>
                <w:color w:val="auto"/>
              </w:rPr>
            </w:pPr>
            <w:r>
              <w:rPr>
                <w:rFonts w:ascii="Arial" w:cs="Arial" w:eastAsia="Arial" w:hAnsi="Arial"/>
                <w:sz w:val="18"/>
                <w:szCs w:val="18"/>
                <w:color w:val="auto"/>
                <w:w w:val="96"/>
              </w:rPr>
              <w:t>Chief Accounting Officer and Controller</w:t>
            </w:r>
          </w:p>
        </w:tc>
      </w:tr>
      <w:tr>
        <w:trPr>
          <w:trHeight w:val="515"/>
        </w:trPr>
        <w:tc>
          <w:tcPr>
            <w:tcW w:w="316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2400" w:type="dxa"/>
            <w:vAlign w:val="bottom"/>
          </w:tcPr>
          <w:p>
            <w:pPr>
              <w:spacing w:after="0"/>
              <w:rPr>
                <w:sz w:val="24"/>
                <w:szCs w:val="24"/>
                <w:color w:val="auto"/>
              </w:rPr>
            </w:pPr>
          </w:p>
        </w:tc>
        <w:tc>
          <w:tcPr>
            <w:tcW w:w="5840" w:type="dxa"/>
            <w:vAlign w:val="bottom"/>
          </w:tcPr>
          <w:p>
            <w:pPr>
              <w:jc w:val="right"/>
              <w:ind w:right="5477"/>
              <w:spacing w:after="0"/>
              <w:rPr>
                <w:sz w:val="20"/>
                <w:szCs w:val="20"/>
                <w:color w:val="auto"/>
              </w:rPr>
            </w:pPr>
            <w:r>
              <w:rPr>
                <w:rFonts w:ascii="Arial" w:cs="Arial" w:eastAsia="Arial" w:hAnsi="Arial"/>
                <w:sz w:val="14"/>
                <w:szCs w:val="14"/>
                <w:b w:val="1"/>
                <w:bCs w:val="1"/>
                <w:color w:val="auto"/>
              </w:rPr>
              <w:t>78</w:t>
            </w: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5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have audited the accompanying consolidated balance sheets of Comcast Corporation and subsidiaries (the “Company”) as of December 31, 2013 and 2012, and the related consolidated statements of income, comprehensive income, cash flows and changes in equity for each of the three years in the period ended December 31, 2013. We also have audited the Company’s internal control over financial reporting as of December 31,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 xml:space="preserve">Management’s Report on Comcast’s Internal Control Over Financial Reporting. </w:t>
      </w:r>
      <w:r>
        <w:rPr>
          <w:rFonts w:ascii="Arial" w:cs="Arial" w:eastAsia="Arial" w:hAnsi="Arial"/>
          <w:sz w:val="18"/>
          <w:szCs w:val="18"/>
          <w:color w:val="auto"/>
        </w:rPr>
        <w:t>Our responsibility is to express an opinion on these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an opinion on the Company’s internal control over financial reporting based on our audits.</w:t>
      </w:r>
    </w:p>
    <w:p>
      <w:pPr>
        <w:spacing w:after="0" w:line="1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Comcast Corporation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the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12, 2014</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79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 except share data)</w:t>
            </w:r>
          </w:p>
        </w:tc>
        <w:tc>
          <w:tcPr>
            <w:tcW w:w="3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5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1,718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35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3,573</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6,376</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928</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1,480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14,075</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19,991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4,994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3,770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29,840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27,232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59,364</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27,098</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17,329</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2,343</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580" w:type="dxa"/>
            <w:vAlign w:val="bottom"/>
            <w:tcBorders>
              <w:bottom w:val="single" w:sz="8" w:color="0C6DFF"/>
            </w:tcBorders>
          </w:tcPr>
          <w:p>
            <w:pPr>
              <w:spacing w:after="0"/>
              <w:rPr>
                <w:sz w:val="17"/>
                <w:szCs w:val="17"/>
                <w:color w:val="auto"/>
              </w:rPr>
            </w:pPr>
          </w:p>
        </w:tc>
        <w:tc>
          <w:tcPr>
            <w:tcW w:w="5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158,813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164,971</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58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5,528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35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1,239</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898</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7,967</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3,280</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18,912</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44,567</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31,935</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25"/>
        </w:trPr>
        <w:tc>
          <w:tcPr>
            <w:tcW w:w="55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b w:val="1"/>
                <w:bCs w:val="1"/>
                <w:color w:val="auto"/>
              </w:rPr>
              <w:t>11,384</w:t>
            </w:r>
          </w:p>
        </w:tc>
        <w:tc>
          <w:tcPr>
            <w:tcW w:w="20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13,271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18)</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957</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Redeemable noncontrolling interests and redeemable subsidiary preferred stock</w:t>
            </w: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16,998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Preferred stock—authorized, 20,000,000 shares; issued, zero</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common stock, $0.01 par value—authorized, 7,500,000,000 shares; issued, 2,503,535,883 and</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40"/>
              <w:spacing w:after="0" w:line="202" w:lineRule="exact"/>
              <w:rPr>
                <w:sz w:val="20"/>
                <w:szCs w:val="20"/>
                <w:color w:val="auto"/>
              </w:rPr>
            </w:pPr>
            <w:r>
              <w:rPr>
                <w:rFonts w:ascii="Arial" w:cs="Arial" w:eastAsia="Arial" w:hAnsi="Arial"/>
                <w:sz w:val="18"/>
                <w:szCs w:val="18"/>
                <w:color w:val="auto"/>
              </w:rPr>
              <w:t>2,487,739,385; outstanding, 2,138,075,133 and 2,122,278,635</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A Special common stock, $0.01 par value—authorized, 7,500,000,000 shares; issued, 529,964,944 and</w:t>
            </w:r>
          </w:p>
        </w:tc>
        <w:tc>
          <w:tcPr>
            <w:tcW w:w="520" w:type="dxa"/>
            <w:vAlign w:val="bottom"/>
          </w:tcPr>
          <w:p>
            <w:pPr>
              <w:spacing w:after="0"/>
              <w:rPr>
                <w:sz w:val="17"/>
                <w:szCs w:val="17"/>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540" w:type="dxa"/>
            <w:vAlign w:val="bottom"/>
          </w:tcPr>
          <w:p>
            <w:pPr>
              <w:ind w:left="440"/>
              <w:spacing w:after="0" w:line="181" w:lineRule="exact"/>
              <w:rPr>
                <w:sz w:val="20"/>
                <w:szCs w:val="20"/>
                <w:color w:val="auto"/>
              </w:rPr>
            </w:pPr>
            <w:r>
              <w:rPr>
                <w:rFonts w:ascii="Arial" w:cs="Arial" w:eastAsia="Arial" w:hAnsi="Arial"/>
                <w:sz w:val="18"/>
                <w:szCs w:val="18"/>
                <w:color w:val="auto"/>
              </w:rPr>
              <w:t>578,704,227; outstanding, 459,030,180 and 507,769,463</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Class B common stock, $0.01 par value—authorized, 75,000,000 shares; issued and outstanding, 9,444,375</w:t>
            </w: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38,890</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40,547</w:t>
            </w:r>
          </w:p>
        </w:tc>
        <w:tc>
          <w:tcPr>
            <w:tcW w:w="0" w:type="dxa"/>
            <w:vAlign w:val="bottom"/>
          </w:tcPr>
          <w:p>
            <w:pPr>
              <w:spacing w:after="0"/>
              <w:rPr>
                <w:sz w:val="1"/>
                <w:szCs w:val="1"/>
                <w:color w:val="auto"/>
              </w:rPr>
            </w:pPr>
          </w:p>
        </w:tc>
      </w:tr>
      <w:tr>
        <w:trPr>
          <w:trHeight w:val="203"/>
        </w:trPr>
        <w:tc>
          <w:tcPr>
            <w:tcW w:w="554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3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19,235</w:t>
            </w:r>
          </w:p>
        </w:tc>
        <w:tc>
          <w:tcPr>
            <w:tcW w:w="20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16,280</w:t>
            </w:r>
          </w:p>
        </w:tc>
        <w:tc>
          <w:tcPr>
            <w:tcW w:w="0" w:type="dxa"/>
            <w:vAlign w:val="bottom"/>
          </w:tcPr>
          <w:p>
            <w:pPr>
              <w:spacing w:after="0"/>
              <w:rPr>
                <w:sz w:val="1"/>
                <w:szCs w:val="1"/>
                <w:color w:val="auto"/>
              </w:rPr>
            </w:pPr>
          </w:p>
        </w:tc>
      </w:tr>
      <w:tr>
        <w:trPr>
          <w:trHeight w:val="203"/>
        </w:trPr>
        <w:tc>
          <w:tcPr>
            <w:tcW w:w="9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5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(7,517)</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Total Comcast Corporation shareholders’ equity</w:t>
            </w:r>
          </w:p>
        </w:tc>
        <w:tc>
          <w:tcPr>
            <w:tcW w:w="3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50,694</w:t>
            </w:r>
          </w:p>
        </w:tc>
        <w:tc>
          <w:tcPr>
            <w:tcW w:w="200" w:type="dxa"/>
            <w:vAlign w:val="bottom"/>
          </w:tcPr>
          <w:p>
            <w:pPr>
              <w:spacing w:after="0"/>
              <w:rPr>
                <w:sz w:val="15"/>
                <w:szCs w:val="15"/>
                <w:color w:val="auto"/>
              </w:rPr>
            </w:pPr>
          </w:p>
        </w:tc>
        <w:tc>
          <w:tcPr>
            <w:tcW w:w="7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49,356</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364</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35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51,058</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3580" w:type="dxa"/>
            <w:vAlign w:val="bottom"/>
            <w:tcBorders>
              <w:bottom w:val="single" w:sz="8" w:color="0C6DFF"/>
            </w:tcBorders>
          </w:tcPr>
          <w:p>
            <w:pPr>
              <w:spacing w:after="0"/>
              <w:rPr>
                <w:sz w:val="17"/>
                <w:szCs w:val="17"/>
                <w:color w:val="auto"/>
              </w:rPr>
            </w:pPr>
          </w:p>
        </w:tc>
        <w:tc>
          <w:tcPr>
            <w:tcW w:w="5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w w:val="98"/>
              </w:rPr>
              <w:t>158,813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164,971</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3580" w:type="dxa"/>
            <w:vAlign w:val="bottom"/>
          </w:tcPr>
          <w:p>
            <w:pPr>
              <w:jc w:val="right"/>
              <w:ind w:right="3212"/>
              <w:spacing w:after="0"/>
              <w:rPr>
                <w:sz w:val="20"/>
                <w:szCs w:val="20"/>
                <w:color w:val="auto"/>
              </w:rPr>
            </w:pPr>
            <w:r>
              <w:rPr>
                <w:rFonts w:ascii="Arial" w:cs="Arial" w:eastAsia="Arial" w:hAnsi="Arial"/>
                <w:sz w:val="14"/>
                <w:szCs w:val="14"/>
                <w:b w:val="1"/>
                <w:bCs w:val="1"/>
                <w:color w:val="auto"/>
              </w:rPr>
              <w:t>80</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 except per share data)</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2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660" w:type="dxa"/>
            <w:vAlign w:val="bottom"/>
          </w:tcPr>
          <w:p>
            <w:pPr>
              <w:ind w:left="540"/>
              <w:spacing w:after="0" w:line="200"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64,657</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62,570</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55,842</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19,670</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6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19,929</w:t>
            </w: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18,584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17,833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4,969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4,831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6,254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6,150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1,617</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1,648</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51,094</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50,391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45,121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2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66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b w:val="1"/>
                <w:bCs w:val="1"/>
                <w:color w:val="auto"/>
              </w:rPr>
              <w:t>13,563</w:t>
            </w:r>
          </w:p>
        </w:tc>
        <w:tc>
          <w:tcPr>
            <w:tcW w:w="200" w:type="dxa"/>
            <w:vAlign w:val="bottom"/>
          </w:tcPr>
          <w:p>
            <w:pPr>
              <w:spacing w:after="0"/>
              <w:rPr>
                <w:sz w:val="17"/>
                <w:szCs w:val="17"/>
                <w:color w:val="auto"/>
              </w:rPr>
            </w:pPr>
          </w:p>
        </w:tc>
        <w:tc>
          <w:tcPr>
            <w:tcW w:w="7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12,179</w:t>
            </w:r>
          </w:p>
        </w:tc>
        <w:tc>
          <w:tcPr>
            <w:tcW w:w="200" w:type="dxa"/>
            <w:vAlign w:val="bottom"/>
          </w:tcPr>
          <w:p>
            <w:pPr>
              <w:spacing w:after="0"/>
              <w:rPr>
                <w:sz w:val="17"/>
                <w:szCs w:val="17"/>
                <w:color w:val="auto"/>
              </w:rPr>
            </w:pPr>
          </w:p>
        </w:tc>
        <w:tc>
          <w:tcPr>
            <w:tcW w:w="6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(2,574)</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2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(2,521)</w:t>
            </w:r>
          </w:p>
        </w:tc>
        <w:tc>
          <w:tcPr>
            <w:tcW w:w="20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576</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959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773</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(2,448)</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11,115</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11,609</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7,135</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7,865</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6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660" w:type="dxa"/>
            <w:vAlign w:val="bottom"/>
            <w:tcBorders>
              <w:bottom w:val="single" w:sz="8" w:color="0C6DFF"/>
            </w:tcBorders>
          </w:tcPr>
          <w:p>
            <w:pPr>
              <w:ind w:left="540"/>
              <w:spacing w:after="0" w:line="196" w:lineRule="exact"/>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6,816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6,203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177"/>
        </w:trPr>
        <w:tc>
          <w:tcPr>
            <w:tcW w:w="82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660" w:type="dxa"/>
            <w:vAlign w:val="bottom"/>
          </w:tcPr>
          <w:p>
            <w:pPr>
              <w:ind w:left="540"/>
              <w:spacing w:after="0" w:line="177"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2.60</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2.32</w:t>
            </w:r>
          </w:p>
        </w:tc>
        <w:tc>
          <w:tcPr>
            <w:tcW w:w="2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8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6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2.56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0C6DFF"/>
            </w:tcBorders>
            <w:gridSpan w:val="2"/>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660" w:type="dxa"/>
            <w:vAlign w:val="bottom"/>
            <w:tcBorders>
              <w:bottom w:val="single" w:sz="8" w:color="0C6DFF"/>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0.78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9"/>
        </w:trPr>
        <w:tc>
          <w:tcPr>
            <w:tcW w:w="82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240" w:type="dxa"/>
            <w:vAlign w:val="bottom"/>
            <w:gridSpan w:val="2"/>
          </w:tcPr>
          <w:p>
            <w:pPr>
              <w:ind w:left="5680"/>
              <w:spacing w:after="0"/>
              <w:rPr>
                <w:sz w:val="20"/>
                <w:szCs w:val="20"/>
                <w:color w:val="auto"/>
              </w:rPr>
            </w:pPr>
            <w:r>
              <w:rPr>
                <w:rFonts w:ascii="Arial" w:cs="Arial" w:eastAsia="Arial" w:hAnsi="Arial"/>
                <w:sz w:val="14"/>
                <w:szCs w:val="14"/>
                <w:b w:val="1"/>
                <w:bCs w:val="1"/>
                <w:color w:val="auto"/>
              </w:rPr>
              <w:t>81</w:t>
            </w:r>
          </w:p>
        </w:tc>
        <w:tc>
          <w:tcPr>
            <w:tcW w:w="3180" w:type="dxa"/>
            <w:vAlign w:val="bottom"/>
            <w:gridSpan w:val="6"/>
          </w:tcPr>
          <w:p>
            <w:pPr>
              <w:ind w:left="540"/>
              <w:spacing w:after="0"/>
              <w:rPr>
                <w:sz w:val="20"/>
                <w:szCs w:val="20"/>
                <w:color w:val="auto"/>
              </w:rPr>
            </w:pPr>
            <w:r>
              <w:rPr>
                <w:rFonts w:ascii="Arial" w:cs="Arial" w:eastAsia="Arial" w:hAnsi="Arial"/>
                <w:sz w:val="14"/>
                <w:szCs w:val="14"/>
                <w:color w:val="auto"/>
                <w:w w:val="95"/>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color w:val="auto"/>
              </w:rPr>
              <w:t>Net income</w:t>
            </w:r>
          </w:p>
        </w:tc>
        <w:tc>
          <w:tcPr>
            <w:tcW w:w="3000" w:type="dxa"/>
            <w:vAlign w:val="bottom"/>
          </w:tcPr>
          <w:p>
            <w:pPr>
              <w:spacing w:after="0"/>
              <w:rPr>
                <w:sz w:val="15"/>
                <w:szCs w:val="15"/>
                <w:color w:val="auto"/>
              </w:rPr>
            </w:pP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$ 7,135</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$ 7,865</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$ 5,157</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Unrealized gains (losses) on marketable securities, net of deferred taxes of $(110), $(95) and $(2)</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185</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161</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838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 net of deferred taxes of $(14), $(34) and $15</w:t>
            </w:r>
          </w:p>
        </w:tc>
        <w:tc>
          <w:tcPr>
            <w:tcW w:w="1420" w:type="dxa"/>
            <w:vAlign w:val="bottom"/>
          </w:tcPr>
          <w:p>
            <w:pPr>
              <w:jc w:val="right"/>
              <w:ind w:right="54"/>
              <w:spacing w:after="0"/>
              <w:rPr>
                <w:sz w:val="20"/>
                <w:szCs w:val="20"/>
                <w:color w:val="auto"/>
              </w:rPr>
            </w:pPr>
            <w:r>
              <w:rPr>
                <w:rFonts w:ascii="Arial" w:cs="Arial" w:eastAsia="Arial" w:hAnsi="Arial"/>
                <w:sz w:val="18"/>
                <w:szCs w:val="18"/>
                <w:b w:val="1"/>
                <w:bCs w:val="1"/>
                <w:color w:val="auto"/>
              </w:rPr>
              <w:t>25</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58</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Amounts reclassified to net income:</w:t>
            </w:r>
          </w:p>
        </w:tc>
        <w:tc>
          <w:tcPr>
            <w:tcW w:w="30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(301)</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80" w:type="dxa"/>
            <w:vAlign w:val="bottom"/>
            <w:gridSpan w:val="2"/>
          </w:tcPr>
          <w:p>
            <w:pPr>
              <w:ind w:left="220"/>
              <w:spacing w:after="0" w:line="181" w:lineRule="exact"/>
              <w:rPr>
                <w:sz w:val="20"/>
                <w:szCs w:val="20"/>
                <w:color w:val="auto"/>
              </w:rPr>
            </w:pPr>
            <w:r>
              <w:rPr>
                <w:rFonts w:ascii="Arial" w:cs="Arial" w:eastAsia="Arial" w:hAnsi="Arial"/>
                <w:sz w:val="18"/>
                <w:szCs w:val="18"/>
                <w:color w:val="auto"/>
              </w:rPr>
              <w:t>Realized (gains) losses on marketable securities, net of deferred taxes of $177, $ — and $5</w:t>
            </w:r>
          </w:p>
        </w:tc>
        <w:tc>
          <w:tcPr>
            <w:tcW w:w="1420" w:type="dxa"/>
            <w:vAlign w:val="bottom"/>
            <w:vMerge w:val="continue"/>
          </w:tcPr>
          <w:p>
            <w:pPr>
              <w:spacing w:after="0"/>
              <w:rPr>
                <w:sz w:val="15"/>
                <w:szCs w:val="15"/>
                <w:color w:val="auto"/>
              </w:rPr>
            </w:pPr>
          </w:p>
        </w:tc>
        <w:tc>
          <w:tcPr>
            <w:tcW w:w="820" w:type="dxa"/>
            <w:vAlign w:val="bottom"/>
          </w:tcPr>
          <w:p>
            <w:pPr>
              <w:jc w:val="right"/>
              <w:ind w:right="54"/>
              <w:spacing w:after="0" w:line="18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Realized (gains) losses on cash flow hedges, net of deferred taxes of $2, $8 and $(11)</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Employee benefit obligations, net of deferred taxes of $(108), $22 and $22</w:t>
            </w:r>
          </w:p>
        </w:tc>
        <w:tc>
          <w:tcPr>
            <w:tcW w:w="14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181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translation adjustments, net of deferred taxes of $12, $ —, and $3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77"/>
        </w:trPr>
        <w:tc>
          <w:tcPr>
            <w:tcW w:w="5380" w:type="dxa"/>
            <w:vAlign w:val="bottom"/>
          </w:tcPr>
          <w:p>
            <w:pPr>
              <w:spacing w:after="0" w:line="177" w:lineRule="exact"/>
              <w:rPr>
                <w:sz w:val="20"/>
                <w:szCs w:val="20"/>
                <w:color w:val="auto"/>
              </w:rPr>
            </w:pPr>
            <w:r>
              <w:rPr>
                <w:rFonts w:ascii="Arial" w:cs="Arial" w:eastAsia="Arial" w:hAnsi="Arial"/>
                <w:sz w:val="18"/>
                <w:szCs w:val="18"/>
                <w:color w:val="auto"/>
              </w:rPr>
              <w:t>Comprehensive income</w:t>
            </w:r>
          </w:p>
        </w:tc>
        <w:tc>
          <w:tcPr>
            <w:tcW w:w="3000" w:type="dxa"/>
            <w:vAlign w:val="bottom"/>
          </w:tcPr>
          <w:p>
            <w:pPr>
              <w:spacing w:after="0"/>
              <w:rPr>
                <w:sz w:val="15"/>
                <w:szCs w:val="15"/>
                <w:color w:val="auto"/>
              </w:rPr>
            </w:pPr>
          </w:p>
        </w:tc>
        <w:tc>
          <w:tcPr>
            <w:tcW w:w="142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7,193</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8,038</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03"/>
        </w:trPr>
        <w:tc>
          <w:tcPr>
            <w:tcW w:w="838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(319)</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(1,662)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1"/>
        </w:trPr>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Comprehensive income attributable to Comcast Corporation</w:t>
            </w:r>
          </w:p>
        </w:tc>
        <w:tc>
          <w:tcPr>
            <w:tcW w:w="3000" w:type="dxa"/>
            <w:vAlign w:val="bottom"/>
            <w:tcBorders>
              <w:bottom w:val="single" w:sz="8" w:color="0C6DFF"/>
            </w:tcBorders>
          </w:tcPr>
          <w:p>
            <w:pPr>
              <w:spacing w:after="0"/>
              <w:rPr>
                <w:sz w:val="17"/>
                <w:szCs w:val="17"/>
                <w:color w:val="auto"/>
              </w:rPr>
            </w:pPr>
          </w:p>
        </w:tc>
        <w:tc>
          <w:tcPr>
            <w:tcW w:w="14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$ 6,883</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$ 6,370</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$ 4,107</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3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3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3000" w:type="dxa"/>
            <w:vAlign w:val="bottom"/>
          </w:tcPr>
          <w:p>
            <w:pPr>
              <w:jc w:val="right"/>
              <w:ind w:right="2472"/>
              <w:spacing w:after="0"/>
              <w:rPr>
                <w:sz w:val="20"/>
                <w:szCs w:val="20"/>
                <w:color w:val="auto"/>
              </w:rPr>
            </w:pPr>
            <w:r>
              <w:rPr>
                <w:rFonts w:ascii="Arial" w:cs="Arial" w:eastAsia="Arial" w:hAnsi="Arial"/>
                <w:sz w:val="14"/>
                <w:szCs w:val="14"/>
                <w:b w:val="1"/>
                <w:bCs w:val="1"/>
                <w:color w:val="auto"/>
              </w:rPr>
              <w:t>82</w:t>
            </w: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ended December 31 (in millions)</w:t>
            </w: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81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7,135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6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7,865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7"/>
                <w:szCs w:val="17"/>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7,871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3"/>
              <w:spacing w:after="0" w:line="181" w:lineRule="exact"/>
              <w:rPr>
                <w:sz w:val="20"/>
                <w:szCs w:val="20"/>
                <w:color w:val="auto"/>
              </w:rPr>
            </w:pPr>
            <w:r>
              <w:rPr>
                <w:rFonts w:ascii="Arial" w:cs="Arial" w:eastAsia="Arial" w:hAnsi="Arial"/>
                <w:sz w:val="18"/>
                <w:szCs w:val="18"/>
                <w:color w:val="auto"/>
              </w:rPr>
              <w:t>7,798</w:t>
            </w:r>
          </w:p>
        </w:tc>
        <w:tc>
          <w:tcPr>
            <w:tcW w:w="200" w:type="dxa"/>
            <w:vAlign w:val="bottom"/>
          </w:tcPr>
          <w:p>
            <w:pPr>
              <w:spacing w:after="0"/>
              <w:rPr>
                <w:sz w:val="15"/>
                <w:szCs w:val="15"/>
                <w:color w:val="auto"/>
              </w:rPr>
            </w:pPr>
          </w:p>
        </w:tc>
        <w:tc>
          <w:tcPr>
            <w:tcW w:w="740" w:type="dxa"/>
            <w:vAlign w:val="bottom"/>
          </w:tcPr>
          <w:p>
            <w:pPr>
              <w:jc w:val="right"/>
              <w:ind w:right="13"/>
              <w:spacing w:after="0" w:line="181" w:lineRule="exact"/>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8,249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9,454</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419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371</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 (income), net</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167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120</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195</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(1,062)</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9"/>
                <w:szCs w:val="19"/>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3"/>
        </w:trPr>
        <w:tc>
          <w:tcPr>
            <w:tcW w:w="816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6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(721)</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0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6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(823)</w:t>
            </w:r>
          </w:p>
        </w:tc>
        <w:tc>
          <w:tcPr>
            <w:tcW w:w="2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Change in film and television costs</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(8,205)</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(9,432)</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Change in accounts payable and accrued expenses related to trade creditors</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(667)</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366</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 in other operating assets and liabilities</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749</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6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14,160</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14,854</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199"/>
        </w:trPr>
        <w:tc>
          <w:tcPr>
            <w:tcW w:w="81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(6,596)</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(5,714)</w:t>
            </w:r>
          </w:p>
        </w:tc>
        <w:tc>
          <w:tcPr>
            <w:tcW w:w="20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(1,009)</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real estate properties</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(1,904)</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(99)</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1,083</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3,102</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149</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2,362</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(1,223)</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85</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6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(9,514)</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(1,486)</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(12,508)</w:t>
            </w:r>
          </w:p>
        </w:tc>
        <w:tc>
          <w:tcPr>
            <w:tcW w:w="0" w:type="dxa"/>
            <w:vAlign w:val="bottom"/>
          </w:tcPr>
          <w:p>
            <w:pPr>
              <w:spacing w:after="0"/>
              <w:rPr>
                <w:sz w:val="1"/>
                <w:szCs w:val="1"/>
                <w:color w:val="auto"/>
              </w:rPr>
            </w:pPr>
          </w:p>
        </w:tc>
      </w:tr>
      <w:tr>
        <w:trPr>
          <w:trHeight w:val="199"/>
        </w:trPr>
        <w:tc>
          <w:tcPr>
            <w:tcW w:w="816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620" w:type="dxa"/>
            <w:vAlign w:val="bottom"/>
          </w:tcPr>
          <w:p>
            <w:pPr>
              <w:spacing w:after="0"/>
              <w:rPr>
                <w:sz w:val="17"/>
                <w:szCs w:val="17"/>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1,345</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4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6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Arial" w:cs="Arial" w:eastAsia="Arial" w:hAnsi="Arial"/>
                <w:sz w:val="18"/>
                <w:szCs w:val="18"/>
                <w:color w:val="auto"/>
              </w:rPr>
              <w:t>(544)</w:t>
            </w:r>
          </w:p>
        </w:tc>
        <w:tc>
          <w:tcPr>
            <w:tcW w:w="200" w:type="dxa"/>
            <w:vAlign w:val="bottom"/>
          </w:tcPr>
          <w:p>
            <w:pPr>
              <w:spacing w:after="0"/>
              <w:rPr>
                <w:sz w:val="15"/>
                <w:szCs w:val="15"/>
                <w:color w:val="auto"/>
              </w:rPr>
            </w:pPr>
          </w:p>
        </w:tc>
        <w:tc>
          <w:tcPr>
            <w:tcW w:w="74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2,933</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4,544</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(2,444)</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(2,881)</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(2,000)</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(1,964)</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62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40</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Purchase of NBCUniversal noncontrolling common equity interest</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(10,761)</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(215)</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6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(602)</w:t>
            </w:r>
          </w:p>
        </w:tc>
        <w:tc>
          <w:tcPr>
            <w:tcW w:w="2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6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(13,879)</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(4,037)</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177"/>
        </w:trPr>
        <w:tc>
          <w:tcPr>
            <w:tcW w:w="816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620" w:type="dxa"/>
            <w:vAlign w:val="bottom"/>
          </w:tcPr>
          <w:p>
            <w:pPr>
              <w:spacing w:after="0"/>
              <w:rPr>
                <w:sz w:val="15"/>
                <w:szCs w:val="15"/>
                <w:color w:val="auto"/>
              </w:rPr>
            </w:pPr>
          </w:p>
        </w:tc>
        <w:tc>
          <w:tcPr>
            <w:tcW w:w="7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(9,233)</w:t>
            </w:r>
          </w:p>
        </w:tc>
        <w:tc>
          <w:tcPr>
            <w:tcW w:w="20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9,331</w:t>
            </w:r>
          </w:p>
        </w:tc>
        <w:tc>
          <w:tcPr>
            <w:tcW w:w="20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21"/>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10,951</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1,620</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1,718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color w:val="auto"/>
              </w:rPr>
              <w:t>10,951</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9"/>
        </w:trPr>
        <w:tc>
          <w:tcPr>
            <w:tcW w:w="816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8160" w:type="dxa"/>
            <w:vAlign w:val="bottom"/>
            <w:gridSpan w:val="2"/>
          </w:tcPr>
          <w:p>
            <w:pPr>
              <w:ind w:left="5680"/>
              <w:spacing w:after="0"/>
              <w:rPr>
                <w:sz w:val="20"/>
                <w:szCs w:val="20"/>
                <w:color w:val="auto"/>
              </w:rPr>
            </w:pPr>
            <w:r>
              <w:rPr>
                <w:rFonts w:ascii="Arial" w:cs="Arial" w:eastAsia="Arial" w:hAnsi="Arial"/>
                <w:sz w:val="14"/>
                <w:szCs w:val="14"/>
                <w:b w:val="1"/>
                <w:bCs w:val="1"/>
                <w:color w:val="auto"/>
              </w:rPr>
              <w:t>83</w:t>
            </w:r>
          </w:p>
        </w:tc>
        <w:tc>
          <w:tcPr>
            <w:tcW w:w="620" w:type="dxa"/>
            <w:vAlign w:val="bottom"/>
          </w:tcPr>
          <w:p>
            <w:pPr>
              <w:spacing w:after="0"/>
              <w:rPr>
                <w:sz w:val="24"/>
                <w:szCs w:val="24"/>
                <w:color w:val="auto"/>
              </w:rPr>
            </w:pPr>
          </w:p>
        </w:tc>
        <w:tc>
          <w:tcPr>
            <w:tcW w:w="2640" w:type="dxa"/>
            <w:vAlign w:val="bottom"/>
            <w:gridSpan w:val="5"/>
          </w:tcPr>
          <w:p>
            <w:pPr>
              <w:jc w:val="right"/>
              <w:spacing w:after="0"/>
              <w:rPr>
                <w:sz w:val="20"/>
                <w:szCs w:val="20"/>
                <w:color w:val="auto"/>
              </w:rPr>
            </w:pPr>
            <w:r>
              <w:rPr>
                <w:rFonts w:ascii="Arial" w:cs="Arial" w:eastAsia="Arial" w:hAnsi="Arial"/>
                <w:sz w:val="14"/>
                <w:szCs w:val="14"/>
                <w:color w:val="auto"/>
                <w:w w:val="95"/>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95"/>
              <w:spacing w:after="0"/>
              <w:rPr>
                <w:sz w:val="20"/>
                <w:szCs w:val="20"/>
                <w:color w:val="auto"/>
              </w:rPr>
            </w:pPr>
            <w:r>
              <w:rPr>
                <w:rFonts w:ascii="Arial" w:cs="Arial" w:eastAsia="Arial" w:hAnsi="Arial"/>
                <w:sz w:val="14"/>
                <w:szCs w:val="14"/>
                <w:color w:val="auto"/>
                <w:w w:val="95"/>
              </w:rPr>
              <w:t>Redeemable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95"/>
              <w:spacing w:after="0" w:line="149" w:lineRule="exact"/>
              <w:rPr>
                <w:sz w:val="20"/>
                <w:szCs w:val="20"/>
                <w:color w:val="auto"/>
              </w:rPr>
            </w:pPr>
            <w:r>
              <w:rPr>
                <w:rFonts w:ascii="Arial" w:cs="Arial" w:eastAsia="Arial" w:hAnsi="Arial"/>
                <w:sz w:val="14"/>
                <w:szCs w:val="14"/>
                <w:color w:val="auto"/>
                <w:w w:val="98"/>
              </w:rPr>
              <w:t>Noncontrolling</w:t>
            </w:r>
          </w:p>
        </w:tc>
        <w:tc>
          <w:tcPr>
            <w:tcW w:w="100" w:type="dxa"/>
            <w:vAlign w:val="bottom"/>
          </w:tcPr>
          <w:p>
            <w:pPr>
              <w:spacing w:after="0"/>
              <w:rPr>
                <w:sz w:val="12"/>
                <w:szCs w:val="12"/>
                <w:color w:val="auto"/>
              </w:rPr>
            </w:pPr>
          </w:p>
        </w:tc>
        <w:tc>
          <w:tcPr>
            <w:tcW w:w="1520" w:type="dxa"/>
            <w:vAlign w:val="bottom"/>
            <w:gridSpan w:val="4"/>
          </w:tcPr>
          <w:p>
            <w:pPr>
              <w:jc w:val="right"/>
              <w:ind w:right="199"/>
              <w:spacing w:after="0" w:line="149" w:lineRule="exact"/>
              <w:rPr>
                <w:sz w:val="20"/>
                <w:szCs w:val="20"/>
                <w:color w:val="auto"/>
              </w:rPr>
            </w:pPr>
            <w:r>
              <w:rPr>
                <w:rFonts w:ascii="Arial" w:cs="Arial" w:eastAsia="Arial" w:hAnsi="Arial"/>
                <w:sz w:val="14"/>
                <w:szCs w:val="14"/>
                <w:color w:val="auto"/>
              </w:rPr>
              <w:t>Common Stock</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60" w:type="dxa"/>
            <w:vAlign w:val="bottom"/>
            <w:tcBorders>
              <w:right w:val="single" w:sz="8" w:color="auto"/>
            </w:tcBorders>
            <w:gridSpan w:val="2"/>
            <w:vMerge w:val="restart"/>
          </w:tcPr>
          <w:p>
            <w:pPr>
              <w:jc w:val="center"/>
              <w:ind w:right="75"/>
              <w:spacing w:after="0" w:line="148" w:lineRule="exact"/>
              <w:rPr>
                <w:sz w:val="20"/>
                <w:szCs w:val="20"/>
                <w:color w:val="auto"/>
              </w:rPr>
            </w:pPr>
            <w:r>
              <w:rPr>
                <w:rFonts w:ascii="Arial" w:cs="Arial" w:eastAsia="Arial" w:hAnsi="Arial"/>
                <w:sz w:val="14"/>
                <w:szCs w:val="14"/>
                <w:color w:val="auto"/>
                <w:w w:val="96"/>
              </w:rPr>
              <w:t>Interests and</w:t>
            </w:r>
          </w:p>
        </w:tc>
        <w:tc>
          <w:tcPr>
            <w:tcW w:w="10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Accumulated</w:t>
            </w: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140" w:type="dxa"/>
            <w:vAlign w:val="bottom"/>
          </w:tcPr>
          <w:p>
            <w:pPr>
              <w:spacing w:after="0"/>
              <w:rPr>
                <w:sz w:val="8"/>
                <w:szCs w:val="8"/>
                <w:color w:val="auto"/>
              </w:rPr>
            </w:pPr>
          </w:p>
        </w:tc>
        <w:tc>
          <w:tcPr>
            <w:tcW w:w="1260" w:type="dxa"/>
            <w:vAlign w:val="bottom"/>
            <w:tcBorders>
              <w:right w:val="single" w:sz="8" w:color="auto"/>
            </w:tcBorders>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95"/>
              <w:spacing w:after="0" w:line="135" w:lineRule="exact"/>
              <w:rPr>
                <w:sz w:val="20"/>
                <w:szCs w:val="20"/>
                <w:color w:val="auto"/>
              </w:rPr>
            </w:pPr>
            <w:r>
              <w:rPr>
                <w:rFonts w:ascii="Arial" w:cs="Arial" w:eastAsia="Arial" w:hAnsi="Arial"/>
                <w:sz w:val="14"/>
                <w:szCs w:val="14"/>
                <w:color w:val="auto"/>
                <w:w w:val="95"/>
              </w:rPr>
              <w:t>Redeemable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right w:val="single" w:sz="8" w:color="auto"/>
            </w:tcBorders>
          </w:tcPr>
          <w:p>
            <w:pPr>
              <w:jc w:val="center"/>
              <w:ind w:right="315"/>
              <w:spacing w:after="0" w:line="149" w:lineRule="exact"/>
              <w:rPr>
                <w:sz w:val="20"/>
                <w:szCs w:val="20"/>
                <w:color w:val="auto"/>
              </w:rPr>
            </w:pPr>
            <w:r>
              <w:rPr>
                <w:rFonts w:ascii="Arial" w:cs="Arial" w:eastAsia="Arial" w:hAnsi="Arial"/>
                <w:sz w:val="14"/>
                <w:szCs w:val="14"/>
                <w:color w:val="auto"/>
                <w:w w:val="97"/>
              </w:rPr>
              <w:t>Subsidiary</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75"/>
              <w:spacing w:after="0" w:line="149" w:lineRule="exact"/>
              <w:rPr>
                <w:sz w:val="20"/>
                <w:szCs w:val="20"/>
                <w:color w:val="auto"/>
              </w:rPr>
            </w:pPr>
            <w:r>
              <w:rPr>
                <w:rFonts w:ascii="Arial" w:cs="Arial" w:eastAsia="Arial" w:hAnsi="Arial"/>
                <w:sz w:val="14"/>
                <w:szCs w:val="14"/>
                <w:color w:val="auto"/>
              </w:rPr>
              <w:t>Additional</w:t>
            </w:r>
          </w:p>
        </w:tc>
        <w:tc>
          <w:tcPr>
            <w:tcW w:w="8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7"/>
              </w:rPr>
              <w:t>Treasury</w:t>
            </w:r>
          </w:p>
        </w:tc>
        <w:tc>
          <w:tcPr>
            <w:tcW w:w="260" w:type="dxa"/>
            <w:vAlign w:val="bottom"/>
          </w:tcPr>
          <w:p>
            <w:pPr>
              <w:spacing w:after="0"/>
              <w:rPr>
                <w:sz w:val="12"/>
                <w:szCs w:val="12"/>
                <w:color w:val="auto"/>
              </w:rPr>
            </w:pPr>
          </w:p>
        </w:tc>
        <w:tc>
          <w:tcPr>
            <w:tcW w:w="880" w:type="dxa"/>
            <w:vAlign w:val="bottom"/>
          </w:tcPr>
          <w:p>
            <w:pPr>
              <w:jc w:val="center"/>
              <w:ind w:right="254"/>
              <w:spacing w:after="0" w:line="149" w:lineRule="exact"/>
              <w:rPr>
                <w:sz w:val="20"/>
                <w:szCs w:val="20"/>
                <w:color w:val="auto"/>
              </w:rPr>
            </w:pPr>
            <w:r>
              <w:rPr>
                <w:rFonts w:ascii="Arial" w:cs="Arial" w:eastAsia="Arial" w:hAnsi="Arial"/>
                <w:sz w:val="14"/>
                <w:szCs w:val="14"/>
                <w:color w:val="auto"/>
                <w:w w:val="96"/>
              </w:rPr>
              <w:t>Other</w:t>
            </w:r>
          </w:p>
        </w:tc>
        <w:tc>
          <w:tcPr>
            <w:tcW w:w="180" w:type="dxa"/>
            <w:vAlign w:val="bottom"/>
          </w:tcPr>
          <w:p>
            <w:pPr>
              <w:spacing w:after="0"/>
              <w:rPr>
                <w:sz w:val="12"/>
                <w:szCs w:val="12"/>
                <w:color w:val="auto"/>
              </w:rPr>
            </w:pPr>
          </w:p>
        </w:tc>
        <w:tc>
          <w:tcPr>
            <w:tcW w:w="620" w:type="dxa"/>
            <w:vAlign w:val="bottom"/>
          </w:tcPr>
          <w:p>
            <w:pPr>
              <w:jc w:val="right"/>
              <w:ind w:right="214"/>
              <w:spacing w:after="0" w:line="149" w:lineRule="exact"/>
              <w:rPr>
                <w:sz w:val="20"/>
                <w:szCs w:val="20"/>
                <w:color w:val="auto"/>
              </w:rPr>
            </w:pPr>
            <w:r>
              <w:rPr>
                <w:rFonts w:ascii="Arial" w:cs="Arial" w:eastAsia="Arial" w:hAnsi="Arial"/>
                <w:sz w:val="14"/>
                <w:szCs w:val="14"/>
                <w:color w:val="auto"/>
                <w:w w:val="98"/>
              </w:rPr>
              <w:t>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right w:val="single" w:sz="8" w:color="auto"/>
            </w:tcBorders>
          </w:tcPr>
          <w:p>
            <w:pPr>
              <w:jc w:val="center"/>
              <w:ind w:right="315"/>
              <w:spacing w:after="0" w:line="149" w:lineRule="exact"/>
              <w:rPr>
                <w:sz w:val="20"/>
                <w:szCs w:val="20"/>
                <w:color w:val="auto"/>
              </w:rPr>
            </w:pPr>
            <w:r>
              <w:rPr>
                <w:rFonts w:ascii="Arial" w:cs="Arial" w:eastAsia="Arial" w:hAnsi="Arial"/>
                <w:sz w:val="14"/>
                <w:szCs w:val="14"/>
                <w:color w:val="auto"/>
                <w:w w:val="95"/>
              </w:rPr>
              <w:t>Preferred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jc w:val="right"/>
              <w:ind w:right="35"/>
              <w:spacing w:after="0" w:line="149" w:lineRule="exact"/>
              <w:rPr>
                <w:sz w:val="20"/>
                <w:szCs w:val="20"/>
                <w:color w:val="auto"/>
              </w:rPr>
            </w:pPr>
            <w:r>
              <w:rPr>
                <w:rFonts w:ascii="Arial" w:cs="Arial" w:eastAsia="Arial" w:hAnsi="Arial"/>
                <w:sz w:val="14"/>
                <w:szCs w:val="14"/>
                <w:color w:val="auto"/>
              </w:rPr>
              <w:t>A</w:t>
            </w:r>
          </w:p>
        </w:tc>
        <w:tc>
          <w:tcPr>
            <w:tcW w:w="400" w:type="dxa"/>
            <w:vAlign w:val="bottom"/>
          </w:tcPr>
          <w:p>
            <w:pPr>
              <w:spacing w:after="0"/>
              <w:rPr>
                <w:sz w:val="12"/>
                <w:szCs w:val="12"/>
                <w:color w:val="auto"/>
              </w:rPr>
            </w:pPr>
          </w:p>
        </w:tc>
        <w:tc>
          <w:tcPr>
            <w:tcW w:w="880" w:type="dxa"/>
            <w:vAlign w:val="bottom"/>
          </w:tcPr>
          <w:p>
            <w:pPr>
              <w:jc w:val="right"/>
              <w:ind w:right="155"/>
              <w:spacing w:after="0" w:line="149" w:lineRule="exact"/>
              <w:rPr>
                <w:sz w:val="20"/>
                <w:szCs w:val="20"/>
                <w:color w:val="auto"/>
              </w:rPr>
            </w:pPr>
            <w:r>
              <w:rPr>
                <w:rFonts w:ascii="Arial" w:cs="Arial" w:eastAsia="Arial" w:hAnsi="Arial"/>
                <w:sz w:val="14"/>
                <w:szCs w:val="14"/>
                <w:color w:val="auto"/>
              </w:rPr>
              <w:t>Paid-In</w:t>
            </w:r>
          </w:p>
        </w:tc>
        <w:tc>
          <w:tcPr>
            <w:tcW w:w="880" w:type="dxa"/>
            <w:vAlign w:val="bottom"/>
          </w:tcPr>
          <w:p>
            <w:pPr>
              <w:jc w:val="right"/>
              <w:ind w:right="114"/>
              <w:spacing w:after="0" w:line="149" w:lineRule="exact"/>
              <w:rPr>
                <w:sz w:val="20"/>
                <w:szCs w:val="20"/>
                <w:color w:val="auto"/>
              </w:rPr>
            </w:pPr>
            <w:r>
              <w:rPr>
                <w:rFonts w:ascii="Arial" w:cs="Arial" w:eastAsia="Arial" w:hAnsi="Arial"/>
                <w:sz w:val="14"/>
                <w:szCs w:val="14"/>
                <w:color w:val="auto"/>
              </w:rPr>
              <w:t>Retained</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8"/>
              </w:rPr>
              <w:t>Stock at</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Comprehensive</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center"/>
              <w:ind w:right="295"/>
              <w:spacing w:after="0"/>
              <w:rPr>
                <w:sz w:val="20"/>
                <w:szCs w:val="20"/>
                <w:color w:val="auto"/>
              </w:rPr>
            </w:pPr>
            <w:r>
              <w:rPr>
                <w:rFonts w:ascii="Arial" w:cs="Arial" w:eastAsia="Arial" w:hAnsi="Arial"/>
                <w:sz w:val="14"/>
                <w:szCs w:val="14"/>
                <w:color w:val="auto"/>
                <w:w w:val="96"/>
              </w:rPr>
              <w:t>Stock</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Special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w:t>
            </w: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Capital</w:t>
            </w: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Earnings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Cost</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80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4"/>
                <w:szCs w:val="14"/>
                <w:color w:val="auto"/>
              </w:rPr>
              <w:t>Interests</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9"/>
        </w:trPr>
        <w:tc>
          <w:tcPr>
            <w:tcW w:w="3140" w:type="dxa"/>
            <w:vAlign w:val="bottom"/>
          </w:tcPr>
          <w:p>
            <w:pPr>
              <w:spacing w:after="0" w:line="200" w:lineRule="exact"/>
              <w:rPr>
                <w:sz w:val="20"/>
                <w:szCs w:val="20"/>
                <w:color w:val="auto"/>
              </w:rPr>
            </w:pPr>
            <w:r>
              <w:rPr>
                <w:rFonts w:ascii="Arial" w:cs="Arial" w:eastAsia="Arial" w:hAnsi="Arial"/>
                <w:sz w:val="18"/>
                <w:szCs w:val="18"/>
                <w:color w:val="auto"/>
              </w:rPr>
              <w:t>Balance, January 1, 2011</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$ 24</w:t>
            </w:r>
          </w:p>
        </w:tc>
        <w:tc>
          <w:tcPr>
            <w:tcW w:w="2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8</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$ 39,780</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$ 12,158</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 (7,517)</w:t>
            </w:r>
          </w:p>
        </w:tc>
        <w:tc>
          <w:tcPr>
            <w:tcW w:w="260" w:type="dxa"/>
            <w:vAlign w:val="bottom"/>
          </w:tcPr>
          <w:p>
            <w:pPr>
              <w:jc w:val="right"/>
              <w:ind w:right="24"/>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(99)</w:t>
            </w:r>
          </w:p>
        </w:tc>
        <w:tc>
          <w:tcPr>
            <w:tcW w:w="180" w:type="dxa"/>
            <w:vAlign w:val="bottom"/>
          </w:tcPr>
          <w:p>
            <w:pPr>
              <w:ind w:left="60"/>
              <w:spacing w:after="0" w:line="200"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80</w:t>
            </w:r>
          </w:p>
        </w:tc>
        <w:tc>
          <w:tcPr>
            <w:tcW w:w="8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$ 44,434</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509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68</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NBCUniversal transaction</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15,198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1,605</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264</w:t>
            </w: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83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43</w:t>
            </w: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9"/>
        </w:trPr>
        <w:tc>
          <w:tcPr>
            <w:tcW w:w="3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842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4,160</w:t>
            </w: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155</w:t>
            </w:r>
          </w:p>
        </w:tc>
        <w:tc>
          <w:tcPr>
            <w:tcW w:w="8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199"/>
        </w:trPr>
        <w:tc>
          <w:tcPr>
            <w:tcW w:w="314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16,014</w:t>
            </w:r>
          </w:p>
        </w:tc>
        <w:tc>
          <w:tcPr>
            <w:tcW w:w="100" w:type="dxa"/>
            <w:vAlign w:val="bottom"/>
          </w:tcPr>
          <w:p>
            <w:pPr>
              <w:spacing w:after="0"/>
              <w:rPr>
                <w:sz w:val="17"/>
                <w:szCs w:val="17"/>
                <w:color w:val="auto"/>
              </w:rPr>
            </w:pP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3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7</w:t>
            </w:r>
          </w:p>
        </w:tc>
        <w:tc>
          <w:tcPr>
            <w:tcW w:w="4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40,940</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13,971</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(7,517)</w:t>
            </w:r>
          </w:p>
        </w:tc>
        <w:tc>
          <w:tcPr>
            <w:tcW w:w="26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(152)</w:t>
            </w:r>
          </w:p>
        </w:tc>
        <w:tc>
          <w:tcPr>
            <w:tcW w:w="180" w:type="dxa"/>
            <w:vAlign w:val="bottom"/>
          </w:tcPr>
          <w:p>
            <w:pPr>
              <w:spacing w:after="0"/>
              <w:rPr>
                <w:sz w:val="17"/>
                <w:szCs w:val="17"/>
                <w:color w:val="auto"/>
              </w:rPr>
            </w:pPr>
          </w:p>
        </w:tc>
        <w:tc>
          <w:tcPr>
            <w:tcW w:w="6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381</w:t>
            </w:r>
          </w:p>
        </w:tc>
        <w:tc>
          <w:tcPr>
            <w:tcW w:w="8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612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(1,081)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(1,918)</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Employee stock purchase plans</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(1,736)</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95"/>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167</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noncontrolling interests, net</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(493)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80</w:t>
            </w: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9"/>
        </w:trPr>
        <w:tc>
          <w:tcPr>
            <w:tcW w:w="3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ind w:right="195"/>
              <w:spacing w:after="0" w:line="200" w:lineRule="exact"/>
              <w:rPr>
                <w:sz w:val="20"/>
                <w:szCs w:val="20"/>
                <w:color w:val="auto"/>
              </w:rPr>
            </w:pPr>
            <w:r>
              <w:rPr>
                <w:rFonts w:ascii="Arial" w:cs="Arial" w:eastAsia="Arial" w:hAnsi="Arial"/>
                <w:sz w:val="18"/>
                <w:szCs w:val="18"/>
                <w:color w:val="auto"/>
              </w:rPr>
              <w:t>1,514</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6,203</w:t>
            </w: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148</w:t>
            </w:r>
          </w:p>
        </w:tc>
        <w:tc>
          <w:tcPr>
            <w:tcW w:w="8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177"/>
        </w:trPr>
        <w:tc>
          <w:tcPr>
            <w:tcW w:w="3140" w:type="dxa"/>
            <w:vAlign w:val="bottom"/>
          </w:tcPr>
          <w:p>
            <w:pPr>
              <w:spacing w:after="0" w:line="177" w:lineRule="exact"/>
              <w:rPr>
                <w:sz w:val="20"/>
                <w:szCs w:val="20"/>
                <w:color w:val="auto"/>
              </w:rPr>
            </w:pPr>
            <w:r>
              <w:rPr>
                <w:rFonts w:ascii="Arial" w:cs="Arial" w:eastAsia="Arial" w:hAnsi="Arial"/>
                <w:sz w:val="18"/>
                <w:szCs w:val="18"/>
                <w:color w:val="auto"/>
              </w:rPr>
              <w:t>Balance, December 31, 2012</w:t>
            </w:r>
          </w:p>
        </w:tc>
        <w:tc>
          <w:tcPr>
            <w:tcW w:w="220" w:type="dxa"/>
            <w:vAlign w:val="bottom"/>
          </w:tcPr>
          <w:p>
            <w:pPr>
              <w:spacing w:after="0"/>
              <w:rPr>
                <w:sz w:val="15"/>
                <w:szCs w:val="15"/>
                <w:color w:val="auto"/>
              </w:rPr>
            </w:pPr>
          </w:p>
        </w:tc>
        <w:tc>
          <w:tcPr>
            <w:tcW w:w="1040" w:type="dxa"/>
            <w:vAlign w:val="bottom"/>
            <w:tcBorders>
              <w:right w:val="single" w:sz="8" w:color="auto"/>
            </w:tcBorders>
          </w:tcPr>
          <w:p>
            <w:pPr>
              <w:jc w:val="right"/>
              <w:ind w:right="195"/>
              <w:spacing w:after="0" w:line="177" w:lineRule="exact"/>
              <w:rPr>
                <w:sz w:val="20"/>
                <w:szCs w:val="20"/>
                <w:color w:val="auto"/>
              </w:rPr>
            </w:pPr>
            <w:r>
              <w:rPr>
                <w:rFonts w:ascii="Arial" w:cs="Arial" w:eastAsia="Arial" w:hAnsi="Arial"/>
                <w:sz w:val="18"/>
                <w:szCs w:val="18"/>
                <w:color w:val="auto"/>
              </w:rPr>
              <w:t>16,998</w:t>
            </w:r>
          </w:p>
        </w:tc>
        <w:tc>
          <w:tcPr>
            <w:tcW w:w="10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5"/>
                <w:szCs w:val="15"/>
                <w:color w:val="auto"/>
              </w:rPr>
            </w:pPr>
          </w:p>
        </w:tc>
        <w:tc>
          <w:tcPr>
            <w:tcW w:w="3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6</w:t>
            </w:r>
          </w:p>
        </w:tc>
        <w:tc>
          <w:tcPr>
            <w:tcW w:w="40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177" w:lineRule="exact"/>
              <w:rPr>
                <w:sz w:val="20"/>
                <w:szCs w:val="20"/>
                <w:color w:val="auto"/>
              </w:rPr>
            </w:pPr>
            <w:r>
              <w:rPr>
                <w:rFonts w:ascii="Arial" w:cs="Arial" w:eastAsia="Arial" w:hAnsi="Arial"/>
                <w:sz w:val="18"/>
                <w:szCs w:val="18"/>
                <w:color w:val="auto"/>
              </w:rPr>
              <w:t>40,547</w:t>
            </w: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16,280</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(7,517)</w:t>
            </w:r>
          </w:p>
        </w:tc>
        <w:tc>
          <w:tcPr>
            <w:tcW w:w="26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5"/>
                <w:szCs w:val="15"/>
                <w:color w:val="auto"/>
              </w:rPr>
            </w:pPr>
          </w:p>
        </w:tc>
        <w:tc>
          <w:tcPr>
            <w:tcW w:w="6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440</w:t>
            </w:r>
          </w:p>
        </w:tc>
        <w:tc>
          <w:tcPr>
            <w:tcW w:w="860" w:type="dxa"/>
            <w:vAlign w:val="bottom"/>
          </w:tcPr>
          <w:p>
            <w:pPr>
              <w:jc w:val="right"/>
              <w:ind w:right="13"/>
              <w:spacing w:after="0" w:line="177" w:lineRule="exact"/>
              <w:rPr>
                <w:sz w:val="20"/>
                <w:szCs w:val="20"/>
                <w:color w:val="auto"/>
              </w:rPr>
            </w:pPr>
            <w:r>
              <w:rPr>
                <w:rFonts w:ascii="Arial" w:cs="Arial" w:eastAsia="Arial" w:hAnsi="Arial"/>
                <w:sz w:val="18"/>
                <w:szCs w:val="18"/>
                <w:color w:val="auto"/>
              </w:rPr>
              <w:t>49,796</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603</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(371)</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(555)</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(1,444)</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Employee stock purchase plans</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98</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(2,046)</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(2,046)</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Purchase of NBCUniversal</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noncontrolling common equity</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b w:val="1"/>
                <w:bCs w:val="1"/>
                <w:color w:val="auto"/>
              </w:rPr>
              <w:t>(17,006)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(1,651)</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(1,677)</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Redeemable subsidiary preferred</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725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Contributions from (distributions to)</w:t>
            </w:r>
          </w:p>
        </w:tc>
        <w:tc>
          <w:tcPr>
            <w:tcW w:w="2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noncontrolling interests, net</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35"/>
              <w:spacing w:after="0" w:line="202" w:lineRule="exact"/>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(136)</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7"/>
                <w:szCs w:val="17"/>
                <w:color w:val="auto"/>
              </w:rPr>
            </w:pPr>
          </w:p>
        </w:tc>
        <w:tc>
          <w:tcPr>
            <w:tcW w:w="1040" w:type="dxa"/>
            <w:vAlign w:val="bottom"/>
            <w:tcBorders>
              <w:right w:val="single" w:sz="8" w:color="auto"/>
            </w:tcBorders>
          </w:tcPr>
          <w:p>
            <w:pPr>
              <w:jc w:val="right"/>
              <w:ind w:right="195"/>
              <w:spacing w:after="0" w:line="202" w:lineRule="exact"/>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(58)</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21"/>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6,816</w:t>
            </w: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118</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6,934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0C6DFF"/>
              <w:right w:val="single" w:sz="8" w:color="auto"/>
            </w:tcBorders>
          </w:tcPr>
          <w:p>
            <w:pPr>
              <w:jc w:val="right"/>
              <w:ind w:right="195"/>
              <w:spacing w:after="0" w:line="196" w:lineRule="exact"/>
              <w:rPr>
                <w:sz w:val="20"/>
                <w:szCs w:val="20"/>
                <w:color w:val="auto"/>
              </w:rPr>
            </w:pPr>
            <w:r>
              <w:rPr>
                <w:rFonts w:ascii="Arial" w:cs="Arial" w:eastAsia="Arial" w:hAnsi="Arial"/>
                <w:sz w:val="18"/>
                <w:szCs w:val="18"/>
                <w:b w:val="1"/>
                <w:bCs w:val="1"/>
                <w:color w:val="auto"/>
              </w:rPr>
              <w:t>957</w:t>
            </w:r>
          </w:p>
        </w:tc>
        <w:tc>
          <w:tcPr>
            <w:tcW w:w="100" w:type="dxa"/>
            <w:vAlign w:val="bottom"/>
            <w:tcBorders>
              <w:bottom w:val="single" w:sz="8" w:color="0C6DFF"/>
            </w:tcBorders>
          </w:tcPr>
          <w:p>
            <w:pPr>
              <w:spacing w:after="0"/>
              <w:rPr>
                <w:sz w:val="17"/>
                <w:szCs w:val="17"/>
                <w:color w:val="auto"/>
              </w:rPr>
            </w:pPr>
          </w:p>
        </w:tc>
        <w:tc>
          <w:tcPr>
            <w:tcW w:w="5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$ 25</w:t>
            </w:r>
          </w:p>
        </w:tc>
        <w:tc>
          <w:tcPr>
            <w:tcW w:w="2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$ 38,890</w:t>
            </w:r>
          </w:p>
        </w:tc>
        <w:tc>
          <w:tcPr>
            <w:tcW w:w="8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$ 19,235</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(7,517)</w:t>
            </w:r>
          </w:p>
        </w:tc>
        <w:tc>
          <w:tcPr>
            <w:tcW w:w="260" w:type="dxa"/>
            <w:vAlign w:val="bottom"/>
            <w:tcBorders>
              <w:bottom w:val="single" w:sz="8" w:color="0C6DFF"/>
            </w:tcBorders>
          </w:tcPr>
          <w:p>
            <w:pPr>
              <w:jc w:val="right"/>
              <w:ind w:right="24"/>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56</w:t>
            </w:r>
          </w:p>
        </w:tc>
        <w:tc>
          <w:tcPr>
            <w:tcW w:w="1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364</w:t>
            </w:r>
          </w:p>
        </w:tc>
        <w:tc>
          <w:tcPr>
            <w:tcW w:w="8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$ 51,058</w:t>
            </w:r>
          </w:p>
        </w:tc>
        <w:tc>
          <w:tcPr>
            <w:tcW w:w="0" w:type="dxa"/>
            <w:vAlign w:val="bottom"/>
          </w:tcPr>
          <w:p>
            <w:pPr>
              <w:spacing w:after="0"/>
              <w:rPr>
                <w:sz w:val="1"/>
                <w:szCs w:val="1"/>
                <w:color w:val="auto"/>
              </w:rPr>
            </w:pPr>
          </w:p>
        </w:tc>
      </w:tr>
      <w:tr>
        <w:trPr>
          <w:trHeight w:val="209"/>
        </w:trPr>
        <w:tc>
          <w:tcPr>
            <w:tcW w:w="4500" w:type="dxa"/>
            <w:vAlign w:val="bottom"/>
            <w:gridSpan w:val="4"/>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314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jc w:val="right"/>
              <w:ind w:right="99"/>
              <w:spacing w:after="0"/>
              <w:rPr>
                <w:sz w:val="20"/>
                <w:szCs w:val="20"/>
                <w:color w:val="auto"/>
              </w:rPr>
            </w:pPr>
            <w:r>
              <w:rPr>
                <w:rFonts w:ascii="Arial" w:cs="Arial" w:eastAsia="Arial" w:hAnsi="Arial"/>
                <w:sz w:val="14"/>
                <w:szCs w:val="14"/>
                <w:b w:val="1"/>
                <w:bCs w:val="1"/>
                <w:color w:val="auto"/>
              </w:rPr>
              <w:t>84</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December 2001. Through our predecessors, we have developed, managed and operated cable systems since 1963. In 2011, we closed the NBCUniversal transaction in which we acquired control of the businesses of NBCUniversal Media, LLC (“NBCUniversal”), and in 2013, we acquired GE’s remaining 49% common equity interest in NBCUniversal.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and are collectively referred to as the NBCUniversal segments. See Note 19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Communications segment primarily manages and operates cable systems that serve residential and business customers in the United States. As of December 31, 2013, we served 21.7 million video customers, 20.7 million high-speed Internet customers and 10.7 million voice customers.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our international cable networks, and our cable television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and our broadcast television production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Focus Features and Illumination names.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w:t>
      </w:r>
    </w:p>
    <w:p>
      <w:pPr>
        <w:spacing w:after="0" w:line="1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in effect as of the balance sheet date. The related translation adjustments are recorded as a component of accumulated other comprehensive income (loss). We translate revenue and expenses using average monthly exchange rates, and the related foreign currency transaction gains and losses are included in our consolidated statement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have been made to our consolidated financial statements for the prior years to conform to classifications used in 2013.</w:t>
      </w:r>
    </w:p>
    <w:p>
      <w:pPr>
        <w:spacing w:after="0" w:line="327"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valuation and impairment testing of cable franchise rights (see Note 8)</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 (see Note 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accounting policies are specific to the industries in which we operate:</w:t>
      </w:r>
    </w:p>
    <w:p>
      <w:pPr>
        <w:spacing w:after="0" w:line="117" w:lineRule="exact"/>
        <w:rPr>
          <w:sz w:val="20"/>
          <w:szCs w:val="20"/>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capitalization and amortization of 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installation costs in our Cable Communications segment (see Note 7)</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or methods related to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Communications Segment</w:t>
      </w:r>
    </w:p>
    <w:p>
      <w:pPr>
        <w:jc w:val="both"/>
        <w:spacing w:after="0" w:line="236" w:lineRule="auto"/>
        <w:rPr>
          <w:sz w:val="20"/>
          <w:szCs w:val="20"/>
          <w:color w:val="auto"/>
        </w:rPr>
      </w:pPr>
      <w:r>
        <w:rPr>
          <w:rFonts w:ascii="Arial" w:cs="Arial" w:eastAsia="Arial" w:hAnsi="Arial"/>
          <w:sz w:val="18"/>
          <w:szCs w:val="18"/>
          <w:color w:val="auto"/>
        </w:rPr>
        <w:t>Our Cable Communications segment generates revenue primarily from subscriptions to our video, high-speed Internet and voice services (“cable services”) and from the sale of advertising. We recognize revenue from cable services as each service is provided. Customers are typically billed in advance on a monthly basis. We manage credit risk by screening applicants through the use of internal customer information, identification verification tools and credit bureau data. If a customer’s account is delinquent, various measures are used to collect outstanding amounts, including termination of the customer’s cable services. Since installation revenue obtained from the connection of customers to our cable systems is less than related direct selling costs, we recognize revenue as connections are completed.</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distribution agreements with cable networks, we generally receive an allocation of scheduled advertising time that we sell to local, regional and national advertisers. We recognize advertising revenue when the advertising is aired. In most cases, the available advertising time is sold by our sales force. In some cases, we work with representation firms as an extension of our sales force to sell a portion of the advertising time allocated to us. We also represent the advertising sales efforts of other multichannel video providers in some markets. Since we are acting as the principal in these arrangements, we report the advertising that is sold as revenue and the fees paid to representation firms and multichannel video providers as other operating and administrative expenses.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Revenue earned from other sources is recognized when services are provided or events occur. Under the terms of our cable franchise agreements, we are generally required to pay to the franchising authority an amount based on our gross video revenue. We normally pass these fees through to our cable customers and classify the fees as a component of revenue with the corresponding costs included in other operating and administrative expenses.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86</w:t>
            </w: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69" w:lineRule="auto"/>
        <w:rPr>
          <w:sz w:val="20"/>
          <w:szCs w:val="20"/>
          <w:color w:val="auto"/>
        </w:rPr>
      </w:pPr>
      <w:r>
        <w:rPr>
          <w:rFonts w:ascii="Arial" w:cs="Arial" w:eastAsia="Arial" w:hAnsi="Arial"/>
          <w:sz w:val="16"/>
          <w:szCs w:val="16"/>
          <w:color w:val="auto"/>
        </w:rPr>
        <w:t>Our Cable Networks segment generates revenue primarily from the distribution of our cable network programming to multichannel video providers, the sale of advertising and the licensing of our owned programming. Our Broadcast Television segment generates revenue primarily from the sale of advertising, the licensing of our owned programming and the fees received under retransmission consent agreements.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 the shortfall is settled, primarily by providing additional advertising time. We record revenue from the licensing of our owned programming when the content is available for use by the licensee, and when certain other conditions are met. When license fees include advertising time, we recognize the advertising time component of revenue when the advertisements are aired or viewed.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the licensing of our owned and acquired films to cable, broadcast and premium networks and digital distributors, and the sale of our owned and acquired films on both standard-definition DVDs and Blu-ray discs (together, “DVDs”) and through digital distributors. We also generate revenue from producing and licensing live stage plays and distributing filmed entertainment produced by third parties.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We recognize revenue from advance theme park ticket sales when the tickets are used. For annual passes, we recognize revenue on a straight-line basis over the annual period following the initial redemption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Programming Expenses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Communications programming expenses are the fees we pay to license the programming we distribute to our video customers. Programming is acquired for distribution to our video customers, generally under multiyear distribution agreements, with rates typically based on the number of customers that receive the programming, adjusted for channel positioning and the extent of distribution. From time to time these contracts expire and programming continues to be provided under interim arrangements while the parties negotiate new contractual terms, sometimes with effective dates that affect prior periods. While payments are typically made under the prior contract’s terms, the amount of programming expenses recorded during these interim arrangements is based on our estimates of the ultimate contractual terms expected to be negotiated. Differences between actual amounts determined upon resolution of negotiations and amounts recorded during these interim arrangements are recorded in the period of resolution.</w:t>
      </w:r>
    </w:p>
    <w:p>
      <w:pPr>
        <w:spacing w:after="0" w:line="324"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87</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our Cable Communications segment receives incentives from cable networks for the licensing of their programming, we defer a portion of these incentives, which are included in other current and noncurrent liabilities, and recognize them over the term of the contract as a reduction to programming and production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our cash equivalents approximate their fair value. Our cash equivalents consist primarily of money market funds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less than three months when purchased.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interest rates, foreign exchange rates and equity prices.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derivative financial instruments are recorded on our consolidated balance sheet at fair value. See Note 6 for additional information on the derivative component of our prepaid forward sale agreements. The impact of our other derivative financial instruments on our consolidated financial statements was not material for all periods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cable franchise agreements and lease agreements contain provisions requiring us to restore facilities or remove property in the event that the franchise or lease agreement is not renewed. We expect to continually renew our cable franchise agreements and therefore cannot reasonably estimate any liabilities associated with such agreements. A remote possibility exists that franchise agreements could be terminated unexpectedly, which could result in us incurring significant expense in complying with restoration or removal provisions. The disposal obligations related to our properties are not material to our consolidated financial statements. We do not have any significant liabilities related to asset retirements recorded in our consolidated financial statements.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Computation of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94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Net Income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Attributable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Attributable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line="152" w:lineRule="exact"/>
              <w:rPr>
                <w:sz w:val="20"/>
                <w:szCs w:val="20"/>
                <w:color w:val="auto"/>
              </w:rPr>
            </w:pPr>
            <w:r>
              <w:rPr>
                <w:rFonts w:ascii="Arial" w:cs="Arial" w:eastAsia="Arial" w:hAnsi="Arial"/>
                <w:sz w:val="14"/>
                <w:szCs w:val="14"/>
                <w:color w:val="auto"/>
              </w:rPr>
              <w:t>Year ended December 31</w:t>
            </w:r>
          </w:p>
        </w:tc>
        <w:tc>
          <w:tcPr>
            <w:tcW w:w="94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rPr>
              <w:t>to Comcast</w:t>
            </w:r>
          </w:p>
        </w:tc>
        <w:tc>
          <w:tcPr>
            <w:tcW w:w="620" w:type="dxa"/>
            <w:vAlign w:val="bottom"/>
          </w:tcPr>
          <w:p>
            <w:pPr>
              <w:spacing w:after="0"/>
              <w:rPr>
                <w:sz w:val="13"/>
                <w:szCs w:val="13"/>
                <w:color w:val="auto"/>
              </w:rPr>
            </w:pPr>
          </w:p>
        </w:tc>
        <w:tc>
          <w:tcPr>
            <w:tcW w:w="76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rPr>
              <w:t>Per Share</w:t>
            </w:r>
          </w:p>
        </w:tc>
        <w:tc>
          <w:tcPr>
            <w:tcW w:w="88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3"/>
                <w:szCs w:val="13"/>
                <w:color w:val="auto"/>
              </w:rPr>
            </w:pPr>
          </w:p>
        </w:tc>
        <w:tc>
          <w:tcPr>
            <w:tcW w:w="7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Per Share</w:t>
            </w:r>
          </w:p>
        </w:tc>
        <w:tc>
          <w:tcPr>
            <w:tcW w:w="86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to Comcast</w:t>
            </w:r>
          </w:p>
        </w:tc>
        <w:tc>
          <w:tcPr>
            <w:tcW w:w="620" w:type="dxa"/>
            <w:vAlign w:val="bottom"/>
          </w:tcPr>
          <w:p>
            <w:pPr>
              <w:spacing w:after="0"/>
              <w:rPr>
                <w:sz w:val="13"/>
                <w:szCs w:val="13"/>
                <w:color w:val="auto"/>
              </w:rPr>
            </w:pPr>
          </w:p>
        </w:tc>
        <w:tc>
          <w:tcPr>
            <w:tcW w:w="74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76"/>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Corporation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99"/>
        </w:trPr>
        <w:tc>
          <w:tcPr>
            <w:tcW w:w="4620" w:type="dxa"/>
            <w:vAlign w:val="bottom"/>
          </w:tcPr>
          <w:p>
            <w:pPr>
              <w:spacing w:after="0" w:line="200" w:lineRule="exact"/>
              <w:rPr>
                <w:sz w:val="20"/>
                <w:szCs w:val="20"/>
                <w:color w:val="auto"/>
              </w:rPr>
            </w:pPr>
            <w:r>
              <w:rPr>
                <w:rFonts w:ascii="Arial" w:cs="Arial" w:eastAsia="Arial" w:hAnsi="Arial"/>
                <w:sz w:val="18"/>
                <w:szCs w:val="18"/>
                <w:color w:val="auto"/>
              </w:rPr>
              <w:t>Basic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6,816</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2,625</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2.60</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Arial" w:cs="Arial" w:eastAsia="Arial" w:hAnsi="Arial"/>
                <w:sz w:val="18"/>
                <w:szCs w:val="18"/>
                <w:color w:val="auto"/>
              </w:rPr>
              <w:t>shareholders</w:t>
            </w:r>
          </w:p>
        </w:tc>
        <w:tc>
          <w:tcPr>
            <w:tcW w:w="3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6,203</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2,678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40" w:type="dxa"/>
            <w:vAlign w:val="bottom"/>
          </w:tcPr>
          <w:p>
            <w:pPr>
              <w:jc w:val="right"/>
              <w:ind w:right="6"/>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4,160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2,746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Assumed exercise or issuance of shares relating to stock</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plans</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Pr>
          <w:p>
            <w:pPr>
              <w:spacing w:after="0" w:line="200" w:lineRule="exact"/>
              <w:rPr>
                <w:sz w:val="20"/>
                <w:szCs w:val="20"/>
                <w:color w:val="auto"/>
              </w:rPr>
            </w:pPr>
            <w:r>
              <w:rPr>
                <w:rFonts w:ascii="Arial" w:cs="Arial" w:eastAsia="Arial" w:hAnsi="Arial"/>
                <w:sz w:val="18"/>
                <w:szCs w:val="18"/>
                <w:color w:val="auto"/>
              </w:rPr>
              <w:t>Diluted EPS attributable to Comcast Corporation</w:t>
            </w:r>
          </w:p>
        </w:tc>
        <w:tc>
          <w:tcPr>
            <w:tcW w:w="300" w:type="dxa"/>
            <w:vAlign w:val="bottom"/>
            <w:vMerge w:val="restart"/>
          </w:tcPr>
          <w:p>
            <w:pPr>
              <w:jc w:val="right"/>
              <w:ind w:right="46"/>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6,816</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2,665</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Borders>
              <w:bottom w:val="single" w:sz="8" w:color="0C6DFF"/>
            </w:tcBorders>
          </w:tcPr>
          <w:p>
            <w:pPr>
              <w:ind w:left="220"/>
              <w:spacing w:after="0" w:line="200" w:lineRule="exact"/>
              <w:rPr>
                <w:sz w:val="20"/>
                <w:szCs w:val="20"/>
                <w:color w:val="auto"/>
              </w:rPr>
            </w:pPr>
            <w:r>
              <w:rPr>
                <w:rFonts w:ascii="Arial" w:cs="Arial" w:eastAsia="Arial" w:hAnsi="Arial"/>
                <w:sz w:val="18"/>
                <w:szCs w:val="18"/>
                <w:color w:val="auto"/>
              </w:rPr>
              <w:t>shareholders</w:t>
            </w:r>
          </w:p>
        </w:tc>
        <w:tc>
          <w:tcPr>
            <w:tcW w:w="300" w:type="dxa"/>
            <w:vAlign w:val="bottom"/>
            <w:tcBorders>
              <w:bottom w:val="single" w:sz="8" w:color="0C6DFF"/>
            </w:tcBorders>
            <w:vMerge w:val="continue"/>
          </w:tcPr>
          <w:p>
            <w:pPr>
              <w:spacing w:after="0"/>
              <w:rPr>
                <w:sz w:val="17"/>
                <w:szCs w:val="17"/>
                <w:color w:val="auto"/>
              </w:rPr>
            </w:pPr>
          </w:p>
        </w:tc>
        <w:tc>
          <w:tcPr>
            <w:tcW w:w="640" w:type="dxa"/>
            <w:vAlign w:val="bottom"/>
            <w:tcBorders>
              <w:bottom w:val="single" w:sz="8" w:color="0C6DFF"/>
            </w:tcBorders>
            <w:vMerge w:val="continue"/>
          </w:tcPr>
          <w:p>
            <w:pPr>
              <w:spacing w:after="0"/>
              <w:rPr>
                <w:sz w:val="17"/>
                <w:szCs w:val="17"/>
                <w:color w:val="auto"/>
              </w:rPr>
            </w:pPr>
          </w:p>
        </w:tc>
        <w:tc>
          <w:tcPr>
            <w:tcW w:w="620" w:type="dxa"/>
            <w:vAlign w:val="bottom"/>
            <w:tcBorders>
              <w:bottom w:val="single" w:sz="8" w:color="0C6DFF"/>
            </w:tcBorders>
            <w:vMerge w:val="continue"/>
          </w:tcPr>
          <w:p>
            <w:pPr>
              <w:spacing w:after="0"/>
              <w:rPr>
                <w:sz w:val="17"/>
                <w:szCs w:val="17"/>
                <w:color w:val="auto"/>
              </w:rPr>
            </w:pPr>
          </w:p>
        </w:tc>
        <w:tc>
          <w:tcPr>
            <w:tcW w:w="180" w:type="dxa"/>
            <w:vAlign w:val="bottom"/>
            <w:tcBorders>
              <w:bottom w:val="single" w:sz="8" w:color="0C6DFF"/>
            </w:tcBorders>
            <w:vMerge w:val="continue"/>
          </w:tcPr>
          <w:p>
            <w:pPr>
              <w:spacing w:after="0"/>
              <w:rPr>
                <w:sz w:val="17"/>
                <w:szCs w:val="17"/>
                <w:color w:val="auto"/>
              </w:rPr>
            </w:pPr>
          </w:p>
        </w:tc>
        <w:tc>
          <w:tcPr>
            <w:tcW w:w="580" w:type="dxa"/>
            <w:vAlign w:val="bottom"/>
            <w:tcBorders>
              <w:bottom w:val="single" w:sz="8" w:color="0C6DFF"/>
            </w:tcBorders>
            <w:vMerge w:val="continue"/>
          </w:tcPr>
          <w:p>
            <w:pPr>
              <w:spacing w:after="0"/>
              <w:rPr>
                <w:sz w:val="17"/>
                <w:szCs w:val="17"/>
                <w:color w:val="auto"/>
              </w:rPr>
            </w:pPr>
          </w:p>
        </w:tc>
        <w:tc>
          <w:tcPr>
            <w:tcW w:w="260" w:type="dxa"/>
            <w:vAlign w:val="bottom"/>
            <w:tcBorders>
              <w:bottom w:val="single" w:sz="8" w:color="0C6DFF"/>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6,203</w:t>
            </w:r>
          </w:p>
        </w:tc>
        <w:tc>
          <w:tcPr>
            <w:tcW w:w="62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2,717</w:t>
            </w:r>
          </w:p>
        </w:tc>
        <w:tc>
          <w:tcPr>
            <w:tcW w:w="18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2.28</w:t>
            </w:r>
          </w:p>
        </w:tc>
        <w:tc>
          <w:tcPr>
            <w:tcW w:w="240" w:type="dxa"/>
            <w:vAlign w:val="bottom"/>
            <w:tcBorders>
              <w:bottom w:val="single" w:sz="8" w:color="0C6DFF"/>
            </w:tcBorders>
          </w:tcPr>
          <w:p>
            <w:pPr>
              <w:jc w:val="right"/>
              <w:ind w:right="6"/>
              <w:spacing w:after="0" w:line="200"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4,160</w:t>
            </w:r>
          </w:p>
        </w:tc>
        <w:tc>
          <w:tcPr>
            <w:tcW w:w="62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2,778</w:t>
            </w:r>
          </w:p>
        </w:tc>
        <w:tc>
          <w:tcPr>
            <w:tcW w:w="20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0C6DFF"/>
            </w:tcBorders>
          </w:tcPr>
          <w:p>
            <w:pPr>
              <w:jc w:val="right"/>
              <w:spacing w:after="0" w:line="200"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potentially dilutive securities include potential common shares related to our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related to our stock options in periods in which the combination of the option exercise price and the associated unrecognized compensation expense is greater than the average market price of our Class A common stock or our Class A Special common stock, as applicable.</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Diluted EPS for 2011 excluded 45 million of potential common shares related to our share-based compensation plans, because the inclusion of the potential common shares would have had an antidilutive effect. These amounts were not material for 2013 and 2012.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0C6DFF"/>
        </w:rPr>
        <w:t>Redemption Transaction</w:t>
      </w:r>
    </w:p>
    <w:p>
      <w:pPr>
        <w:jc w:val="both"/>
        <w:spacing w:after="0" w:line="238" w:lineRule="auto"/>
        <w:rPr>
          <w:sz w:val="20"/>
          <w:szCs w:val="20"/>
          <w:color w:val="auto"/>
        </w:rPr>
      </w:pPr>
      <w:r>
        <w:rPr>
          <w:rFonts w:ascii="Arial" w:cs="Arial" w:eastAsia="Arial" w:hAnsi="Arial"/>
          <w:sz w:val="18"/>
          <w:szCs w:val="18"/>
          <w:color w:val="auto"/>
        </w:rPr>
        <w:t>On March 19, 2013, we acquired GE’s remaining 49% common equity interest in NBCUniversal, LLC (“NBCUniversal Holdings”) for approximately $16.7 billion (the “Redemption Transaction”). In addition to this transaction, NBCUniversal purchased from GE certain properties NBCUniversal occupies at 30 Rockefeller Plaza in New York City and CNBC’s headquarters in Englewood Cliffs, New Jersey for $1.4 billion.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total consideration for these transactions consisted of $11.4 billion of cash on hand; $4 billion of senior debt securities issued by NBCUniversal Enterprise, Inc. (“NBCUniversal Enterprise”), a holding company that we control and consolidate following the close of the Redemption Transaction whose principal assets are its interests in NBCUniversal Holdings; $750 million of cash funded through our commercial paper program; $1.25 billion of borrowings under NBCUniversal Enterprise’s credit facility, which replaced NBCUniversal’s credit facility; and $725 million aggregate liquidation preference of Series A cumulative preferred stock of NBCUniversal Enterprise. See Note 9 for additional information on NBCUniversal Enterprise’s senior debt securities and credit facility and Note 21 for additional information on our cross-guarantee structure.</w:t>
      </w:r>
    </w:p>
    <w:p>
      <w:pPr>
        <w:spacing w:after="0" w:line="30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NBCUniversal Enterprise preferred stock is now held by unaffiliated third parties and pays dividends at a fixed rate of 5.25% per annum. The holders have the right to cause NBCUniversal Enterprise to redeem their shares at a price equal to the liquidation preference plus accrued but unpaid dividends for a 30 day period beginning on March 19, 2020 and thereafter on every third anniversary of such date (each such date, a “put date”). Shares of preferred stock can be called for redemption by NBCUniversal Enterprise at a price equal to the liquidation preference plus accrued but unpaid dividends one year following each put date applicable to such shares. Because certain of these redemption provisions are outside of our control, the NBCUniversal Enterprise preferred stock is presented outside of equity under the caption “redeemable noncontrolling interests and redeemable subsidiary preferred stock” in our consolidated balance sheet. Its initial value was based on the liquidation preference of the preferred stock and is adjusted for accrued but unpaid dividends. As of December 31, 2013, the fair value of the redeemable subsidiary preferred stock was $741 million. The estimated fair value was based on Level 2 inputs using pricing models whose inputs are derived primarily from or corroborated by observable market data through correlation or other means for substantially the full term of the financial instrument.</w:t>
      </w: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recognized an increase to our deferred tax liabilities of $1.6 billion primarily due to an increase in our financial reporting basis in the consolidated net assets of NBCUniversal Holdings in excess of the tax basis following the Redemption Transaction. In addition, our consolidated balance sheet now includes certain tax liabilities of NBCUniversal Enterprise related to periods prior to our acquisition of the common stock of NBCUniversal Enterprise for which we have been indemnified by GE and have recorded a related indemnification asset. We also expect to realize additional tax benefits in the future as a result of the Redemption Transaction, which are expected to increase the amounts we have agreed to share with GE. Our expected future payments to GE are accounted for as contingent consideration. See Note 10 for additional information on the fair value of this contingent consideration as of December 31, 2013.</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we maintained control of NBCUniversal Holdings, the difference between the consideration transferred and the recorded value of GE’s 49% redeemable noncontrolling common equity interest, and the related tax impacts, were recorded to additional paid-in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 Transaction</w:t>
      </w:r>
    </w:p>
    <w:p>
      <w:pPr>
        <w:jc w:val="both"/>
        <w:spacing w:after="0" w:line="236" w:lineRule="auto"/>
        <w:rPr>
          <w:sz w:val="20"/>
          <w:szCs w:val="20"/>
          <w:color w:val="auto"/>
        </w:rPr>
      </w:pPr>
      <w:r>
        <w:rPr>
          <w:rFonts w:ascii="Arial" w:cs="Arial" w:eastAsia="Arial" w:hAnsi="Arial"/>
          <w:sz w:val="18"/>
          <w:szCs w:val="18"/>
          <w:color w:val="auto"/>
        </w:rPr>
        <w:t>On January 28, 2011, we closed our transaction with GE in which we acquired a 51% controlling interest in NBCUniversal Holdings. As part of the NBCUniversal transaction, GE contributed the businesses of NBCUniversal, which is a wholly owned subsidiary of NBCUniversal Holdings. We contributed our national cable networks, our regional sports and news networks, certain of our Internet businesses and other related assets (the “Comcast Content Business”). In addition to contributing the Comcast Content Business, we also made a cash payment to GE of $6.2 billion, which included transaction-related costs.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2011, we recorded $10.9 billion of goodwill in our allocation of purchase price for the NBCUniversal transaction, which was allocated to our Cable Networks and Broadcast Television segments. Due to the partnership structure of NBCUniversal Holdings, goodwill related to the NBCUniversal transaction is not deductible for tax purposes. In addition, we also recorded $576 million of deferred tax liabilities in connection with the NBCUniversal transaction, as well as an additional $35 million of net deferred income tax liabilities in the allocation of purchase price. See Note 15 for additional information on the partnership structure of NBCUniversal Holdings and NBCUniversal and other related income tax matters.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we maintained control of the Comcast Content Business, the excess of the fair value received over the historical book value and the related tax impact were recorded to additional paid-in capital.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agreed to share with GE certain tax benefits as they are realized that relate to the form and structure of the transaction. These payments to GE are contingent on us realizing tax benefits in the future and are accounted for as contingent consideration. See Note 10 for additional information on our contingent consideration liability.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Universal Orlando Transaction</w:t>
      </w:r>
    </w:p>
    <w:p>
      <w:pPr>
        <w:jc w:val="both"/>
        <w:spacing w:after="0" w:line="237" w:lineRule="auto"/>
        <w:rPr>
          <w:sz w:val="20"/>
          <w:szCs w:val="20"/>
          <w:color w:val="auto"/>
        </w:rPr>
      </w:pPr>
      <w:r>
        <w:rPr>
          <w:rFonts w:ascii="Arial" w:cs="Arial" w:eastAsia="Arial" w:hAnsi="Arial"/>
          <w:sz w:val="18"/>
          <w:szCs w:val="18"/>
          <w:color w:val="auto"/>
        </w:rPr>
        <w:t>On July 1, 2011, NBCUniversal acquired the remaining 50% equity interest in Universal Orlando that it did not already own for $1 billion. Following the close of the transaction, Universal Orlando is a wholly owned consolidated subsidiary of NBCUniversal, and its operations are reported in our Theme Parks segment. We recorded $982 million of goodwill in our allocation of purchase price for this transaction, which was fully allocated to our Theme Parks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9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664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39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$ 1,630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8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$ 1,472</w:t>
            </w:r>
          </w:p>
        </w:tc>
        <w:tc>
          <w:tcPr>
            <w:tcW w:w="0" w:type="dxa"/>
            <w:vAlign w:val="bottom"/>
          </w:tcPr>
          <w:p>
            <w:pPr>
              <w:spacing w:after="0"/>
              <w:rPr>
                <w:sz w:val="1"/>
                <w:szCs w:val="1"/>
                <w:color w:val="auto"/>
              </w:rPr>
            </w:pPr>
          </w:p>
        </w:tc>
      </w:tr>
      <w:tr>
        <w:trPr>
          <w:trHeight w:val="203"/>
        </w:trPr>
        <w:tc>
          <w:tcPr>
            <w:tcW w:w="664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3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70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1"/>
        </w:trPr>
        <w:tc>
          <w:tcPr>
            <w:tcW w:w="6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658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6"/>
        </w:trPr>
        <w:tc>
          <w:tcPr>
            <w:tcW w:w="664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3980" w:type="dxa"/>
            <w:vAlign w:val="bottom"/>
          </w:tcPr>
          <w:p>
            <w:pPr>
              <w:jc w:val="right"/>
              <w:ind w:right="54"/>
              <w:spacing w:after="0"/>
              <w:rPr>
                <w:sz w:val="20"/>
                <w:szCs w:val="20"/>
                <w:color w:val="auto"/>
              </w:rPr>
            </w:pPr>
            <w:r>
              <w:rPr>
                <w:rFonts w:ascii="Arial" w:cs="Arial" w:eastAsia="Arial" w:hAnsi="Arial"/>
                <w:sz w:val="18"/>
                <w:szCs w:val="18"/>
                <w:b w:val="1"/>
                <w:bCs w:val="1"/>
                <w:color w:val="auto"/>
              </w:rPr>
              <w:t>2,358</w:t>
            </w:r>
          </w:p>
        </w:tc>
        <w:tc>
          <w:tcPr>
            <w:tcW w:w="80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75"/>
        </w:trPr>
        <w:tc>
          <w:tcPr>
            <w:tcW w:w="6640" w:type="dxa"/>
            <w:vAlign w:val="bottom"/>
            <w:vMerge w:val="continue"/>
          </w:tcPr>
          <w:p>
            <w:pPr>
              <w:spacing w:after="0"/>
              <w:rPr>
                <w:sz w:val="15"/>
                <w:szCs w:val="15"/>
                <w:color w:val="auto"/>
              </w:rPr>
            </w:pPr>
          </w:p>
        </w:tc>
        <w:tc>
          <w:tcPr>
            <w:tcW w:w="398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1,155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398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1"/>
        </w:trPr>
        <w:tc>
          <w:tcPr>
            <w:tcW w:w="6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370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77"/>
        </w:trPr>
        <w:tc>
          <w:tcPr>
            <w:tcW w:w="6640" w:type="dxa"/>
            <w:vAlign w:val="bottom"/>
          </w:tcPr>
          <w:p>
            <w:pPr>
              <w:spacing w:after="0"/>
              <w:rPr>
                <w:sz w:val="15"/>
                <w:szCs w:val="15"/>
                <w:color w:val="auto"/>
              </w:rPr>
            </w:pPr>
          </w:p>
        </w:tc>
        <w:tc>
          <w:tcPr>
            <w:tcW w:w="3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1,525</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2,039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177"/>
        </w:trPr>
        <w:tc>
          <w:tcPr>
            <w:tcW w:w="6640" w:type="dxa"/>
            <w:vAlign w:val="bottom"/>
          </w:tcPr>
          <w:p>
            <w:pPr>
              <w:spacing w:after="0"/>
              <w:rPr>
                <w:sz w:val="15"/>
                <w:szCs w:val="15"/>
                <w:color w:val="auto"/>
              </w:rPr>
            </w:pPr>
          </w:p>
        </w:tc>
        <w:tc>
          <w:tcPr>
            <w:tcW w:w="3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5,922</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21"/>
        </w:trPr>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928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Film and television costs</w:t>
            </w:r>
          </w:p>
        </w:tc>
        <w:tc>
          <w:tcPr>
            <w:tcW w:w="3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$ 4,994</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$ 5,054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our estimates of the ratio of the current period’s actual revenue to the estimated total remaining gross revenue from all sources (“ultimate revenue”), as of December 31, 2013, approximately $1.3 billion of film and television costs associated with our original film and television productions that have been released, or completed and not yet released, are expected to be amortized during 2014. Approximately 85% of unamortized film and television costs for our released productions, excluding amounts allocated to acquired libraries, are expected to be amortized through 2016.</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acquired film and television libraries, which are included within the “released, less amortization” captions in the table above, had remaining unamortized costs of $711 million. These costs are generally amortized over a period not to exceed 20 years, and approximately 49% of these costs are expected to be amortized through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individual film forecast computation method, which amortizes such costs in the same ratio as the associated ultimate rev-</w:t>
      </w:r>
    </w:p>
    <w:p>
      <w:pPr>
        <w:spacing w:after="0" w:line="324"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a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arrangements with third parties to jointly finance and distribute certain of our film productions. These arrangements, which are referred to as cofinancing arrangements, can take various forms. In most cases, the arrangement involves the grant of an economic interest in a film to a third-party investor. The number of investors and the terms of these arrangements can vary, although in most cases an investor assumes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a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period’s revenue to the estimated total remaining revenue or under the terms of the contract.</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 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 cash flows are insufficient or if there is no plan to broadcast certain programming, we recognize an impairment charge to programming and production expense.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92</w:t>
            </w: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870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4"/>
              <w:spacing w:after="0" w:line="200" w:lineRule="exact"/>
              <w:rPr>
                <w:sz w:val="20"/>
                <w:szCs w:val="20"/>
                <w:color w:val="auto"/>
              </w:rPr>
            </w:pPr>
            <w:r>
              <w:rPr>
                <w:rFonts w:ascii="Arial" w:cs="Arial" w:eastAsia="Arial" w:hAnsi="Arial"/>
                <w:sz w:val="18"/>
                <w:szCs w:val="18"/>
                <w:b w:val="1"/>
                <w:bCs w:val="1"/>
                <w:color w:val="auto"/>
                <w:w w:val="93"/>
              </w:rPr>
              <w:t>4,345</w:t>
            </w:r>
          </w:p>
        </w:tc>
        <w:tc>
          <w:tcPr>
            <w:tcW w:w="2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0" w:lineRule="exact"/>
              <w:rPr>
                <w:sz w:val="20"/>
                <w:szCs w:val="20"/>
                <w:color w:val="auto"/>
              </w:rPr>
            </w:pPr>
            <w:r>
              <w:rPr>
                <w:rFonts w:ascii="Arial" w:cs="Arial" w:eastAsia="Arial" w:hAnsi="Arial"/>
                <w:sz w:val="18"/>
                <w:szCs w:val="18"/>
                <w:color w:val="auto"/>
                <w:w w:val="93"/>
              </w:rPr>
              <w:t>4,493</w:t>
            </w:r>
          </w:p>
        </w:tc>
        <w:tc>
          <w:tcPr>
            <w:tcW w:w="0" w:type="dxa"/>
            <w:vAlign w:val="bottom"/>
          </w:tcPr>
          <w:p>
            <w:pPr>
              <w:spacing w:after="0"/>
              <w:rPr>
                <w:sz w:val="1"/>
                <w:szCs w:val="1"/>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333</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00" w:type="dxa"/>
            <w:vAlign w:val="bottom"/>
          </w:tcPr>
          <w:p>
            <w:pPr>
              <w:ind w:left="220"/>
              <w:spacing w:after="0" w:line="181" w:lineRule="exact"/>
              <w:rPr>
                <w:sz w:val="20"/>
                <w:szCs w:val="20"/>
                <w:color w:val="auto"/>
              </w:rPr>
            </w:pPr>
            <w:r>
              <w:rPr>
                <w:rFonts w:ascii="Arial" w:cs="Arial" w:eastAsia="Arial" w:hAnsi="Arial"/>
                <w:sz w:val="18"/>
                <w:szCs w:val="18"/>
                <w:color w:val="auto"/>
              </w:rPr>
              <w:t>The Weather Channel</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870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rPr>
              <w:t>187</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469</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6"/>
        </w:trPr>
        <w:tc>
          <w:tcPr>
            <w:tcW w:w="8700" w:type="dxa"/>
            <w:vAlign w:val="bottom"/>
            <w:vMerge w:val="restart"/>
          </w:tcPr>
          <w:p>
            <w:pPr>
              <w:spacing w:after="0"/>
              <w:rPr>
                <w:sz w:val="20"/>
                <w:szCs w:val="20"/>
                <w:color w:val="auto"/>
              </w:rPr>
            </w:pPr>
            <w:r>
              <w:rPr>
                <w:rFonts w:ascii="Arial" w:cs="Arial" w:eastAsia="Arial" w:hAnsi="Arial"/>
                <w:sz w:val="18"/>
                <w:szCs w:val="18"/>
                <w:color w:val="auto"/>
              </w:rPr>
              <w:t>Cost Method:</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Arial" w:cs="Arial" w:eastAsia="Arial" w:hAnsi="Arial"/>
                <w:sz w:val="18"/>
                <w:szCs w:val="18"/>
                <w:b w:val="1"/>
                <w:bCs w:val="1"/>
                <w:color w:val="auto"/>
              </w:rPr>
              <w:t>989</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1,164</w:t>
            </w:r>
          </w:p>
        </w:tc>
        <w:tc>
          <w:tcPr>
            <w:tcW w:w="0" w:type="dxa"/>
            <w:vAlign w:val="bottom"/>
          </w:tcPr>
          <w:p>
            <w:pPr>
              <w:spacing w:after="0"/>
              <w:rPr>
                <w:sz w:val="1"/>
                <w:szCs w:val="1"/>
                <w:color w:val="auto"/>
              </w:rPr>
            </w:pPr>
          </w:p>
        </w:tc>
      </w:tr>
      <w:tr>
        <w:trPr>
          <w:trHeight w:val="175"/>
        </w:trPr>
        <w:tc>
          <w:tcPr>
            <w:tcW w:w="870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w w:val="93"/>
              </w:rPr>
              <w:t>1,553</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700" w:type="dxa"/>
            <w:vAlign w:val="bottom"/>
          </w:tcPr>
          <w:p>
            <w:pPr>
              <w:ind w:left="220"/>
              <w:spacing w:after="0" w:line="181" w:lineRule="exact"/>
              <w:rPr>
                <w:sz w:val="20"/>
                <w:szCs w:val="20"/>
                <w:color w:val="auto"/>
              </w:rPr>
            </w:pPr>
            <w:r>
              <w:rPr>
                <w:rFonts w:ascii="Arial" w:cs="Arial" w:eastAsia="Arial" w:hAnsi="Arial"/>
                <w:sz w:val="18"/>
                <w:szCs w:val="18"/>
                <w:color w:val="auto"/>
              </w:rPr>
              <w:t>AirTouch</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8"/>
                <w:szCs w:val="18"/>
                <w:color w:val="auto"/>
                <w:w w:val="93"/>
              </w:rPr>
              <w:t>1,538</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456</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177"/>
        </w:trPr>
        <w:tc>
          <w:tcPr>
            <w:tcW w:w="8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ind w:right="134"/>
              <w:spacing w:after="0" w:line="177" w:lineRule="exact"/>
              <w:rPr>
                <w:sz w:val="20"/>
                <w:szCs w:val="20"/>
                <w:color w:val="auto"/>
              </w:rPr>
            </w:pPr>
            <w:r>
              <w:rPr>
                <w:rFonts w:ascii="Arial" w:cs="Arial" w:eastAsia="Arial" w:hAnsi="Arial"/>
                <w:sz w:val="18"/>
                <w:szCs w:val="18"/>
                <w:b w:val="1"/>
                <w:bCs w:val="1"/>
                <w:color w:val="auto"/>
                <w:w w:val="93"/>
              </w:rPr>
              <w:t>2,009</w:t>
            </w:r>
          </w:p>
        </w:tc>
        <w:tc>
          <w:tcPr>
            <w:tcW w:w="220" w:type="dxa"/>
            <w:vAlign w:val="bottom"/>
          </w:tcPr>
          <w:p>
            <w:pPr>
              <w:spacing w:after="0"/>
              <w:rPr>
                <w:sz w:val="15"/>
                <w:szCs w:val="15"/>
                <w:color w:val="auto"/>
              </w:rPr>
            </w:pPr>
          </w:p>
        </w:tc>
        <w:tc>
          <w:tcPr>
            <w:tcW w:w="500" w:type="dxa"/>
            <w:vAlign w:val="bottom"/>
          </w:tcPr>
          <w:p>
            <w:pPr>
              <w:jc w:val="right"/>
              <w:spacing w:after="0" w:line="177" w:lineRule="exact"/>
              <w:rPr>
                <w:sz w:val="20"/>
                <w:szCs w:val="20"/>
                <w:color w:val="auto"/>
              </w:rPr>
            </w:pPr>
            <w:r>
              <w:rPr>
                <w:rFonts w:ascii="Arial" w:cs="Arial" w:eastAsia="Arial" w:hAnsi="Arial"/>
                <w:sz w:val="18"/>
                <w:szCs w:val="18"/>
                <w:color w:val="auto"/>
                <w:w w:val="93"/>
              </w:rPr>
              <w:t>2,132</w:t>
            </w:r>
          </w:p>
        </w:tc>
        <w:tc>
          <w:tcPr>
            <w:tcW w:w="0" w:type="dxa"/>
            <w:vAlign w:val="bottom"/>
          </w:tcPr>
          <w:p>
            <w:pPr>
              <w:spacing w:after="0"/>
              <w:rPr>
                <w:sz w:val="1"/>
                <w:szCs w:val="1"/>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Total investments</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4"/>
              <w:spacing w:after="0" w:line="202" w:lineRule="exact"/>
              <w:rPr>
                <w:sz w:val="20"/>
                <w:szCs w:val="20"/>
                <w:color w:val="auto"/>
              </w:rPr>
            </w:pPr>
            <w:r>
              <w:rPr>
                <w:rFonts w:ascii="Arial" w:cs="Arial" w:eastAsia="Arial" w:hAnsi="Arial"/>
                <w:sz w:val="18"/>
                <w:szCs w:val="18"/>
                <w:b w:val="1"/>
                <w:bCs w:val="1"/>
                <w:color w:val="auto"/>
                <w:w w:val="93"/>
              </w:rPr>
              <w:t>7,343</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3"/>
              </w:rPr>
              <w:t>7,789</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3"/>
              </w:rPr>
              <w:t>3,573</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1,464</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Noncurrent investments</w:t>
            </w:r>
          </w:p>
        </w:tc>
        <w:tc>
          <w:tcPr>
            <w:tcW w:w="480" w:type="dxa"/>
            <w:vAlign w:val="bottom"/>
            <w:tcBorders>
              <w:bottom w:val="single" w:sz="8" w:color="0C6DFF"/>
            </w:tcBorders>
          </w:tcPr>
          <w:p>
            <w:pPr>
              <w:spacing w:after="0"/>
              <w:rPr>
                <w:sz w:val="17"/>
                <w:szCs w:val="17"/>
                <w:color w:val="auto"/>
              </w:rPr>
            </w:pPr>
          </w:p>
        </w:tc>
        <w:tc>
          <w:tcPr>
            <w:tcW w:w="640" w:type="dxa"/>
            <w:vAlign w:val="bottom"/>
            <w:tcBorders>
              <w:bottom w:val="single" w:sz="8" w:color="0C6DFF"/>
            </w:tcBorders>
          </w:tcPr>
          <w:p>
            <w:pPr>
              <w:spacing w:after="0"/>
              <w:rPr>
                <w:sz w:val="17"/>
                <w:szCs w:val="17"/>
                <w:color w:val="auto"/>
              </w:rPr>
            </w:pP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4"/>
              <w:spacing w:after="0" w:line="196" w:lineRule="exact"/>
              <w:rPr>
                <w:sz w:val="20"/>
                <w:szCs w:val="20"/>
                <w:color w:val="auto"/>
              </w:rPr>
            </w:pPr>
            <w:r>
              <w:rPr>
                <w:rFonts w:ascii="Arial" w:cs="Arial" w:eastAsia="Arial" w:hAnsi="Arial"/>
                <w:sz w:val="18"/>
                <w:szCs w:val="18"/>
                <w:b w:val="1"/>
                <w:bCs w:val="1"/>
                <w:color w:val="auto"/>
                <w:w w:val="93"/>
              </w:rPr>
              <w:t>3,770</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3"/>
              </w:rPr>
              <w:t>6,325</w:t>
            </w:r>
          </w:p>
        </w:tc>
        <w:tc>
          <w:tcPr>
            <w:tcW w:w="0" w:type="dxa"/>
            <w:vAlign w:val="bottom"/>
          </w:tcPr>
          <w:p>
            <w:pPr>
              <w:spacing w:after="0"/>
              <w:rPr>
                <w:sz w:val="1"/>
                <w:szCs w:val="1"/>
                <w:color w:val="auto"/>
              </w:rPr>
            </w:pPr>
          </w:p>
        </w:tc>
      </w:tr>
      <w:tr>
        <w:trPr>
          <w:trHeight w:val="370"/>
        </w:trPr>
        <w:tc>
          <w:tcPr>
            <w:tcW w:w="8700" w:type="dxa"/>
            <w:vAlign w:val="bottom"/>
          </w:tcPr>
          <w:p>
            <w:pPr>
              <w:spacing w:after="0"/>
              <w:rPr>
                <w:sz w:val="20"/>
                <w:szCs w:val="20"/>
                <w:color w:val="auto"/>
              </w:rPr>
            </w:pPr>
            <w:r>
              <w:rPr>
                <w:rFonts w:ascii="Arial" w:cs="Arial" w:eastAsia="Arial" w:hAnsi="Arial"/>
                <w:sz w:val="18"/>
                <w:szCs w:val="18"/>
                <w:color w:val="0C6DFF"/>
              </w:rPr>
              <w:t>Investment Income (Loss), Net</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87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7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4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8700" w:type="dxa"/>
            <w:vAlign w:val="bottom"/>
          </w:tcPr>
          <w:p>
            <w:pPr>
              <w:spacing w:after="0" w:line="177" w:lineRule="exact"/>
              <w:rPr>
                <w:sz w:val="20"/>
                <w:szCs w:val="20"/>
                <w:color w:val="auto"/>
              </w:rPr>
            </w:pPr>
            <w:r>
              <w:rPr>
                <w:rFonts w:ascii="Arial" w:cs="Arial" w:eastAsia="Arial" w:hAnsi="Arial"/>
                <w:sz w:val="18"/>
                <w:szCs w:val="18"/>
                <w:color w:val="auto"/>
              </w:rPr>
              <w:t>Gains on sales and exchanges of investments, net</w:t>
            </w:r>
          </w:p>
        </w:tc>
        <w:tc>
          <w:tcPr>
            <w:tcW w:w="4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5"/>
              <w:spacing w:after="0" w:line="177" w:lineRule="exact"/>
              <w:rPr>
                <w:sz w:val="20"/>
                <w:szCs w:val="20"/>
                <w:color w:val="auto"/>
              </w:rPr>
            </w:pPr>
            <w:r>
              <w:rPr>
                <w:rFonts w:ascii="Arial" w:cs="Arial" w:eastAsia="Arial" w:hAnsi="Arial"/>
                <w:sz w:val="18"/>
                <w:szCs w:val="18"/>
                <w:b w:val="1"/>
                <w:bCs w:val="1"/>
                <w:color w:val="auto"/>
              </w:rPr>
              <w:t>484</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30</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Investment impairment losses</w:t>
            </w:r>
          </w:p>
        </w:tc>
        <w:tc>
          <w:tcPr>
            <w:tcW w:w="4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8700" w:type="dxa"/>
            <w:vAlign w:val="bottom"/>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480" w:type="dxa"/>
            <w:vAlign w:val="bottom"/>
          </w:tcPr>
          <w:p>
            <w:pPr>
              <w:spacing w:after="0"/>
              <w:rPr>
                <w:sz w:val="19"/>
                <w:szCs w:val="19"/>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b w:val="1"/>
                <w:bCs w:val="1"/>
                <w:color w:val="auto"/>
              </w:rPr>
              <w:t>1,601</w:t>
            </w:r>
          </w:p>
        </w:tc>
        <w:tc>
          <w:tcPr>
            <w:tcW w:w="22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Mark to market adjustments on derivative component of prepaid forward sale agreements and indexed debt</w:t>
            </w:r>
          </w:p>
        </w:tc>
        <w:tc>
          <w:tcPr>
            <w:tcW w:w="4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(1,604)</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00" w:type="dxa"/>
            <w:vAlign w:val="bottom"/>
          </w:tcPr>
          <w:p>
            <w:pPr>
              <w:ind w:left="220"/>
              <w:spacing w:after="0" w:line="181" w:lineRule="exact"/>
              <w:rPr>
                <w:sz w:val="20"/>
                <w:szCs w:val="20"/>
                <w:color w:val="auto"/>
              </w:rPr>
            </w:pPr>
            <w:r>
              <w:rPr>
                <w:rFonts w:ascii="Arial" w:cs="Arial" w:eastAsia="Arial" w:hAnsi="Arial"/>
                <w:sz w:val="18"/>
                <w:szCs w:val="18"/>
                <w:color w:val="auto"/>
              </w:rPr>
              <w:t>instruments</w:t>
            </w:r>
          </w:p>
        </w:tc>
        <w:tc>
          <w:tcPr>
            <w:tcW w:w="4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Arial" w:cs="Arial" w:eastAsia="Arial" w:hAnsi="Arial"/>
                <w:sz w:val="18"/>
                <w:szCs w:val="18"/>
                <w:color w:val="auto"/>
              </w:rPr>
              <w:t>(1,071)</w:t>
            </w:r>
          </w:p>
        </w:tc>
        <w:tc>
          <w:tcPr>
            <w:tcW w:w="22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8700" w:type="dxa"/>
            <w:vAlign w:val="bottom"/>
          </w:tcPr>
          <w:p>
            <w:pPr>
              <w:spacing w:after="0" w:line="202" w:lineRule="exact"/>
              <w:rPr>
                <w:sz w:val="20"/>
                <w:szCs w:val="20"/>
                <w:color w:val="auto"/>
              </w:rPr>
            </w:pPr>
            <w:r>
              <w:rPr>
                <w:rFonts w:ascii="Arial" w:cs="Arial" w:eastAsia="Arial" w:hAnsi="Arial"/>
                <w:sz w:val="18"/>
                <w:szCs w:val="18"/>
                <w:color w:val="auto"/>
              </w:rPr>
              <w:t>Interest and dividend income</w:t>
            </w:r>
          </w:p>
        </w:tc>
        <w:tc>
          <w:tcPr>
            <w:tcW w:w="480" w:type="dxa"/>
            <w:vAlign w:val="bottom"/>
          </w:tcPr>
          <w:p>
            <w:pPr>
              <w:spacing w:after="0"/>
              <w:rPr>
                <w:sz w:val="17"/>
                <w:szCs w:val="17"/>
                <w:color w:val="auto"/>
              </w:rPr>
            </w:pPr>
          </w:p>
        </w:tc>
        <w:tc>
          <w:tcPr>
            <w:tcW w:w="64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111</w:t>
            </w:r>
          </w:p>
        </w:tc>
        <w:tc>
          <w:tcPr>
            <w:tcW w:w="22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119</w:t>
            </w:r>
          </w:p>
        </w:tc>
        <w:tc>
          <w:tcPr>
            <w:tcW w:w="220" w:type="dxa"/>
            <w:vAlign w:val="bottom"/>
          </w:tcPr>
          <w:p>
            <w:pPr>
              <w:spacing w:after="0"/>
              <w:rPr>
                <w:sz w:val="17"/>
                <w:szCs w:val="17"/>
                <w:color w:val="auto"/>
              </w:rPr>
            </w:pPr>
          </w:p>
        </w:tc>
        <w:tc>
          <w:tcPr>
            <w:tcW w:w="5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Investment income (loss), net</w:t>
            </w:r>
          </w:p>
        </w:tc>
        <w:tc>
          <w:tcPr>
            <w:tcW w:w="4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b w:val="1"/>
                <w:bCs w:val="1"/>
                <w:color w:val="auto"/>
              </w:rPr>
              <w:t>576</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color w:val="auto"/>
              </w:rPr>
              <w:t>219</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classify publicly traded investments that are not accounted for under the equity method as available-for-sale (“AFS”) or trading securities and record them at fair value. For AFS securities, we record unrealized gains or losses resulting from changes in fair value between measurement dates as a component of other comprehensive income (loss), except when we consider declines in value to be other than temporary. For trading securities, we record unrealized gains or losses resulting from changes in fair value between measurement dates as a component of investment income (loss), net. We recognize realized gains and losses associated with our fair value method investments using the specific identification method. We classify the cash flows related to purchases of and proceeds from the sale of trading securities based on the nature of the securities and the purpose for which they were acquired.</w:t>
      </w:r>
    </w:p>
    <w:p>
      <w:pPr>
        <w:spacing w:after="0" w:line="325"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93</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2013 and 2012, the majority of our fair value method investments were equity securities that we account for as trading securities and were held as collateral related to our obligations under prepaid forward sale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Prepaid Forward Sale Agreements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7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w w:val="97"/>
              </w:rPr>
              <w:t>3,959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Fair value equity securities held as collateral</w:t>
            </w:r>
          </w:p>
        </w:tc>
        <w:tc>
          <w:tcPr>
            <w:tcW w:w="27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$ 4,143</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color w:val="auto"/>
              </w:rPr>
              <w:t>Liabilities:</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56"/>
              <w:spacing w:after="0"/>
              <w:rPr>
                <w:sz w:val="20"/>
                <w:szCs w:val="20"/>
                <w:color w:val="auto"/>
              </w:rPr>
            </w:pPr>
            <w:r>
              <w:rPr>
                <w:rFonts w:ascii="Arial" w:cs="Arial" w:eastAsia="Arial" w:hAnsi="Arial"/>
                <w:sz w:val="18"/>
                <w:szCs w:val="18"/>
                <w:b w:val="1"/>
                <w:bCs w:val="1"/>
                <w:color w:val="auto"/>
              </w:rPr>
              <w:t>811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Obligations under prepaid forward sale agreements</w:t>
            </w:r>
          </w:p>
        </w:tc>
        <w:tc>
          <w:tcPr>
            <w:tcW w:w="27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$ 1,248</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Derivative component of prepaid forward sale agreements</w:t>
            </w:r>
          </w:p>
        </w:tc>
        <w:tc>
          <w:tcPr>
            <w:tcW w:w="2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7"/>
              </w:rPr>
              <w:t>2,800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2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w w:val="97"/>
              </w:rPr>
              <w:t>3,611</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$ 3,550</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2013, we purchased a total of $657 million of equity securities classified as trading securities and held them as collateral under our prepaid forward sale agreements. We also settled obligations under certain of our prepaid forward sale agreements totaling $1.6 billion with a combination of cash on hand and $1.4 billion of equity securities. The majority of our remaining obligations related to these investments mature in 2014. At maturity, the counterparties are entitled to receive some or all of the equity securities, or an equivalent amount of cash at our option, based on the market value of the equity securities at that time. As of both December 31, 2013 and 2012, our prepaid forward sale obligations had an estimated fair value of $3.6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derivative component of the prepaid forward sale agreements are equity derivative financial instruments embedded in the related contracts, which we use to manage our exposure to and benefits from price fluctuations in the common stock of the related investments. For these derivative financial instruments, we separate the derivative component from the host contract and record the change in its value each period to investment income (loss),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Liberty Media</w:t>
      </w:r>
    </w:p>
    <w:p>
      <w:pPr>
        <w:jc w:val="both"/>
        <w:spacing w:after="0" w:line="236" w:lineRule="auto"/>
        <w:rPr>
          <w:sz w:val="20"/>
          <w:szCs w:val="20"/>
          <w:color w:val="auto"/>
        </w:rPr>
      </w:pPr>
      <w:r>
        <w:rPr>
          <w:rFonts w:ascii="Arial" w:cs="Arial" w:eastAsia="Arial" w:hAnsi="Arial"/>
          <w:sz w:val="18"/>
          <w:szCs w:val="18"/>
          <w:color w:val="auto"/>
        </w:rPr>
        <w:t>In October 2013, Liberty Media Corporation (“Liberty Media”) redeemed 6.3 million shares of Liberty Media Series A common stock (“Liberty stock”) that had been held by us as collateral as of December 31, 2012 under certain of our prepaid forward sale agreements in exchange for all of the equity of a subsidiary of Liberty Media. The fair value of the Liberty stock at the date of the close of the transaction was $937 million. The assets of the subsidiary of Liberty Media included cash of $417 million, Liberty Media’s interests in one of NBCUniversal’s contractual obligations and a wholly owned operating subsidiary, Leisure Arts, Inc. Following the close of this transaction, we now consolidate the subsidiary transferred to us, and the liability associated with NBCUniversal’s contractual obligation is eliminated in consolidation.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Clearwire LLC</w:t>
      </w:r>
    </w:p>
    <w:p>
      <w:pPr>
        <w:jc w:val="both"/>
        <w:spacing w:after="0" w:line="237" w:lineRule="auto"/>
        <w:rPr>
          <w:sz w:val="20"/>
          <w:szCs w:val="20"/>
          <w:color w:val="auto"/>
        </w:rPr>
      </w:pPr>
      <w:r>
        <w:rPr>
          <w:rFonts w:ascii="Arial" w:cs="Arial" w:eastAsia="Arial" w:hAnsi="Arial"/>
          <w:sz w:val="18"/>
          <w:szCs w:val="18"/>
          <w:color w:val="auto"/>
        </w:rPr>
        <w:t>In July 2013, in connection with Sprint Communications, Inc.’s (“Sprint”) acquisition of Clearwire Corporation (“Clearwire”), Sprint acquired our investment of 89 million Class A shares of Clearwire for $443 million. As a result, we recognized a pretax gain of $443 million in our consolidated statement of income, which represented the recognition of cumulative unrealized gains previously recorded in accumulated other comprehensive income (loss).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94</w:t>
            </w: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where we hold significant partnership or LLC interests.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w:t>
      </w:r>
    </w:p>
    <w:p>
      <w:pPr>
        <w:spacing w:after="0" w:line="1" w:lineRule="exact"/>
        <w:rPr>
          <w:sz w:val="20"/>
          <w:szCs w:val="20"/>
          <w:color w:val="auto"/>
        </w:rPr>
      </w:pPr>
    </w:p>
    <w:p>
      <w:pPr>
        <w:jc w:val="both"/>
        <w:ind w:firstLine="8"/>
        <w:spacing w:after="0" w:line="237" w:lineRule="auto"/>
        <w:tabs>
          <w:tab w:leader="none" w:pos="2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For some investments, we record our share of the investee’s net income or loss one quarter in arrears due to the timing of our receipt of such information. Gains or losses on the sale of equity method investments are recorded to other income (expense), net. If an equity method investee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8" w:lineRule="auto"/>
        <w:rPr>
          <w:sz w:val="20"/>
          <w:szCs w:val="20"/>
          <w:color w:val="auto"/>
        </w:rPr>
      </w:pPr>
      <w:r>
        <w:rPr>
          <w:rFonts w:ascii="Arial" w:cs="Arial" w:eastAsia="Arial" w:hAnsi="Arial"/>
          <w:sz w:val="18"/>
          <w:szCs w:val="18"/>
          <w:color w:val="auto"/>
        </w:rPr>
        <w:t>In June 2013, we received a distribution from The Weather Channel Holding Corp. (“The Weather Channel”) of $152 million, of which $128 million was recorded as a return of its investment in The Weather Channel and included under the caption “return of capital from investees” in our consolidated statement of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July 2013, we entered into an agreement to provide capital contributions totaling $247 million to Hulu, LLC (“Hulu”), which we had previously accounted for as a cost method investment. This represented an agreement to provide our first capital contribution to Hulu since our interest was acquired as part of the NBCUniversal transaction, therefore we began to apply the equity method of accounting for this investment. The change in the method of accounting for this investment required us to recognize our proportionate share of Hulu’s accumulated losses from the date of the NBCUniversal transaction through July 2013.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We use the cost method to account for investments not accounted for under the fair value method or the equity method.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AirTouch Communications, Inc.</w:t>
      </w:r>
    </w:p>
    <w:p>
      <w:pPr>
        <w:jc w:val="both"/>
        <w:spacing w:after="0" w:line="299"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which are redeemable in April 2020. As of December 31, 2013 and 2012, the estimated fair value of the AirTouch preferred stock was $1.7 billion and $1.8 billion, respectively.</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dividend and redemption activity of the AirTouch preferred stock determines the dividend and redemption payments associated with substantially all of the preferred shares issued by one of our consolidated subsidiaries, which is a VIE. The subsidiary has three series of preferred stock outstanding with an aggregate redemption value of $1.75 billion. Substantially all of the preferred shares are redeemable in April 2020 at a redemption value of $1.65 billion. As of both December 31, 2013 and 2012, the two redeemable series of subsidiary preferred shares were recorded at $1.5 billion, and those amounts are included in other noncurrent liabilities. As of December 31, 2013 and 2012, these redeemable subsidiary preferred shares had an estimated fair value of $1.7 billion and $1.8 billion, respectively. The estimated fair values are based on Level 2 inputs using pricing models whose inputs are derived primarily from or corroborated by observable market data through correlation or other means for substantially the full term of the financial instrument. The one nonredeemable series of subsidiary preferred shares was recorded at $100 million as of both December 31, 2013 and 2012, and those amounts are included in noncontrolling interests in our consolidated balance sheet. The carrying amounts of the nonredeemable subsidiary preferred shares approximate their fair value.</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 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 During 2013, we recorded $249 million of impairment charges to our equity method investments, which were primarily related to a regional sports cable network based in Houston, Texas.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160" w:type="dxa"/>
            <w:vAlign w:val="bottom"/>
          </w:tcPr>
          <w:p>
            <w:pPr>
              <w:jc w:val="right"/>
              <w:ind w:right="40"/>
              <w:spacing w:after="0"/>
              <w:rPr>
                <w:sz w:val="20"/>
                <w:szCs w:val="20"/>
                <w:color w:val="auto"/>
              </w:rPr>
            </w:pPr>
            <w:r>
              <w:rPr>
                <w:rFonts w:ascii="Arial" w:cs="Arial" w:eastAsia="Arial" w:hAnsi="Arial"/>
                <w:sz w:val="14"/>
                <w:szCs w:val="14"/>
                <w:color w:val="auto"/>
              </w:rPr>
              <w:t>Weighted-Average</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4160" w:type="dxa"/>
            <w:vAlign w:val="bottom"/>
          </w:tcPr>
          <w:p>
            <w:pPr>
              <w:jc w:val="right"/>
              <w:ind w:right="40"/>
              <w:spacing w:after="0" w:line="149" w:lineRule="exact"/>
              <w:rPr>
                <w:sz w:val="20"/>
                <w:szCs w:val="20"/>
                <w:color w:val="auto"/>
              </w:rPr>
            </w:pPr>
            <w:r>
              <w:rPr>
                <w:rFonts w:ascii="Arial" w:cs="Arial" w:eastAsia="Arial" w:hAnsi="Arial"/>
                <w:sz w:val="14"/>
                <w:szCs w:val="14"/>
                <w:color w:val="auto"/>
              </w:rPr>
              <w:t>Original Useful Life</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1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As of December 31, 2013</w:t>
            </w:r>
          </w:p>
        </w:tc>
        <w:tc>
          <w:tcPr>
            <w:tcW w:w="8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Cable distribution system</w:t>
            </w:r>
          </w:p>
        </w:tc>
        <w:tc>
          <w:tcPr>
            <w:tcW w:w="4160" w:type="dxa"/>
            <w:vAlign w:val="bottom"/>
          </w:tcPr>
          <w:p>
            <w:pPr>
              <w:jc w:val="right"/>
              <w:ind w:right="40"/>
              <w:spacing w:after="0" w:line="177" w:lineRule="exact"/>
              <w:rPr>
                <w:sz w:val="20"/>
                <w:szCs w:val="20"/>
                <w:color w:val="auto"/>
              </w:rPr>
            </w:pPr>
            <w:r>
              <w:rPr>
                <w:rFonts w:ascii="Arial" w:cs="Arial" w:eastAsia="Arial" w:hAnsi="Arial"/>
                <w:sz w:val="18"/>
                <w:szCs w:val="18"/>
                <w:color w:val="auto"/>
              </w:rPr>
              <w:t>11 years</w:t>
            </w: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$ 30,498</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$ 29,528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Customer premise equipment</w:t>
            </w:r>
          </w:p>
        </w:tc>
        <w:tc>
          <w:tcPr>
            <w:tcW w:w="41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25,949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equipment</w:t>
            </w:r>
          </w:p>
        </w:tc>
        <w:tc>
          <w:tcPr>
            <w:tcW w:w="41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5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6,826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41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21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8,057</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6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72,414</w:t>
            </w:r>
          </w:p>
        </w:tc>
        <w:tc>
          <w:tcPr>
            <w:tcW w:w="840" w:type="dxa"/>
            <w:vAlign w:val="bottom"/>
          </w:tcPr>
          <w:p>
            <w:pPr>
              <w:jc w:val="right"/>
              <w:spacing w:after="0" w:line="177" w:lineRule="exact"/>
              <w:rPr>
                <w:sz w:val="20"/>
                <w:szCs w:val="20"/>
                <w:color w:val="auto"/>
              </w:rPr>
            </w:pPr>
            <w:r>
              <w:rPr>
                <w:rFonts w:ascii="Arial" w:cs="Arial" w:eastAsia="Arial" w:hAnsi="Arial"/>
                <w:sz w:val="18"/>
                <w:szCs w:val="18"/>
                <w:color w:val="auto"/>
              </w:rPr>
              <w:t>66,657</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42,574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39,425</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0C6DFF"/>
            </w:tcBorders>
          </w:tcPr>
          <w:p>
            <w:pPr>
              <w:spacing w:after="0"/>
              <w:rPr>
                <w:sz w:val="17"/>
                <w:szCs w:val="17"/>
                <w:color w:val="auto"/>
              </w:rPr>
            </w:pP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$ 29,840</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$ 27,232</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associated with the construction of and improvements to our cable transmission and distribution facilities, costs associated with acquiring and deploying new customer premise equipment, and costs associated with installation of our services in accordance with accounting guidance related to cable television companies. Costs capitalized include all direct labor and materials, as well as various indirect costs. All costs incurred in connection with subsequent disconnects and reconnects are expensed as they are incurred.</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96</w:t>
            </w: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Real Estate Properties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Real estate acquisitions for 2013 primarily included NBCUniversal’s purchase from GE of certain properties NBCUniversal occupies at 30 Rockefeller Plaza in New York City and CNBC’s headquarters in Englewood Cliffs, New Jersey. The CNBC property was previously recorded as a capital lease in our consolidated balance sheet. Other acquisitions included NBCUniversal’s purchase in September 2013 of a business whose primary asset is a property located at 10 Universal City Plaza, which is adjacent to Universal Studios in Hollywood, California, and Comcast’s purchase in December 2013 of an 80% interest in a business whose primary asset is our corporate headquarters in Philadelphia, Pennsylvania. These purchases resulted in increases of $2.2 billion in property and equipment which are included, as applicable, within the captions “buildings and leasehold improvements” and “land” in the table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color w:val="auto"/>
              </w:rPr>
              <w:t>Cable</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w w:val="97"/>
              </w:rPr>
              <w:t>NBCUniversal</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color w:val="auto"/>
              </w:rPr>
              <w:t>Corporate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tcPr>
          <w:p>
            <w:pPr>
              <w:jc w:val="right"/>
              <w:ind w:right="36"/>
              <w:spacing w:after="0" w:line="141" w:lineRule="exact"/>
              <w:rPr>
                <w:sz w:val="20"/>
                <w:szCs w:val="20"/>
                <w:color w:val="auto"/>
              </w:rPr>
            </w:pPr>
            <w:r>
              <w:rPr>
                <w:rFonts w:ascii="Arial" w:cs="Arial" w:eastAsia="Arial" w:hAnsi="Arial"/>
                <w:sz w:val="14"/>
                <w:szCs w:val="14"/>
                <w:color w:val="auto"/>
              </w:rPr>
              <w:t>Cable</w:t>
            </w:r>
          </w:p>
        </w:tc>
        <w:tc>
          <w:tcPr>
            <w:tcW w:w="82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Broadcast</w:t>
            </w:r>
          </w:p>
        </w:tc>
        <w:tc>
          <w:tcPr>
            <w:tcW w:w="46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w w:val="99"/>
              </w:rPr>
              <w:t>Filmed</w:t>
            </w:r>
          </w:p>
        </w:tc>
        <w:tc>
          <w:tcPr>
            <w:tcW w:w="200" w:type="dxa"/>
            <w:vAlign w:val="bottom"/>
          </w:tcPr>
          <w:p>
            <w:pPr>
              <w:spacing w:after="0"/>
              <w:rPr>
                <w:sz w:val="12"/>
                <w:szCs w:val="12"/>
                <w:color w:val="auto"/>
              </w:rPr>
            </w:pPr>
          </w:p>
        </w:tc>
        <w:tc>
          <w:tcPr>
            <w:tcW w:w="600" w:type="dxa"/>
            <w:vAlign w:val="bottom"/>
          </w:tcPr>
          <w:p>
            <w:pPr>
              <w:jc w:val="right"/>
              <w:ind w:right="36"/>
              <w:spacing w:after="0" w:line="141" w:lineRule="exact"/>
              <w:rPr>
                <w:sz w:val="20"/>
                <w:szCs w:val="20"/>
                <w:color w:val="auto"/>
              </w:rPr>
            </w:pPr>
            <w:r>
              <w:rPr>
                <w:rFonts w:ascii="Arial" w:cs="Arial" w:eastAsia="Arial" w:hAnsi="Arial"/>
                <w:sz w:val="14"/>
                <w:szCs w:val="14"/>
                <w:color w:val="auto"/>
              </w:rPr>
              <w:t>Theme</w:t>
            </w:r>
          </w:p>
        </w:tc>
        <w:tc>
          <w:tcPr>
            <w:tcW w:w="7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52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color w:val="auto"/>
              </w:rPr>
              <w:t>Communications</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Networks</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Television</w:t>
            </w: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Entertainment</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Parks</w:t>
            </w: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and Other</w:t>
            </w: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376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1600" w:type="dxa"/>
            <w:vAlign w:val="bottom"/>
          </w:tcPr>
          <w:p>
            <w:pPr>
              <w:ind w:left="1400"/>
              <w:spacing w:after="0" w:line="200"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12,208</w:t>
            </w:r>
          </w:p>
        </w:tc>
        <w:tc>
          <w:tcPr>
            <w:tcW w:w="900" w:type="dxa"/>
            <w:vAlign w:val="bottom"/>
          </w:tcPr>
          <w:p>
            <w:pPr>
              <w:jc w:val="right"/>
              <w:ind w:right="36"/>
              <w:spacing w:after="0" w:line="200" w:lineRule="exact"/>
              <w:rPr>
                <w:sz w:val="20"/>
                <w:szCs w:val="20"/>
                <w:color w:val="auto"/>
              </w:rPr>
            </w:pPr>
            <w:r>
              <w:rPr>
                <w:rFonts w:ascii="Arial" w:cs="Arial" w:eastAsia="Arial" w:hAnsi="Arial"/>
                <w:sz w:val="18"/>
                <w:szCs w:val="18"/>
                <w:color w:val="auto"/>
              </w:rPr>
              <w:t>$ 12,744</w:t>
            </w:r>
          </w:p>
        </w:tc>
        <w:tc>
          <w:tcPr>
            <w:tcW w:w="28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772</w:t>
            </w:r>
          </w:p>
        </w:tc>
        <w:tc>
          <w:tcPr>
            <w:tcW w:w="46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1</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6"/>
              <w:spacing w:after="0" w:line="200" w:lineRule="exact"/>
              <w:rPr>
                <w:sz w:val="20"/>
                <w:szCs w:val="20"/>
                <w:color w:val="auto"/>
              </w:rPr>
            </w:pPr>
            <w:r>
              <w:rPr>
                <w:rFonts w:ascii="Arial" w:cs="Arial" w:eastAsia="Arial" w:hAnsi="Arial"/>
                <w:sz w:val="18"/>
                <w:szCs w:val="18"/>
                <w:color w:val="auto"/>
              </w:rPr>
              <w:t>1,140</w:t>
            </w:r>
          </w:p>
        </w:tc>
        <w:tc>
          <w:tcPr>
            <w:tcW w:w="3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0" w:lineRule="exact"/>
              <w:rPr>
                <w:sz w:val="20"/>
                <w:szCs w:val="20"/>
                <w:color w:val="auto"/>
              </w:rPr>
            </w:pPr>
            <w:r>
              <w:rPr>
                <w:rFonts w:ascii="Arial" w:cs="Arial" w:eastAsia="Arial" w:hAnsi="Arial"/>
                <w:sz w:val="18"/>
                <w:szCs w:val="18"/>
                <w:color w:val="auto"/>
              </w:rPr>
              <w:t>9</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$ 26,874</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MSNBC.com</w:t>
            </w:r>
          </w:p>
        </w:tc>
        <w:tc>
          <w:tcPr>
            <w:tcW w:w="1600" w:type="dxa"/>
            <w:vAlign w:val="bottom"/>
          </w:tcPr>
          <w:p>
            <w:pPr>
              <w:spacing w:after="0"/>
              <w:rPr>
                <w:sz w:val="17"/>
                <w:szCs w:val="17"/>
                <w:color w:val="auto"/>
              </w:rPr>
            </w:pP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227</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7"/>
                <w:szCs w:val="17"/>
                <w:color w:val="auto"/>
              </w:rPr>
            </w:pP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79</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Dispositions</w:t>
            </w:r>
          </w:p>
        </w:tc>
        <w:tc>
          <w:tcPr>
            <w:tcW w:w="16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r>
              <w:rPr>
                <w:rFonts w:ascii="Arial" w:cs="Arial" w:eastAsia="Arial" w:hAnsi="Arial"/>
                <w:sz w:val="22"/>
                <w:szCs w:val="22"/>
                <w:color w:val="auto"/>
                <w:vertAlign w:val="superscript"/>
              </w:rPr>
              <w:t>(a)</w:t>
            </w:r>
          </w:p>
        </w:tc>
        <w:tc>
          <w:tcPr>
            <w:tcW w:w="1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(158)</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77"/>
        </w:trPr>
        <w:tc>
          <w:tcPr>
            <w:tcW w:w="3760" w:type="dxa"/>
            <w:vAlign w:val="bottom"/>
          </w:tcPr>
          <w:p>
            <w:pPr>
              <w:spacing w:after="0" w:line="177" w:lineRule="exact"/>
              <w:rPr>
                <w:sz w:val="20"/>
                <w:szCs w:val="20"/>
                <w:color w:val="auto"/>
              </w:rPr>
            </w:pPr>
            <w:r>
              <w:rPr>
                <w:rFonts w:ascii="Arial" w:cs="Arial" w:eastAsia="Arial" w:hAnsi="Arial"/>
                <w:sz w:val="18"/>
                <w:szCs w:val="18"/>
                <w:color w:val="auto"/>
              </w:rPr>
              <w:t>Balance, December 31, 2012</w:t>
            </w:r>
          </w:p>
        </w:tc>
        <w:tc>
          <w:tcPr>
            <w:tcW w:w="1600" w:type="dxa"/>
            <w:vAlign w:val="bottom"/>
          </w:tcPr>
          <w:p>
            <w:pPr>
              <w:spacing w:after="0"/>
              <w:rPr>
                <w:sz w:val="15"/>
                <w:szCs w:val="15"/>
                <w:color w:val="auto"/>
              </w:rPr>
            </w:pPr>
          </w:p>
        </w:tc>
        <w:tc>
          <w:tcPr>
            <w:tcW w:w="92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12,206</w:t>
            </w:r>
          </w:p>
        </w:tc>
        <w:tc>
          <w:tcPr>
            <w:tcW w:w="900" w:type="dxa"/>
            <w:vAlign w:val="bottom"/>
          </w:tcPr>
          <w:p>
            <w:pPr>
              <w:jc w:val="right"/>
              <w:ind w:right="36"/>
              <w:spacing w:after="0" w:line="177" w:lineRule="exact"/>
              <w:rPr>
                <w:sz w:val="20"/>
                <w:szCs w:val="20"/>
                <w:color w:val="auto"/>
              </w:rPr>
            </w:pPr>
            <w:r>
              <w:rPr>
                <w:rFonts w:ascii="Arial" w:cs="Arial" w:eastAsia="Arial" w:hAnsi="Arial"/>
                <w:sz w:val="18"/>
                <w:szCs w:val="18"/>
                <w:color w:val="auto"/>
              </w:rPr>
              <w:t>13,026</w:t>
            </w:r>
          </w:p>
        </w:tc>
        <w:tc>
          <w:tcPr>
            <w:tcW w:w="280" w:type="dxa"/>
            <w:vAlign w:val="bottom"/>
          </w:tcPr>
          <w:p>
            <w:pPr>
              <w:spacing w:after="0"/>
              <w:rPr>
                <w:sz w:val="15"/>
                <w:szCs w:val="15"/>
                <w:color w:val="auto"/>
              </w:rPr>
            </w:pPr>
          </w:p>
        </w:tc>
        <w:tc>
          <w:tcPr>
            <w:tcW w:w="540" w:type="dxa"/>
            <w:vAlign w:val="bottom"/>
          </w:tcPr>
          <w:p>
            <w:pPr>
              <w:jc w:val="right"/>
              <w:ind w:right="54"/>
              <w:spacing w:after="0" w:line="177" w:lineRule="exact"/>
              <w:rPr>
                <w:sz w:val="20"/>
                <w:szCs w:val="20"/>
                <w:color w:val="auto"/>
              </w:rPr>
            </w:pPr>
            <w:r>
              <w:rPr>
                <w:rFonts w:ascii="Arial" w:cs="Arial" w:eastAsia="Arial" w:hAnsi="Arial"/>
                <w:sz w:val="18"/>
                <w:szCs w:val="18"/>
                <w:color w:val="auto"/>
              </w:rPr>
              <w:t>761</w:t>
            </w:r>
          </w:p>
        </w:tc>
        <w:tc>
          <w:tcPr>
            <w:tcW w:w="460" w:type="dxa"/>
            <w:vAlign w:val="bottom"/>
          </w:tcPr>
          <w:p>
            <w:pPr>
              <w:spacing w:after="0"/>
              <w:rPr>
                <w:sz w:val="15"/>
                <w:szCs w:val="15"/>
                <w:color w:val="auto"/>
              </w:rPr>
            </w:pP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5"/>
                <w:szCs w:val="15"/>
                <w:color w:val="auto"/>
              </w:rPr>
            </w:pPr>
          </w:p>
        </w:tc>
        <w:tc>
          <w:tcPr>
            <w:tcW w:w="600" w:type="dxa"/>
            <w:vAlign w:val="bottom"/>
          </w:tcPr>
          <w:p>
            <w:pPr>
              <w:jc w:val="right"/>
              <w:ind w:right="36"/>
              <w:spacing w:after="0" w:line="177" w:lineRule="exact"/>
              <w:rPr>
                <w:sz w:val="20"/>
                <w:szCs w:val="20"/>
                <w:color w:val="auto"/>
              </w:rPr>
            </w:pPr>
            <w:r>
              <w:rPr>
                <w:rFonts w:ascii="Arial" w:cs="Arial" w:eastAsia="Arial" w:hAnsi="Arial"/>
                <w:sz w:val="18"/>
                <w:szCs w:val="18"/>
                <w:color w:val="auto"/>
              </w:rPr>
              <w:t>982</w:t>
            </w:r>
          </w:p>
        </w:tc>
        <w:tc>
          <w:tcPr>
            <w:tcW w:w="320" w:type="dxa"/>
            <w:vAlign w:val="bottom"/>
          </w:tcPr>
          <w:p>
            <w:pPr>
              <w:spacing w:after="0"/>
              <w:rPr>
                <w:sz w:val="15"/>
                <w:szCs w:val="15"/>
                <w:color w:val="auto"/>
              </w:rPr>
            </w:pPr>
          </w:p>
        </w:tc>
        <w:tc>
          <w:tcPr>
            <w:tcW w:w="440" w:type="dxa"/>
            <w:vAlign w:val="bottom"/>
          </w:tcPr>
          <w:p>
            <w:pPr>
              <w:jc w:val="right"/>
              <w:spacing w:after="0" w:line="177" w:lineRule="exact"/>
              <w:rPr>
                <w:sz w:val="20"/>
                <w:szCs w:val="20"/>
                <w:color w:val="auto"/>
              </w:rPr>
            </w:pPr>
            <w:r>
              <w:rPr>
                <w:rFonts w:ascii="Arial" w:cs="Arial" w:eastAsia="Arial" w:hAnsi="Arial"/>
                <w:sz w:val="18"/>
                <w:szCs w:val="18"/>
                <w:color w:val="auto"/>
              </w:rPr>
              <w:t>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1600" w:type="dxa"/>
            <w:vAlign w:val="bottom"/>
          </w:tcPr>
          <w:p>
            <w:pPr>
              <w:spacing w:after="0"/>
              <w:rPr>
                <w:sz w:val="17"/>
                <w:szCs w:val="17"/>
                <w:color w:val="auto"/>
              </w:rPr>
            </w:pPr>
          </w:p>
        </w:tc>
        <w:tc>
          <w:tcPr>
            <w:tcW w:w="9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17"/>
                <w:szCs w:val="17"/>
                <w:color w:val="auto"/>
              </w:rPr>
            </w:pPr>
          </w:p>
        </w:tc>
        <w:tc>
          <w:tcPr>
            <w:tcW w:w="54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w:t>
            </w:r>
          </w:p>
        </w:tc>
        <w:tc>
          <w:tcPr>
            <w:tcW w:w="4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6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1"/>
        </w:trPr>
        <w:tc>
          <w:tcPr>
            <w:tcW w:w="376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(a)</w:t>
            </w:r>
          </w:p>
        </w:tc>
        <w:tc>
          <w:tcPr>
            <w:tcW w:w="1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65</w:t>
            </w: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w:t>
            </w: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1600" w:type="dxa"/>
            <w:vAlign w:val="bottom"/>
            <w:tcBorders>
              <w:bottom w:val="single" w:sz="8" w:color="0C6DFF"/>
            </w:tcBorders>
          </w:tcPr>
          <w:p>
            <w:pPr>
              <w:ind w:left="140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12,206</w:t>
            </w:r>
          </w:p>
        </w:tc>
        <w:tc>
          <w:tcPr>
            <w:tcW w:w="9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$ 13,130</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769</w:t>
            </w:r>
          </w:p>
        </w:tc>
        <w:tc>
          <w:tcPr>
            <w:tcW w:w="4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6"/>
              <w:spacing w:after="0" w:line="196" w:lineRule="exact"/>
              <w:rPr>
                <w:sz w:val="20"/>
                <w:szCs w:val="20"/>
                <w:color w:val="auto"/>
              </w:rPr>
            </w:pPr>
            <w:r>
              <w:rPr>
                <w:rFonts w:ascii="Arial" w:cs="Arial" w:eastAsia="Arial" w:hAnsi="Arial"/>
                <w:sz w:val="18"/>
                <w:szCs w:val="18"/>
                <w:b w:val="1"/>
                <w:bCs w:val="1"/>
                <w:color w:val="auto"/>
              </w:rPr>
              <w:t>982</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10</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$ 27,098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line="231" w:lineRule="auto"/>
        <w:tabs>
          <w:tab w:leader="none" w:pos="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Adjustments to goodwill in 2013 were primarily related to an immaterial correction to the allocation of purchase price associated with the NBCUniversal transaction. Adjustments to goodwill in 2012 were primarily related to the adjustments to the allocation of purchase price associated with the Universal Orlando transaction in 2011.</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five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330" w:lineRule="exact"/>
        <w:rPr>
          <w:sz w:val="20"/>
          <w:szCs w:val="20"/>
          <w:color w:val="auto"/>
        </w:rPr>
      </w:pPr>
    </w:p>
    <w:p>
      <w:pPr>
        <w:ind w:left="5680"/>
        <w:spacing w:after="0"/>
        <w:tabs>
          <w:tab w:leader="none" w:pos="876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2220" w:type="dxa"/>
            <w:vAlign w:val="bottom"/>
            <w:vMerge w:val="restart"/>
          </w:tcPr>
          <w:p>
            <w:pPr>
              <w:jc w:val="right"/>
              <w:ind w:right="218"/>
              <w:spacing w:after="0"/>
              <w:rPr>
                <w:sz w:val="20"/>
                <w:szCs w:val="20"/>
                <w:color w:val="auto"/>
              </w:rPr>
            </w:pPr>
            <w:r>
              <w:rPr>
                <w:rFonts w:ascii="Arial" w:cs="Arial" w:eastAsia="Arial" w:hAnsi="Arial"/>
                <w:sz w:val="14"/>
                <w:szCs w:val="14"/>
                <w:color w:val="auto"/>
              </w:rPr>
              <w:t>Weighted-Average</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48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220" w:type="dxa"/>
            <w:vAlign w:val="bottom"/>
          </w:tcPr>
          <w:p>
            <w:pPr>
              <w:jc w:val="right"/>
              <w:ind w:right="218"/>
              <w:spacing w:after="0" w:line="149" w:lineRule="exact"/>
              <w:rPr>
                <w:sz w:val="20"/>
                <w:szCs w:val="20"/>
                <w:color w:val="auto"/>
              </w:rPr>
            </w:pPr>
            <w:r>
              <w:rPr>
                <w:rFonts w:ascii="Arial" w:cs="Arial" w:eastAsia="Arial" w:hAnsi="Arial"/>
                <w:sz w:val="14"/>
                <w:szCs w:val="14"/>
                <w:color w:val="auto"/>
              </w:rPr>
              <w:t>Original Useful Life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79"/>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22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color w:val="auto"/>
              </w:rPr>
              <w:t>as of December 31, 2013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5480" w:type="dxa"/>
            <w:vAlign w:val="bottom"/>
          </w:tcPr>
          <w:p>
            <w:pPr>
              <w:spacing w:after="0" w:line="200" w:lineRule="exact"/>
              <w:rPr>
                <w:sz w:val="20"/>
                <w:szCs w:val="20"/>
                <w:color w:val="auto"/>
              </w:rPr>
            </w:pPr>
            <w:r>
              <w:rPr>
                <w:rFonts w:ascii="Arial" w:cs="Arial" w:eastAsia="Arial" w:hAnsi="Arial"/>
                <w:sz w:val="18"/>
                <w:szCs w:val="18"/>
                <w:color w:val="auto"/>
              </w:rPr>
              <w:t>Indefinite-Lived Intangible Assets:</w:t>
            </w:r>
          </w:p>
        </w:tc>
        <w:tc>
          <w:tcPr>
            <w:tcW w:w="2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$ 59,364</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Franchise rights</w:t>
            </w:r>
          </w:p>
        </w:tc>
        <w:tc>
          <w:tcPr>
            <w:tcW w:w="2220" w:type="dxa"/>
            <w:vAlign w:val="bottom"/>
          </w:tcPr>
          <w:p>
            <w:pPr>
              <w:jc w:val="right"/>
              <w:ind w:right="218"/>
              <w:spacing w:after="0" w:line="181" w:lineRule="exact"/>
              <w:rPr>
                <w:sz w:val="20"/>
                <w:szCs w:val="20"/>
                <w:color w:val="auto"/>
              </w:rPr>
            </w:pPr>
            <w:r>
              <w:rPr>
                <w:rFonts w:ascii="Arial" w:cs="Arial" w:eastAsia="Arial" w:hAnsi="Arial"/>
                <w:sz w:val="18"/>
                <w:szCs w:val="18"/>
                <w:color w:val="auto"/>
              </w:rPr>
              <w:t>N/A</w:t>
            </w:r>
          </w:p>
        </w:tc>
        <w:tc>
          <w:tcPr>
            <w:tcW w:w="7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$ 59,364</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Trade names</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N/A</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3,089</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3,080</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80" w:type="dxa"/>
            <w:vAlign w:val="bottom"/>
          </w:tcPr>
          <w:p>
            <w:pPr>
              <w:ind w:left="220"/>
              <w:spacing w:after="0"/>
              <w:rPr>
                <w:sz w:val="20"/>
                <w:szCs w:val="20"/>
                <w:color w:val="auto"/>
              </w:rPr>
            </w:pPr>
            <w:r>
              <w:rPr>
                <w:rFonts w:ascii="Arial" w:cs="Arial" w:eastAsia="Arial" w:hAnsi="Arial"/>
                <w:sz w:val="18"/>
                <w:szCs w:val="18"/>
                <w:color w:val="auto"/>
              </w:rPr>
              <w:t>FCC licenses</w:t>
            </w:r>
          </w:p>
        </w:tc>
        <w:tc>
          <w:tcPr>
            <w:tcW w:w="2220" w:type="dxa"/>
            <w:vAlign w:val="bottom"/>
          </w:tcPr>
          <w:p>
            <w:pPr>
              <w:jc w:val="right"/>
              <w:ind w:right="218"/>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652</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Finite-Lived Intangible Assets:</w:t>
            </w:r>
          </w:p>
        </w:tc>
        <w:tc>
          <w:tcPr>
            <w:tcW w:w="2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15,037</w:t>
            </w:r>
          </w:p>
        </w:tc>
        <w:tc>
          <w:tcPr>
            <w:tcW w:w="4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(4,772)</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2220" w:type="dxa"/>
            <w:vAlign w:val="bottom"/>
          </w:tcPr>
          <w:p>
            <w:pPr>
              <w:jc w:val="right"/>
              <w:ind w:right="218"/>
              <w:spacing w:after="0" w:line="181" w:lineRule="exact"/>
              <w:rPr>
                <w:sz w:val="20"/>
                <w:szCs w:val="20"/>
                <w:color w:val="auto"/>
              </w:rPr>
            </w:pPr>
            <w:r>
              <w:rPr>
                <w:rFonts w:ascii="Arial" w:cs="Arial" w:eastAsia="Arial" w:hAnsi="Arial"/>
                <w:sz w:val="18"/>
                <w:szCs w:val="18"/>
                <w:color w:val="auto"/>
              </w:rPr>
              <w:t>19 years</w:t>
            </w: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14,970</w:t>
            </w:r>
          </w:p>
        </w:tc>
        <w:tc>
          <w:tcPr>
            <w:tcW w:w="2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Cable franchise renewal costs and contractual operating rights</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10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1,360</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1,257</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5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4,271</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(2,405)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3,795</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2" w:lineRule="exact"/>
              <w:rPr>
                <w:sz w:val="20"/>
                <w:szCs w:val="20"/>
                <w:color w:val="auto"/>
              </w:rPr>
            </w:pPr>
            <w:r>
              <w:rPr>
                <w:rFonts w:ascii="Arial" w:cs="Arial" w:eastAsia="Arial" w:hAnsi="Arial"/>
                <w:sz w:val="18"/>
                <w:szCs w:val="18"/>
                <w:color w:val="auto"/>
              </w:rPr>
              <w:t>Patents and other technology rights</w:t>
            </w:r>
          </w:p>
        </w:tc>
        <w:tc>
          <w:tcPr>
            <w:tcW w:w="222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9 years</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361</w:t>
            </w: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(307)</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agreements and rights</w:t>
            </w:r>
          </w:p>
        </w:tc>
        <w:tc>
          <w:tcPr>
            <w:tcW w:w="222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20 years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220" w:type="dxa"/>
            <w:vAlign w:val="bottom"/>
            <w:tcBorders>
              <w:bottom w:val="single" w:sz="8" w:color="0C6DFF"/>
            </w:tcBorders>
          </w:tcPr>
          <w:p>
            <w:pPr>
              <w:spacing w:after="0"/>
              <w:rPr>
                <w:sz w:val="17"/>
                <w:szCs w:val="17"/>
                <w:color w:val="auto"/>
              </w:rPr>
            </w:pP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$ 85,567</w:t>
            </w:r>
          </w:p>
        </w:tc>
        <w:tc>
          <w:tcPr>
            <w:tcW w:w="400" w:type="dxa"/>
            <w:vAlign w:val="bottom"/>
            <w:tcBorders>
              <w:bottom w:val="single" w:sz="8" w:color="0C6DFF"/>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(8,874)</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$ 84,866</w:t>
            </w:r>
          </w:p>
        </w:tc>
        <w:tc>
          <w:tcPr>
            <w:tcW w:w="2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6" w:lineRule="auto"/>
        <w:rPr>
          <w:sz w:val="20"/>
          <w:szCs w:val="20"/>
          <w:color w:val="auto"/>
        </w:rPr>
      </w:pPr>
      <w:r>
        <w:rPr>
          <w:rFonts w:ascii="Arial" w:cs="Arial" w:eastAsia="Arial" w:hAnsi="Arial"/>
          <w:sz w:val="18"/>
          <w:szCs w:val="18"/>
          <w:color w:val="auto"/>
        </w:rPr>
        <w:t>Indefinite-lived intangible assets consist primarily of our cable franchise rights, as well as trade names and FCC licenses. Our cable franchise rights represent the values we attributed to agreements with state and local authorities that allow access to homes and businesses in cable service areas acquired in business combinations. We do not amortize our cable franchise rights because we have determined that they meet the definition of indefinite-lived intangible assets since there are no legal, regulatory, contractual, competitive, economic or other factors which limit the period over which these rights will contribute to our cash flows. We reassess this determination periodically or whenever events or substantive changes in circumstances occur. Costs we incur in negotiating and renewing cable franchise agreements are included in other intangible assets and are generally amortized on a straight-line basis over the term of the franchise agreement.</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assess the recoverability of our franchise rights and other indefinite-lived intangible assets annually, or more frequently whenever events or substantive changes in circumstances indicate that the assets might be impaired. Our three Cable Communications divisions represent the unit of account we use to test for impairment for our cable franchise rights. We evaluate the unit of account used to test for impairment of our cable franchise rights and other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cable franchise rights and other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cable franchise rights or other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98</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580" w:type="dxa"/>
            <w:vAlign w:val="bottom"/>
            <w:tcBorders>
              <w:top w:val="single" w:sz="8" w:color="auto"/>
            </w:tcBorders>
          </w:tcPr>
          <w:p>
            <w:pPr>
              <w:jc w:val="right"/>
              <w:ind w:right="5092"/>
              <w:spacing w:after="0" w:line="200" w:lineRule="exact"/>
              <w:rPr>
                <w:sz w:val="20"/>
                <w:szCs w:val="20"/>
                <w:color w:val="auto"/>
              </w:rPr>
            </w:pPr>
            <w:r>
              <w:rPr>
                <w:rFonts w:ascii="Arial" w:cs="Arial" w:eastAsia="Arial" w:hAnsi="Arial"/>
                <w:sz w:val="18"/>
                <w:szCs w:val="18"/>
                <w:color w:val="auto"/>
                <w:w w:val="94"/>
              </w:rPr>
              <w:t>2014</w:t>
            </w:r>
          </w:p>
        </w:tc>
        <w:tc>
          <w:tcPr>
            <w:tcW w:w="53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7"/>
              </w:rPr>
              <w:t>1,487</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2015</w:t>
            </w:r>
          </w:p>
        </w:tc>
        <w:tc>
          <w:tcPr>
            <w:tcW w:w="5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1,345</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2016</w:t>
            </w:r>
          </w:p>
        </w:tc>
        <w:tc>
          <w:tcPr>
            <w:tcW w:w="5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1,196</w:t>
            </w:r>
          </w:p>
        </w:tc>
      </w:tr>
      <w:tr>
        <w:trPr>
          <w:trHeight w:val="203"/>
        </w:trPr>
        <w:tc>
          <w:tcPr>
            <w:tcW w:w="5580" w:type="dxa"/>
            <w:vAlign w:val="bottom"/>
          </w:tcPr>
          <w:p>
            <w:pPr>
              <w:jc w:val="right"/>
              <w:ind w:right="5092"/>
              <w:spacing w:after="0" w:line="202" w:lineRule="exact"/>
              <w:rPr>
                <w:sz w:val="20"/>
                <w:szCs w:val="20"/>
                <w:color w:val="auto"/>
              </w:rPr>
            </w:pPr>
            <w:r>
              <w:rPr>
                <w:rFonts w:ascii="Arial" w:cs="Arial" w:eastAsia="Arial" w:hAnsi="Arial"/>
                <w:sz w:val="18"/>
                <w:szCs w:val="18"/>
                <w:color w:val="auto"/>
                <w:w w:val="94"/>
              </w:rPr>
              <w:t>2017</w:t>
            </w:r>
          </w:p>
        </w:tc>
        <w:tc>
          <w:tcPr>
            <w:tcW w:w="5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1,046</w:t>
            </w:r>
          </w:p>
        </w:tc>
      </w:tr>
      <w:tr>
        <w:trPr>
          <w:trHeight w:val="199"/>
        </w:trPr>
        <w:tc>
          <w:tcPr>
            <w:tcW w:w="5580" w:type="dxa"/>
            <w:vAlign w:val="bottom"/>
            <w:tcBorders>
              <w:bottom w:val="single" w:sz="8" w:color="auto"/>
            </w:tcBorders>
          </w:tcPr>
          <w:p>
            <w:pPr>
              <w:jc w:val="right"/>
              <w:ind w:right="5092"/>
              <w:spacing w:after="0" w:line="200" w:lineRule="exact"/>
              <w:rPr>
                <w:sz w:val="20"/>
                <w:szCs w:val="20"/>
                <w:color w:val="auto"/>
              </w:rPr>
            </w:pPr>
            <w:r>
              <w:rPr>
                <w:rFonts w:ascii="Arial" w:cs="Arial" w:eastAsia="Arial" w:hAnsi="Arial"/>
                <w:sz w:val="18"/>
                <w:szCs w:val="18"/>
                <w:color w:val="auto"/>
                <w:w w:val="94"/>
              </w:rPr>
              <w:t>2018</w:t>
            </w:r>
          </w:p>
        </w:tc>
        <w:tc>
          <w:tcPr>
            <w:tcW w:w="53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893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cable franchise renewal costs, contractual operating rights, intellectual property rights and software. Our finite-lived intangible assets are amortized primarily on a straight-line basis over their estimated useful life or the term of the respective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other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Borders>
              <w:top w:val="single" w:sz="8" w:color="auto"/>
            </w:tcBorders>
          </w:tcPr>
          <w:p>
            <w:pPr>
              <w:spacing w:after="0"/>
              <w:rPr>
                <w:sz w:val="14"/>
                <w:szCs w:val="14"/>
                <w:color w:val="auto"/>
              </w:rPr>
            </w:pPr>
          </w:p>
        </w:tc>
        <w:tc>
          <w:tcPr>
            <w:tcW w:w="350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color w:val="auto"/>
              </w:rPr>
              <w:t>Weighted-Average</w:t>
            </w: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3500" w:type="dxa"/>
            <w:vAlign w:val="bottom"/>
          </w:tcPr>
          <w:p>
            <w:pPr>
              <w:jc w:val="right"/>
              <w:ind w:right="220"/>
              <w:spacing w:after="0" w:line="149" w:lineRule="exact"/>
              <w:rPr>
                <w:sz w:val="20"/>
                <w:szCs w:val="20"/>
                <w:color w:val="auto"/>
              </w:rPr>
            </w:pPr>
            <w:r>
              <w:rPr>
                <w:rFonts w:ascii="Arial" w:cs="Arial" w:eastAsia="Arial" w:hAnsi="Arial"/>
                <w:sz w:val="14"/>
                <w:szCs w:val="14"/>
                <w:color w:val="auto"/>
              </w:rPr>
              <w:t>Interest Rate as of</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3500" w:type="dxa"/>
            <w:vAlign w:val="bottom"/>
          </w:tcPr>
          <w:p>
            <w:pPr>
              <w:jc w:val="right"/>
              <w:ind w:right="220"/>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3500" w:type="dxa"/>
            <w:vAlign w:val="bottom"/>
            <w:tcBorders>
              <w:bottom w:val="single" w:sz="8" w:color="auto"/>
            </w:tcBorders>
          </w:tcPr>
          <w:p>
            <w:pPr>
              <w:jc w:val="right"/>
              <w:ind w:right="220"/>
              <w:spacing w:after="0" w:line="149"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6160" w:type="dxa"/>
            <w:vAlign w:val="bottom"/>
          </w:tcPr>
          <w:p>
            <w:pPr>
              <w:spacing w:after="0" w:line="177" w:lineRule="exact"/>
              <w:rPr>
                <w:sz w:val="20"/>
                <w:szCs w:val="20"/>
                <w:color w:val="auto"/>
              </w:rPr>
            </w:pPr>
            <w:r>
              <w:rPr>
                <w:rFonts w:ascii="Arial" w:cs="Arial" w:eastAsia="Arial" w:hAnsi="Arial"/>
                <w:sz w:val="18"/>
                <w:szCs w:val="18"/>
                <w:color w:val="auto"/>
              </w:rPr>
              <w:t>Commercial paper</w:t>
            </w:r>
          </w:p>
        </w:tc>
        <w:tc>
          <w:tcPr>
            <w:tcW w:w="3500" w:type="dxa"/>
            <w:vAlign w:val="bottom"/>
          </w:tcPr>
          <w:p>
            <w:pPr>
              <w:jc w:val="right"/>
              <w:ind w:right="80"/>
              <w:spacing w:after="0" w:line="177" w:lineRule="exact"/>
              <w:rPr>
                <w:sz w:val="20"/>
                <w:szCs w:val="20"/>
                <w:color w:val="auto"/>
              </w:rPr>
            </w:pPr>
            <w:r>
              <w:rPr>
                <w:rFonts w:ascii="Arial" w:cs="Arial" w:eastAsia="Arial" w:hAnsi="Arial"/>
                <w:sz w:val="18"/>
                <w:szCs w:val="18"/>
                <w:color w:val="auto"/>
              </w:rPr>
              <w:t>0.295%</w:t>
            </w:r>
          </w:p>
        </w:tc>
        <w:tc>
          <w:tcPr>
            <w:tcW w:w="2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1,350</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Revolving bank credit facilities</w:t>
            </w:r>
          </w:p>
        </w:tc>
        <w:tc>
          <w:tcPr>
            <w:tcW w:w="3500" w:type="dxa"/>
            <w:vAlign w:val="bottom"/>
          </w:tcPr>
          <w:p>
            <w:pPr>
              <w:jc w:val="right"/>
              <w:ind w:right="80"/>
              <w:spacing w:after="0" w:line="202" w:lineRule="exact"/>
              <w:rPr>
                <w:sz w:val="20"/>
                <w:szCs w:val="20"/>
                <w:color w:val="auto"/>
              </w:rPr>
            </w:pPr>
            <w:r>
              <w:rPr>
                <w:rFonts w:ascii="Arial" w:cs="Arial" w:eastAsia="Arial" w:hAnsi="Arial"/>
                <w:sz w:val="18"/>
                <w:szCs w:val="18"/>
                <w:color w:val="auto"/>
              </w:rPr>
              <w:t>1.166%</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1,250</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of 5 years or less</w:t>
            </w:r>
          </w:p>
        </w:tc>
        <w:tc>
          <w:tcPr>
            <w:tcW w:w="3500" w:type="dxa"/>
            <w:vAlign w:val="bottom"/>
          </w:tcPr>
          <w:p>
            <w:pPr>
              <w:jc w:val="right"/>
              <w:ind w:right="80"/>
              <w:spacing w:after="0" w:line="202" w:lineRule="exact"/>
              <w:rPr>
                <w:sz w:val="20"/>
                <w:szCs w:val="20"/>
                <w:color w:val="auto"/>
              </w:rPr>
            </w:pPr>
            <w:r>
              <w:rPr>
                <w:rFonts w:ascii="Arial" w:cs="Arial" w:eastAsia="Arial" w:hAnsi="Arial"/>
                <w:sz w:val="18"/>
                <w:szCs w:val="18"/>
                <w:color w:val="auto"/>
              </w:rPr>
              <w:t>4.718%</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15,080</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12,991</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3500" w:type="dxa"/>
            <w:vAlign w:val="bottom"/>
          </w:tcPr>
          <w:p>
            <w:pPr>
              <w:jc w:val="right"/>
              <w:ind w:right="80"/>
              <w:spacing w:after="0" w:line="202" w:lineRule="exact"/>
              <w:rPr>
                <w:sz w:val="20"/>
                <w:szCs w:val="20"/>
                <w:color w:val="auto"/>
              </w:rPr>
            </w:pPr>
            <w:r>
              <w:rPr>
                <w:rFonts w:ascii="Arial" w:cs="Arial" w:eastAsia="Arial" w:hAnsi="Arial"/>
                <w:sz w:val="18"/>
                <w:szCs w:val="18"/>
                <w:color w:val="auto"/>
              </w:rPr>
              <w:t>4.558%</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11,533</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10,334</w:t>
            </w:r>
          </w:p>
        </w:tc>
        <w:tc>
          <w:tcPr>
            <w:tcW w:w="0" w:type="dxa"/>
            <w:vAlign w:val="bottom"/>
          </w:tcPr>
          <w:p>
            <w:pPr>
              <w:spacing w:after="0"/>
              <w:rPr>
                <w:sz w:val="1"/>
                <w:szCs w:val="1"/>
                <w:color w:val="auto"/>
              </w:rPr>
            </w:pPr>
          </w:p>
        </w:tc>
      </w:tr>
      <w:tr>
        <w:trPr>
          <w:trHeight w:val="203"/>
        </w:trPr>
        <w:tc>
          <w:tcPr>
            <w:tcW w:w="6160" w:type="dxa"/>
            <w:vAlign w:val="bottom"/>
          </w:tcPr>
          <w:p>
            <w:pPr>
              <w:spacing w:after="0" w:line="203" w:lineRule="exact"/>
              <w:rPr>
                <w:sz w:val="20"/>
                <w:szCs w:val="20"/>
                <w:color w:val="auto"/>
              </w:rPr>
            </w:pPr>
            <w:r>
              <w:rPr>
                <w:rFonts w:ascii="Arial" w:cs="Arial" w:eastAsia="Arial" w:hAnsi="Arial"/>
                <w:sz w:val="18"/>
                <w:szCs w:val="18"/>
                <w:color w:val="auto"/>
              </w:rPr>
              <w:t>Senior notes with maturities greater than 10 years</w:t>
            </w:r>
            <w:r>
              <w:rPr>
                <w:rFonts w:ascii="Arial" w:cs="Arial" w:eastAsia="Arial" w:hAnsi="Arial"/>
                <w:sz w:val="22"/>
                <w:szCs w:val="22"/>
                <w:color w:val="auto"/>
                <w:vertAlign w:val="superscript"/>
              </w:rPr>
              <w:t>(a)</w:t>
            </w:r>
          </w:p>
        </w:tc>
        <w:tc>
          <w:tcPr>
            <w:tcW w:w="3500" w:type="dxa"/>
            <w:vAlign w:val="bottom"/>
          </w:tcPr>
          <w:p>
            <w:pPr>
              <w:jc w:val="right"/>
              <w:ind w:right="80"/>
              <w:spacing w:after="0" w:line="202" w:lineRule="exact"/>
              <w:rPr>
                <w:sz w:val="20"/>
                <w:szCs w:val="20"/>
                <w:color w:val="auto"/>
              </w:rPr>
            </w:pPr>
            <w:r>
              <w:rPr>
                <w:rFonts w:ascii="Arial" w:cs="Arial" w:eastAsia="Arial" w:hAnsi="Arial"/>
                <w:sz w:val="18"/>
                <w:szCs w:val="18"/>
                <w:color w:val="auto"/>
              </w:rPr>
              <w:t>5.971%</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18,010</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16,801</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0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77"/>
        </w:trPr>
        <w:tc>
          <w:tcPr>
            <w:tcW w:w="616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780" w:type="dxa"/>
            <w:vAlign w:val="bottom"/>
            <w:gridSpan w:val="2"/>
          </w:tcPr>
          <w:p>
            <w:pPr>
              <w:jc w:val="right"/>
              <w:ind w:right="212"/>
              <w:spacing w:after="0" w:line="177" w:lineRule="exact"/>
              <w:rPr>
                <w:sz w:val="20"/>
                <w:szCs w:val="20"/>
                <w:color w:val="auto"/>
              </w:rPr>
            </w:pPr>
            <w:r>
              <w:rPr>
                <w:rFonts w:ascii="Arial" w:cs="Arial" w:eastAsia="Arial" w:hAnsi="Arial"/>
                <w:sz w:val="16"/>
                <w:szCs w:val="16"/>
                <w:color w:val="auto"/>
              </w:rPr>
              <w:t>4.80%</w:t>
            </w:r>
            <w:r>
              <w:rPr>
                <w:rFonts w:ascii="Arial" w:cs="Arial" w:eastAsia="Arial" w:hAnsi="Arial"/>
                <w:sz w:val="20"/>
                <w:szCs w:val="20"/>
                <w:color w:val="auto"/>
                <w:vertAlign w:val="superscript"/>
              </w:rPr>
              <w:t>(b)</w:t>
            </w:r>
          </w:p>
        </w:tc>
        <w:tc>
          <w:tcPr>
            <w:tcW w:w="6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8"/>
              </w:rPr>
              <w:t>47,847</w:t>
            </w:r>
          </w:p>
        </w:tc>
        <w:tc>
          <w:tcPr>
            <w:tcW w:w="22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w w:val="98"/>
              </w:rPr>
              <w:t>40,458</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3,280</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3500" w:type="dxa"/>
            <w:vAlign w:val="bottom"/>
            <w:tcBorders>
              <w:bottom w:val="single" w:sz="8" w:color="0C6DFF"/>
            </w:tcBorders>
          </w:tcPr>
          <w:p>
            <w:pPr>
              <w:spacing w:after="0"/>
              <w:rPr>
                <w:sz w:val="17"/>
                <w:szCs w:val="17"/>
                <w:color w:val="auto"/>
              </w:rPr>
            </w:pP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44,567</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8"/>
              </w:rPr>
              <w:t>38,082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Both the December 31, 2013 and 2012 amounts include £625 million of 5.50% notes due 2029 translated at $1 billion, using the exchange rates as of these dates.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the effects of our derivative financial instruments.</w:t>
      </w:r>
    </w:p>
    <w:p>
      <w:pPr>
        <w:spacing w:after="0" w:line="323" w:lineRule="exact"/>
        <w:rPr>
          <w:sz w:val="20"/>
          <w:szCs w:val="20"/>
          <w:color w:val="auto"/>
        </w:rPr>
      </w:pPr>
    </w:p>
    <w:p>
      <w:pPr>
        <w:jc w:val="both"/>
        <w:ind w:left="5680"/>
        <w:spacing w:after="0"/>
        <w:tabs>
          <w:tab w:leader="none" w:pos="8760" w:val="left"/>
        </w:tabs>
        <w:rPr>
          <w:sz w:val="20"/>
          <w:szCs w:val="20"/>
          <w:color w:val="auto"/>
        </w:rPr>
      </w:pPr>
      <w:r>
        <w:rPr>
          <w:rFonts w:ascii="Arial" w:cs="Arial" w:eastAsia="Arial" w:hAnsi="Arial"/>
          <w:sz w:val="14"/>
          <w:szCs w:val="14"/>
          <w:b w:val="1"/>
          <w:bCs w:val="1"/>
          <w:color w:val="auto"/>
        </w:rPr>
        <w:t>99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2013 and 2012, our debt had an estimated fair value of $51.8 billion and $47.7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 See Note 21 for additional information on our subsidiary guarantee structures.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Debt Maturities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Borders>
              <w:top w:val="single" w:sz="8" w:color="auto"/>
            </w:tcBorders>
          </w:tcPr>
          <w:p>
            <w:pPr>
              <w:spacing w:after="0"/>
              <w:rPr>
                <w:sz w:val="14"/>
                <w:szCs w:val="14"/>
                <w:color w:val="auto"/>
              </w:rPr>
            </w:pPr>
          </w:p>
        </w:tc>
        <w:tc>
          <w:tcPr>
            <w:tcW w:w="432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color w:val="auto"/>
              </w:rPr>
              <w:t>Weighted-Average</w:t>
            </w: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149"/>
        </w:trPr>
        <w:tc>
          <w:tcPr>
            <w:tcW w:w="62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4320" w:type="dxa"/>
            <w:vAlign w:val="bottom"/>
            <w:tcBorders>
              <w:bottom w:val="single" w:sz="8" w:color="auto"/>
            </w:tcBorders>
          </w:tcPr>
          <w:p>
            <w:pPr>
              <w:jc w:val="right"/>
              <w:ind w:right="197"/>
              <w:spacing w:after="0" w:line="149" w:lineRule="exact"/>
              <w:rPr>
                <w:sz w:val="20"/>
                <w:szCs w:val="20"/>
                <w:color w:val="auto"/>
              </w:rPr>
            </w:pPr>
            <w:r>
              <w:rPr>
                <w:rFonts w:ascii="Arial" w:cs="Arial" w:eastAsia="Arial" w:hAnsi="Arial"/>
                <w:sz w:val="14"/>
                <w:szCs w:val="14"/>
                <w:color w:val="auto"/>
              </w:rPr>
              <w:t>Interest Rate</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99"/>
        </w:trPr>
        <w:tc>
          <w:tcPr>
            <w:tcW w:w="6220" w:type="dxa"/>
            <w:vAlign w:val="bottom"/>
          </w:tcPr>
          <w:p>
            <w:pPr>
              <w:spacing w:after="0" w:line="200" w:lineRule="exact"/>
              <w:rPr>
                <w:sz w:val="20"/>
                <w:szCs w:val="20"/>
                <w:color w:val="auto"/>
              </w:rPr>
            </w:pPr>
            <w:r>
              <w:rPr>
                <w:rFonts w:ascii="Arial" w:cs="Arial" w:eastAsia="Arial" w:hAnsi="Arial"/>
                <w:sz w:val="18"/>
                <w:szCs w:val="18"/>
                <w:color w:val="auto"/>
              </w:rPr>
              <w:t>2014</w:t>
            </w:r>
          </w:p>
        </w:tc>
        <w:tc>
          <w:tcPr>
            <w:tcW w:w="432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2.343%</w:t>
            </w:r>
          </w:p>
        </w:tc>
        <w:tc>
          <w:tcPr>
            <w:tcW w:w="3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0" w:lineRule="exact"/>
              <w:rPr>
                <w:sz w:val="20"/>
                <w:szCs w:val="20"/>
                <w:color w:val="auto"/>
              </w:rPr>
            </w:pPr>
            <w:r>
              <w:rPr>
                <w:rFonts w:ascii="Arial" w:cs="Arial" w:eastAsia="Arial" w:hAnsi="Arial"/>
                <w:sz w:val="18"/>
                <w:szCs w:val="18"/>
                <w:color w:val="auto"/>
              </w:rPr>
              <w:t>3,280</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43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5.899%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3,420</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43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4.265%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3,501</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43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6.977%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2,557</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43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4.510%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5,394</w:t>
            </w:r>
          </w:p>
        </w:tc>
      </w:tr>
      <w:tr>
        <w:trPr>
          <w:trHeight w:val="199"/>
        </w:trPr>
        <w:tc>
          <w:tcPr>
            <w:tcW w:w="6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5.451%</w:t>
            </w:r>
          </w:p>
        </w:tc>
        <w:tc>
          <w:tcPr>
            <w:tcW w:w="88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$ 29,695</w:t>
            </w:r>
          </w:p>
        </w:tc>
      </w:tr>
      <w:tr>
        <w:trPr>
          <w:trHeight w:val="370"/>
        </w:trPr>
        <w:tc>
          <w:tcPr>
            <w:tcW w:w="6220" w:type="dxa"/>
            <w:vAlign w:val="bottom"/>
          </w:tcPr>
          <w:p>
            <w:pPr>
              <w:spacing w:after="0"/>
              <w:rPr>
                <w:sz w:val="20"/>
                <w:szCs w:val="20"/>
                <w:color w:val="auto"/>
              </w:rPr>
            </w:pPr>
            <w:r>
              <w:rPr>
                <w:rFonts w:ascii="Arial" w:cs="Arial" w:eastAsia="Arial" w:hAnsi="Arial"/>
                <w:sz w:val="18"/>
                <w:szCs w:val="18"/>
                <w:color w:val="0C6DFF"/>
              </w:rPr>
              <w:t>2013 Debt Borrowings</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
        </w:trPr>
        <w:tc>
          <w:tcPr>
            <w:tcW w:w="622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37"/>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2013 (in millions)</w:t>
            </w:r>
          </w:p>
        </w:tc>
        <w:tc>
          <w:tcPr>
            <w:tcW w:w="4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199"/>
        </w:trPr>
        <w:tc>
          <w:tcPr>
            <w:tcW w:w="6220" w:type="dxa"/>
            <w:vAlign w:val="bottom"/>
          </w:tcPr>
          <w:p>
            <w:pPr>
              <w:spacing w:after="0" w:line="200" w:lineRule="exact"/>
              <w:rPr>
                <w:sz w:val="20"/>
                <w:szCs w:val="20"/>
                <w:color w:val="auto"/>
              </w:rPr>
            </w:pPr>
            <w:r>
              <w:rPr>
                <w:rFonts w:ascii="Arial" w:cs="Arial" w:eastAsia="Arial" w:hAnsi="Arial"/>
                <w:sz w:val="18"/>
                <w:szCs w:val="18"/>
                <w:color w:val="auto"/>
              </w:rPr>
              <w:t>Comcast 4.250% senior notes due 2033</w:t>
            </w:r>
          </w:p>
        </w:tc>
        <w:tc>
          <w:tcPr>
            <w:tcW w:w="4320" w:type="dxa"/>
            <w:vAlign w:val="bottom"/>
          </w:tcPr>
          <w:p>
            <w:pPr>
              <w:spacing w:after="0"/>
              <w:rPr>
                <w:sz w:val="17"/>
                <w:szCs w:val="17"/>
                <w:color w:val="auto"/>
              </w:rPr>
            </w:pPr>
          </w:p>
        </w:tc>
        <w:tc>
          <w:tcPr>
            <w:tcW w:w="8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$ 1,700</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Comcast 2.850% senior notes due 2023</w:t>
            </w:r>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r>
      <w:tr>
        <w:trPr>
          <w:trHeight w:val="199"/>
        </w:trPr>
        <w:tc>
          <w:tcPr>
            <w:tcW w:w="6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Comcast 4.500% senior notes due 2043</w:t>
            </w:r>
          </w:p>
        </w:tc>
        <w:tc>
          <w:tcPr>
            <w:tcW w:w="4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500</w:t>
            </w:r>
          </w:p>
        </w:tc>
      </w:tr>
      <w:tr>
        <w:trPr>
          <w:trHeight w:val="196"/>
        </w:trPr>
        <w:tc>
          <w:tcPr>
            <w:tcW w:w="6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320" w:type="dxa"/>
            <w:vAlign w:val="bottom"/>
            <w:tcBorders>
              <w:bottom w:val="single" w:sz="8" w:color="0C6DFF"/>
            </w:tcBorders>
          </w:tcPr>
          <w:p>
            <w:pPr>
              <w:spacing w:after="0"/>
              <w:rPr>
                <w:sz w:val="17"/>
                <w:szCs w:val="17"/>
                <w:color w:val="auto"/>
              </w:rPr>
            </w:pPr>
          </w:p>
        </w:tc>
        <w:tc>
          <w:tcPr>
            <w:tcW w:w="88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$ 2,950</w:t>
            </w:r>
          </w:p>
        </w:tc>
      </w:tr>
      <w:tr>
        <w:trPr>
          <w:trHeight w:val="370"/>
        </w:trPr>
        <w:tc>
          <w:tcPr>
            <w:tcW w:w="6220" w:type="dxa"/>
            <w:vAlign w:val="bottom"/>
          </w:tcPr>
          <w:p>
            <w:pPr>
              <w:spacing w:after="0"/>
              <w:rPr>
                <w:sz w:val="20"/>
                <w:szCs w:val="20"/>
                <w:color w:val="auto"/>
              </w:rPr>
            </w:pPr>
            <w:r>
              <w:rPr>
                <w:rFonts w:ascii="Arial" w:cs="Arial" w:eastAsia="Arial" w:hAnsi="Arial"/>
                <w:sz w:val="18"/>
                <w:szCs w:val="18"/>
                <w:color w:val="0C6DFF"/>
              </w:rPr>
              <w:t>2013 Debt Repayments and Redemptions</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
        </w:trPr>
        <w:tc>
          <w:tcPr>
            <w:tcW w:w="622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37"/>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2013 (in millions)</w:t>
            </w:r>
          </w:p>
        </w:tc>
        <w:tc>
          <w:tcPr>
            <w:tcW w:w="4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199"/>
        </w:trPr>
        <w:tc>
          <w:tcPr>
            <w:tcW w:w="6220" w:type="dxa"/>
            <w:vAlign w:val="bottom"/>
          </w:tcPr>
          <w:p>
            <w:pPr>
              <w:spacing w:after="0" w:line="200" w:lineRule="exact"/>
              <w:rPr>
                <w:sz w:val="20"/>
                <w:szCs w:val="20"/>
                <w:color w:val="auto"/>
              </w:rPr>
            </w:pPr>
            <w:r>
              <w:rPr>
                <w:rFonts w:ascii="Arial" w:cs="Arial" w:eastAsia="Arial" w:hAnsi="Arial"/>
                <w:sz w:val="18"/>
                <w:szCs w:val="18"/>
                <w:color w:val="auto"/>
              </w:rPr>
              <w:t>Comcast 8.375% senior notes due 2013</w:t>
            </w:r>
          </w:p>
        </w:tc>
        <w:tc>
          <w:tcPr>
            <w:tcW w:w="4320" w:type="dxa"/>
            <w:vAlign w:val="bottom"/>
          </w:tcPr>
          <w:p>
            <w:pPr>
              <w:spacing w:after="0"/>
              <w:rPr>
                <w:sz w:val="17"/>
                <w:szCs w:val="17"/>
                <w:color w:val="auto"/>
              </w:rPr>
            </w:pPr>
          </w:p>
        </w:tc>
        <w:tc>
          <w:tcPr>
            <w:tcW w:w="8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$ 1,714</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Comcast 7.125% senior notes due 2013</w:t>
            </w:r>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383</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Comcast 7.875% senior notes due 2013</w:t>
            </w:r>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r>
      <w:tr>
        <w:trPr>
          <w:trHeight w:val="199"/>
        </w:trPr>
        <w:tc>
          <w:tcPr>
            <w:tcW w:w="62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w:t>
            </w:r>
          </w:p>
        </w:tc>
        <w:tc>
          <w:tcPr>
            <w:tcW w:w="4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109</w:t>
            </w:r>
          </w:p>
        </w:tc>
      </w:tr>
      <w:tr>
        <w:trPr>
          <w:trHeight w:val="196"/>
        </w:trPr>
        <w:tc>
          <w:tcPr>
            <w:tcW w:w="6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320" w:type="dxa"/>
            <w:vAlign w:val="bottom"/>
            <w:tcBorders>
              <w:bottom w:val="single" w:sz="8" w:color="0C6DFF"/>
            </w:tcBorders>
          </w:tcPr>
          <w:p>
            <w:pPr>
              <w:spacing w:after="0"/>
              <w:rPr>
                <w:sz w:val="17"/>
                <w:szCs w:val="17"/>
                <w:color w:val="auto"/>
              </w:rPr>
            </w:pPr>
          </w:p>
        </w:tc>
        <w:tc>
          <w:tcPr>
            <w:tcW w:w="88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$ 2,444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Transaction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Redemption Transaction resulted in the consolidation of an additional $4 billion aggregate principal amount of senior notes issued by NBCUniversal Enterprise and $1.25 billion of borrowings under the NBCUniversal Enterprise credit facility. The total consideration for the Redemption Transaction also included $750 million of cash funded through our commercial paper program.</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NBCUniversal Enterprise senior notes are comprised of $1.1 billion aggregate principal amount of 1.662% senior notes due 2018, $1.5 billion aggregate principal amount of 1.974% senior notes due 2019, $700 million aggregate principal amount of floating rate senior notes due 2016 and $700 million aggregate principal amount of floating rate senior notes due 2018. The floating rate senior notes due 2016 and 2018 will accrue interest for each quarterly interest period at a rate equal to three-month London Interbank Offered Rate (“LIBOR”) plus 0.537% and 0.685%, respectively.</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March 19, 2013, NBCUniversal Enterprise amended and restated the existing credit agreement of NBCUniversal to, among other things, substitute NBCUniversal Enterprise for NBCUniversal as the sole borrower, reduce the borrowing capacity of the facility from $1.5 billion to $1.35 billion, extend the term of the facility to March 2018 and revise the interest rate on borrowings. The interest rate on the credit facility consists of 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base rate plus a borrowing margin that is determined based on our credit rating. Following the amendments to this credit agreement, NBCUniversal’s commercial paper program was terminated. As of December 31, 2013, $1.25 billion was outstanding under this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Revolving Credit Facilities</w:t>
      </w:r>
    </w:p>
    <w:p>
      <w:pPr>
        <w:jc w:val="both"/>
        <w:spacing w:after="0" w:line="236" w:lineRule="auto"/>
        <w:rPr>
          <w:sz w:val="20"/>
          <w:szCs w:val="20"/>
          <w:color w:val="auto"/>
        </w:rPr>
      </w:pPr>
      <w:r>
        <w:rPr>
          <w:rFonts w:ascii="Arial" w:cs="Arial" w:eastAsia="Arial" w:hAnsi="Arial"/>
          <w:sz w:val="18"/>
          <w:szCs w:val="18"/>
          <w:color w:val="auto"/>
        </w:rPr>
        <w:t>As of December 31, 2013, Comcast and Comcast Cable Communications, LLC had a $6.25 billion revolving credit facility due June 2017 with a syndicate of banks. The interest rate on this facility consists of a base rate plus a borrowing margin that is determined based on our credit rating. As of December 31, 2013, the borrowing margin for LIBOR-based borrowings was 1.00%. This revolving credit facility requires that we maintain certain financial ratios based on our debt and our operating income before depreciation and amortization, as defined in the credit facility. We were in compliance with all financial covenants for all periods presented.</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of December 31, 2013, amounts available under our consolidated credit facilities, net of amounts outstanding under our commercial paper program and outstanding letters of credit, totaled $4.7 billion, which included $100 million available under NBCUniversal Enterprise’s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0C6DFF"/>
        </w:rPr>
        <w:t>Commercial Paper Program</w:t>
      </w:r>
    </w:p>
    <w:p>
      <w:pPr>
        <w:jc w:val="both"/>
        <w:spacing w:after="0" w:line="238" w:lineRule="auto"/>
        <w:rPr>
          <w:sz w:val="20"/>
          <w:szCs w:val="20"/>
          <w:color w:val="auto"/>
        </w:rPr>
      </w:pPr>
      <w:r>
        <w:rPr>
          <w:rFonts w:ascii="Arial" w:cs="Arial" w:eastAsia="Arial" w:hAnsi="Arial"/>
          <w:sz w:val="18"/>
          <w:szCs w:val="18"/>
          <w:color w:val="auto"/>
        </w:rPr>
        <w:t>Our commercial paper program provides a lower cost source of borrowing to fund our short-term working capital requirements and is supported by our $6.25 billion revolving credit facility due June 2017. In September 2013, we increased the borrowing capacity of our commercial paper program from $2.25 billion to $6.25 billion.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Letters of Credit</w:t>
      </w:r>
    </w:p>
    <w:p>
      <w:pPr>
        <w:jc w:val="both"/>
        <w:spacing w:after="0" w:line="239" w:lineRule="auto"/>
        <w:rPr>
          <w:sz w:val="20"/>
          <w:szCs w:val="20"/>
          <w:color w:val="auto"/>
        </w:rPr>
      </w:pPr>
      <w:r>
        <w:rPr>
          <w:rFonts w:ascii="Arial" w:cs="Arial" w:eastAsia="Arial" w:hAnsi="Arial"/>
          <w:sz w:val="18"/>
          <w:szCs w:val="18"/>
          <w:color w:val="auto"/>
        </w:rPr>
        <w:t>As of December 31, 2013, we and certain of our subsidiaries had unused irrevocable standby letters of credit totaling $515 million to cover potential fundings under various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The levels of the hierarchy are described below.</w:t>
      </w:r>
    </w:p>
    <w:p>
      <w:pPr>
        <w:spacing w:after="0" w:line="114" w:lineRule="exact"/>
        <w:rPr>
          <w:sz w:val="20"/>
          <w:szCs w:val="20"/>
          <w:color w:val="auto"/>
        </w:rPr>
      </w:pPr>
    </w:p>
    <w:p>
      <w:pPr>
        <w:ind w:left="1020" w:right="1240" w:hanging="215"/>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Consists of financial instruments whose values are based on quoted market prices for identical financial instruments in an active market.</w:t>
      </w:r>
    </w:p>
    <w:p>
      <w:pPr>
        <w:spacing w:after="0" w:line="114" w:lineRule="exact"/>
        <w:rPr>
          <w:rFonts w:ascii="Arial" w:cs="Arial" w:eastAsia="Arial" w:hAnsi="Arial"/>
          <w:sz w:val="18"/>
          <w:szCs w:val="18"/>
          <w:color w:val="auto"/>
        </w:rPr>
      </w:pPr>
    </w:p>
    <w:p>
      <w:pPr>
        <w:jc w:val="both"/>
        <w:ind w:left="1020" w:right="1240" w:hanging="215"/>
        <w:spacing w:after="0" w:line="23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Consists of financial instruments that are valued using models or other valuation methodologies. These models use inputs that are observable either directly or indirectly. Level 2 inputs include (i) quoted prices for similar assets or liabilities in active markets, (ii) quoted prices for identical or similar assets or liabilities in markets that are not active, (iii) pricing models whose inputs are observable for substantially the full term of the financial instrument and (iv) pricing models whose inputs are derived primarily from or corroborated by observable market data through correlation or other means for substantially the full term of the financial instrument.</w:t>
      </w:r>
    </w:p>
    <w:p>
      <w:pPr>
        <w:spacing w:after="0" w:line="115"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101</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assessment of the significance of a particular input to the fair value measurement requires judgment and may affect the valuation of financial instruments and their classification within the fair value hierarchy. Financial instruments are classified in their entirety based on the lowest level of input that is significant to the fair value measurement. There have been no changes in the classification of any financial instruments within the fair value hierarchy in the periods presented. Our financial instruments that are accounted for at fair value on a recurring basis are presented in the table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314"/>
              <w:spacing w:after="0"/>
              <w:rPr>
                <w:sz w:val="20"/>
                <w:szCs w:val="20"/>
                <w:color w:val="auto"/>
              </w:rPr>
            </w:pPr>
            <w:r>
              <w:rPr>
                <w:rFonts w:ascii="Arial" w:cs="Arial" w:eastAsia="Arial" w:hAnsi="Arial"/>
                <w:sz w:val="14"/>
                <w:szCs w:val="14"/>
                <w:b w:val="1"/>
                <w:bCs w:val="1"/>
                <w:color w:val="auto"/>
              </w:rPr>
              <w:t>Fair Value as of December 31, 2013</w:t>
            </w: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334"/>
              <w:spacing w:after="0"/>
              <w:rPr>
                <w:sz w:val="20"/>
                <w:szCs w:val="20"/>
                <w:color w:val="auto"/>
              </w:rPr>
            </w:pPr>
            <w:r>
              <w:rPr>
                <w:rFonts w:ascii="Arial" w:cs="Arial" w:eastAsia="Arial" w:hAnsi="Arial"/>
                <w:sz w:val="14"/>
                <w:szCs w:val="14"/>
                <w:color w:val="auto"/>
              </w:rPr>
              <w:t>Fair Value as of December 31, 2012</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Level 2</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Level 3</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Level 1</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Level 2</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Level 3</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9"/>
        </w:trPr>
        <w:tc>
          <w:tcPr>
            <w:tcW w:w="538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3,956</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$ 3,956</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tcPr>
          <w:p>
            <w:pPr>
              <w:spacing w:after="0" w:line="181" w:lineRule="exact"/>
              <w:rPr>
                <w:sz w:val="20"/>
                <w:szCs w:val="20"/>
                <w:color w:val="auto"/>
              </w:rPr>
            </w:pPr>
            <w:r>
              <w:rPr>
                <w:rFonts w:ascii="Arial" w:cs="Arial" w:eastAsia="Arial" w:hAnsi="Arial"/>
                <w:sz w:val="18"/>
                <w:szCs w:val="18"/>
                <w:color w:val="auto"/>
              </w:rPr>
              <w:t>Trading securities</w:t>
            </w: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4,027</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$ 4,027</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118</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389</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4,216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308</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12</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$ 4,536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4,394</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23</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$ 4,739</w:t>
            </w:r>
          </w:p>
        </w:tc>
        <w:tc>
          <w:tcPr>
            <w:tcW w:w="0" w:type="dxa"/>
            <w:vAlign w:val="bottom"/>
          </w:tcPr>
          <w:p>
            <w:pPr>
              <w:spacing w:after="0"/>
              <w:rPr>
                <w:sz w:val="1"/>
                <w:szCs w:val="1"/>
                <w:color w:val="auto"/>
              </w:rPr>
            </w:pPr>
          </w:p>
        </w:tc>
      </w:tr>
      <w:tr>
        <w:trPr>
          <w:trHeight w:val="199"/>
        </w:trPr>
        <w:tc>
          <w:tcPr>
            <w:tcW w:w="53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Derivative component of prepaid forward sale agreements and</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2,816</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$ 2,816</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380" w:type="dxa"/>
            <w:vAlign w:val="bottom"/>
          </w:tcPr>
          <w:p>
            <w:pPr>
              <w:ind w:left="220"/>
              <w:spacing w:after="0" w:line="181" w:lineRule="exact"/>
              <w:rPr>
                <w:sz w:val="20"/>
                <w:szCs w:val="20"/>
                <w:color w:val="auto"/>
              </w:rPr>
            </w:pPr>
            <w:r>
              <w:rPr>
                <w:rFonts w:ascii="Arial" w:cs="Arial" w:eastAsia="Arial" w:hAnsi="Arial"/>
                <w:sz w:val="18"/>
                <w:szCs w:val="18"/>
                <w:color w:val="auto"/>
              </w:rPr>
              <w:t>indexed debt instruments</w:t>
            </w: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2,305</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1" w:lineRule="exact"/>
              <w:rPr>
                <w:sz w:val="20"/>
                <w:szCs w:val="20"/>
                <w:color w:val="auto"/>
              </w:rPr>
            </w:pPr>
            <w:r>
              <w:rPr>
                <w:rFonts w:ascii="Arial" w:cs="Arial" w:eastAsia="Arial" w:hAnsi="Arial"/>
                <w:sz w:val="18"/>
                <w:szCs w:val="18"/>
                <w:color w:val="auto"/>
              </w:rPr>
              <w:t>$ 2,305</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Contractual obligations</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747</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747</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7"/>
              </w:rPr>
              <w:t>1,055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684</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684</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2,832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1,431</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$ 4,263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2,319</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7"/>
              </w:rPr>
              <w:t>1,642</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$ 3,961</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Consideration</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fair values of the contractual obligations and contingent consideration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NBCUniversal entities, which are related to our contractual obligations, and future net tax benefits that will affect payments to GE, which are related to contingent consideration. The discount rates used in the measurements of fair value were between 5% and 13% and are based on the underlying risk associated with our estimate of future revenue, as well as the terms of the respective contracts, and the uncertainty in the timing of our payments to GE. The fair value adjustments to contractual obligations and contingent consideration are sensitive to the assumptions related to future revenue and tax benefits, respectively, as well as to current interest rates, and therefore, the adjustments are recorded to other income (expense), net in our consolidated statement of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Changes in Contractual Obligations and Contingent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Borders>
              <w:top w:val="single" w:sz="8" w:color="auto"/>
            </w:tcBorders>
          </w:tcPr>
          <w:p>
            <w:pPr>
              <w:spacing w:after="0"/>
              <w:rPr>
                <w:sz w:val="14"/>
                <w:szCs w:val="14"/>
                <w:color w:val="auto"/>
              </w:rPr>
            </w:pPr>
          </w:p>
        </w:tc>
        <w:tc>
          <w:tcPr>
            <w:tcW w:w="3140" w:type="dxa"/>
            <w:vAlign w:val="bottom"/>
            <w:tcBorders>
              <w:top w:val="single" w:sz="8" w:color="auto"/>
            </w:tcBorders>
            <w:gridSpan w:val="2"/>
          </w:tcPr>
          <w:p>
            <w:pPr>
              <w:ind w:left="2300"/>
              <w:spacing w:after="0"/>
              <w:rPr>
                <w:sz w:val="20"/>
                <w:szCs w:val="20"/>
                <w:color w:val="auto"/>
              </w:rPr>
            </w:pPr>
            <w:r>
              <w:rPr>
                <w:rFonts w:ascii="Arial" w:cs="Arial" w:eastAsia="Arial" w:hAnsi="Arial"/>
                <w:sz w:val="14"/>
                <w:szCs w:val="14"/>
                <w:color w:val="auto"/>
              </w:rPr>
              <w:t>Contractual</w:t>
            </w: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color w:val="auto"/>
              </w:rPr>
              <w:t>Contingent</w:t>
            </w:r>
          </w:p>
        </w:tc>
      </w:tr>
      <w:tr>
        <w:trPr>
          <w:trHeight w:val="149"/>
        </w:trPr>
        <w:tc>
          <w:tcPr>
            <w:tcW w:w="72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3140" w:type="dxa"/>
            <w:vAlign w:val="bottom"/>
            <w:tcBorders>
              <w:bottom w:val="single" w:sz="8" w:color="auto"/>
            </w:tcBorders>
            <w:gridSpan w:val="2"/>
          </w:tcPr>
          <w:p>
            <w:pPr>
              <w:ind w:left="2320"/>
              <w:spacing w:after="0" w:line="149" w:lineRule="exact"/>
              <w:rPr>
                <w:sz w:val="20"/>
                <w:szCs w:val="20"/>
                <w:color w:val="auto"/>
              </w:rPr>
            </w:pPr>
            <w:r>
              <w:rPr>
                <w:rFonts w:ascii="Arial" w:cs="Arial" w:eastAsia="Arial" w:hAnsi="Arial"/>
                <w:sz w:val="14"/>
                <w:szCs w:val="14"/>
                <w:color w:val="auto"/>
              </w:rPr>
              <w:t>Obligations</w:t>
            </w:r>
          </w:p>
        </w:tc>
        <w:tc>
          <w:tcPr>
            <w:tcW w:w="102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Consideration</w:t>
            </w:r>
          </w:p>
        </w:tc>
      </w:tr>
      <w:tr>
        <w:trPr>
          <w:trHeight w:val="199"/>
        </w:trPr>
        <w:tc>
          <w:tcPr>
            <w:tcW w:w="7260" w:type="dxa"/>
            <w:vAlign w:val="bottom"/>
          </w:tcPr>
          <w:p>
            <w:pPr>
              <w:spacing w:after="0" w:line="200" w:lineRule="exact"/>
              <w:rPr>
                <w:sz w:val="20"/>
                <w:szCs w:val="20"/>
                <w:color w:val="auto"/>
              </w:rPr>
            </w:pPr>
            <w:r>
              <w:rPr>
                <w:rFonts w:ascii="Arial" w:cs="Arial" w:eastAsia="Arial" w:hAnsi="Arial"/>
                <w:sz w:val="18"/>
                <w:szCs w:val="18"/>
                <w:color w:val="auto"/>
              </w:rPr>
              <w:t>Balance, December 31, 2012</w:t>
            </w:r>
          </w:p>
        </w:tc>
        <w:tc>
          <w:tcPr>
            <w:tcW w:w="2480" w:type="dxa"/>
            <w:vAlign w:val="bottom"/>
          </w:tcPr>
          <w:p>
            <w:pPr>
              <w:ind w:left="2300"/>
              <w:spacing w:after="0" w:line="200"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1,055</w:t>
            </w:r>
          </w:p>
        </w:tc>
        <w:tc>
          <w:tcPr>
            <w:tcW w:w="22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line="200" w:lineRule="exact"/>
              <w:rPr>
                <w:sz w:val="20"/>
                <w:szCs w:val="20"/>
                <w:color w:val="auto"/>
              </w:rPr>
            </w:pPr>
            <w:r>
              <w:rPr>
                <w:rFonts w:ascii="Arial" w:cs="Arial" w:eastAsia="Arial" w:hAnsi="Arial"/>
                <w:sz w:val="18"/>
                <w:szCs w:val="18"/>
                <w:color w:val="auto"/>
              </w:rPr>
              <w:t>587</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2480" w:type="dxa"/>
            <w:vAlign w:val="bottom"/>
          </w:tcPr>
          <w:p>
            <w:pPr>
              <w:spacing w:after="0"/>
              <w:rPr>
                <w:sz w:val="17"/>
                <w:szCs w:val="17"/>
                <w:color w:val="auto"/>
              </w:rPr>
            </w:pPr>
          </w:p>
        </w:tc>
        <w:tc>
          <w:tcPr>
            <w:tcW w:w="6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106</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2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Redemption Transaction (see Note 4 for additional information)</w:t>
            </w:r>
          </w:p>
        </w:tc>
        <w:tc>
          <w:tcPr>
            <w:tcW w:w="2480" w:type="dxa"/>
            <w:vAlign w:val="bottom"/>
          </w:tcPr>
          <w:p>
            <w:pPr>
              <w:spacing w:after="0"/>
              <w:rPr>
                <w:sz w:val="17"/>
                <w:szCs w:val="17"/>
                <w:color w:val="auto"/>
              </w:rPr>
            </w:pPr>
          </w:p>
        </w:tc>
        <w:tc>
          <w:tcPr>
            <w:tcW w:w="6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205</w:t>
            </w:r>
          </w:p>
        </w:tc>
      </w:tr>
      <w:tr>
        <w:trPr>
          <w:trHeight w:val="199"/>
        </w:trPr>
        <w:tc>
          <w:tcPr>
            <w:tcW w:w="72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Liberty Media transaction (see Note 6 for additional information)</w:t>
            </w:r>
          </w:p>
        </w:tc>
        <w:tc>
          <w:tcPr>
            <w:tcW w:w="2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r>
      <w:tr>
        <w:trPr>
          <w:trHeight w:val="196"/>
        </w:trPr>
        <w:tc>
          <w:tcPr>
            <w:tcW w:w="72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2480" w:type="dxa"/>
            <w:vAlign w:val="bottom"/>
            <w:tcBorders>
              <w:bottom w:val="single" w:sz="8" w:color="0C6DFF"/>
            </w:tcBorders>
          </w:tcPr>
          <w:p>
            <w:pPr>
              <w:ind w:left="230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747</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684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and stage play production costs of $167 million and $161 million were recorded in 2013 and 2012,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and redeemable subsidiary preferred stock.” Noncontrolling interests that do not contain such redemption features are presented in equity.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acquired GE’s remaining 49% common equity interest in NBCUniversal Holdings, which had previously been presented as a redeemable noncontrolling interest in our consolidated balance sheet. See Note 4 for additional information on the Redemption Transaction. The difference between the consideration transferred and the recorded value of GE’s 49% redeemable noncontrolling common equity interest, as well as the related tax impacts, were recorded to additional paid-in capital. The table below includes the impact of the Redemption Transaction on our changes in equity.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C6DFF"/>
        </w:rPr>
        <w:t>Changes in Equity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color w:val="auto"/>
              </w:rPr>
              <w:t>Net income attributable to Comcast Corporation</w:t>
            </w:r>
          </w:p>
        </w:tc>
        <w:tc>
          <w:tcPr>
            <w:tcW w:w="3280" w:type="dxa"/>
            <w:vAlign w:val="bottom"/>
          </w:tcPr>
          <w:p>
            <w:pPr>
              <w:spacing w:after="0"/>
              <w:rPr>
                <w:sz w:val="17"/>
                <w:szCs w:val="17"/>
                <w:color w:val="auto"/>
              </w:rPr>
            </w:pPr>
          </w:p>
        </w:tc>
        <w:tc>
          <w:tcPr>
            <w:tcW w:w="840" w:type="dxa"/>
            <w:vAlign w:val="bottom"/>
          </w:tcPr>
          <w:p>
            <w:pPr>
              <w:jc w:val="right"/>
              <w:ind w:right="16"/>
              <w:spacing w:after="0" w:line="200" w:lineRule="exact"/>
              <w:rPr>
                <w:sz w:val="20"/>
                <w:szCs w:val="20"/>
                <w:color w:val="auto"/>
              </w:rPr>
            </w:pPr>
            <w:r>
              <w:rPr>
                <w:rFonts w:ascii="Arial" w:cs="Arial" w:eastAsia="Arial" w:hAnsi="Arial"/>
                <w:sz w:val="18"/>
                <w:szCs w:val="18"/>
                <w:b w:val="1"/>
                <w:bCs w:val="1"/>
                <w:color w:val="auto"/>
              </w:rPr>
              <w:t>$ 6,816</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Transfers from (to) noncontrolling interests:</w:t>
            </w:r>
          </w:p>
        </w:tc>
        <w:tc>
          <w:tcPr>
            <w:tcW w:w="3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58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8"/>
              </w:rPr>
              <w:t>Decrease in Comcast Corporation additional paid-in capital resulting from the purchase of GE’s redeemable noncontrolling common</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(1,651)</w:t>
            </w:r>
          </w:p>
        </w:tc>
        <w:tc>
          <w:tcPr>
            <w:tcW w:w="0" w:type="dxa"/>
            <w:vAlign w:val="bottom"/>
          </w:tcPr>
          <w:p>
            <w:pPr>
              <w:spacing w:after="0"/>
              <w:rPr>
                <w:sz w:val="1"/>
                <w:szCs w:val="1"/>
                <w:color w:val="auto"/>
              </w:rPr>
            </w:pPr>
          </w:p>
        </w:tc>
      </w:tr>
      <w:tr>
        <w:trPr>
          <w:trHeight w:val="181"/>
        </w:trPr>
        <w:tc>
          <w:tcPr>
            <w:tcW w:w="7300" w:type="dxa"/>
            <w:vAlign w:val="bottom"/>
          </w:tcPr>
          <w:p>
            <w:pPr>
              <w:ind w:left="440"/>
              <w:spacing w:after="0" w:line="181" w:lineRule="exact"/>
              <w:rPr>
                <w:sz w:val="20"/>
                <w:szCs w:val="20"/>
                <w:color w:val="auto"/>
              </w:rPr>
            </w:pPr>
            <w:r>
              <w:rPr>
                <w:rFonts w:ascii="Arial" w:cs="Arial" w:eastAsia="Arial" w:hAnsi="Arial"/>
                <w:sz w:val="18"/>
                <w:szCs w:val="18"/>
                <w:color w:val="auto"/>
              </w:rPr>
              <w:t>equity interest</w:t>
            </w:r>
          </w:p>
        </w:tc>
        <w:tc>
          <w:tcPr>
            <w:tcW w:w="32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196"/>
        </w:trPr>
        <w:tc>
          <w:tcPr>
            <w:tcW w:w="105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Changes in equity resulting from net income attributable to Comcast Corporation and transfers from (to) noncontrolling interests</w:t>
            </w:r>
          </w:p>
        </w:tc>
        <w:tc>
          <w:tcPr>
            <w:tcW w:w="84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$ 5,139</w:t>
            </w:r>
          </w:p>
        </w:tc>
        <w:tc>
          <w:tcPr>
            <w:tcW w:w="0" w:type="dxa"/>
            <w:vAlign w:val="bottom"/>
          </w:tcPr>
          <w:p>
            <w:pPr>
              <w:spacing w:after="0"/>
              <w:rPr>
                <w:sz w:val="1"/>
                <w:szCs w:val="1"/>
                <w:color w:val="auto"/>
              </w:rPr>
            </w:pP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103</w:t>
            </w:r>
          </w:p>
        </w:tc>
        <w:tc>
          <w:tcPr>
            <w:tcW w:w="4120" w:type="dxa"/>
            <w:vAlign w:val="bottom"/>
            <w:gridSpan w:val="2"/>
          </w:tcPr>
          <w:p>
            <w:pPr>
              <w:jc w:val="right"/>
              <w:spacing w:after="0"/>
              <w:rPr>
                <w:sz w:val="20"/>
                <w:szCs w:val="20"/>
                <w:color w:val="auto"/>
              </w:rPr>
            </w:pPr>
            <w:r>
              <w:rPr>
                <w:rFonts w:ascii="Arial" w:cs="Arial" w:eastAsia="Arial" w:hAnsi="Arial"/>
                <w:sz w:val="14"/>
                <w:szCs w:val="14"/>
                <w:color w:val="auto"/>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2011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1300" w:type="dxa"/>
            <w:vAlign w:val="bottom"/>
            <w:gridSpan w:val="2"/>
          </w:tcPr>
          <w:p>
            <w:pPr>
              <w:jc w:val="right"/>
              <w:ind w:right="197"/>
              <w:spacing w:after="0" w:line="125" w:lineRule="exact"/>
              <w:rPr>
                <w:sz w:val="20"/>
                <w:szCs w:val="20"/>
                <w:color w:val="auto"/>
              </w:rPr>
            </w:pPr>
            <w:r>
              <w:rPr>
                <w:rFonts w:ascii="Arial" w:cs="Arial" w:eastAsia="Arial" w:hAnsi="Arial"/>
                <w:sz w:val="14"/>
                <w:szCs w:val="14"/>
                <w:b w:val="1"/>
                <w:bCs w:val="1"/>
                <w:color w:val="auto"/>
              </w:rPr>
              <w:t>Postretirement</w:t>
            </w:r>
          </w:p>
        </w:tc>
        <w:tc>
          <w:tcPr>
            <w:tcW w:w="14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b w:val="1"/>
                <w:bCs w:val="1"/>
                <w:color w:val="auto"/>
              </w:rPr>
              <w:t>Pension</w:t>
            </w:r>
          </w:p>
        </w:tc>
        <w:tc>
          <w:tcPr>
            <w:tcW w:w="1180" w:type="dxa"/>
            <w:vAlign w:val="bottom"/>
            <w:gridSpan w:val="2"/>
          </w:tcPr>
          <w:p>
            <w:pPr>
              <w:jc w:val="right"/>
              <w:ind w:right="137"/>
              <w:spacing w:after="0" w:line="125" w:lineRule="exact"/>
              <w:rPr>
                <w:sz w:val="20"/>
                <w:szCs w:val="20"/>
                <w:color w:val="auto"/>
              </w:rPr>
            </w:pPr>
            <w:r>
              <w:rPr>
                <w:rFonts w:ascii="Arial" w:cs="Arial" w:eastAsia="Arial" w:hAnsi="Arial"/>
                <w:sz w:val="14"/>
                <w:szCs w:val="14"/>
                <w:color w:val="auto"/>
              </w:rPr>
              <w:t>Postretirement</w:t>
            </w:r>
          </w:p>
        </w:tc>
        <w:tc>
          <w:tcPr>
            <w:tcW w:w="18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1180" w:type="dxa"/>
            <w:vAlign w:val="bottom"/>
            <w:gridSpan w:val="2"/>
          </w:tcPr>
          <w:p>
            <w:pPr>
              <w:jc w:val="right"/>
              <w:ind w:right="137"/>
              <w:spacing w:after="0" w:line="125" w:lineRule="exact"/>
              <w:rPr>
                <w:sz w:val="20"/>
                <w:szCs w:val="20"/>
                <w:color w:val="auto"/>
              </w:rPr>
            </w:pPr>
            <w:r>
              <w:rPr>
                <w:rFonts w:ascii="Arial" w:cs="Arial" w:eastAsia="Arial" w:hAnsi="Arial"/>
                <w:sz w:val="14"/>
                <w:szCs w:val="14"/>
                <w:color w:val="auto"/>
              </w:rPr>
              <w:t>Postretirement</w:t>
            </w:r>
          </w:p>
        </w:tc>
        <w:tc>
          <w:tcPr>
            <w:tcW w:w="180" w:type="dxa"/>
            <w:vAlign w:val="bottom"/>
          </w:tcPr>
          <w:p>
            <w:pPr>
              <w:spacing w:after="0"/>
              <w:rPr>
                <w:sz w:val="10"/>
                <w:szCs w:val="10"/>
                <w:color w:val="auto"/>
              </w:rPr>
            </w:pPr>
          </w:p>
        </w:tc>
        <w:tc>
          <w:tcPr>
            <w:tcW w:w="1000" w:type="dxa"/>
            <w:vAlign w:val="bottom"/>
          </w:tcPr>
          <w:p>
            <w:pPr>
              <w:jc w:val="right"/>
              <w:ind w:right="137"/>
              <w:spacing w:after="0" w:line="125"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Benefits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97"/>
              <w:spacing w:after="0" w:line="177" w:lineRule="exact"/>
              <w:rPr>
                <w:sz w:val="20"/>
                <w:szCs w:val="20"/>
                <w:color w:val="auto"/>
              </w:rPr>
            </w:pPr>
            <w:r>
              <w:rPr>
                <w:rFonts w:ascii="Arial" w:cs="Arial" w:eastAsia="Arial" w:hAnsi="Arial"/>
                <w:sz w:val="18"/>
                <w:szCs w:val="18"/>
                <w:b w:val="1"/>
                <w:bCs w:val="1"/>
                <w:color w:val="auto"/>
              </w:rPr>
              <w:t>633</w:t>
            </w:r>
          </w:p>
        </w:tc>
        <w:tc>
          <w:tcPr>
            <w:tcW w:w="1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498</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703</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805</w:t>
            </w:r>
          </w:p>
        </w:tc>
        <w:tc>
          <w:tcPr>
            <w:tcW w:w="320" w:type="dxa"/>
            <w:vAlign w:val="bottom"/>
          </w:tcPr>
          <w:p>
            <w:pPr>
              <w:jc w:val="right"/>
              <w:ind w:right="82"/>
              <w:spacing w:after="0" w:line="177"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618</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3"/>
        </w:trPr>
        <w:tc>
          <w:tcPr>
            <w:tcW w:w="426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220" w:type="dxa"/>
            <w:vAlign w:val="bottom"/>
          </w:tcPr>
          <w:p>
            <w:pPr>
              <w:spacing w:after="0"/>
              <w:rPr>
                <w:sz w:val="17"/>
                <w:szCs w:val="17"/>
                <w:color w:val="auto"/>
              </w:rPr>
            </w:pPr>
          </w:p>
        </w:tc>
        <w:tc>
          <w:tcPr>
            <w:tcW w:w="1080" w:type="dxa"/>
            <w:vAlign w:val="bottom"/>
          </w:tcPr>
          <w:p>
            <w:pPr>
              <w:jc w:val="right"/>
              <w:ind w:right="197"/>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220</w:t>
            </w:r>
          </w:p>
        </w:tc>
        <w:tc>
          <w:tcPr>
            <w:tcW w:w="32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403</w:t>
            </w:r>
          </w:p>
        </w:tc>
        <w:tc>
          <w:tcPr>
            <w:tcW w:w="320" w:type="dxa"/>
            <w:vAlign w:val="bottom"/>
          </w:tcPr>
          <w:p>
            <w:pPr>
              <w:spacing w:after="0"/>
              <w:rPr>
                <w:sz w:val="17"/>
                <w:szCs w:val="17"/>
                <w:color w:val="auto"/>
              </w:rPr>
            </w:pPr>
          </w:p>
        </w:tc>
        <w:tc>
          <w:tcPr>
            <w:tcW w:w="8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220" w:type="dxa"/>
            <w:vAlign w:val="bottom"/>
          </w:tcPr>
          <w:p>
            <w:pPr>
              <w:spacing w:after="0"/>
              <w:rPr>
                <w:sz w:val="19"/>
                <w:szCs w:val="19"/>
                <w:color w:val="auto"/>
              </w:rPr>
            </w:pPr>
          </w:p>
        </w:tc>
        <w:tc>
          <w:tcPr>
            <w:tcW w:w="1080" w:type="dxa"/>
            <w:vAlign w:val="bottom"/>
          </w:tcPr>
          <w:p>
            <w:pPr>
              <w:jc w:val="right"/>
              <w:ind w:right="137"/>
              <w:spacing w:after="0"/>
              <w:rPr>
                <w:sz w:val="20"/>
                <w:szCs w:val="20"/>
                <w:color w:val="auto"/>
              </w:rPr>
            </w:pPr>
            <w:r>
              <w:rPr>
                <w:rFonts w:ascii="Arial" w:cs="Arial" w:eastAsia="Arial" w:hAnsi="Arial"/>
                <w:sz w:val="18"/>
                <w:szCs w:val="18"/>
                <w:b w:val="1"/>
                <w:bCs w:val="1"/>
                <w:color w:val="auto"/>
              </w:rPr>
              <w:t>(633)</w:t>
            </w:r>
          </w:p>
        </w:tc>
        <w:tc>
          <w:tcPr>
            <w:tcW w:w="14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(402)</w:t>
            </w:r>
          </w:p>
        </w:tc>
        <w:tc>
          <w:tcPr>
            <w:tcW w:w="320" w:type="dxa"/>
            <w:vAlign w:val="bottom"/>
          </w:tcPr>
          <w:p>
            <w:pPr>
              <w:spacing w:after="0"/>
              <w:rPr>
                <w:sz w:val="19"/>
                <w:szCs w:val="19"/>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9"/>
                <w:szCs w:val="19"/>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Portion of benefit obligation not yet recognized in</w:t>
            </w:r>
          </w:p>
        </w:tc>
        <w:tc>
          <w:tcPr>
            <w:tcW w:w="220" w:type="dxa"/>
            <w:vAlign w:val="bottom"/>
          </w:tcPr>
          <w:p>
            <w:pPr>
              <w:spacing w:after="0"/>
              <w:rPr>
                <w:sz w:val="17"/>
                <w:szCs w:val="17"/>
                <w:color w:val="auto"/>
              </w:rPr>
            </w:pPr>
          </w:p>
        </w:tc>
        <w:tc>
          <w:tcPr>
            <w:tcW w:w="108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(110)</w:t>
            </w:r>
          </w:p>
        </w:tc>
        <w:tc>
          <w:tcPr>
            <w:tcW w:w="140" w:type="dxa"/>
            <w:vAlign w:val="bottom"/>
          </w:tcPr>
          <w:p>
            <w:pPr>
              <w:spacing w:after="0"/>
              <w:rPr>
                <w:sz w:val="17"/>
                <w:szCs w:val="17"/>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60" w:type="dxa"/>
            <w:vAlign w:val="bottom"/>
          </w:tcPr>
          <w:p>
            <w:pPr>
              <w:ind w:left="220"/>
              <w:spacing w:after="0" w:line="181" w:lineRule="exact"/>
              <w:rPr>
                <w:sz w:val="20"/>
                <w:szCs w:val="20"/>
                <w:color w:val="auto"/>
              </w:rPr>
            </w:pPr>
            <w:r>
              <w:rPr>
                <w:rFonts w:ascii="Arial" w:cs="Arial" w:eastAsia="Arial" w:hAnsi="Arial"/>
                <w:sz w:val="18"/>
                <w:szCs w:val="18"/>
                <w:color w:val="auto"/>
              </w:rPr>
              <w:t>benefits expense</w:t>
            </w: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5"/>
                <w:szCs w:val="15"/>
                <w:color w:val="auto"/>
              </w:rPr>
            </w:pPr>
          </w:p>
        </w:tc>
        <w:tc>
          <w:tcPr>
            <w:tcW w:w="100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151</w:t>
            </w:r>
          </w:p>
        </w:tc>
        <w:tc>
          <w:tcPr>
            <w:tcW w:w="320" w:type="dxa"/>
            <w:vAlign w:val="bottom"/>
          </w:tcPr>
          <w:p>
            <w:pPr>
              <w:spacing w:after="0"/>
              <w:rPr>
                <w:sz w:val="15"/>
                <w:szCs w:val="15"/>
                <w:color w:val="auto"/>
              </w:rPr>
            </w:pPr>
          </w:p>
        </w:tc>
        <w:tc>
          <w:tcPr>
            <w:tcW w:w="860" w:type="dxa"/>
            <w:vAlign w:val="bottom"/>
          </w:tcPr>
          <w:p>
            <w:pPr>
              <w:jc w:val="right"/>
              <w:ind w:right="77"/>
              <w:spacing w:after="0" w:line="181"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5"/>
                <w:szCs w:val="15"/>
                <w:color w:val="auto"/>
              </w:rPr>
            </w:pPr>
          </w:p>
        </w:tc>
        <w:tc>
          <w:tcPr>
            <w:tcW w:w="100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65</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15"/>
                <w:szCs w:val="15"/>
                <w:color w:val="auto"/>
              </w:rPr>
            </w:pPr>
          </w:p>
        </w:tc>
        <w:tc>
          <w:tcPr>
            <w:tcW w:w="10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5.00-5.25%</w:t>
            </w:r>
          </w:p>
        </w:tc>
        <w:tc>
          <w:tcPr>
            <w:tcW w:w="14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4.50-5.25%</w:t>
            </w:r>
          </w:p>
        </w:tc>
        <w:tc>
          <w:tcPr>
            <w:tcW w:w="3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4.25%</w:t>
            </w:r>
          </w:p>
        </w:tc>
        <w:tc>
          <w:tcPr>
            <w:tcW w:w="18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w w:val="99"/>
              </w:rPr>
              <w:t>3.25-4.25%</w:t>
            </w:r>
          </w:p>
        </w:tc>
        <w:tc>
          <w:tcPr>
            <w:tcW w:w="3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4.75%</w:t>
            </w:r>
          </w:p>
        </w:tc>
        <w:tc>
          <w:tcPr>
            <w:tcW w:w="180" w:type="dxa"/>
            <w:vAlign w:val="bottom"/>
          </w:tcPr>
          <w:p>
            <w:pPr>
              <w:spacing w:after="0"/>
              <w:rPr>
                <w:sz w:val="15"/>
                <w:szCs w:val="15"/>
                <w:color w:val="auto"/>
              </w:rPr>
            </w:pPr>
          </w:p>
        </w:tc>
        <w:tc>
          <w:tcPr>
            <w:tcW w:w="1000" w:type="dxa"/>
            <w:vAlign w:val="bottom"/>
          </w:tcPr>
          <w:p>
            <w:pPr>
              <w:jc w:val="right"/>
              <w:spacing w:after="0" w:line="177" w:lineRule="exact"/>
              <w:rPr>
                <w:sz w:val="20"/>
                <w:szCs w:val="20"/>
                <w:color w:val="auto"/>
              </w:rPr>
            </w:pPr>
            <w:r>
              <w:rPr>
                <w:rFonts w:ascii="Arial" w:cs="Arial" w:eastAsia="Arial" w:hAnsi="Arial"/>
                <w:sz w:val="18"/>
                <w:szCs w:val="18"/>
                <w:color w:val="auto"/>
                <w:w w:val="99"/>
              </w:rPr>
              <w:t>4.75-5.25%</w:t>
            </w:r>
          </w:p>
        </w:tc>
        <w:tc>
          <w:tcPr>
            <w:tcW w:w="0" w:type="dxa"/>
            <w:vAlign w:val="bottom"/>
          </w:tcPr>
          <w:p>
            <w:pPr>
              <w:spacing w:after="0"/>
              <w:rPr>
                <w:sz w:val="1"/>
                <w:szCs w:val="1"/>
                <w:color w:val="auto"/>
              </w:rPr>
            </w:pPr>
          </w:p>
        </w:tc>
      </w:tr>
      <w:tr>
        <w:trPr>
          <w:trHeight w:val="22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N/A</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using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did not recognize service cost in 2013 as our pension plans were frozen. The 2012 and 2011 amounts included service costs related to our pension benefits of $139 million and $99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and NBCUniversal sponsor various benefit plans that provide postretirement benefits to eligible employees based on years of service. The Comcast Postretirement Healthcare Stipend Program (the “stipend plan”) provides an annual stipend for reimbursement of healthcare costs to each eligible employee based on years of service. Under the stipend plans, we are not exposed to the increasing costs of healthcare because the benefits are fixed at a predetermined amount.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NBCUniversal’s postretirement medical and life insurance plans provide continuous coverage to employees eligible to receive such benefits. A small number of eligible employees also participate in legacy plans of acquired companies.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related to our postretirement benefit plans is determined using certain assumptions, including the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NBCUniversal</w:t>
      </w:r>
    </w:p>
    <w:p>
      <w:pPr>
        <w:jc w:val="both"/>
        <w:spacing w:after="0" w:line="271" w:lineRule="auto"/>
        <w:rPr>
          <w:sz w:val="20"/>
          <w:szCs w:val="20"/>
          <w:color w:val="auto"/>
        </w:rPr>
      </w:pPr>
      <w:r>
        <w:rPr>
          <w:rFonts w:ascii="Arial" w:cs="Arial" w:eastAsia="Arial" w:hAnsi="Arial"/>
          <w:sz w:val="16"/>
          <w:szCs w:val="16"/>
          <w:color w:val="auto"/>
        </w:rPr>
        <w:t>NBCUniversal sponsors various domestic qualified and nonqualified defined benefit plans for which future benefits were frozen effective December 31, 2012. We ceased to recognize service costs associated with these defined benefit plans following the date on which future benefits were frozen. The expense we recognize related to our defined benefit plans is determined using certain assumptions, including the discount rate and the expected long-term rate of return on plan assets. We recognize the funded or unfunded status of our defined benefit plans as an asset or liability in our consolidated balance sheet and recognize changes in the funded status in the year in which the changes occur through accumulated other comprehensive income (loss). In the event of a defined benefit plan termination, we expect to fully fund and settle the plan within 180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days of approval by the Internal Revenue Service (“IRS”) and the Pension Benefit Guaranty Corporation (“PBGC”). In addition to the defined benefit plans it sponsors, NBCUniversal is also obligated to reimburse GE for future benefit payments to those participants who were vested in the supplemental pension plan sponsored by GE at the time of the close of the NBCUniversal transaction.</w:t>
      </w:r>
    </w:p>
    <w:p>
      <w:pPr>
        <w:spacing w:after="0" w:line="15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October 2013, NBCUniversal provided notice to the plan participants of its qualified pension plan of its intent to terminate its plan effective December 31, 2013. The NBCUniversal qualified pension plan was unfunded by $8 million as of December 31, 2013, and NBCUniversal expects to seek approval for this termination from the IRS and PBGC in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7" w:lineRule="auto"/>
        <w:rPr>
          <w:sz w:val="20"/>
          <w:szCs w:val="20"/>
          <w:color w:val="auto"/>
        </w:rPr>
      </w:pPr>
      <w:r>
        <w:rPr>
          <w:rFonts w:ascii="Arial" w:cs="Arial" w:eastAsia="Arial" w:hAnsi="Arial"/>
          <w:sz w:val="18"/>
          <w:szCs w:val="18"/>
          <w:color w:val="auto"/>
        </w:rPr>
        <w:t>In August 2013, we settled all of our obligations related to the termination in February 2012 of the qualified pension plan that provided benefits to former employees of a company we acquired as part of the AT&amp;T Broadband transaction in 2002. In connection with this final settlement, we fully funded the plan with additional contributions of $55 million and recorded an expense of $74 million in other operating and administrative expenses, which was previously recorded in accumulated other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6"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 accounts, except for those in the NBCUniversal plan, are credited with income primarily based on a fixed annual rate. Participants in the NBCUniversal plan designate one or more valuation funds, independently established funds or indices that are used to determine the amount of earnings to be credited or debited to the participant’s account. Participants are eligible to receive distributions of the amounts credited to their account based on elected deferral periods that are consistent with the plans and applicable tax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57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6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7"/>
              </w:rPr>
              <w:t>1,434</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77" w:lineRule="exact"/>
              <w:rPr>
                <w:sz w:val="20"/>
                <w:szCs w:val="20"/>
                <w:color w:val="auto"/>
              </w:rPr>
            </w:pPr>
            <w:r>
              <w:rPr>
                <w:rFonts w:ascii="Arial" w:cs="Arial" w:eastAsia="Arial" w:hAnsi="Arial"/>
                <w:sz w:val="18"/>
                <w:szCs w:val="18"/>
                <w:color w:val="auto"/>
              </w:rPr>
              <w:t>1,247</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77" w:lineRule="exact"/>
              <w:rPr>
                <w:sz w:val="20"/>
                <w:szCs w:val="20"/>
                <w:color w:val="auto"/>
              </w:rPr>
            </w:pPr>
            <w:r>
              <w:rPr>
                <w:rFonts w:ascii="Arial" w:cs="Arial" w:eastAsia="Arial" w:hAnsi="Arial"/>
                <w:sz w:val="18"/>
                <w:szCs w:val="18"/>
                <w:color w:val="auto"/>
                <w:w w:val="97"/>
              </w:rPr>
              <w:t>1,059</w:t>
            </w:r>
          </w:p>
        </w:tc>
      </w:tr>
      <w:tr>
        <w:trPr>
          <w:trHeight w:val="221"/>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3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purchased life insurance policies to recover a portion of the future payments related to our deferred compensation plans. As of December 31, 2013 and 2012, the cash surrender value of these policies, which is recorded to other noncurrent assets, was $565 million and $478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2013, 2012 and 2011, expenses related to these plans totaled $324 million, $246 million and $226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Split-Dollar Life Insurance Agreements</w:t>
      </w:r>
    </w:p>
    <w:p>
      <w:pPr>
        <w:jc w:val="both"/>
        <w:spacing w:after="0" w:line="299" w:lineRule="auto"/>
        <w:rPr>
          <w:sz w:val="20"/>
          <w:szCs w:val="20"/>
          <w:color w:val="auto"/>
        </w:rPr>
      </w:pPr>
      <w:r>
        <w:rPr>
          <w:rFonts w:ascii="Arial" w:cs="Arial" w:eastAsia="Arial" w:hAnsi="Arial"/>
          <w:sz w:val="16"/>
          <w:szCs w:val="16"/>
          <w:color w:val="auto"/>
        </w:rPr>
        <w:t>We have collateral assignment split-dollar life insurance agreements with select key current and former employees that require us to incur certain insurance-related costs. Under some of these agreements, our obligation to provide benefits to the employees extends beyond retirement.</w:t>
      </w:r>
    </w:p>
    <w:p>
      <w:pPr>
        <w:spacing w:after="0" w:line="278"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105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expenses related to our split-dollar life insurance agreements.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3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2012</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2011</w:t>
            </w:r>
          </w:p>
        </w:tc>
      </w:tr>
      <w:tr>
        <w:trPr>
          <w:trHeight w:val="177"/>
        </w:trPr>
        <w:tc>
          <w:tcPr>
            <w:tcW w:w="658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3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9"/>
              </w:rPr>
              <w:t>212</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77" w:lineRule="exact"/>
              <w:rPr>
                <w:sz w:val="20"/>
                <w:szCs w:val="20"/>
                <w:color w:val="auto"/>
              </w:rPr>
            </w:pPr>
            <w:r>
              <w:rPr>
                <w:rFonts w:ascii="Arial" w:cs="Arial" w:eastAsia="Arial" w:hAnsi="Arial"/>
                <w:sz w:val="18"/>
                <w:szCs w:val="18"/>
                <w:color w:val="auto"/>
                <w:w w:val="99"/>
              </w:rPr>
              <w:t>202</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w w:val="99"/>
              </w:rPr>
              <w:t>169</w:t>
            </w:r>
          </w:p>
        </w:tc>
      </w:tr>
      <w:tr>
        <w:trPr>
          <w:trHeight w:val="221"/>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operating and administrative expenses</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6" w:lineRule="auto"/>
        <w:rPr>
          <w:sz w:val="20"/>
          <w:szCs w:val="20"/>
          <w:color w:val="auto"/>
        </w:rPr>
      </w:pPr>
      <w:r>
        <w:rPr>
          <w:rFonts w:ascii="Arial" w:cs="Arial" w:eastAsia="Arial" w:hAnsi="Arial"/>
          <w:sz w:val="18"/>
          <w:szCs w:val="18"/>
          <w:color w:val="auto"/>
        </w:rPr>
        <w:t>We also participate in various multiemployer pension and other postretirement benefit plans through the activities of NBCUniversal that cover some of our employees and temporary employees who are represented by labor unions. We make periodic contributions to these plans in accordance with the terms of applicable collective bargaining agreements and laws but do not sponsor or administer these plans. We do not participate in any multiemployer benefit plans for which we consider our contributions to be individually significant, and the largest plans in which we participate are funded at a level of 80% or greater. In 2013, 2012 and 2011, the total contributions we made to multiemployer pension and other postretirement benefit plans were $66 million, $53 million and $42 million, respectively.</w:t>
      </w:r>
    </w:p>
    <w:p>
      <w:pPr>
        <w:spacing w:after="0" w:line="1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cease to be obligated to make contributions or otherwise withdraw from participation in any of these plans, applicable law requires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ind w:right="20"/>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During 2013, 2012 and 2011, we recorded $160 million, $155 million and $128 million, respectively, of severance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 xml:space="preserve">In the aggregate, holders of our Class A common stock have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 of the voting power of our common stock and holders of our Class B common stock have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 of the voting power of our common stock. Our Class A Special common stock is generally nonvoting. Each share of our Class B common stock is entitled to 15 votes. The number of votes held by each share of our Class A common stock depends on the number of shares of Class A and Class B common stock outstanding at any given time. The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aggregate voting power of our Class B common stock cannot be diluted by additional issuances of any other class of common stock. Our Class B common stock is convertible, share for share, into Class A or Class A Special common stock, subject to certain restrictions.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Common Stock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A</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A Special</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B</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January 1, 2011</w:t>
            </w:r>
          </w:p>
        </w:tc>
        <w:tc>
          <w:tcPr>
            <w:tcW w:w="34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2,072</w:t>
            </w:r>
          </w:p>
        </w:tc>
        <w:tc>
          <w:tcPr>
            <w:tcW w:w="860" w:type="dxa"/>
            <w:vAlign w:val="bottom"/>
          </w:tcPr>
          <w:p>
            <w:pPr>
              <w:jc w:val="right"/>
              <w:ind w:right="74"/>
              <w:spacing w:after="0" w:line="200" w:lineRule="exact"/>
              <w:rPr>
                <w:sz w:val="20"/>
                <w:szCs w:val="20"/>
                <w:color w:val="auto"/>
              </w:rPr>
            </w:pPr>
            <w:r>
              <w:rPr>
                <w:rFonts w:ascii="Arial" w:cs="Arial" w:eastAsia="Arial" w:hAnsi="Arial"/>
                <w:sz w:val="18"/>
                <w:szCs w:val="18"/>
                <w:color w:val="auto"/>
              </w:rPr>
              <w:t>695</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(95)</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4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34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2,095</w:t>
            </w:r>
          </w:p>
        </w:tc>
        <w:tc>
          <w:tcPr>
            <w:tcW w:w="860" w:type="dxa"/>
            <w:vAlign w:val="bottom"/>
          </w:tcPr>
          <w:p>
            <w:pPr>
              <w:jc w:val="right"/>
              <w:ind w:right="74"/>
              <w:spacing w:after="0" w:line="200" w:lineRule="exact"/>
              <w:rPr>
                <w:sz w:val="20"/>
                <w:szCs w:val="20"/>
                <w:color w:val="auto"/>
              </w:rPr>
            </w:pPr>
            <w:r>
              <w:rPr>
                <w:rFonts w:ascii="Arial" w:cs="Arial" w:eastAsia="Arial" w:hAnsi="Arial"/>
                <w:sz w:val="18"/>
                <w:szCs w:val="18"/>
                <w:color w:val="auto"/>
              </w:rPr>
              <w:t>601</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Stock compensation plans</w:t>
            </w:r>
          </w:p>
        </w:tc>
        <w:tc>
          <w:tcPr>
            <w:tcW w:w="34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24</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34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(96)</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9"/>
        </w:trPr>
        <w:tc>
          <w:tcPr>
            <w:tcW w:w="68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Employee stock purchase plans</w:t>
            </w:r>
          </w:p>
        </w:tc>
        <w:tc>
          <w:tcPr>
            <w:tcW w:w="340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jc w:val="right"/>
              <w:ind w:right="74"/>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December 31, 2012</w:t>
            </w:r>
          </w:p>
        </w:tc>
        <w:tc>
          <w:tcPr>
            <w:tcW w:w="3400" w:type="dxa"/>
            <w:vAlign w:val="bottom"/>
          </w:tcPr>
          <w:p>
            <w:pPr>
              <w:jc w:val="right"/>
              <w:ind w:right="34"/>
              <w:spacing w:after="0" w:line="177" w:lineRule="exact"/>
              <w:rPr>
                <w:sz w:val="20"/>
                <w:szCs w:val="20"/>
                <w:color w:val="auto"/>
              </w:rPr>
            </w:pPr>
            <w:r>
              <w:rPr>
                <w:rFonts w:ascii="Arial" w:cs="Arial" w:eastAsia="Arial" w:hAnsi="Arial"/>
                <w:sz w:val="18"/>
                <w:szCs w:val="18"/>
                <w:color w:val="auto"/>
              </w:rPr>
              <w:t>2,122</w:t>
            </w:r>
          </w:p>
        </w:tc>
        <w:tc>
          <w:tcPr>
            <w:tcW w:w="860" w:type="dxa"/>
            <w:vAlign w:val="bottom"/>
          </w:tcPr>
          <w:p>
            <w:pPr>
              <w:jc w:val="right"/>
              <w:ind w:right="74"/>
              <w:spacing w:after="0" w:line="177" w:lineRule="exact"/>
              <w:rPr>
                <w:sz w:val="20"/>
                <w:szCs w:val="20"/>
                <w:color w:val="auto"/>
              </w:rPr>
            </w:pPr>
            <w:r>
              <w:rPr>
                <w:rFonts w:ascii="Arial" w:cs="Arial" w:eastAsia="Arial" w:hAnsi="Arial"/>
                <w:sz w:val="18"/>
                <w:szCs w:val="18"/>
                <w:color w:val="auto"/>
              </w:rPr>
              <w:t>508</w:t>
            </w:r>
          </w:p>
        </w:tc>
        <w:tc>
          <w:tcPr>
            <w:tcW w:w="340" w:type="dxa"/>
            <w:vAlign w:val="bottom"/>
          </w:tcPr>
          <w:p>
            <w:pPr>
              <w:jc w:val="right"/>
              <w:spacing w:after="0" w:line="177" w:lineRule="exact"/>
              <w:rPr>
                <w:sz w:val="20"/>
                <w:szCs w:val="20"/>
                <w:color w:val="auto"/>
              </w:rPr>
            </w:pPr>
            <w:r>
              <w:rPr>
                <w:rFonts w:ascii="Arial" w:cs="Arial" w:eastAsia="Arial" w:hAnsi="Arial"/>
                <w:sz w:val="18"/>
                <w:szCs w:val="18"/>
                <w:color w:val="auto"/>
              </w:rPr>
              <w:t>9</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Stock compensation plans</w:t>
            </w:r>
          </w:p>
        </w:tc>
        <w:tc>
          <w:tcPr>
            <w:tcW w:w="34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14</w:t>
            </w: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Repurchases and retirements of common stock</w:t>
            </w:r>
          </w:p>
        </w:tc>
        <w:tc>
          <w:tcPr>
            <w:tcW w:w="34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(49)</w:t>
            </w:r>
          </w:p>
        </w:tc>
        <w:tc>
          <w:tcPr>
            <w:tcW w:w="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Employee stock purchase plans</w:t>
            </w:r>
          </w:p>
        </w:tc>
        <w:tc>
          <w:tcPr>
            <w:tcW w:w="34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3400" w:type="dxa"/>
            <w:vAlign w:val="bottom"/>
            <w:tcBorders>
              <w:bottom w:val="single" w:sz="8" w:color="0C6DFF"/>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2,138</w:t>
            </w:r>
          </w:p>
        </w:tc>
        <w:tc>
          <w:tcPr>
            <w:tcW w:w="860" w:type="dxa"/>
            <w:vAlign w:val="bottom"/>
            <w:tcBorders>
              <w:bottom w:val="single" w:sz="8" w:color="0C6DFF"/>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459</w:t>
            </w:r>
          </w:p>
        </w:tc>
        <w:tc>
          <w:tcPr>
            <w:tcW w:w="3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jc w:val="both"/>
        <w:ind w:right="20"/>
        <w:spacing w:after="0" w:line="239" w:lineRule="auto"/>
        <w:rPr>
          <w:sz w:val="20"/>
          <w:szCs w:val="20"/>
          <w:color w:val="auto"/>
        </w:rPr>
      </w:pPr>
      <w:r>
        <w:rPr>
          <w:rFonts w:ascii="Arial" w:cs="Arial" w:eastAsia="Arial" w:hAnsi="Arial"/>
          <w:sz w:val="18"/>
          <w:szCs w:val="18"/>
          <w:color w:val="auto"/>
        </w:rPr>
        <w:t>As of December 31, 2013, we had $1.5 billion of availability remaining under the $6.5 billion share repurchase authorization approved by our Board of Directors in 2012.</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January 2014, our Board of Directors increased our share repurchase program authorization to $7.5 billion, which does not have an expiration date. Under this authorization, we may repurchase shares in the open market or in private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Share Repurchases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6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color w:val="auto"/>
              </w:rPr>
              <w:t>2012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Cash consideration</w:t>
            </w:r>
          </w:p>
        </w:tc>
        <w:tc>
          <w:tcPr>
            <w:tcW w:w="2600" w:type="dxa"/>
            <w:vAlign w:val="bottom"/>
          </w:tcPr>
          <w:p>
            <w:pPr>
              <w:jc w:val="right"/>
              <w:ind w:right="2"/>
              <w:spacing w:after="0" w:line="177" w:lineRule="exact"/>
              <w:rPr>
                <w:sz w:val="20"/>
                <w:szCs w:val="20"/>
                <w:color w:val="auto"/>
              </w:rPr>
            </w:pPr>
            <w:r>
              <w:rPr>
                <w:rFonts w:ascii="Arial" w:cs="Arial" w:eastAsia="Arial" w:hAnsi="Arial"/>
                <w:sz w:val="18"/>
                <w:szCs w:val="18"/>
                <w:b w:val="1"/>
                <w:bCs w:val="1"/>
                <w:color w:val="auto"/>
              </w:rPr>
              <w:t>$ 2,000</w:t>
            </w:r>
          </w:p>
        </w:tc>
        <w:tc>
          <w:tcPr>
            <w:tcW w:w="820" w:type="dxa"/>
            <w:vAlign w:val="bottom"/>
          </w:tcPr>
          <w:p>
            <w:pPr>
              <w:jc w:val="right"/>
              <w:ind w:right="37"/>
              <w:spacing w:after="0" w:line="177" w:lineRule="exact"/>
              <w:rPr>
                <w:sz w:val="20"/>
                <w:szCs w:val="20"/>
                <w:color w:val="auto"/>
              </w:rPr>
            </w:pPr>
            <w:r>
              <w:rPr>
                <w:rFonts w:ascii="Arial" w:cs="Arial" w:eastAsia="Arial" w:hAnsi="Arial"/>
                <w:sz w:val="18"/>
                <w:szCs w:val="18"/>
                <w:color w:val="auto"/>
              </w:rPr>
              <w:t>$ 3,000</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$ 2,141</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repurchased</w:t>
            </w:r>
          </w:p>
        </w:tc>
        <w:tc>
          <w:tcPr>
            <w:tcW w:w="26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49</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370"/>
        </w:trPr>
        <w:tc>
          <w:tcPr>
            <w:tcW w:w="7300" w:type="dxa"/>
            <w:vAlign w:val="bottom"/>
          </w:tcPr>
          <w:p>
            <w:pPr>
              <w:spacing w:after="0"/>
              <w:rPr>
                <w:sz w:val="20"/>
                <w:szCs w:val="20"/>
                <w:color w:val="auto"/>
              </w:rPr>
            </w:pPr>
            <w:r>
              <w:rPr>
                <w:rFonts w:ascii="Arial" w:cs="Arial" w:eastAsia="Arial" w:hAnsi="Arial"/>
                <w:sz w:val="18"/>
                <w:szCs w:val="18"/>
                <w:color w:val="0C6DFF"/>
              </w:rPr>
              <w:t>Accumulated Other Comprehensive Income (Loss)</w:t>
            </w:r>
          </w:p>
        </w:tc>
        <w:tc>
          <w:tcPr>
            <w:tcW w:w="2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
        </w:trPr>
        <w:tc>
          <w:tcPr>
            <w:tcW w:w="73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42"/>
        </w:trPr>
        <w:tc>
          <w:tcPr>
            <w:tcW w:w="7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December 31 (in millions)</w:t>
            </w:r>
          </w:p>
        </w:tc>
        <w:tc>
          <w:tcPr>
            <w:tcW w:w="2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rPr>
              <w:t>2012</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Unrealized gains (losses) on marketable securities</w:t>
            </w:r>
          </w:p>
        </w:tc>
        <w:tc>
          <w:tcPr>
            <w:tcW w:w="260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$ 67</w:t>
            </w:r>
          </w:p>
        </w:tc>
        <w:tc>
          <w:tcPr>
            <w:tcW w:w="700" w:type="dxa"/>
            <w:vAlign w:val="bottom"/>
          </w:tcPr>
          <w:p>
            <w:pPr>
              <w:jc w:val="right"/>
              <w:ind w:right="17"/>
              <w:spacing w:after="0" w:line="177" w:lineRule="exact"/>
              <w:rPr>
                <w:sz w:val="20"/>
                <w:szCs w:val="20"/>
                <w:color w:val="auto"/>
              </w:rPr>
            </w:pPr>
            <w:r>
              <w:rPr>
                <w:rFonts w:ascii="Arial" w:cs="Arial" w:eastAsia="Arial" w:hAnsi="Arial"/>
                <w:sz w:val="18"/>
                <w:szCs w:val="18"/>
                <w:color w:val="auto"/>
              </w:rPr>
              <w:t>$ 182</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Deferred gains (losses) on cash flow hedges</w:t>
            </w:r>
          </w:p>
        </w:tc>
        <w:tc>
          <w:tcPr>
            <w:tcW w:w="26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6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 net of deferred taxes</w:t>
            </w:r>
          </w:p>
        </w:tc>
        <w:tc>
          <w:tcPr>
            <w:tcW w:w="2600" w:type="dxa"/>
            <w:vAlign w:val="bottom"/>
            <w:tcBorders>
              <w:bottom w:val="single" w:sz="8" w:color="0C6DFF"/>
            </w:tcBorders>
          </w:tcPr>
          <w:p>
            <w:pPr>
              <w:spacing w:after="0"/>
              <w:rPr>
                <w:sz w:val="17"/>
                <w:szCs w:val="17"/>
                <w:color w:val="auto"/>
              </w:rPr>
            </w:pP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$ 56</w:t>
            </w:r>
          </w:p>
        </w:tc>
        <w:tc>
          <w:tcPr>
            <w:tcW w:w="70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  15</w:t>
            </w: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107</w:t>
            </w:r>
          </w:p>
        </w:tc>
        <w:tc>
          <w:tcPr>
            <w:tcW w:w="4120" w:type="dxa"/>
            <w:vAlign w:val="bottom"/>
            <w:gridSpan w:val="3"/>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14: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Recognized Share-Based Compensation Expense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4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608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41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$ 139</w:t>
            </w: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$ 131</w:t>
            </w: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$ 116</w:t>
            </w: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4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175</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21"/>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60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41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$ 334</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$ 301</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$ 278</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we had unrecognized pretax compensation expense of $318 million related to nonvested stock options and unrecognized pretax compensation expense of $380 million related to nonvested RSUs that will be recognized over a weighted-average period of approximately 1.9 years and 1.7 years,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C6DFF"/>
        </w:rPr>
        <w:t>2013 Stock Options and Restricted Share Units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color w:val="auto"/>
              </w:rPr>
              <w:t>Stock</w:t>
            </w:r>
          </w:p>
        </w:tc>
        <w:tc>
          <w:tcPr>
            <w:tcW w:w="800" w:type="dxa"/>
            <w:vAlign w:val="bottom"/>
            <w:tcBorders>
              <w:top w:val="single" w:sz="8" w:color="auto"/>
            </w:tcBorders>
          </w:tcPr>
          <w:p>
            <w:pPr>
              <w:spacing w:after="0"/>
              <w:rPr>
                <w:sz w:val="14"/>
                <w:szCs w:val="14"/>
                <w:color w:val="auto"/>
              </w:rPr>
            </w:pPr>
          </w:p>
        </w:tc>
      </w:tr>
      <w:tr>
        <w:trPr>
          <w:trHeight w:val="149"/>
        </w:trPr>
        <w:tc>
          <w:tcPr>
            <w:tcW w:w="7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2013, unless otherwise stated (in millions, except per share data)</w:t>
            </w:r>
          </w:p>
        </w:tc>
        <w:tc>
          <w:tcPr>
            <w:tcW w:w="3120" w:type="dxa"/>
            <w:vAlign w:val="bottom"/>
            <w:tcBorders>
              <w:bottom w:val="single" w:sz="8" w:color="auto"/>
            </w:tcBorders>
          </w:tcPr>
          <w:p>
            <w:pPr>
              <w:jc w:val="right"/>
              <w:ind w:right="59"/>
              <w:spacing w:after="0" w:line="149" w:lineRule="exact"/>
              <w:rPr>
                <w:sz w:val="20"/>
                <w:szCs w:val="20"/>
                <w:color w:val="auto"/>
              </w:rPr>
            </w:pPr>
            <w:r>
              <w:rPr>
                <w:rFonts w:ascii="Arial" w:cs="Arial" w:eastAsia="Arial" w:hAnsi="Arial"/>
                <w:sz w:val="14"/>
                <w:szCs w:val="14"/>
                <w:color w:val="auto"/>
              </w:rPr>
              <w:t>Options</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RSUs</w:t>
            </w:r>
          </w:p>
        </w:tc>
      </w:tr>
      <w:tr>
        <w:trPr>
          <w:trHeight w:val="199"/>
        </w:trPr>
        <w:tc>
          <w:tcPr>
            <w:tcW w:w="7500" w:type="dxa"/>
            <w:vAlign w:val="bottom"/>
          </w:tcPr>
          <w:p>
            <w:pPr>
              <w:spacing w:after="0" w:line="200" w:lineRule="exact"/>
              <w:rPr>
                <w:sz w:val="20"/>
                <w:szCs w:val="20"/>
                <w:color w:val="auto"/>
              </w:rPr>
            </w:pPr>
            <w:r>
              <w:rPr>
                <w:rFonts w:ascii="Arial" w:cs="Arial" w:eastAsia="Arial" w:hAnsi="Arial"/>
                <w:sz w:val="18"/>
                <w:szCs w:val="18"/>
                <w:color w:val="auto"/>
              </w:rPr>
              <w:t>Awards granted during 2013</w:t>
            </w:r>
          </w:p>
        </w:tc>
        <w:tc>
          <w:tcPr>
            <w:tcW w:w="3120" w:type="dxa"/>
            <w:vAlign w:val="bottom"/>
          </w:tcPr>
          <w:p>
            <w:pPr>
              <w:jc w:val="right"/>
              <w:ind w:right="59"/>
              <w:spacing w:after="0" w:line="200" w:lineRule="exact"/>
              <w:rPr>
                <w:sz w:val="20"/>
                <w:szCs w:val="20"/>
                <w:color w:val="auto"/>
              </w:rPr>
            </w:pPr>
            <w:r>
              <w:rPr>
                <w:rFonts w:ascii="Arial" w:cs="Arial" w:eastAsia="Arial" w:hAnsi="Arial"/>
                <w:sz w:val="18"/>
                <w:szCs w:val="18"/>
                <w:color w:val="auto"/>
              </w:rPr>
              <w:t>18</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7</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w:t>
            </w:r>
          </w:p>
        </w:tc>
        <w:tc>
          <w:tcPr>
            <w:tcW w:w="31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$ 41.22</w:t>
            </w:r>
          </w:p>
        </w:tc>
        <w:tc>
          <w:tcPr>
            <w:tcW w:w="800" w:type="dxa"/>
            <w:vAlign w:val="bottom"/>
          </w:tcPr>
          <w:p>
            <w:pPr>
              <w:spacing w:after="0"/>
              <w:rPr>
                <w:sz w:val="17"/>
                <w:szCs w:val="17"/>
                <w:color w:val="auto"/>
              </w:rPr>
            </w:pPr>
          </w:p>
        </w:tc>
      </w:tr>
      <w:tr>
        <w:trPr>
          <w:trHeight w:val="199"/>
        </w:trPr>
        <w:tc>
          <w:tcPr>
            <w:tcW w:w="7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w:t>
            </w:r>
          </w:p>
        </w:tc>
        <w:tc>
          <w:tcPr>
            <w:tcW w:w="3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$ 38.28</w:t>
            </w:r>
          </w:p>
        </w:tc>
      </w:tr>
      <w:tr>
        <w:trPr>
          <w:trHeight w:val="199"/>
        </w:trPr>
        <w:tc>
          <w:tcPr>
            <w:tcW w:w="7500" w:type="dxa"/>
            <w:vAlign w:val="bottom"/>
          </w:tcPr>
          <w:p>
            <w:pPr>
              <w:spacing w:after="0" w:line="200" w:lineRule="exact"/>
              <w:rPr>
                <w:sz w:val="20"/>
                <w:szCs w:val="20"/>
                <w:color w:val="auto"/>
              </w:rPr>
            </w:pPr>
            <w:r>
              <w:rPr>
                <w:rFonts w:ascii="Arial" w:cs="Arial" w:eastAsia="Arial" w:hAnsi="Arial"/>
                <w:sz w:val="18"/>
                <w:szCs w:val="18"/>
                <w:color w:val="auto"/>
              </w:rPr>
              <w:t>Stock options outstanding and nonvested RSUs</w:t>
            </w:r>
            <w:r>
              <w:rPr>
                <w:rFonts w:ascii="Arial" w:cs="Arial" w:eastAsia="Arial" w:hAnsi="Arial"/>
                <w:sz w:val="22"/>
                <w:szCs w:val="22"/>
                <w:color w:val="auto"/>
                <w:vertAlign w:val="superscript"/>
              </w:rPr>
              <w:t>(a)</w:t>
            </w:r>
          </w:p>
        </w:tc>
        <w:tc>
          <w:tcPr>
            <w:tcW w:w="3120" w:type="dxa"/>
            <w:vAlign w:val="bottom"/>
          </w:tcPr>
          <w:p>
            <w:pPr>
              <w:jc w:val="right"/>
              <w:ind w:right="59"/>
              <w:spacing w:after="0" w:line="200" w:lineRule="exact"/>
              <w:rPr>
                <w:sz w:val="20"/>
                <w:szCs w:val="20"/>
                <w:color w:val="auto"/>
              </w:rPr>
            </w:pPr>
            <w:r>
              <w:rPr>
                <w:rFonts w:ascii="Arial" w:cs="Arial" w:eastAsia="Arial" w:hAnsi="Arial"/>
                <w:sz w:val="18"/>
                <w:szCs w:val="18"/>
                <w:color w:val="auto"/>
              </w:rPr>
              <w:t>104</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26</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Weighted-average exercise price of stock options outstanding</w:t>
            </w:r>
          </w:p>
        </w:tc>
        <w:tc>
          <w:tcPr>
            <w:tcW w:w="3120" w:type="dxa"/>
            <w:vAlign w:val="bottom"/>
          </w:tcPr>
          <w:p>
            <w:pPr>
              <w:jc w:val="right"/>
              <w:ind w:right="59"/>
              <w:spacing w:after="0" w:line="202" w:lineRule="exact"/>
              <w:rPr>
                <w:sz w:val="20"/>
                <w:szCs w:val="20"/>
                <w:color w:val="auto"/>
              </w:rPr>
            </w:pPr>
            <w:r>
              <w:rPr>
                <w:rFonts w:ascii="Arial" w:cs="Arial" w:eastAsia="Arial" w:hAnsi="Arial"/>
                <w:sz w:val="18"/>
                <w:szCs w:val="18"/>
                <w:color w:val="auto"/>
              </w:rPr>
              <w:t>$ 25.49</w:t>
            </w:r>
          </w:p>
        </w:tc>
        <w:tc>
          <w:tcPr>
            <w:tcW w:w="800" w:type="dxa"/>
            <w:vAlign w:val="bottom"/>
          </w:tcPr>
          <w:p>
            <w:pPr>
              <w:spacing w:after="0"/>
              <w:rPr>
                <w:sz w:val="17"/>
                <w:szCs w:val="17"/>
                <w:color w:val="auto"/>
              </w:rPr>
            </w:pPr>
          </w:p>
        </w:tc>
      </w:tr>
      <w:tr>
        <w:trPr>
          <w:trHeight w:val="199"/>
        </w:trPr>
        <w:tc>
          <w:tcPr>
            <w:tcW w:w="75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Weighted-average fair value at grant date of nonvested RSUs</w:t>
            </w:r>
          </w:p>
        </w:tc>
        <w:tc>
          <w:tcPr>
            <w:tcW w:w="3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$ 25.38</w:t>
            </w:r>
          </w:p>
        </w:tc>
      </w:tr>
    </w:tbl>
    <w:p>
      <w:pPr>
        <w:spacing w:after="0" w:line="53" w:lineRule="exact"/>
        <w:rPr>
          <w:sz w:val="20"/>
          <w:szCs w:val="20"/>
          <w:color w:val="auto"/>
        </w:rPr>
      </w:pPr>
    </w:p>
    <w:p>
      <w:pPr>
        <w:ind w:left="300" w:hanging="292"/>
        <w:spacing w:after="0" w:line="231" w:lineRule="auto"/>
        <w:tabs>
          <w:tab w:leader="none" w:pos="3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of December 31, 2013, 102 million of stock options outstanding were net settled stock options. Net settled stock options, as opposed to stock options exercised with a cash payment, result in fewer shares being issued and no cash proceeds being received by us when the options are exercised.</w:t>
      </w:r>
    </w:p>
    <w:p>
      <w:pPr>
        <w:spacing w:after="0" w:line="15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share-based compensation primarily consists of awards of stock options and RSUs to certain employees and directors as part of our approach to long-term incentive compensation. Awards generally vest over a period of 5 years and in the case of stock options, have a 10 year term. Additionally, through our employee stock purchase plans, employees are able to purchase shares of Comcast Class A common stock at a discount through payroll deductions.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our share-based compensation is based on an award’s estimated fair value at the date of grant and is recognized over the period in which any related services are provided. We use the Black-Scholes option pricing model to estimate the fair value of stock option awards. RSUs are valued based on the closing price of our Class A common stock on the date of grant and are discounted for the lack of dividends, if any, during the vesting period. The table below presents the weighted-average fair value on the date of grant of RSUs and Class A common stock options awarded under our various plans and the related weighted-average valuation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580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35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$ 38.28</w:t>
            </w:r>
          </w:p>
        </w:tc>
        <w:tc>
          <w:tcPr>
            <w:tcW w:w="1180" w:type="dxa"/>
            <w:vAlign w:val="bottom"/>
            <w:gridSpan w:val="2"/>
          </w:tcPr>
          <w:p>
            <w:pPr>
              <w:jc w:val="right"/>
              <w:ind w:right="195"/>
              <w:spacing w:after="0" w:line="177" w:lineRule="exact"/>
              <w:rPr>
                <w:sz w:val="20"/>
                <w:szCs w:val="20"/>
                <w:color w:val="auto"/>
              </w:rPr>
            </w:pPr>
            <w:r>
              <w:rPr>
                <w:rFonts w:ascii="Arial" w:cs="Arial" w:eastAsia="Arial" w:hAnsi="Arial"/>
                <w:sz w:val="18"/>
                <w:szCs w:val="18"/>
                <w:color w:val="auto"/>
              </w:rPr>
              <w:t>$ 27.80</w:t>
            </w:r>
          </w:p>
        </w:tc>
        <w:tc>
          <w:tcPr>
            <w:tcW w:w="860" w:type="dxa"/>
            <w:vAlign w:val="bottom"/>
            <w:gridSpan w:val="2"/>
          </w:tcPr>
          <w:p>
            <w:pPr>
              <w:jc w:val="right"/>
              <w:ind w:right="135"/>
              <w:spacing w:after="0" w:line="177" w:lineRule="exact"/>
              <w:rPr>
                <w:sz w:val="20"/>
                <w:szCs w:val="20"/>
                <w:color w:val="auto"/>
              </w:rPr>
            </w:pPr>
            <w:r>
              <w:rPr>
                <w:rFonts w:ascii="Arial" w:cs="Arial" w:eastAsia="Arial" w:hAnsi="Arial"/>
                <w:sz w:val="18"/>
                <w:szCs w:val="18"/>
                <w:color w:val="auto"/>
              </w:rPr>
              <w:t>$ 22.78</w:t>
            </w:r>
          </w:p>
        </w:tc>
        <w:tc>
          <w:tcPr>
            <w:tcW w:w="0" w:type="dxa"/>
            <w:vAlign w:val="bottom"/>
          </w:tcPr>
          <w:p>
            <w:pPr>
              <w:spacing w:after="0"/>
              <w:rPr>
                <w:sz w:val="1"/>
                <w:szCs w:val="1"/>
                <w:color w:val="auto"/>
              </w:rPr>
            </w:pPr>
          </w:p>
        </w:tc>
      </w:tr>
      <w:tr>
        <w:trPr>
          <w:trHeight w:val="225"/>
        </w:trPr>
        <w:tc>
          <w:tcPr>
            <w:tcW w:w="580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3580" w:type="dxa"/>
            <w:vAlign w:val="bottom"/>
          </w:tcPr>
          <w:p>
            <w:pPr>
              <w:jc w:val="right"/>
              <w:spacing w:after="0"/>
              <w:rPr>
                <w:sz w:val="20"/>
                <w:szCs w:val="20"/>
                <w:color w:val="auto"/>
              </w:rPr>
            </w:pPr>
            <w:r>
              <w:rPr>
                <w:rFonts w:ascii="Arial" w:cs="Arial" w:eastAsia="Arial" w:hAnsi="Arial"/>
                <w:sz w:val="18"/>
                <w:szCs w:val="18"/>
                <w:b w:val="1"/>
                <w:bCs w:val="1"/>
                <w:color w:val="auto"/>
              </w:rPr>
              <w:t>$  8.80</w:t>
            </w: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5"/>
              <w:spacing w:after="0"/>
              <w:rPr>
                <w:sz w:val="20"/>
                <w:szCs w:val="20"/>
                <w:color w:val="auto"/>
              </w:rPr>
            </w:pPr>
            <w:r>
              <w:rPr>
                <w:rFonts w:ascii="Arial" w:cs="Arial" w:eastAsia="Arial" w:hAnsi="Arial"/>
                <w:sz w:val="18"/>
                <w:szCs w:val="18"/>
                <w:color w:val="auto"/>
              </w:rPr>
              <w:t>7.38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5"/>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4060" w:type="dxa"/>
            <w:vAlign w:val="bottom"/>
            <w:gridSpan w:val="2"/>
            <w:vMerge w:val="restart"/>
          </w:tcPr>
          <w:p>
            <w:pPr>
              <w:jc w:val="right"/>
              <w:ind w:right="274"/>
              <w:spacing w:after="0"/>
              <w:rPr>
                <w:sz w:val="20"/>
                <w:szCs w:val="20"/>
                <w:color w:val="auto"/>
              </w:rPr>
            </w:pPr>
            <w:r>
              <w:rPr>
                <w:rFonts w:ascii="Arial" w:cs="Arial" w:eastAsia="Arial" w:hAnsi="Arial"/>
                <w:sz w:val="18"/>
                <w:szCs w:val="18"/>
                <w:b w:val="1"/>
                <w:bCs w:val="1"/>
                <w:color w:val="auto"/>
              </w:rPr>
              <w:t>1.9%</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4060" w:type="dxa"/>
            <w:vAlign w:val="bottom"/>
            <w:gridSpan w:val="2"/>
            <w:vMerge w:val="continue"/>
          </w:tcPr>
          <w:p>
            <w:pPr>
              <w:spacing w:after="0"/>
              <w:rPr>
                <w:sz w:val="15"/>
                <w:szCs w:val="15"/>
                <w:color w:val="auto"/>
              </w:rPr>
            </w:pPr>
          </w:p>
        </w:tc>
        <w:tc>
          <w:tcPr>
            <w:tcW w:w="700" w:type="dxa"/>
            <w:vAlign w:val="bottom"/>
          </w:tcPr>
          <w:p>
            <w:pPr>
              <w:jc w:val="right"/>
              <w:ind w:right="55"/>
              <w:spacing w:after="0" w:line="181"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4060" w:type="dxa"/>
            <w:vAlign w:val="bottom"/>
            <w:gridSpan w:val="2"/>
          </w:tcPr>
          <w:p>
            <w:pPr>
              <w:jc w:val="right"/>
              <w:ind w:right="274"/>
              <w:spacing w:after="0" w:line="202" w:lineRule="exact"/>
              <w:rPr>
                <w:sz w:val="20"/>
                <w:szCs w:val="20"/>
                <w:color w:val="auto"/>
              </w:rPr>
            </w:pPr>
            <w:r>
              <w:rPr>
                <w:rFonts w:ascii="Arial" w:cs="Arial" w:eastAsia="Arial" w:hAnsi="Arial"/>
                <w:sz w:val="18"/>
                <w:szCs w:val="18"/>
                <w:b w:val="1"/>
                <w:bCs w:val="1"/>
                <w:color w:val="auto"/>
              </w:rPr>
              <w:t>25.0%</w:t>
            </w:r>
          </w:p>
        </w:tc>
        <w:tc>
          <w:tcPr>
            <w:tcW w:w="7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29.0%</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4060" w:type="dxa"/>
            <w:vAlign w:val="bottom"/>
            <w:gridSpan w:val="2"/>
          </w:tcPr>
          <w:p>
            <w:pPr>
              <w:jc w:val="right"/>
              <w:ind w:right="274"/>
              <w:spacing w:after="0" w:line="202" w:lineRule="exact"/>
              <w:rPr>
                <w:sz w:val="20"/>
                <w:szCs w:val="20"/>
                <w:color w:val="auto"/>
              </w:rPr>
            </w:pPr>
            <w:r>
              <w:rPr>
                <w:rFonts w:ascii="Arial" w:cs="Arial" w:eastAsia="Arial" w:hAnsi="Arial"/>
                <w:sz w:val="18"/>
                <w:szCs w:val="18"/>
                <w:b w:val="1"/>
                <w:bCs w:val="1"/>
                <w:color w:val="auto"/>
              </w:rPr>
              <w:t>1.3%</w:t>
            </w:r>
          </w:p>
        </w:tc>
        <w:tc>
          <w:tcPr>
            <w:tcW w:w="7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32"/>
        </w:trPr>
        <w:tc>
          <w:tcPr>
            <w:tcW w:w="5800" w:type="dxa"/>
            <w:vAlign w:val="bottom"/>
          </w:tcPr>
          <w:p>
            <w:pPr>
              <w:spacing w:after="0"/>
              <w:rPr>
                <w:sz w:val="20"/>
                <w:szCs w:val="20"/>
                <w:color w:val="auto"/>
              </w:rPr>
            </w:pPr>
            <w:r>
              <w:rPr>
                <w:rFonts w:ascii="Arial" w:cs="Arial" w:eastAsia="Arial" w:hAnsi="Arial"/>
                <w:sz w:val="18"/>
                <w:szCs w:val="18"/>
                <w:b w:val="1"/>
                <w:bCs w:val="1"/>
                <w:color w:val="0C6DFF"/>
              </w:rPr>
              <w:t>Note 15: Income Taxes</w:t>
            </w:r>
          </w:p>
        </w:tc>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800" w:type="dxa"/>
            <w:vAlign w:val="bottom"/>
            <w:tcBorders>
              <w:bottom w:val="single" w:sz="8" w:color="0C6DFF"/>
            </w:tcBorders>
          </w:tcPr>
          <w:p>
            <w:pPr>
              <w:spacing w:after="0"/>
              <w:rPr>
                <w:sz w:val="3"/>
                <w:szCs w:val="3"/>
                <w:color w:val="auto"/>
              </w:rPr>
            </w:pPr>
          </w:p>
        </w:tc>
        <w:tc>
          <w:tcPr>
            <w:tcW w:w="3580" w:type="dxa"/>
            <w:vAlign w:val="bottom"/>
            <w:tcBorders>
              <w:bottom w:val="single" w:sz="8" w:color="0C6DFF"/>
            </w:tcBorders>
          </w:tcPr>
          <w:p>
            <w:pPr>
              <w:spacing w:after="0"/>
              <w:rPr>
                <w:sz w:val="3"/>
                <w:szCs w:val="3"/>
                <w:color w:val="auto"/>
              </w:rPr>
            </w:pPr>
          </w:p>
        </w:tc>
        <w:tc>
          <w:tcPr>
            <w:tcW w:w="480" w:type="dxa"/>
            <w:vAlign w:val="bottom"/>
            <w:tcBorders>
              <w:bottom w:val="single" w:sz="8" w:color="0C6DFF"/>
            </w:tcBorders>
          </w:tcPr>
          <w:p>
            <w:pPr>
              <w:spacing w:after="0"/>
              <w:rPr>
                <w:sz w:val="3"/>
                <w:szCs w:val="3"/>
                <w:color w:val="auto"/>
              </w:rPr>
            </w:pPr>
          </w:p>
        </w:tc>
        <w:tc>
          <w:tcPr>
            <w:tcW w:w="700" w:type="dxa"/>
            <w:vAlign w:val="bottom"/>
            <w:tcBorders>
              <w:bottom w:val="single" w:sz="8" w:color="0C6DFF"/>
            </w:tcBorders>
          </w:tcPr>
          <w:p>
            <w:pPr>
              <w:spacing w:after="0"/>
              <w:rPr>
                <w:sz w:val="3"/>
                <w:szCs w:val="3"/>
                <w:color w:val="auto"/>
              </w:rPr>
            </w:pPr>
          </w:p>
        </w:tc>
        <w:tc>
          <w:tcPr>
            <w:tcW w:w="160" w:type="dxa"/>
            <w:vAlign w:val="bottom"/>
            <w:tcBorders>
              <w:bottom w:val="single" w:sz="8" w:color="0C6DFF"/>
            </w:tcBorders>
          </w:tcPr>
          <w:p>
            <w:pPr>
              <w:spacing w:after="0"/>
              <w:rPr>
                <w:sz w:val="3"/>
                <w:szCs w:val="3"/>
                <w:color w:val="auto"/>
              </w:rPr>
            </w:pPr>
          </w:p>
        </w:tc>
        <w:tc>
          <w:tcPr>
            <w:tcW w:w="700" w:type="dxa"/>
            <w:vAlign w:val="bottom"/>
            <w:tcBorders>
              <w:bottom w:val="single" w:sz="8" w:color="0C6DFF"/>
            </w:tcBorders>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color w:val="0C6DFF"/>
              </w:rPr>
              <w:t>Components of Income Tax Expense</w:t>
            </w:r>
          </w:p>
        </w:tc>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580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58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Year ended December 31 (in millions)</w:t>
            </w:r>
          </w:p>
        </w:tc>
        <w:tc>
          <w:tcPr>
            <w:tcW w:w="35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5800" w:type="dxa"/>
            <w:vAlign w:val="bottom"/>
          </w:tcPr>
          <w:p>
            <w:pPr>
              <w:spacing w:after="0" w:line="200" w:lineRule="exact"/>
              <w:rPr>
                <w:sz w:val="20"/>
                <w:szCs w:val="20"/>
                <w:color w:val="auto"/>
              </w:rPr>
            </w:pPr>
            <w:r>
              <w:rPr>
                <w:rFonts w:ascii="Arial" w:cs="Arial" w:eastAsia="Arial" w:hAnsi="Arial"/>
                <w:sz w:val="18"/>
                <w:szCs w:val="18"/>
                <w:color w:val="auto"/>
              </w:rPr>
              <w:t>Current expense (benefit):</w:t>
            </w:r>
          </w:p>
        </w:tc>
        <w:tc>
          <w:tcPr>
            <w:tcW w:w="4060" w:type="dxa"/>
            <w:vAlign w:val="bottom"/>
            <w:gridSpan w:val="2"/>
            <w:vMerge w:val="restart"/>
          </w:tcPr>
          <w:p>
            <w:pPr>
              <w:jc w:val="right"/>
              <w:ind w:right="54"/>
              <w:spacing w:after="0"/>
              <w:rPr>
                <w:sz w:val="20"/>
                <w:szCs w:val="20"/>
                <w:color w:val="auto"/>
              </w:rPr>
            </w:pPr>
            <w:r>
              <w:rPr>
                <w:rFonts w:ascii="Arial" w:cs="Arial" w:eastAsia="Arial" w:hAnsi="Arial"/>
                <w:sz w:val="18"/>
                <w:szCs w:val="18"/>
                <w:b w:val="1"/>
                <w:bCs w:val="1"/>
                <w:color w:val="auto"/>
              </w:rPr>
              <w:t>$ 3,183</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4060" w:type="dxa"/>
            <w:vAlign w:val="bottom"/>
            <w:gridSpan w:val="2"/>
            <w:vMerge w:val="continue"/>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$ 3,004</w:t>
            </w:r>
          </w:p>
        </w:tc>
        <w:tc>
          <w:tcPr>
            <w:tcW w:w="16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$ 1,480</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3580" w:type="dxa"/>
            <w:vAlign w:val="bottom"/>
          </w:tcPr>
          <w:p>
            <w:pPr>
              <w:spacing w:after="0"/>
              <w:rPr>
                <w:sz w:val="17"/>
                <w:szCs w:val="17"/>
                <w:color w:val="auto"/>
              </w:rPr>
            </w:pPr>
          </w:p>
        </w:tc>
        <w:tc>
          <w:tcPr>
            <w:tcW w:w="4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581</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3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2"/>
          </w:tcPr>
          <w:p>
            <w:pPr>
              <w:jc w:val="right"/>
              <w:ind w:right="54"/>
              <w:spacing w:after="0" w:line="196" w:lineRule="exact"/>
              <w:rPr>
                <w:sz w:val="20"/>
                <w:szCs w:val="20"/>
                <w:color w:val="auto"/>
              </w:rPr>
            </w:pPr>
            <w:r>
              <w:rPr>
                <w:rFonts w:ascii="Arial" w:cs="Arial" w:eastAsia="Arial" w:hAnsi="Arial"/>
                <w:sz w:val="18"/>
                <w:szCs w:val="18"/>
                <w:b w:val="1"/>
                <w:bCs w:val="1"/>
                <w:color w:val="auto"/>
              </w:rPr>
              <w:t>3,964</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3,605</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199"/>
        </w:trPr>
        <w:tc>
          <w:tcPr>
            <w:tcW w:w="5800" w:type="dxa"/>
            <w:vAlign w:val="bottom"/>
          </w:tcPr>
          <w:p>
            <w:pPr>
              <w:spacing w:after="0" w:line="200" w:lineRule="exact"/>
              <w:rPr>
                <w:sz w:val="20"/>
                <w:szCs w:val="20"/>
                <w:color w:val="auto"/>
              </w:rPr>
            </w:pPr>
            <w:r>
              <w:rPr>
                <w:rFonts w:ascii="Arial" w:cs="Arial" w:eastAsia="Arial" w:hAnsi="Arial"/>
                <w:sz w:val="18"/>
                <w:szCs w:val="18"/>
                <w:color w:val="auto"/>
              </w:rPr>
              <w:t>Deferred expense (benefit):</w:t>
            </w:r>
          </w:p>
        </w:tc>
        <w:tc>
          <w:tcPr>
            <w:tcW w:w="358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800" w:type="dxa"/>
            <w:vAlign w:val="bottom"/>
          </w:tcPr>
          <w:p>
            <w:pPr>
              <w:ind w:left="220"/>
              <w:spacing w:after="0" w:line="181" w:lineRule="exact"/>
              <w:rPr>
                <w:sz w:val="20"/>
                <w:szCs w:val="20"/>
                <w:color w:val="auto"/>
              </w:rPr>
            </w:pPr>
            <w:r>
              <w:rPr>
                <w:rFonts w:ascii="Arial" w:cs="Arial" w:eastAsia="Arial" w:hAnsi="Arial"/>
                <w:sz w:val="18"/>
                <w:szCs w:val="18"/>
                <w:color w:val="auto"/>
              </w:rPr>
              <w:t>Federal</w:t>
            </w:r>
          </w:p>
        </w:tc>
        <w:tc>
          <w:tcPr>
            <w:tcW w:w="35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State</w:t>
            </w:r>
          </w:p>
        </w:tc>
        <w:tc>
          <w:tcPr>
            <w:tcW w:w="3580" w:type="dxa"/>
            <w:vAlign w:val="bottom"/>
          </w:tcPr>
          <w:p>
            <w:pPr>
              <w:spacing w:after="0"/>
              <w:rPr>
                <w:sz w:val="17"/>
                <w:szCs w:val="17"/>
                <w:color w:val="auto"/>
              </w:rPr>
            </w:pPr>
          </w:p>
        </w:tc>
        <w:tc>
          <w:tcPr>
            <w:tcW w:w="4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108</w:t>
            </w:r>
          </w:p>
        </w:tc>
        <w:tc>
          <w:tcPr>
            <w:tcW w:w="86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(40)</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1"/>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Foreign</w:t>
            </w:r>
          </w:p>
        </w:tc>
        <w:tc>
          <w:tcPr>
            <w:tcW w:w="3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16</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4060" w:type="dxa"/>
            <w:vAlign w:val="bottom"/>
            <w:tcBorders>
              <w:bottom w:val="single" w:sz="8" w:color="0C6DFF"/>
            </w:tcBorders>
            <w:gridSpan w:val="2"/>
          </w:tcPr>
          <w:p>
            <w:pPr>
              <w:jc w:val="right"/>
              <w:ind w:right="54"/>
              <w:spacing w:after="0" w:line="196" w:lineRule="exact"/>
              <w:rPr>
                <w:sz w:val="20"/>
                <w:szCs w:val="20"/>
                <w:color w:val="auto"/>
              </w:rPr>
            </w:pPr>
            <w:r>
              <w:rPr>
                <w:rFonts w:ascii="Arial" w:cs="Arial" w:eastAsia="Arial" w:hAnsi="Arial"/>
                <w:sz w:val="18"/>
                <w:szCs w:val="18"/>
                <w:b w:val="1"/>
                <w:bCs w:val="1"/>
                <w:color w:val="auto"/>
              </w:rPr>
              <w:t>$ 3,980</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$ 3,744</w:t>
            </w:r>
          </w:p>
        </w:tc>
        <w:tc>
          <w:tcPr>
            <w:tcW w:w="160" w:type="dxa"/>
            <w:vAlign w:val="bottom"/>
            <w:tcBorders>
              <w:bottom w:val="single" w:sz="8" w:color="0C6DFF"/>
            </w:tcBorders>
          </w:tcPr>
          <w:p>
            <w:pPr>
              <w:spacing w:after="0"/>
              <w:rPr>
                <w:sz w:val="17"/>
                <w:szCs w:val="17"/>
                <w:color w:val="auto"/>
              </w:rPr>
            </w:pP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$ 3,050</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expense differs from the federal statutory amount because of the effect of the items detailed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Federal tax at statutory rate</w:t>
            </w:r>
          </w:p>
        </w:tc>
        <w:tc>
          <w:tcPr>
            <w:tcW w:w="250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$ 3,890</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$ 4,063</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$ 2,872</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5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319</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178</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354</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Foreign income taxes, net of federal credit</w:t>
            </w:r>
          </w:p>
        </w:tc>
        <w:tc>
          <w:tcPr>
            <w:tcW w:w="25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15</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92</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89</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Nontaxable income attributable to noncontrolling interests</w:t>
            </w:r>
          </w:p>
        </w:tc>
        <w:tc>
          <w:tcPr>
            <w:tcW w:w="2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Adjustments to uncertain and effectively settled tax positions, net</w:t>
            </w:r>
          </w:p>
        </w:tc>
        <w:tc>
          <w:tcPr>
            <w:tcW w:w="25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58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77</w:t>
            </w: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Accrued interest on uncertain and effectively settled tax positions, net</w:t>
            </w:r>
          </w:p>
        </w:tc>
        <w:tc>
          <w:tcPr>
            <w:tcW w:w="250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114</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w:t>
            </w: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50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$ 3,980</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$ 3,744</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$ 3,050</w:t>
            </w: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109</w:t>
            </w:r>
          </w:p>
        </w:tc>
        <w:tc>
          <w:tcPr>
            <w:tcW w:w="4120" w:type="dxa"/>
            <w:vAlign w:val="bottom"/>
            <w:gridSpan w:val="3"/>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 consequences that arise in connection with a business combination include identifying the tax basis of assets and liabilities acquired and any contingencies associated with uncertain tax positions assumed or resulting from the business combination. Deferred tax assets and liabilities related to temporary differences of an acquired entity are recorded as of the date of the business combination and are based on our estimate of the ultimate tax basis that will be accepted by the various taxing authorities. We record liabilities for contingencies associated with prior tax returns filed by the acquired entity based on criteria set forth in the appropriate accounting guidance. We adjust the deferred tax accounts and the liabilities periodically to reflect any revised estimated tax basis and any estimated settlements with the various taxing authorities. The effects of these adjustments are recorded to income tax expense.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From time to time, we engage in transactions in which the tax consequences may be subject to uncertainty. In these cases, we evaluate our tax positions using the recognition threshold and the measurement attribute in accordance with the accounting guidance related to uncertain tax positions. Examples of these transactions include business acquisitions and dispositions, including consideration paid or received in connection with these transactions, and certain financing transactions.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 to determine the amount of benefit to be recognized in our financial statements. We classify interest and penalties, if any, associated with our uncertain tax positions as a component of income tax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U.S. federal income tax purposes, NBCUniversal Holdings is treated as a partnership and NBCUniversal is disregarded as an entity separate from NBCUniversal Holdings. Accordingly, neither NBCUniversal Holdings nor NBCUniversal and its subsidiaries incur any material current or deferred domestic income taxes. Following the close of the Redemption Transaction in March 2013, the taxable income of NBCUniversal Holdings and NBCUniversal is allocable entirely to us.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indemnified by GE for any income tax liability attributable to the NBCUniversal contributed businesses for periods prior to the date of the 2011 NBCUniversal Transaction and also for any income tax liability attributable to NBCUniversal Enterprise for periods prior to the date of the Redemption Transaction. We have indemnified GE for any income tax liability attributable to the Comcast Content Business for periods prior to the date of the 2011 NBCUniversal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 and deferred foreign income taxes are incurred by NBCUniversal’s foreign subsidiaries. In 2013, 2012, and 2011, NBCUniversal had foreign income before taxes of $524 million, $434 million and $476 million, respectively, on which foreign income tax expense was recorded. We recorded U.S. income tax expense on our allocable share of NBCUniversal’s income before domestic and foreign taxes, which was reduced by a U.S. tax credit equal to our allocable share of NBCUniversal’s foreign income tax expense.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110</w:t>
            </w: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Net Deferred Tax Liability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10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8720" w:type="dxa"/>
            <w:vAlign w:val="bottom"/>
          </w:tcPr>
          <w:p>
            <w:pPr>
              <w:spacing w:after="0" w:line="200" w:lineRule="exact"/>
              <w:rPr>
                <w:sz w:val="20"/>
                <w:szCs w:val="20"/>
                <w:color w:val="auto"/>
              </w:rPr>
            </w:pPr>
            <w:r>
              <w:rPr>
                <w:rFonts w:ascii="Arial" w:cs="Arial" w:eastAsia="Arial" w:hAnsi="Arial"/>
                <w:sz w:val="18"/>
                <w:szCs w:val="18"/>
                <w:color w:val="auto"/>
              </w:rPr>
              <w:t>Deferred Tax Assets:</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495</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20" w:type="dxa"/>
            <w:vAlign w:val="bottom"/>
          </w:tcPr>
          <w:p>
            <w:pPr>
              <w:ind w:left="220"/>
              <w:spacing w:after="0" w:line="181" w:lineRule="exact"/>
              <w:rPr>
                <w:sz w:val="20"/>
                <w:szCs w:val="20"/>
                <w:color w:val="auto"/>
              </w:rPr>
            </w:pPr>
            <w:r>
              <w:rPr>
                <w:rFonts w:ascii="Arial" w:cs="Arial" w:eastAsia="Arial" w:hAnsi="Arial"/>
                <w:sz w:val="18"/>
                <w:szCs w:val="18"/>
                <w:color w:val="auto"/>
              </w:rPr>
              <w:t>Net operating loss carryforwards</w:t>
            </w:r>
          </w:p>
        </w:tc>
        <w:tc>
          <w:tcPr>
            <w:tcW w:w="10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long-term debt</w:t>
            </w:r>
          </w:p>
        </w:tc>
        <w:tc>
          <w:tcPr>
            <w:tcW w:w="10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117</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Nondeductible accruals and other</w:t>
            </w:r>
          </w:p>
        </w:tc>
        <w:tc>
          <w:tcPr>
            <w:tcW w:w="10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3,588</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Valuation allowance</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405</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3,795</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9"/>
        </w:trPr>
        <w:tc>
          <w:tcPr>
            <w:tcW w:w="8720" w:type="dxa"/>
            <w:vAlign w:val="bottom"/>
          </w:tcPr>
          <w:p>
            <w:pPr>
              <w:spacing w:after="0" w:line="200" w:lineRule="exact"/>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17"/>
                <w:szCs w:val="17"/>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34,044</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720" w:type="dxa"/>
            <w:vAlign w:val="bottom"/>
          </w:tcPr>
          <w:p>
            <w:pPr>
              <w:ind w:left="220"/>
              <w:spacing w:after="0" w:line="181" w:lineRule="exact"/>
              <w:rPr>
                <w:sz w:val="20"/>
                <w:szCs w:val="20"/>
                <w:color w:val="auto"/>
              </w:rPr>
            </w:pPr>
            <w:r>
              <w:rPr>
                <w:rFonts w:ascii="Arial" w:cs="Arial" w:eastAsia="Arial" w:hAnsi="Arial"/>
                <w:sz w:val="18"/>
                <w:szCs w:val="18"/>
                <w:color w:val="auto"/>
              </w:rPr>
              <w:t>Differences between book and tax basis of property and equipment and intangible assets</w:t>
            </w:r>
          </w:p>
        </w:tc>
        <w:tc>
          <w:tcPr>
            <w:tcW w:w="10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81" w:lineRule="exact"/>
              <w:rPr>
                <w:sz w:val="20"/>
                <w:szCs w:val="20"/>
                <w:color w:val="auto"/>
              </w:rPr>
            </w:pPr>
            <w:r>
              <w:rPr>
                <w:rFonts w:ascii="Arial" w:cs="Arial" w:eastAsia="Arial" w:hAnsi="Arial"/>
                <w:sz w:val="18"/>
                <w:szCs w:val="18"/>
                <w:color w:val="auto"/>
                <w:w w:val="98"/>
              </w:rPr>
              <w:t>29,185</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investments</w:t>
            </w:r>
          </w:p>
        </w:tc>
        <w:tc>
          <w:tcPr>
            <w:tcW w:w="10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473</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indexed debt securities</w:t>
            </w:r>
          </w:p>
        </w:tc>
        <w:tc>
          <w:tcPr>
            <w:tcW w:w="10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610</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8720" w:type="dxa"/>
            <w:vAlign w:val="bottom"/>
          </w:tcPr>
          <w:p>
            <w:pPr>
              <w:ind w:left="220"/>
              <w:spacing w:after="0" w:line="202" w:lineRule="exact"/>
              <w:rPr>
                <w:sz w:val="20"/>
                <w:szCs w:val="20"/>
                <w:color w:val="auto"/>
              </w:rPr>
            </w:pPr>
            <w:r>
              <w:rPr>
                <w:rFonts w:ascii="Arial" w:cs="Arial" w:eastAsia="Arial" w:hAnsi="Arial"/>
                <w:sz w:val="18"/>
                <w:szCs w:val="18"/>
                <w:color w:val="auto"/>
              </w:rPr>
              <w:t>Differences between book and tax basis of foreign subsidiaries and undistributed foreign earnings</w:t>
            </w:r>
          </w:p>
        </w:tc>
        <w:tc>
          <w:tcPr>
            <w:tcW w:w="106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367</w:t>
            </w:r>
          </w:p>
        </w:tc>
        <w:tc>
          <w:tcPr>
            <w:tcW w:w="3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Differences between book and tax outside basis of NBCUniversal</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35,494</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32,033</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10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31,699</w:t>
            </w:r>
          </w:p>
        </w:tc>
        <w:tc>
          <w:tcPr>
            <w:tcW w:w="3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8"/>
              </w:rPr>
              <w:t>30,017</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Changes in net deferred income tax liabilities in 2013 that were not recorded as deferred income tax expense are primarily related to increases of $1.6 billion associated with the Redemption Transaction and increases of $25 million related to items included in other comprehensive income (loss). Our net deferred tax liability includes $23 billion related to cable franchise rights that will remain unchanged unless we recognize an impairment or dispose of a cable franchise.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deferred tax assets included in current assets are primarily related to our current investments and current liabilities. As of December 31, 2013, we had federal net operating loss carryforwards of $176 million and various state net operating loss carryforwards that expire in periods through 2033. As of December 31, 2013, we also had foreign net operating loss carryforwards of $279 million that are related to the foreign operations of NBCUniversal, the majority of which expire in periods through 2023. The determination of the realization of the state and foreign net operating loss carryforwards is dependent on our subsidiaries’ taxable income or loss, apportionment percentages, and state and foreign laws that can change from year to year and impact the amount of such carryforwards. We recognize a valuation allowance if we determine it is more likely than not that some portion, or all, of a deferred tax asset will not be realized. As of December 31, 2013 and 2012, our valuation allowance was related primarily to state and foreign net operating loss carryforwards. In 2013, 2012 and 2011, income tax expense attributable to share-based compensation of $244 million, $164 million and $38 million, respectively, was allocated to shareholders’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uncertain tax positions as of December 31, 2013 totaled $1.7 billion, which excludes the federal benefits on state tax positions that were recorded as deferred income taxes. Included in our uncertain tax positions was $283 million related to tax positions of NBCUniversal and NBCUniversal Enterprise for which we have been indemnified by GE. If we were to recognize the tax benefit for our uncertain tax positions in the future, $980 million would impact our effective tax rate and the remaining amount would increase our deferred income tax liability. The amount and timing of the recognition of any such tax benefit is dependent on the completion of our tax examinations and the expiration of statutes of limitations. A majority of the amount of our uncertain tax positions relates to positions taken in years before 2007.</w:t>
      </w:r>
    </w:p>
    <w:p>
      <w:pPr>
        <w:spacing w:after="0" w:line="326"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111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C6DFF"/>
        </w:rPr>
        <w:t>Reconciliation of Unrecognized Tax Benefits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2011</w:t>
            </w:r>
          </w:p>
        </w:tc>
      </w:tr>
      <w:tr>
        <w:trPr>
          <w:trHeight w:val="177"/>
        </w:trPr>
        <w:tc>
          <w:tcPr>
            <w:tcW w:w="6820" w:type="dxa"/>
            <w:vAlign w:val="bottom"/>
          </w:tcPr>
          <w:p>
            <w:pPr>
              <w:spacing w:after="0" w:line="177" w:lineRule="exact"/>
              <w:rPr>
                <w:sz w:val="20"/>
                <w:szCs w:val="20"/>
                <w:color w:val="auto"/>
              </w:rPr>
            </w:pPr>
            <w:r>
              <w:rPr>
                <w:rFonts w:ascii="Arial" w:cs="Arial" w:eastAsia="Arial" w:hAnsi="Arial"/>
                <w:sz w:val="18"/>
                <w:szCs w:val="18"/>
                <w:color w:val="auto"/>
              </w:rPr>
              <w:t>Balance, January 1</w:t>
            </w:r>
          </w:p>
        </w:tc>
        <w:tc>
          <w:tcPr>
            <w:tcW w:w="2980" w:type="dxa"/>
            <w:vAlign w:val="bottom"/>
          </w:tcPr>
          <w:p>
            <w:pPr>
              <w:jc w:val="right"/>
              <w:ind w:right="54"/>
              <w:spacing w:after="0" w:line="177" w:lineRule="exact"/>
              <w:rPr>
                <w:sz w:val="20"/>
                <w:szCs w:val="20"/>
                <w:color w:val="auto"/>
              </w:rPr>
            </w:pPr>
            <w:r>
              <w:rPr>
                <w:rFonts w:ascii="Arial" w:cs="Arial" w:eastAsia="Arial" w:hAnsi="Arial"/>
                <w:sz w:val="18"/>
                <w:szCs w:val="18"/>
                <w:b w:val="1"/>
                <w:bCs w:val="1"/>
                <w:color w:val="auto"/>
              </w:rPr>
              <w:t>$ 1,573</w:t>
            </w:r>
          </w:p>
        </w:tc>
        <w:tc>
          <w:tcPr>
            <w:tcW w:w="8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$ 1,435</w:t>
            </w:r>
          </w:p>
        </w:tc>
        <w:tc>
          <w:tcPr>
            <w:tcW w:w="800" w:type="dxa"/>
            <w:vAlign w:val="bottom"/>
          </w:tcPr>
          <w:p>
            <w:pPr>
              <w:jc w:val="right"/>
              <w:ind w:right="14"/>
              <w:spacing w:after="0" w:line="177" w:lineRule="exact"/>
              <w:rPr>
                <w:sz w:val="20"/>
                <w:szCs w:val="20"/>
                <w:color w:val="auto"/>
              </w:rPr>
            </w:pPr>
            <w:r>
              <w:rPr>
                <w:rFonts w:ascii="Arial" w:cs="Arial" w:eastAsia="Arial" w:hAnsi="Arial"/>
                <w:sz w:val="18"/>
                <w:szCs w:val="18"/>
                <w:color w:val="auto"/>
              </w:rPr>
              <w:t>$ 1,251</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90</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154</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87</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based on tax positions related to prior years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201</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79</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75</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Additions from acquired subsidiaries</w:t>
            </w:r>
          </w:p>
        </w:tc>
        <w:tc>
          <w:tcPr>
            <w:tcW w:w="298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268</w:t>
            </w: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57</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(141)</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Reductions due to expiration of statutes of limitations</w:t>
            </w:r>
          </w:p>
        </w:tc>
        <w:tc>
          <w:tcPr>
            <w:tcW w:w="2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r>
      <w:tr>
        <w:trPr>
          <w:trHeight w:val="221"/>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Settlements with taxing authorities</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196"/>
        </w:trPr>
        <w:tc>
          <w:tcPr>
            <w:tcW w:w="68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Balance, December 31</w:t>
            </w:r>
          </w:p>
        </w:tc>
        <w:tc>
          <w:tcPr>
            <w:tcW w:w="298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$ 1,701</w:t>
            </w:r>
          </w:p>
        </w:tc>
        <w:tc>
          <w:tcPr>
            <w:tcW w:w="8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$ 1,573</w:t>
            </w:r>
          </w:p>
        </w:tc>
        <w:tc>
          <w:tcPr>
            <w:tcW w:w="80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$ 1,435</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and 2012, our accrued interest associated with tax positions was $780 million and $721 million, respectively. As of December 31, 2013 and 2012, $42 million and $11 million, respectively, of these amounts were related to tax positions of NBCUniversal and NBCUniversal Enterprise for which we have been indemnified by GE.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2013, the IRS completed its examination of our income tax returns for the years 2009 through 2011. During 2013, we effectively settled federal tax disputes related to prior periods. These settlements did not have a material impact on our income tax expense.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Various states are examining our tax returns through 2011. The tax years of our state tax returns currently under examination vary by state. The majority of the periods under examination relate to tax years 2000 and forward, with a select few dating back to 1993.</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It is reasonably possible that certain statutes of limitations for the years 2000 through 2006 will expire within the next 12 months that could result in a decrease to our uncertain tax positions.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6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r>
      <w:tr>
        <w:trPr>
          <w:trHeight w:val="177"/>
        </w:trPr>
        <w:tc>
          <w:tcPr>
            <w:tcW w:w="698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3640" w:type="dxa"/>
            <w:vAlign w:val="bottom"/>
          </w:tcPr>
          <w:p>
            <w:pPr>
              <w:jc w:val="right"/>
              <w:ind w:right="56"/>
              <w:spacing w:after="0" w:line="177" w:lineRule="exact"/>
              <w:rPr>
                <w:sz w:val="20"/>
                <w:szCs w:val="20"/>
                <w:color w:val="auto"/>
              </w:rPr>
            </w:pPr>
            <w:r>
              <w:rPr>
                <w:rFonts w:ascii="Arial" w:cs="Arial" w:eastAsia="Arial" w:hAnsi="Arial"/>
                <w:sz w:val="18"/>
                <w:szCs w:val="18"/>
                <w:b w:val="1"/>
                <w:bCs w:val="1"/>
                <w:color w:val="auto"/>
              </w:rPr>
              <w:t>$ 6,972</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$ 6,026</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364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375</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r>
      <w:tr>
        <w:trPr>
          <w:trHeight w:val="22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36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196"/>
        </w:trPr>
        <w:tc>
          <w:tcPr>
            <w:tcW w:w="69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364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$ 6,376</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$ 5,521</w:t>
            </w:r>
          </w:p>
        </w:tc>
      </w:tr>
    </w:tbl>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amounts in the table above, noncurrent receivables of $488 million and $641 million, as of December 31, 2013 and 2012,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5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412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5780" w:type="dxa"/>
            <w:vAlign w:val="bottom"/>
          </w:tcPr>
          <w:p>
            <w:pPr>
              <w:jc w:val="right"/>
              <w:ind w:right="2"/>
              <w:spacing w:after="0" w:line="177" w:lineRule="exact"/>
              <w:rPr>
                <w:sz w:val="20"/>
                <w:szCs w:val="20"/>
                <w:color w:val="auto"/>
              </w:rPr>
            </w:pPr>
            <w:r>
              <w:rPr>
                <w:rFonts w:ascii="Arial" w:cs="Arial" w:eastAsia="Arial" w:hAnsi="Arial"/>
                <w:sz w:val="18"/>
                <w:szCs w:val="18"/>
                <w:b w:val="1"/>
                <w:bCs w:val="1"/>
                <w:color w:val="auto"/>
              </w:rPr>
              <w:t>$ 2,355</w:t>
            </w:r>
          </w:p>
        </w:tc>
        <w:tc>
          <w:tcPr>
            <w:tcW w:w="780" w:type="dxa"/>
            <w:vAlign w:val="bottom"/>
          </w:tcPr>
          <w:p>
            <w:pPr>
              <w:jc w:val="right"/>
              <w:spacing w:after="0" w:line="177" w:lineRule="exact"/>
              <w:rPr>
                <w:sz w:val="20"/>
                <w:szCs w:val="20"/>
                <w:color w:val="auto"/>
              </w:rPr>
            </w:pPr>
            <w:r>
              <w:rPr>
                <w:rFonts w:ascii="Arial" w:cs="Arial" w:eastAsia="Arial" w:hAnsi="Arial"/>
                <w:sz w:val="18"/>
                <w:szCs w:val="18"/>
                <w:color w:val="auto"/>
              </w:rPr>
              <w:t>$ 2,314</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$ 2,441</w:t>
            </w:r>
          </w:p>
        </w:tc>
      </w:tr>
      <w:tr>
        <w:trPr>
          <w:trHeight w:val="22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57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$ 3,946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$ 2,841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$ 1,626</w:t>
            </w:r>
          </w:p>
        </w:tc>
      </w:tr>
      <w:tr>
        <w:trPr>
          <w:trHeight w:val="506"/>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5780" w:type="dxa"/>
            <w:vAlign w:val="bottom"/>
          </w:tcPr>
          <w:p>
            <w:pPr>
              <w:jc w:val="right"/>
              <w:ind w:right="4002"/>
              <w:spacing w:after="0"/>
              <w:rPr>
                <w:sz w:val="20"/>
                <w:szCs w:val="20"/>
                <w:color w:val="auto"/>
              </w:rPr>
            </w:pPr>
            <w:r>
              <w:rPr>
                <w:rFonts w:ascii="Arial" w:cs="Arial" w:eastAsia="Arial" w:hAnsi="Arial"/>
                <w:sz w:val="14"/>
                <w:szCs w:val="14"/>
                <w:b w:val="1"/>
                <w:bCs w:val="1"/>
                <w:color w:val="auto"/>
              </w:rPr>
              <w:t>112</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117" w:lineRule="exact"/>
        <w:rPr>
          <w:sz w:val="20"/>
          <w:szCs w:val="20"/>
          <w:color w:val="auto"/>
        </w:rPr>
      </w:pPr>
    </w:p>
    <w:p>
      <w:pPr>
        <w:jc w:val="both"/>
        <w:ind w:left="1020" w:right="1240" w:hanging="215"/>
        <w:spacing w:after="0" w:line="273"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acquired GE’s remaining 49% common equity interest in NBCUniversal Holdings for total consideration of $16.7 billion, which included noncash consideration of $6 billion that was comprised of $4 billion aggregate principal amount of senior notes issued by NBCUniversal Enterprise, $1.25 billion of borrowings under NBCUniversal Enterprise’s credit facility and $725 million aggregate liquidation preference of NBCUniversal Enterprise Series A cumulative preferred stock (see Note 4 for additional information on the Redemption Transaction)</w:t>
      </w:r>
    </w:p>
    <w:p>
      <w:pPr>
        <w:spacing w:after="0" w:line="88" w:lineRule="exact"/>
        <w:rPr>
          <w:rFonts w:ascii="Arial" w:cs="Arial" w:eastAsia="Arial" w:hAnsi="Arial"/>
          <w:sz w:val="16"/>
          <w:szCs w:val="16"/>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acquired $872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recorded a liability of $509 million for a quarterly cash dividend of $0.195 per common share paid in January 2014</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used $1.4 billion of equity securities to settle a portion of our obligations under prepaid forward sale agreements</w:t>
      </w:r>
    </w:p>
    <w:p>
      <w:pPr>
        <w:spacing w:after="0" w:line="117"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closed a transaction with Liberty Media that included, among other things, the delivery of Liberty Media shares owned by us in exchange for Liberty Media’s interests in one of NBCUniversal’s contractual obligations (see Note 6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17" w:lineRule="exact"/>
        <w:rPr>
          <w:sz w:val="20"/>
          <w:szCs w:val="20"/>
          <w:color w:val="auto"/>
        </w:rPr>
      </w:pPr>
    </w:p>
    <w:p>
      <w:pPr>
        <w:ind w:left="1020" w:hanging="215"/>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acquired $757 million of property and equipment and intangible assets that were accrued but unpaid</w:t>
      </w:r>
    </w:p>
    <w:p>
      <w:pPr>
        <w:spacing w:after="0" w:line="117"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recorded a liability of $430 million for a quarterly cash dividend of $0.1625 per common share paid in January 2013</w:t>
      </w:r>
    </w:p>
    <w:p>
      <w:pPr>
        <w:spacing w:after="0" w:line="114"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NBCUniversal entered into a capital lease transaction that resulted in an increase in property and equipment and debt of $85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During 2011:</w:t>
      </w:r>
    </w:p>
    <w:p>
      <w:pPr>
        <w:spacing w:after="0" w:line="117" w:lineRule="exact"/>
        <w:rPr>
          <w:sz w:val="20"/>
          <w:szCs w:val="20"/>
          <w:color w:val="auto"/>
        </w:rPr>
      </w:pPr>
    </w:p>
    <w:p>
      <w:pPr>
        <w:ind w:left="1020" w:right="1260" w:hanging="215"/>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51% of NBCUniversal Holdings on January 28, 2011 for cash and a 49% interest in the Comcast Content Business (see Note 4 for additional information on the NBCUniversal transaction)</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value of NBCUniversal’s previously held equity interest in Universal Orlando was accounted for as noncash consideration in the application of acquisition accounting for the Universal Orlando transaction (see Note 4 for additional information on the Universal Orlando transaction)</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acquired $1 billion of property and equipment and intangible assets that were accrued but unpaid</w:t>
      </w:r>
    </w:p>
    <w:p>
      <w:pPr>
        <w:spacing w:after="0" w:line="117" w:lineRule="exact"/>
        <w:rPr>
          <w:rFonts w:ascii="Arial" w:cs="Arial" w:eastAsia="Arial" w:hAnsi="Arial"/>
          <w:sz w:val="18"/>
          <w:szCs w:val="18"/>
          <w:color w:val="auto"/>
        </w:rPr>
      </w:pPr>
    </w:p>
    <w:p>
      <w:pPr>
        <w:ind w:left="1020" w:right="1260" w:hanging="215"/>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recorded a liability of $305 million for a quarterly cash dividend of $0.1125 per common share paid in January 2012</w:t>
      </w:r>
    </w:p>
    <w:p>
      <w:pPr>
        <w:spacing w:after="0" w:line="324"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113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2013, NBCUniversal terminated its programs under which it monetized certain of its accounts receivable with a syndicate of banks. In connection with these terminations, NBCUniversal remitted final payments to the third-party banks that totaled $1.442 billion (the “termination payments”) in order to acquire $1.078 billion of accounts receivables that had been monetized and remained uncollected as of the date of the terminations and settle $364 million of cash receipts that we had collected and had not yet remitted to the banks. The termination payments are included within net cash provided by operating activities in our consolidated statement of cash flows.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Prior to the terminations, we accounted for receivables monetized through these programs as sales in accordance with the appropriate accounting guidance. We received deferred consideration from the assets sold in the form of a receivable, which was funded by residual cash flows after the senior interests had been fully paid. As of December 31, 2012, the deferred consideration was included in receivables, net at its initial fair value, which reflects the net cash flows we expected to receive related to those interests.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Receivables Monetized and Deferred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4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w:t>
            </w:r>
          </w:p>
        </w:tc>
      </w:tr>
      <w:tr>
        <w:trPr>
          <w:trHeight w:val="199"/>
        </w:trPr>
        <w:tc>
          <w:tcPr>
            <w:tcW w:w="6520" w:type="dxa"/>
            <w:vAlign w:val="bottom"/>
          </w:tcPr>
          <w:p>
            <w:pPr>
              <w:spacing w:after="0" w:line="200" w:lineRule="exact"/>
              <w:rPr>
                <w:sz w:val="20"/>
                <w:szCs w:val="20"/>
                <w:color w:val="auto"/>
              </w:rPr>
            </w:pPr>
            <w:r>
              <w:rPr>
                <w:rFonts w:ascii="Arial" w:cs="Arial" w:eastAsia="Arial" w:hAnsi="Arial"/>
                <w:sz w:val="18"/>
                <w:szCs w:val="18"/>
                <w:color w:val="auto"/>
              </w:rPr>
              <w:t>Monetized receivables sold</w:t>
            </w:r>
          </w:p>
        </w:tc>
        <w:tc>
          <w:tcPr>
            <w:tcW w:w="4900" w:type="dxa"/>
            <w:vAlign w:val="bottom"/>
          </w:tcPr>
          <w:p>
            <w:pPr>
              <w:jc w:val="right"/>
              <w:spacing w:after="0" w:line="200" w:lineRule="exact"/>
              <w:rPr>
                <w:sz w:val="20"/>
                <w:szCs w:val="20"/>
                <w:color w:val="auto"/>
              </w:rPr>
            </w:pPr>
            <w:r>
              <w:rPr>
                <w:rFonts w:ascii="Arial" w:cs="Arial" w:eastAsia="Arial" w:hAnsi="Arial"/>
                <w:sz w:val="18"/>
                <w:szCs w:val="18"/>
                <w:color w:val="auto"/>
              </w:rPr>
              <w:t>$ 791</w:t>
            </w:r>
          </w:p>
        </w:tc>
      </w:tr>
      <w:tr>
        <w:trPr>
          <w:trHeight w:val="199"/>
        </w:trPr>
        <w:tc>
          <w:tcPr>
            <w:tcW w:w="65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Deferred consideration</w:t>
            </w:r>
          </w:p>
        </w:tc>
        <w:tc>
          <w:tcPr>
            <w:tcW w:w="4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$ 274</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amounts presented above, we had $882 million payable to our monetization programs as of December 31, 2012. These amounts represented cash receipts that were not yet remitted to the monetization programs and were recorded to accounts payable and accrued expenses related to trade creditors.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net cash payments on transfers that are included within net cash provided by operating activities in our consolidated statement of cash flows were $86 million and $237 million in 2012 and 2011, respectively. The receivables monetization programs did not have a material effect on our consolidated statement of income for the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18: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enters into long-term commitments with third parties in the ordinary course of its business, including commitments to acquire film and television programming, creative talent and employment agreements, and various other television-related commitments. Many of NBCUniversal’s employees, including writers, directors, actors, technical and production personnel, and others, as well as some of its on-air and creative talent, are covered by collective bargaining agreements or works councils. As of December 31, 2013, the total number of NBCUniversal full-time, part-time and hourly employees on its payroll covered by collective bargaining agreements was 7,200 full-time equivalent employees. Of this total, approximately 19% of these full-time equivalent employees were covered by collective bargaining agreements that have expired or are scheduled to expire during 2014.</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through Comcast-Spectacor, have employment agreements with both players and coaches of the Philadelphia Flyers. Certain of these employment agreements, which provide for payments that are guaranteed regardless of employee injury or termination, are covered by disability insurance if certain conditions are met.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table below summarizes our minimum annual programming and talent commitments and our minimum annual rental commitments for office space, equipment and transponder service agreements under operating leases. Programming and talent commitments include acquired film and television programming, including U.S. television rights to the future Olympic Games through 2020, </w:t>
      </w:r>
      <w:r>
        <w:rPr>
          <w:rFonts w:ascii="Arial" w:cs="Arial" w:eastAsia="Arial" w:hAnsi="Arial"/>
          <w:sz w:val="16"/>
          <w:szCs w:val="16"/>
          <w:i w:val="1"/>
          <w:iCs w:val="1"/>
          <w:color w:val="auto"/>
        </w:rPr>
        <w:t>Sunday Night Football</w:t>
      </w:r>
      <w:r>
        <w:rPr>
          <w:rFonts w:ascii="Arial" w:cs="Arial" w:eastAsia="Arial" w:hAnsi="Arial"/>
          <w:sz w:val="16"/>
          <w:szCs w:val="16"/>
          <w:color w:val="auto"/>
        </w:rPr>
        <w:t xml:space="preserve"> on NBC through the 2022-23 season, and other programming commitments, as well as our various contracts with creative talent and employment agreements.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Arial" w:cs="Arial" w:eastAsia="Arial" w:hAnsi="Arial"/>
                <w:sz w:val="14"/>
                <w:szCs w:val="14"/>
                <w:color w:val="auto"/>
                <w:w w:val="98"/>
              </w:rPr>
              <w:t>Programming and</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Operating</w:t>
            </w:r>
          </w:p>
        </w:tc>
      </w:tr>
      <w:tr>
        <w:trPr>
          <w:trHeight w:val="163"/>
        </w:trPr>
        <w:tc>
          <w:tcPr>
            <w:tcW w:w="5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December 31, 2013 (in millions)</w:t>
            </w:r>
          </w:p>
        </w:tc>
        <w:tc>
          <w:tcPr>
            <w:tcW w:w="4880" w:type="dxa"/>
            <w:vAlign w:val="bottom"/>
            <w:tcBorders>
              <w:bottom w:val="single" w:sz="8" w:color="auto"/>
            </w:tcBorders>
            <w:gridSpan w:val="2"/>
          </w:tcPr>
          <w:p>
            <w:pPr>
              <w:ind w:left="3520"/>
              <w:spacing w:after="0"/>
              <w:rPr>
                <w:sz w:val="20"/>
                <w:szCs w:val="20"/>
                <w:color w:val="auto"/>
              </w:rPr>
            </w:pPr>
            <w:r>
              <w:rPr>
                <w:rFonts w:ascii="Arial" w:cs="Arial" w:eastAsia="Arial" w:hAnsi="Arial"/>
                <w:sz w:val="14"/>
                <w:szCs w:val="14"/>
                <w:color w:val="auto"/>
              </w:rPr>
              <w:t>Talent Commitments</w:t>
            </w: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Leases</w:t>
            </w:r>
          </w:p>
        </w:tc>
      </w:tr>
      <w:tr>
        <w:trPr>
          <w:trHeight w:val="199"/>
        </w:trPr>
        <w:tc>
          <w:tcPr>
            <w:tcW w:w="5760" w:type="dxa"/>
            <w:vAlign w:val="bottom"/>
          </w:tcPr>
          <w:p>
            <w:pPr>
              <w:spacing w:after="0" w:line="200" w:lineRule="exact"/>
              <w:rPr>
                <w:sz w:val="20"/>
                <w:szCs w:val="20"/>
                <w:color w:val="auto"/>
              </w:rPr>
            </w:pPr>
            <w:r>
              <w:rPr>
                <w:rFonts w:ascii="Arial" w:cs="Arial" w:eastAsia="Arial" w:hAnsi="Arial"/>
                <w:sz w:val="18"/>
                <w:szCs w:val="18"/>
                <w:color w:val="auto"/>
              </w:rPr>
              <w:t>2014</w:t>
            </w:r>
          </w:p>
        </w:tc>
        <w:tc>
          <w:tcPr>
            <w:tcW w:w="3640" w:type="dxa"/>
            <w:vAlign w:val="bottom"/>
          </w:tcPr>
          <w:p>
            <w:pPr>
              <w:ind w:left="3520"/>
              <w:spacing w:after="0" w:line="200"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4,899</w:t>
            </w:r>
          </w:p>
        </w:tc>
        <w:tc>
          <w:tcPr>
            <w:tcW w:w="260" w:type="dxa"/>
            <w:vAlign w:val="bottom"/>
          </w:tcPr>
          <w:p>
            <w:pPr>
              <w:ind w:left="140"/>
              <w:spacing w:after="0" w:line="200"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385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3,190</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4,039</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2,755</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3,672</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r>
      <w:tr>
        <w:trPr>
          <w:trHeight w:val="199"/>
        </w:trPr>
        <w:tc>
          <w:tcPr>
            <w:tcW w:w="5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640" w:type="dxa"/>
            <w:vAlign w:val="bottom"/>
            <w:tcBorders>
              <w:bottom w:val="single" w:sz="8" w:color="auto"/>
            </w:tcBorders>
          </w:tcPr>
          <w:p>
            <w:pPr>
              <w:ind w:left="3520"/>
              <w:spacing w:after="0" w:line="200"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20,522</w:t>
            </w:r>
          </w:p>
        </w:tc>
        <w:tc>
          <w:tcPr>
            <w:tcW w:w="260" w:type="dxa"/>
            <w:vAlign w:val="bottom"/>
            <w:tcBorders>
              <w:bottom w:val="single" w:sz="8" w:color="auto"/>
            </w:tcBorders>
          </w:tcPr>
          <w:p>
            <w:pPr>
              <w:ind w:left="140"/>
              <w:spacing w:after="0" w:line="200"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673</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 expense charged to operations.</w:t>
      </w:r>
    </w:p>
    <w:tbl>
      <w:tblPr>
        <w:tblLayout w:type="fixed"/>
        <w:tblInd w:w="0" w:type="dxa"/>
        <w:tblCellMar>
          <w:top w:w="0" w:type="dxa"/>
          <w:left w:w="0" w:type="dxa"/>
          <w:bottom w:w="0" w:type="dxa"/>
          <w:right w:w="0" w:type="dxa"/>
        </w:tblCellMar>
      </w:tblPr>
      <w:tr>
        <w:trPr>
          <w:trHeight w:val="149"/>
        </w:trPr>
        <w:tc>
          <w:tcPr>
            <w:tcW w:w="59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4240" w:type="dxa"/>
            <w:vAlign w:val="bottom"/>
            <w:tcBorders>
              <w:bottom w:val="single" w:sz="8" w:color="auto"/>
            </w:tcBorders>
          </w:tcPr>
          <w:p>
            <w:pPr>
              <w:jc w:val="right"/>
              <w:ind w:right="2"/>
              <w:spacing w:after="0" w:line="149"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jc w:val="right"/>
              <w:ind w:right="2"/>
              <w:spacing w:after="0" w:line="149" w:lineRule="exact"/>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2011</w:t>
            </w:r>
          </w:p>
        </w:tc>
      </w:tr>
      <w:tr>
        <w:trPr>
          <w:trHeight w:val="196"/>
        </w:trPr>
        <w:tc>
          <w:tcPr>
            <w:tcW w:w="5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 expense</w:t>
            </w:r>
          </w:p>
        </w:tc>
        <w:tc>
          <w:tcPr>
            <w:tcW w:w="4240" w:type="dxa"/>
            <w:vAlign w:val="bottom"/>
            <w:tcBorders>
              <w:bottom w:val="single" w:sz="8" w:color="auto"/>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$ 616</w:t>
            </w:r>
          </w:p>
        </w:tc>
        <w:tc>
          <w:tcPr>
            <w:tcW w:w="620" w:type="dxa"/>
            <w:vAlign w:val="bottom"/>
            <w:tcBorders>
              <w:bottom w:val="single" w:sz="8" w:color="auto"/>
            </w:tcBorders>
          </w:tcPr>
          <w:p>
            <w:pPr>
              <w:jc w:val="right"/>
              <w:ind w:right="2"/>
              <w:spacing w:after="0" w:line="196" w:lineRule="exact"/>
              <w:rPr>
                <w:sz w:val="20"/>
                <w:szCs w:val="20"/>
                <w:color w:val="auto"/>
              </w:rPr>
            </w:pPr>
            <w:r>
              <w:rPr>
                <w:rFonts w:ascii="Arial" w:cs="Arial" w:eastAsia="Arial" w:hAnsi="Arial"/>
                <w:sz w:val="18"/>
                <w:szCs w:val="18"/>
                <w:color w:val="auto"/>
              </w:rPr>
              <w:t>$ 688</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$ 570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Antitrust Cases</w:t>
      </w:r>
    </w:p>
    <w:p>
      <w:pPr>
        <w:jc w:val="both"/>
        <w:spacing w:after="0" w:line="236" w:lineRule="auto"/>
        <w:rPr>
          <w:sz w:val="20"/>
          <w:szCs w:val="20"/>
          <w:color w:val="auto"/>
        </w:rPr>
      </w:pPr>
      <w:r>
        <w:rPr>
          <w:rFonts w:ascii="Arial" w:cs="Arial" w:eastAsia="Arial" w:hAnsi="Arial"/>
          <w:sz w:val="18"/>
          <w:szCs w:val="18"/>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In June 2012, the U.S. Supreme Court granted our petition to review the Third Circuit Court of Appeals’ ruling and in March 2013, the Supreme Court ruled that the class had been improperly certified and reversed the judgment of the Third Circuit. The matter has been returned to the District Court for action consistent with the Supreme Court’s opinion. In August 2013, a plaintiff in the Philadelphia Cluster case moved to certify a new, smaller class. The District Court denied our September 2013 motion to strike the plaintiffs’ motion on procedural grounds, and a decision on the plaintiffs’ motion is expected in 2014. The plaintiffs’ claims concerning the other two clusters are stayed pending determination of the Philadelphia Cluster claims.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w:t>
      </w:r>
    </w:p>
    <w:p>
      <w:pPr>
        <w:spacing w:after="0" w:line="327"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115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most of the plaintiffs’ claims and to stay the remaining claims pending arbitration. 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June 2013, a comprehensive settlement agreement for all 23 cases was submitted to the District Court for preliminary approval. Regardless of whether this settlement agreement is approved, we do not expect these cases to have a material effect on our results of operations, cash flows or financial position.</w:t>
      </w:r>
    </w:p>
    <w:p>
      <w:pPr>
        <w:spacing w:after="0" w:line="3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the claims in each of the pending actions described above in this item are without merit, except as otherwise set forth above, and intend to defend the actions vigorously. We cannot predict the outcome of any of the actions described above, including a range of possible loss, or how the final resolution of any such actions would impact our results of operations or cash flows for any one period or our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Other</w:t>
      </w:r>
    </w:p>
    <w:p>
      <w:pPr>
        <w:jc w:val="both"/>
        <w:spacing w:after="0" w:line="236"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 consuming, costly and injure our reputation.</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19: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present our operations in one reportable business segment for Cable Communications and four reportable business segments for NBCUniversal. The Cable Networks, Broadcast Television, Filmed Entertainment and Theme Parks segments comprise the NBCUniversal businesses and are collectively referred to as the “NBCUniversal segments.” Our financial data by reportable business segment is presented in the tables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2"/>
          </w:tcPr>
          <w:p>
            <w:pPr>
              <w:jc w:val="right"/>
              <w:ind w:right="57"/>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57"/>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Depreciation</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tcPr>
          <w:p>
            <w:pPr>
              <w:jc w:val="right"/>
              <w:ind w:right="5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2640" w:type="dxa"/>
            <w:vAlign w:val="bottom"/>
            <w:vMerge w:val="restart"/>
          </w:tcPr>
          <w:p>
            <w:pPr>
              <w:jc w:val="right"/>
              <w:ind w:right="7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200" w:type="dxa"/>
            <w:vAlign w:val="bottom"/>
          </w:tcPr>
          <w:p>
            <w:pPr>
              <w:spacing w:after="0"/>
              <w:rPr>
                <w:sz w:val="10"/>
                <w:szCs w:val="10"/>
                <w:color w:val="auto"/>
              </w:rPr>
            </w:pPr>
          </w:p>
        </w:tc>
        <w:tc>
          <w:tcPr>
            <w:tcW w:w="880" w:type="dxa"/>
            <w:vAlign w:val="bottom"/>
          </w:tcPr>
          <w:p>
            <w:pPr>
              <w:jc w:val="right"/>
              <w:ind w:right="57"/>
              <w:spacing w:after="0" w:line="123"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0"/>
                <w:szCs w:val="10"/>
                <w:color w:val="auto"/>
              </w:rPr>
            </w:pPr>
          </w:p>
        </w:tc>
        <w:tc>
          <w:tcPr>
            <w:tcW w:w="660" w:type="dxa"/>
            <w:vAlign w:val="bottom"/>
          </w:tcPr>
          <w:p>
            <w:pPr>
              <w:jc w:val="right"/>
              <w:ind w:right="54"/>
              <w:spacing w:after="0" w:line="123" w:lineRule="exact"/>
              <w:rPr>
                <w:sz w:val="20"/>
                <w:szCs w:val="20"/>
                <w:color w:val="auto"/>
              </w:rPr>
            </w:pPr>
            <w:r>
              <w:rPr>
                <w:rFonts w:ascii="Arial" w:cs="Arial" w:eastAsia="Arial" w:hAnsi="Arial"/>
                <w:sz w:val="14"/>
                <w:szCs w:val="14"/>
                <w:color w:val="auto"/>
              </w:rPr>
              <w:t>and</w:t>
            </w:r>
          </w:p>
        </w:tc>
        <w:tc>
          <w:tcPr>
            <w:tcW w:w="900" w:type="dxa"/>
            <w:vAlign w:val="bottom"/>
          </w:tcPr>
          <w:p>
            <w:pPr>
              <w:jc w:val="right"/>
              <w:ind w:right="57"/>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Capital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5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(Loss)</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2013</w:t>
            </w: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$ 41,836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17,205</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6,394</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$ 10,811</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5,403</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$ 132,082</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9,201</w:t>
            </w:r>
          </w:p>
        </w:tc>
        <w:tc>
          <w:tcPr>
            <w:tcW w:w="200" w:type="dxa"/>
            <w:vAlign w:val="bottom"/>
          </w:tcPr>
          <w:p>
            <w:pPr>
              <w:spacing w:after="0"/>
              <w:rPr>
                <w:sz w:val="17"/>
                <w:szCs w:val="17"/>
                <w:color w:val="auto"/>
              </w:rPr>
            </w:pPr>
          </w:p>
        </w:tc>
        <w:tc>
          <w:tcPr>
            <w:tcW w:w="8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3,501</w:t>
            </w:r>
          </w:p>
        </w:tc>
        <w:tc>
          <w:tcPr>
            <w:tcW w:w="3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734</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2,767</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29,413</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7,120</w:t>
            </w:r>
          </w:p>
        </w:tc>
        <w:tc>
          <w:tcPr>
            <w:tcW w:w="200" w:type="dxa"/>
            <w:vAlign w:val="bottom"/>
          </w:tcPr>
          <w:p>
            <w:pPr>
              <w:spacing w:after="0"/>
              <w:rPr>
                <w:sz w:val="17"/>
                <w:szCs w:val="17"/>
                <w:color w:val="auto"/>
              </w:rPr>
            </w:pPr>
          </w:p>
        </w:tc>
        <w:tc>
          <w:tcPr>
            <w:tcW w:w="8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345</w:t>
            </w:r>
          </w:p>
        </w:tc>
        <w:tc>
          <w:tcPr>
            <w:tcW w:w="3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98</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247</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5,452</w:t>
            </w:r>
          </w:p>
        </w:tc>
        <w:tc>
          <w:tcPr>
            <w:tcW w:w="200" w:type="dxa"/>
            <w:vAlign w:val="bottom"/>
          </w:tcPr>
          <w:p>
            <w:pPr>
              <w:spacing w:after="0"/>
              <w:rPr>
                <w:sz w:val="17"/>
                <w:szCs w:val="17"/>
                <w:color w:val="auto"/>
              </w:rPr>
            </w:pPr>
          </w:p>
        </w:tc>
        <w:tc>
          <w:tcPr>
            <w:tcW w:w="8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483</w:t>
            </w:r>
          </w:p>
        </w:tc>
        <w:tc>
          <w:tcPr>
            <w:tcW w:w="3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468</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2,235</w:t>
            </w:r>
          </w:p>
        </w:tc>
        <w:tc>
          <w:tcPr>
            <w:tcW w:w="200" w:type="dxa"/>
            <w:vAlign w:val="bottom"/>
          </w:tcPr>
          <w:p>
            <w:pPr>
              <w:spacing w:after="0"/>
              <w:rPr>
                <w:sz w:val="17"/>
                <w:szCs w:val="17"/>
                <w:color w:val="auto"/>
              </w:rPr>
            </w:pPr>
          </w:p>
        </w:tc>
        <w:tc>
          <w:tcPr>
            <w:tcW w:w="88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1,004</w:t>
            </w:r>
          </w:p>
        </w:tc>
        <w:tc>
          <w:tcPr>
            <w:tcW w:w="3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300</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704</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(588)</w:t>
            </w:r>
          </w:p>
        </w:tc>
        <w:tc>
          <w:tcPr>
            <w:tcW w:w="3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264</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6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(389)</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640" w:type="dxa"/>
            <w:vAlign w:val="bottom"/>
          </w:tcPr>
          <w:p>
            <w:pPr>
              <w:jc w:val="right"/>
              <w:ind w:right="75"/>
              <w:spacing w:after="0" w:line="200" w:lineRule="exact"/>
              <w:rPr>
                <w:sz w:val="20"/>
                <w:szCs w:val="20"/>
                <w:color w:val="auto"/>
              </w:rPr>
            </w:pPr>
            <w:r>
              <w:rPr>
                <w:rFonts w:ascii="Arial" w:cs="Arial" w:eastAsia="Arial" w:hAnsi="Arial"/>
                <w:sz w:val="18"/>
                <w:szCs w:val="18"/>
                <w:color w:val="auto"/>
              </w:rPr>
              <w:t>23,650</w:t>
            </w:r>
          </w:p>
        </w:tc>
        <w:tc>
          <w:tcPr>
            <w:tcW w:w="200" w:type="dxa"/>
            <w:vAlign w:val="bottom"/>
          </w:tcPr>
          <w:p>
            <w:pPr>
              <w:spacing w:after="0"/>
              <w:rPr>
                <w:sz w:val="17"/>
                <w:szCs w:val="17"/>
                <w:color w:val="auto"/>
              </w:rPr>
            </w:pPr>
          </w:p>
        </w:tc>
        <w:tc>
          <w:tcPr>
            <w:tcW w:w="880" w:type="dxa"/>
            <w:vAlign w:val="bottom"/>
          </w:tcPr>
          <w:p>
            <w:pPr>
              <w:jc w:val="right"/>
              <w:ind w:right="77"/>
              <w:spacing w:after="0" w:line="200" w:lineRule="exact"/>
              <w:rPr>
                <w:sz w:val="20"/>
                <w:szCs w:val="20"/>
                <w:color w:val="auto"/>
              </w:rPr>
            </w:pPr>
            <w:r>
              <w:rPr>
                <w:rFonts w:ascii="Arial" w:cs="Arial" w:eastAsia="Arial" w:hAnsi="Arial"/>
                <w:sz w:val="18"/>
                <w:szCs w:val="18"/>
                <w:color w:val="auto"/>
              </w:rPr>
              <w:t>4,732</w:t>
            </w:r>
          </w:p>
        </w:tc>
        <w:tc>
          <w:tcPr>
            <w:tcW w:w="300" w:type="dxa"/>
            <w:vAlign w:val="bottom"/>
          </w:tcPr>
          <w:p>
            <w:pPr>
              <w:spacing w:after="0"/>
              <w:rPr>
                <w:sz w:val="17"/>
                <w:szCs w:val="17"/>
                <w:color w:val="auto"/>
              </w:rPr>
            </w:pPr>
          </w:p>
        </w:tc>
        <w:tc>
          <w:tcPr>
            <w:tcW w:w="6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1,411</w:t>
            </w:r>
          </w:p>
        </w:tc>
        <w:tc>
          <w:tcPr>
            <w:tcW w:w="900" w:type="dxa"/>
            <w:vAlign w:val="bottom"/>
          </w:tcPr>
          <w:p>
            <w:pPr>
              <w:jc w:val="right"/>
              <w:ind w:right="57"/>
              <w:spacing w:after="0" w:line="200" w:lineRule="exact"/>
              <w:rPr>
                <w:sz w:val="20"/>
                <w:szCs w:val="20"/>
                <w:color w:val="auto"/>
              </w:rPr>
            </w:pPr>
            <w:r>
              <w:rPr>
                <w:rFonts w:ascii="Arial" w:cs="Arial" w:eastAsia="Arial" w:hAnsi="Arial"/>
                <w:sz w:val="18"/>
                <w:szCs w:val="18"/>
                <w:color w:val="auto"/>
              </w:rPr>
              <w:t>3,321</w:t>
            </w:r>
          </w:p>
        </w:tc>
        <w:tc>
          <w:tcPr>
            <w:tcW w:w="3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1,160</w:t>
            </w:r>
          </w:p>
        </w:tc>
        <w:tc>
          <w:tcPr>
            <w:tcW w:w="9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51,739</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600</w:t>
            </w:r>
          </w:p>
        </w:tc>
        <w:tc>
          <w:tcPr>
            <w:tcW w:w="20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(489)</w:t>
            </w:r>
          </w:p>
        </w:tc>
        <w:tc>
          <w:tcPr>
            <w:tcW w:w="300" w:type="dxa"/>
            <w:vAlign w:val="bottom"/>
          </w:tcPr>
          <w:p>
            <w:pPr>
              <w:spacing w:after="0"/>
              <w:rPr>
                <w:sz w:val="17"/>
                <w:szCs w:val="17"/>
                <w:color w:val="auto"/>
              </w:rPr>
            </w:pPr>
          </w:p>
        </w:tc>
        <w:tc>
          <w:tcPr>
            <w:tcW w:w="6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66</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(555)</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64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(1,429)</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(33,160)</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Comcast Consolidated</w:t>
            </w:r>
          </w:p>
        </w:tc>
        <w:tc>
          <w:tcPr>
            <w:tcW w:w="2640" w:type="dxa"/>
            <w:vAlign w:val="bottom"/>
            <w:tcBorders>
              <w:bottom w:val="single" w:sz="8" w:color="0C6DFF"/>
            </w:tcBorders>
          </w:tcPr>
          <w:p>
            <w:pPr>
              <w:jc w:val="right"/>
              <w:ind w:right="75"/>
              <w:spacing w:after="0" w:line="196" w:lineRule="exact"/>
              <w:rPr>
                <w:sz w:val="20"/>
                <w:szCs w:val="20"/>
                <w:color w:val="auto"/>
              </w:rPr>
            </w:pPr>
            <w:r>
              <w:rPr>
                <w:rFonts w:ascii="Arial" w:cs="Arial" w:eastAsia="Arial" w:hAnsi="Arial"/>
                <w:sz w:val="18"/>
                <w:szCs w:val="18"/>
                <w:b w:val="1"/>
                <w:bCs w:val="1"/>
                <w:color w:val="auto"/>
              </w:rPr>
              <w:t>$ 64,657</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21,434</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7,871</w:t>
            </w:r>
          </w:p>
        </w:tc>
        <w:tc>
          <w:tcPr>
            <w:tcW w:w="90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b w:val="1"/>
                <w:bCs w:val="1"/>
                <w:color w:val="auto"/>
              </w:rPr>
              <w:t>$ 13,563</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6,596</w:t>
            </w:r>
          </w:p>
        </w:tc>
        <w:tc>
          <w:tcPr>
            <w:tcW w:w="9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$ 158,813</w:t>
            </w:r>
          </w:p>
        </w:tc>
        <w:tc>
          <w:tcPr>
            <w:tcW w:w="0" w:type="dxa"/>
            <w:vAlign w:val="bottom"/>
          </w:tcPr>
          <w:p>
            <w:pPr>
              <w:spacing w:after="0"/>
              <w:rPr>
                <w:sz w:val="1"/>
                <w:szCs w:val="1"/>
                <w:color w:val="auto"/>
              </w:rPr>
            </w:pPr>
          </w:p>
        </w:tc>
      </w:tr>
      <w:tr>
        <w:trPr>
          <w:trHeight w:val="344"/>
        </w:trPr>
        <w:tc>
          <w:tcPr>
            <w:tcW w:w="39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Income (Loss)</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17"/>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17"/>
              <w:spacing w:after="0" w:line="149" w:lineRule="exact"/>
              <w:rPr>
                <w:sz w:val="20"/>
                <w:szCs w:val="20"/>
                <w:color w:val="auto"/>
              </w:rPr>
            </w:pPr>
            <w:r>
              <w:rPr>
                <w:rFonts w:ascii="Arial" w:cs="Arial" w:eastAsia="Arial" w:hAnsi="Arial"/>
                <w:sz w:val="14"/>
                <w:szCs w:val="14"/>
                <w:color w:val="auto"/>
                <w:w w:val="96"/>
              </w:rPr>
              <w:t>Depreciation</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tcPr>
          <w:p>
            <w:pPr>
              <w:jc w:val="right"/>
              <w:ind w:right="57"/>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2640" w:type="dxa"/>
            <w:vAlign w:val="bottom"/>
            <w:vMerge w:val="restart"/>
          </w:tcPr>
          <w:p>
            <w:pPr>
              <w:jc w:val="right"/>
              <w:ind w:right="15"/>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200" w:type="dxa"/>
            <w:vAlign w:val="bottom"/>
          </w:tcPr>
          <w:p>
            <w:pPr>
              <w:spacing w:after="0"/>
              <w:rPr>
                <w:sz w:val="10"/>
                <w:szCs w:val="10"/>
                <w:color w:val="auto"/>
              </w:rPr>
            </w:pPr>
          </w:p>
        </w:tc>
        <w:tc>
          <w:tcPr>
            <w:tcW w:w="880" w:type="dxa"/>
            <w:vAlign w:val="bottom"/>
          </w:tcPr>
          <w:p>
            <w:pPr>
              <w:jc w:val="right"/>
              <w:ind w:right="17"/>
              <w:spacing w:after="0" w:line="123"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and</w:t>
            </w:r>
          </w:p>
        </w:tc>
        <w:tc>
          <w:tcPr>
            <w:tcW w:w="900" w:type="dxa"/>
            <w:vAlign w:val="bottom"/>
          </w:tcPr>
          <w:p>
            <w:pPr>
              <w:jc w:val="right"/>
              <w:ind w:right="57"/>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Capital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6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1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Amortization</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(Loss)</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b w:val="1"/>
                <w:bCs w:val="1"/>
                <w:color w:val="auto"/>
              </w:rPr>
              <w:t>2012</w:t>
            </w: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2"/>
                <w:szCs w:val="22"/>
                <w:color w:val="auto"/>
                <w:vertAlign w:val="superscript"/>
              </w:rPr>
              <w:t>(a)</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$ 39,604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16,255</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6,405</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  9,850</w:t>
            </w:r>
          </w:p>
        </w:tc>
        <w:tc>
          <w:tcPr>
            <w:tcW w:w="3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4,921</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$ 127,044</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NBCUniversal</w:t>
            </w:r>
          </w:p>
        </w:tc>
        <w:tc>
          <w:tcPr>
            <w:tcW w:w="2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8,727</w:t>
            </w:r>
          </w:p>
        </w:tc>
        <w:tc>
          <w:tcPr>
            <w:tcW w:w="20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3,303</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735</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2,568</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29,636</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22"/>
                <w:szCs w:val="22"/>
                <w:color w:val="auto"/>
                <w:vertAlign w:val="superscript"/>
              </w:rPr>
              <w:t>(b)</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8,200</w:t>
            </w:r>
          </w:p>
        </w:tc>
        <w:tc>
          <w:tcPr>
            <w:tcW w:w="20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358</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261</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6,414</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5,159</w:t>
            </w:r>
          </w:p>
        </w:tc>
        <w:tc>
          <w:tcPr>
            <w:tcW w:w="20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2,085</w:t>
            </w:r>
          </w:p>
        </w:tc>
        <w:tc>
          <w:tcPr>
            <w:tcW w:w="200" w:type="dxa"/>
            <w:vAlign w:val="bottom"/>
          </w:tcPr>
          <w:p>
            <w:pPr>
              <w:spacing w:after="0"/>
              <w:rPr>
                <w:sz w:val="17"/>
                <w:szCs w:val="17"/>
                <w:color w:val="auto"/>
              </w:rPr>
            </w:pP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953</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900" w:type="dxa"/>
            <w:vAlign w:val="bottom"/>
          </w:tcPr>
          <w:p>
            <w:pPr>
              <w:jc w:val="right"/>
              <w:ind w:right="57"/>
              <w:spacing w:after="0" w:line="202" w:lineRule="exact"/>
              <w:rPr>
                <w:sz w:val="20"/>
                <w:szCs w:val="20"/>
                <w:color w:val="auto"/>
              </w:rPr>
            </w:pPr>
            <w:r>
              <w:rPr>
                <w:rFonts w:ascii="Arial" w:cs="Arial" w:eastAsia="Arial" w:hAnsi="Arial"/>
                <w:sz w:val="18"/>
                <w:szCs w:val="18"/>
                <w:color w:val="auto"/>
              </w:rPr>
              <w:t>685</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03"/>
        </w:trPr>
        <w:tc>
          <w:tcPr>
            <w:tcW w:w="3920" w:type="dxa"/>
            <w:vAlign w:val="bottom"/>
          </w:tcPr>
          <w:p>
            <w:pPr>
              <w:ind w:left="22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(d)</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(603)</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(813)</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(402)</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7"/>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99"/>
        </w:trPr>
        <w:tc>
          <w:tcPr>
            <w:tcW w:w="3920" w:type="dxa"/>
            <w:vAlign w:val="bottom"/>
          </w:tcPr>
          <w:p>
            <w:pPr>
              <w:spacing w:after="0" w:line="200" w:lineRule="exact"/>
              <w:rPr>
                <w:sz w:val="20"/>
                <w:szCs w:val="20"/>
                <w:color w:val="auto"/>
              </w:rPr>
            </w:pPr>
            <w:r>
              <w:rPr>
                <w:rFonts w:ascii="Arial" w:cs="Arial" w:eastAsia="Arial" w:hAnsi="Arial"/>
                <w:sz w:val="18"/>
                <w:szCs w:val="18"/>
                <w:color w:val="auto"/>
              </w:rPr>
              <w:t>NBCUniversal</w:t>
            </w:r>
          </w:p>
        </w:tc>
        <w:tc>
          <w:tcPr>
            <w:tcW w:w="264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23,812</w:t>
            </w:r>
          </w:p>
        </w:tc>
        <w:tc>
          <w:tcPr>
            <w:tcW w:w="200" w:type="dxa"/>
            <w:vAlign w:val="bottom"/>
          </w:tcPr>
          <w:p>
            <w:pPr>
              <w:spacing w:after="0"/>
              <w:rPr>
                <w:sz w:val="17"/>
                <w:szCs w:val="17"/>
                <w:color w:val="auto"/>
              </w:rPr>
            </w:pPr>
          </w:p>
        </w:tc>
        <w:tc>
          <w:tcPr>
            <w:tcW w:w="880" w:type="dxa"/>
            <w:vAlign w:val="bottom"/>
          </w:tcPr>
          <w:p>
            <w:pPr>
              <w:jc w:val="right"/>
              <w:ind w:right="17"/>
              <w:spacing w:after="0" w:line="200" w:lineRule="exact"/>
              <w:rPr>
                <w:sz w:val="20"/>
                <w:szCs w:val="20"/>
                <w:color w:val="auto"/>
              </w:rPr>
            </w:pPr>
            <w:r>
              <w:rPr>
                <w:rFonts w:ascii="Arial" w:cs="Arial" w:eastAsia="Arial" w:hAnsi="Arial"/>
                <w:sz w:val="18"/>
                <w:szCs w:val="18"/>
                <w:color w:val="auto"/>
              </w:rPr>
              <w:t>4,107</w:t>
            </w:r>
          </w:p>
        </w:tc>
        <w:tc>
          <w:tcPr>
            <w:tcW w:w="30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1,326</w:t>
            </w:r>
          </w:p>
        </w:tc>
        <w:tc>
          <w:tcPr>
            <w:tcW w:w="900" w:type="dxa"/>
            <w:vAlign w:val="bottom"/>
          </w:tcPr>
          <w:p>
            <w:pPr>
              <w:jc w:val="right"/>
              <w:ind w:right="57"/>
              <w:spacing w:after="0" w:line="200" w:lineRule="exact"/>
              <w:rPr>
                <w:sz w:val="20"/>
                <w:szCs w:val="20"/>
                <w:color w:val="auto"/>
              </w:rPr>
            </w:pPr>
            <w:r>
              <w:rPr>
                <w:rFonts w:ascii="Arial" w:cs="Arial" w:eastAsia="Arial" w:hAnsi="Arial"/>
                <w:sz w:val="18"/>
                <w:szCs w:val="18"/>
                <w:color w:val="auto"/>
              </w:rPr>
              <w:t>2,781</w:t>
            </w:r>
          </w:p>
        </w:tc>
        <w:tc>
          <w:tcPr>
            <w:tcW w:w="30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763</w:t>
            </w:r>
          </w:p>
        </w:tc>
        <w:tc>
          <w:tcPr>
            <w:tcW w:w="9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54,462</w:t>
            </w:r>
          </w:p>
        </w:tc>
        <w:tc>
          <w:tcPr>
            <w:tcW w:w="0" w:type="dxa"/>
            <w:vAlign w:val="bottom"/>
          </w:tcPr>
          <w:p>
            <w:pPr>
              <w:spacing w:after="0"/>
              <w:rPr>
                <w:sz w:val="1"/>
                <w:szCs w:val="1"/>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Corporate and Other</w:t>
            </w:r>
          </w:p>
        </w:tc>
        <w:tc>
          <w:tcPr>
            <w:tcW w:w="26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498</w:t>
            </w: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199"/>
        </w:trPr>
        <w:tc>
          <w:tcPr>
            <w:tcW w:w="39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(e)</w:t>
            </w:r>
          </w:p>
        </w:tc>
        <w:tc>
          <w:tcPr>
            <w:tcW w:w="2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(1,344)</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(22,535)</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Comcast Consolidated</w:t>
            </w:r>
          </w:p>
        </w:tc>
        <w:tc>
          <w:tcPr>
            <w:tcW w:w="264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$ 62,570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0C6DFF"/>
            </w:tcBorders>
          </w:tcPr>
          <w:p>
            <w:pPr>
              <w:jc w:val="right"/>
              <w:ind w:right="17"/>
              <w:spacing w:after="0" w:line="196" w:lineRule="exact"/>
              <w:rPr>
                <w:sz w:val="20"/>
                <w:szCs w:val="20"/>
                <w:color w:val="auto"/>
              </w:rPr>
            </w:pPr>
            <w:r>
              <w:rPr>
                <w:rFonts w:ascii="Arial" w:cs="Arial" w:eastAsia="Arial" w:hAnsi="Arial"/>
                <w:sz w:val="18"/>
                <w:szCs w:val="18"/>
                <w:color w:val="auto"/>
              </w:rPr>
              <w:t>19,977</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7,798</w:t>
            </w:r>
          </w:p>
        </w:tc>
        <w:tc>
          <w:tcPr>
            <w:tcW w:w="90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color w:val="auto"/>
              </w:rPr>
              <w:t>$ 12,179</w:t>
            </w:r>
          </w:p>
        </w:tc>
        <w:tc>
          <w:tcPr>
            <w:tcW w:w="3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5,714</w:t>
            </w:r>
          </w:p>
        </w:tc>
        <w:tc>
          <w:tcPr>
            <w:tcW w:w="9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$ 164,971</w:t>
            </w:r>
          </w:p>
        </w:tc>
        <w:tc>
          <w:tcPr>
            <w:tcW w:w="0" w:type="dxa"/>
            <w:vAlign w:val="bottom"/>
          </w:tcPr>
          <w:p>
            <w:pPr>
              <w:spacing w:after="0"/>
              <w:rPr>
                <w:sz w:val="1"/>
                <w:szCs w:val="1"/>
                <w:color w:val="auto"/>
              </w:rPr>
            </w:pPr>
          </w:p>
        </w:tc>
      </w:tr>
      <w:tr>
        <w:trPr>
          <w:trHeight w:val="506"/>
        </w:trPr>
        <w:tc>
          <w:tcPr>
            <w:tcW w:w="3920" w:type="dxa"/>
            <w:vAlign w:val="bottom"/>
          </w:tcPr>
          <w:p>
            <w:pPr>
              <w:spacing w:after="0"/>
              <w:rPr>
                <w:sz w:val="24"/>
                <w:szCs w:val="24"/>
                <w:color w:val="auto"/>
              </w:rPr>
            </w:pPr>
          </w:p>
        </w:tc>
        <w:tc>
          <w:tcPr>
            <w:tcW w:w="2640" w:type="dxa"/>
            <w:vAlign w:val="bottom"/>
          </w:tcPr>
          <w:p>
            <w:pPr>
              <w:jc w:val="right"/>
              <w:ind w:right="655"/>
              <w:spacing w:after="0"/>
              <w:rPr>
                <w:sz w:val="20"/>
                <w:szCs w:val="20"/>
                <w:color w:val="auto"/>
              </w:rPr>
            </w:pPr>
            <w:r>
              <w:rPr>
                <w:rFonts w:ascii="Arial" w:cs="Arial" w:eastAsia="Arial" w:hAnsi="Arial"/>
                <w:sz w:val="14"/>
                <w:szCs w:val="14"/>
                <w:b w:val="1"/>
                <w:bCs w:val="1"/>
                <w:color w:val="auto"/>
              </w:rPr>
              <w:t>117</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color w:val="auto"/>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18"/>
              <w:spacing w:after="0"/>
              <w:rPr>
                <w:sz w:val="20"/>
                <w:szCs w:val="20"/>
                <w:color w:val="auto"/>
              </w:rPr>
            </w:pPr>
            <w:r>
              <w:rPr>
                <w:rFonts w:ascii="Arial" w:cs="Arial" w:eastAsia="Arial" w:hAnsi="Arial"/>
                <w:sz w:val="14"/>
                <w:szCs w:val="14"/>
                <w:color w:val="auto"/>
              </w:rPr>
              <w:t>Operating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gridSpan w:val="2"/>
          </w:tcPr>
          <w:p>
            <w:pPr>
              <w:jc w:val="right"/>
              <w:ind w:right="118"/>
              <w:spacing w:after="0" w:line="149" w:lineRule="exact"/>
              <w:rPr>
                <w:sz w:val="20"/>
                <w:szCs w:val="20"/>
                <w:color w:val="auto"/>
              </w:rPr>
            </w:pPr>
            <w:r>
              <w:rPr>
                <w:rFonts w:ascii="Arial" w:cs="Arial" w:eastAsia="Arial" w:hAnsi="Arial"/>
                <w:sz w:val="14"/>
                <w:szCs w:val="14"/>
                <w:color w:val="auto"/>
              </w:rPr>
              <w:t>Income (Loss)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Before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118"/>
              <w:spacing w:after="0" w:line="149" w:lineRule="exact"/>
              <w:rPr>
                <w:sz w:val="20"/>
                <w:szCs w:val="20"/>
                <w:color w:val="auto"/>
              </w:rPr>
            </w:pPr>
            <w:r>
              <w:rPr>
                <w:rFonts w:ascii="Arial" w:cs="Arial" w:eastAsia="Arial" w:hAnsi="Arial"/>
                <w:sz w:val="14"/>
                <w:szCs w:val="14"/>
                <w:color w:val="auto"/>
                <w:w w:val="94"/>
              </w:rPr>
              <w:t>Depreciation</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4"/>
              </w:rPr>
              <w:t>Operating</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118"/>
              <w:spacing w:after="0" w:line="129" w:lineRule="exact"/>
              <w:rPr>
                <w:sz w:val="20"/>
                <w:szCs w:val="20"/>
                <w:color w:val="auto"/>
              </w:rPr>
            </w:pPr>
            <w:r>
              <w:rPr>
                <w:rFonts w:ascii="Arial" w:cs="Arial" w:eastAsia="Arial" w:hAnsi="Arial"/>
                <w:sz w:val="14"/>
                <w:szCs w:val="14"/>
                <w:color w:val="auto"/>
              </w:rPr>
              <w:t>and</w:t>
            </w:r>
          </w:p>
        </w:tc>
        <w:tc>
          <w:tcPr>
            <w:tcW w:w="220" w:type="dxa"/>
            <w:vAlign w:val="bottom"/>
          </w:tcPr>
          <w:p>
            <w:pPr>
              <w:spacing w:after="0"/>
              <w:rPr>
                <w:sz w:val="11"/>
                <w:szCs w:val="11"/>
                <w:color w:val="auto"/>
              </w:rPr>
            </w:pPr>
          </w:p>
        </w:tc>
        <w:tc>
          <w:tcPr>
            <w:tcW w:w="700" w:type="dxa"/>
            <w:vAlign w:val="bottom"/>
          </w:tcPr>
          <w:p>
            <w:pPr>
              <w:jc w:val="right"/>
              <w:ind w:right="54"/>
              <w:spacing w:after="0" w:line="129" w:lineRule="exact"/>
              <w:rPr>
                <w:sz w:val="20"/>
                <w:szCs w:val="20"/>
                <w:color w:val="auto"/>
              </w:rPr>
            </w:pPr>
            <w:r>
              <w:rPr>
                <w:rFonts w:ascii="Arial" w:cs="Arial" w:eastAsia="Arial" w:hAnsi="Arial"/>
                <w:sz w:val="14"/>
                <w:szCs w:val="14"/>
                <w:color w:val="auto"/>
              </w:rPr>
              <w:t>and</w:t>
            </w: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Income</w:t>
            </w:r>
          </w:p>
        </w:tc>
        <w:tc>
          <w:tcPr>
            <w:tcW w:w="4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040" w:type="dxa"/>
            <w:vAlign w:val="bottom"/>
            <w:tcBorders>
              <w:bottom w:val="single" w:sz="8" w:color="auto"/>
            </w:tcBorders>
          </w:tcPr>
          <w:p>
            <w:pPr>
              <w:jc w:val="right"/>
              <w:ind w:right="35"/>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(f)</w:t>
            </w:r>
          </w:p>
        </w:tc>
        <w:tc>
          <w:tcPr>
            <w:tcW w:w="1160" w:type="dxa"/>
            <w:vAlign w:val="bottom"/>
            <w:tcBorders>
              <w:bottom w:val="single" w:sz="8" w:color="auto"/>
            </w:tcBorders>
            <w:gridSpan w:val="2"/>
          </w:tcPr>
          <w:p>
            <w:pPr>
              <w:jc w:val="right"/>
              <w:ind w:right="118"/>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(g)</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Expenditures</w:t>
            </w:r>
          </w:p>
        </w:tc>
      </w:tr>
      <w:tr>
        <w:trPr>
          <w:trHeight w:val="199"/>
        </w:trPr>
        <w:tc>
          <w:tcPr>
            <w:tcW w:w="44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2011</w:t>
            </w: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$ 37,226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15,288</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6,395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8,893</w:t>
            </w:r>
          </w:p>
        </w:tc>
        <w:tc>
          <w:tcPr>
            <w:tcW w:w="480" w:type="dxa"/>
            <w:vAlign w:val="bottom"/>
          </w:tcPr>
          <w:p>
            <w:pPr>
              <w:jc w:val="right"/>
              <w:ind w:right="129"/>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4,806</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NBCUniversal</w:t>
            </w:r>
          </w:p>
        </w:tc>
        <w:tc>
          <w:tcPr>
            <w:tcW w:w="3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8,061</w:t>
            </w:r>
          </w:p>
        </w:tc>
        <w:tc>
          <w:tcPr>
            <w:tcW w:w="200" w:type="dxa"/>
            <w:vAlign w:val="bottom"/>
          </w:tcPr>
          <w:p>
            <w:pPr>
              <w:spacing w:after="0"/>
              <w:rPr>
                <w:sz w:val="17"/>
                <w:szCs w:val="17"/>
                <w:color w:val="auto"/>
              </w:rPr>
            </w:pP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3,199</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712</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2,487</w:t>
            </w:r>
          </w:p>
        </w:tc>
        <w:tc>
          <w:tcPr>
            <w:tcW w:w="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5,982</w:t>
            </w:r>
          </w:p>
        </w:tc>
        <w:tc>
          <w:tcPr>
            <w:tcW w:w="200" w:type="dxa"/>
            <w:vAlign w:val="bottom"/>
          </w:tcPr>
          <w:p>
            <w:pPr>
              <w:spacing w:after="0"/>
              <w:rPr>
                <w:sz w:val="17"/>
                <w:szCs w:val="17"/>
                <w:color w:val="auto"/>
              </w:rPr>
            </w:pP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124</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85</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4,239</w:t>
            </w:r>
          </w:p>
        </w:tc>
        <w:tc>
          <w:tcPr>
            <w:tcW w:w="200" w:type="dxa"/>
            <w:vAlign w:val="bottom"/>
          </w:tcPr>
          <w:p>
            <w:pPr>
              <w:spacing w:after="0"/>
              <w:rPr>
                <w:sz w:val="17"/>
                <w:szCs w:val="17"/>
                <w:color w:val="auto"/>
              </w:rPr>
            </w:pP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(c)</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1,874</w:t>
            </w:r>
          </w:p>
        </w:tc>
        <w:tc>
          <w:tcPr>
            <w:tcW w:w="200" w:type="dxa"/>
            <w:vAlign w:val="bottom"/>
          </w:tcPr>
          <w:p>
            <w:pPr>
              <w:spacing w:after="0"/>
              <w:rPr>
                <w:sz w:val="17"/>
                <w:szCs w:val="17"/>
                <w:color w:val="auto"/>
              </w:rPr>
            </w:pPr>
          </w:p>
        </w:tc>
        <w:tc>
          <w:tcPr>
            <w:tcW w:w="96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830</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629</w:t>
            </w:r>
          </w:p>
        </w:tc>
        <w:tc>
          <w:tcPr>
            <w:tcW w:w="4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r>
      <w:tr>
        <w:trPr>
          <w:trHeight w:val="203"/>
        </w:trPr>
        <w:tc>
          <w:tcPr>
            <w:tcW w:w="20" w:type="dxa"/>
            <w:vAlign w:val="bottom"/>
          </w:tcPr>
          <w:p>
            <w:pPr>
              <w:spacing w:after="0"/>
              <w:rPr>
                <w:sz w:val="17"/>
                <w:szCs w:val="17"/>
                <w:color w:val="auto"/>
              </w:rPr>
            </w:pPr>
          </w:p>
        </w:tc>
        <w:tc>
          <w:tcPr>
            <w:tcW w:w="4460" w:type="dxa"/>
            <w:vAlign w:val="bottom"/>
          </w:tcPr>
          <w:p>
            <w:pPr>
              <w:ind w:left="20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w:t>
            </w:r>
          </w:p>
        </w:tc>
        <w:tc>
          <w:tcPr>
            <w:tcW w:w="200" w:type="dxa"/>
            <w:vAlign w:val="bottom"/>
          </w:tcPr>
          <w:p>
            <w:pPr>
              <w:spacing w:after="0"/>
              <w:rPr>
                <w:sz w:val="17"/>
                <w:szCs w:val="17"/>
                <w:color w:val="auto"/>
              </w:rPr>
            </w:pPr>
          </w:p>
        </w:tc>
        <w:tc>
          <w:tcPr>
            <w:tcW w:w="96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(484)</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100" w:type="dxa"/>
            <w:vAlign w:val="bottom"/>
            <w:gridSpan w:val="2"/>
          </w:tcPr>
          <w:p>
            <w:pPr>
              <w:jc w:val="right"/>
              <w:ind w:right="369"/>
              <w:spacing w:after="0" w:line="202" w:lineRule="exact"/>
              <w:rPr>
                <w:sz w:val="20"/>
                <w:szCs w:val="20"/>
                <w:color w:val="auto"/>
              </w:rPr>
            </w:pPr>
            <w:r>
              <w:rPr>
                <w:rFonts w:ascii="Arial" w:cs="Arial" w:eastAsia="Arial" w:hAnsi="Arial"/>
                <w:sz w:val="18"/>
                <w:szCs w:val="18"/>
                <w:color w:val="auto"/>
              </w:rPr>
              <w:t>(652)</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r>
      <w:tr>
        <w:trPr>
          <w:trHeight w:val="199"/>
        </w:trPr>
        <w:tc>
          <w:tcPr>
            <w:tcW w:w="20" w:type="dxa"/>
            <w:vAlign w:val="bottom"/>
          </w:tcPr>
          <w:p>
            <w:pPr>
              <w:spacing w:after="0"/>
              <w:rPr>
                <w:sz w:val="17"/>
                <w:szCs w:val="17"/>
                <w:color w:val="auto"/>
              </w:rPr>
            </w:pPr>
          </w:p>
        </w:tc>
        <w:tc>
          <w:tcPr>
            <w:tcW w:w="446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3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
              <w:spacing w:after="0" w:line="200" w:lineRule="exact"/>
              <w:rPr>
                <w:sz w:val="20"/>
                <w:szCs w:val="20"/>
                <w:color w:val="auto"/>
              </w:rPr>
            </w:pPr>
            <w:r>
              <w:rPr>
                <w:rFonts w:ascii="Arial" w:cs="Arial" w:eastAsia="Arial" w:hAnsi="Arial"/>
                <w:sz w:val="18"/>
                <w:szCs w:val="18"/>
                <w:color w:val="auto"/>
              </w:rPr>
              <w:t>(234)</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69"/>
              <w:spacing w:after="0" w:line="200" w:lineRule="exact"/>
              <w:rPr>
                <w:sz w:val="20"/>
                <w:szCs w:val="20"/>
                <w:color w:val="auto"/>
              </w:rPr>
            </w:pPr>
            <w:r>
              <w:rPr>
                <w:rFonts w:ascii="Arial" w:cs="Arial" w:eastAsia="Arial" w:hAnsi="Arial"/>
                <w:sz w:val="18"/>
                <w:szCs w:val="18"/>
                <w:color w:val="auto"/>
              </w:rPr>
              <w:t>(181)</w:t>
            </w: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199"/>
        </w:trPr>
        <w:tc>
          <w:tcPr>
            <w:tcW w:w="4480" w:type="dxa"/>
            <w:vAlign w:val="bottom"/>
            <w:gridSpan w:val="2"/>
          </w:tcPr>
          <w:p>
            <w:pPr>
              <w:spacing w:after="0" w:line="200" w:lineRule="exact"/>
              <w:rPr>
                <w:sz w:val="20"/>
                <w:szCs w:val="20"/>
                <w:color w:val="auto"/>
              </w:rPr>
            </w:pPr>
            <w:r>
              <w:rPr>
                <w:rFonts w:ascii="Arial" w:cs="Arial" w:eastAsia="Arial" w:hAnsi="Arial"/>
                <w:sz w:val="18"/>
                <w:szCs w:val="18"/>
                <w:color w:val="auto"/>
              </w:rPr>
              <w:t>NBCUniversal</w:t>
            </w:r>
          </w:p>
        </w:tc>
        <w:tc>
          <w:tcPr>
            <w:tcW w:w="30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19,260</w:t>
            </w:r>
          </w:p>
        </w:tc>
        <w:tc>
          <w:tcPr>
            <w:tcW w:w="200" w:type="dxa"/>
            <w:vAlign w:val="bottom"/>
          </w:tcPr>
          <w:p>
            <w:pPr>
              <w:spacing w:after="0"/>
              <w:rPr>
                <w:sz w:val="17"/>
                <w:szCs w:val="17"/>
                <w:color w:val="auto"/>
              </w:rPr>
            </w:pPr>
          </w:p>
        </w:tc>
        <w:tc>
          <w:tcPr>
            <w:tcW w:w="960" w:type="dxa"/>
            <w:vAlign w:val="bottom"/>
          </w:tcPr>
          <w:p>
            <w:pPr>
              <w:jc w:val="right"/>
              <w:ind w:right="118"/>
              <w:spacing w:after="0" w:line="200" w:lineRule="exact"/>
              <w:rPr>
                <w:sz w:val="20"/>
                <w:szCs w:val="20"/>
                <w:color w:val="auto"/>
              </w:rPr>
            </w:pPr>
            <w:r>
              <w:rPr>
                <w:rFonts w:ascii="Arial" w:cs="Arial" w:eastAsia="Arial" w:hAnsi="Arial"/>
                <w:sz w:val="18"/>
                <w:szCs w:val="18"/>
                <w:color w:val="auto"/>
              </w:rPr>
              <w:t>3,462</w:t>
            </w:r>
          </w:p>
        </w:tc>
        <w:tc>
          <w:tcPr>
            <w:tcW w:w="220" w:type="dxa"/>
            <w:vAlign w:val="bottom"/>
          </w:tcPr>
          <w:p>
            <w:pPr>
              <w:spacing w:after="0"/>
              <w:rPr>
                <w:sz w:val="17"/>
                <w:szCs w:val="17"/>
                <w:color w:val="auto"/>
              </w:rPr>
            </w:pPr>
          </w:p>
        </w:tc>
        <w:tc>
          <w:tcPr>
            <w:tcW w:w="700" w:type="dxa"/>
            <w:vAlign w:val="bottom"/>
          </w:tcPr>
          <w:p>
            <w:pPr>
              <w:jc w:val="right"/>
              <w:ind w:right="54"/>
              <w:spacing w:after="0" w:line="200" w:lineRule="exact"/>
              <w:rPr>
                <w:sz w:val="20"/>
                <w:szCs w:val="20"/>
                <w:color w:val="auto"/>
              </w:rPr>
            </w:pPr>
            <w:r>
              <w:rPr>
                <w:rFonts w:ascii="Arial" w:cs="Arial" w:eastAsia="Arial" w:hAnsi="Arial"/>
                <w:sz w:val="18"/>
                <w:szCs w:val="18"/>
                <w:color w:val="auto"/>
              </w:rPr>
              <w:t>1,132</w:t>
            </w:r>
          </w:p>
        </w:tc>
        <w:tc>
          <w:tcPr>
            <w:tcW w:w="16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2,330</w:t>
            </w:r>
          </w:p>
        </w:tc>
        <w:tc>
          <w:tcPr>
            <w:tcW w:w="48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434</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Other</w:t>
            </w:r>
          </w:p>
        </w:tc>
        <w:tc>
          <w:tcPr>
            <w:tcW w:w="3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558</w:t>
            </w:r>
          </w:p>
        </w:tc>
        <w:tc>
          <w:tcPr>
            <w:tcW w:w="200" w:type="dxa"/>
            <w:vAlign w:val="bottom"/>
          </w:tcPr>
          <w:p>
            <w:pPr>
              <w:spacing w:after="0"/>
              <w:rPr>
                <w:sz w:val="17"/>
                <w:szCs w:val="17"/>
                <w:color w:val="auto"/>
              </w:rPr>
            </w:pPr>
          </w:p>
        </w:tc>
        <w:tc>
          <w:tcPr>
            <w:tcW w:w="96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(416)</w:t>
            </w:r>
          </w:p>
        </w:tc>
        <w:tc>
          <w:tcPr>
            <w:tcW w:w="220" w:type="dxa"/>
            <w:vAlign w:val="bottom"/>
          </w:tcPr>
          <w:p>
            <w:pPr>
              <w:spacing w:after="0"/>
              <w:rPr>
                <w:sz w:val="17"/>
                <w:szCs w:val="17"/>
                <w:color w:val="auto"/>
              </w:rPr>
            </w:pPr>
          </w:p>
        </w:tc>
        <w:tc>
          <w:tcPr>
            <w:tcW w:w="7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1100" w:type="dxa"/>
            <w:vAlign w:val="bottom"/>
            <w:gridSpan w:val="2"/>
          </w:tcPr>
          <w:p>
            <w:pPr>
              <w:jc w:val="right"/>
              <w:ind w:right="369"/>
              <w:spacing w:after="0" w:line="202" w:lineRule="exact"/>
              <w:rPr>
                <w:sz w:val="20"/>
                <w:szCs w:val="20"/>
                <w:color w:val="auto"/>
              </w:rPr>
            </w:pPr>
            <w:r>
              <w:rPr>
                <w:rFonts w:ascii="Arial" w:cs="Arial" w:eastAsia="Arial" w:hAnsi="Arial"/>
                <w:sz w:val="18"/>
                <w:szCs w:val="18"/>
                <w:color w:val="auto"/>
              </w:rPr>
              <w:t>(509)</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199"/>
        </w:trPr>
        <w:tc>
          <w:tcPr>
            <w:tcW w:w="44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30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(1,202)</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8"/>
              <w:spacing w:after="0" w:line="200"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196"/>
        </w:trPr>
        <w:tc>
          <w:tcPr>
            <w:tcW w:w="448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color w:val="auto"/>
              </w:rPr>
              <w:t>Comcast Consolidated</w:t>
            </w:r>
          </w:p>
        </w:tc>
        <w:tc>
          <w:tcPr>
            <w:tcW w:w="3040" w:type="dxa"/>
            <w:vAlign w:val="bottom"/>
            <w:tcBorders>
              <w:bottom w:val="single" w:sz="8" w:color="0C6DFF"/>
            </w:tcBorders>
          </w:tcPr>
          <w:p>
            <w:pPr>
              <w:jc w:val="right"/>
              <w:ind w:right="35"/>
              <w:spacing w:after="0" w:line="196" w:lineRule="exact"/>
              <w:rPr>
                <w:sz w:val="20"/>
                <w:szCs w:val="20"/>
                <w:color w:val="auto"/>
              </w:rPr>
            </w:pPr>
            <w:r>
              <w:rPr>
                <w:rFonts w:ascii="Arial" w:cs="Arial" w:eastAsia="Arial" w:hAnsi="Arial"/>
                <w:sz w:val="18"/>
                <w:szCs w:val="18"/>
                <w:color w:val="auto"/>
              </w:rPr>
              <w:t>$ 55,842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0C6DFF"/>
            </w:tcBorders>
          </w:tcPr>
          <w:p>
            <w:pPr>
              <w:jc w:val="right"/>
              <w:ind w:right="118"/>
              <w:spacing w:after="0" w:line="196" w:lineRule="exact"/>
              <w:rPr>
                <w:sz w:val="20"/>
                <w:szCs w:val="20"/>
                <w:color w:val="auto"/>
              </w:rPr>
            </w:pPr>
            <w:r>
              <w:rPr>
                <w:rFonts w:ascii="Arial" w:cs="Arial" w:eastAsia="Arial" w:hAnsi="Arial"/>
                <w:sz w:val="18"/>
                <w:szCs w:val="18"/>
                <w:color w:val="auto"/>
              </w:rPr>
              <w:t>18,357</w:t>
            </w:r>
          </w:p>
        </w:tc>
        <w:tc>
          <w:tcPr>
            <w:tcW w:w="220" w:type="dxa"/>
            <w:vAlign w:val="bottom"/>
            <w:tcBorders>
              <w:bottom w:val="single" w:sz="8" w:color="0C6DFF"/>
            </w:tcBorders>
          </w:tcPr>
          <w:p>
            <w:pPr>
              <w:ind w:left="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color w:val="auto"/>
              </w:rPr>
              <w:t>7,636</w:t>
            </w:r>
          </w:p>
        </w:tc>
        <w:tc>
          <w:tcPr>
            <w:tcW w:w="1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10,721</w:t>
            </w:r>
          </w:p>
        </w:tc>
        <w:tc>
          <w:tcPr>
            <w:tcW w:w="480" w:type="dxa"/>
            <w:vAlign w:val="bottom"/>
            <w:tcBorders>
              <w:bottom w:val="single" w:sz="8" w:color="0C6DFF"/>
            </w:tcBorders>
          </w:tcPr>
          <w:p>
            <w:pPr>
              <w:jc w:val="right"/>
              <w:ind w:right="129"/>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5,307</w:t>
            </w:r>
          </w:p>
        </w:tc>
      </w:tr>
      <w:tr>
        <w:trPr>
          <w:trHeight w:val="223"/>
        </w:trPr>
        <w:tc>
          <w:tcPr>
            <w:tcW w:w="8680" w:type="dxa"/>
            <w:vAlign w:val="bottom"/>
            <w:gridSpan w:val="5"/>
          </w:tcPr>
          <w:p>
            <w:pPr>
              <w:spacing w:after="0"/>
              <w:rPr>
                <w:sz w:val="20"/>
                <w:szCs w:val="20"/>
                <w:color w:val="auto"/>
              </w:rPr>
            </w:pPr>
            <w:r>
              <w:rPr>
                <w:rFonts w:ascii="Arial" w:cs="Arial" w:eastAsia="Arial" w:hAnsi="Arial"/>
                <w:sz w:val="14"/>
                <w:szCs w:val="14"/>
                <w:color w:val="auto"/>
                <w:w w:val="97"/>
              </w:rPr>
              <w:t>(a)  For the years ended December 31, 2013, 2012 and 2011, Cable Communications segment revenue was derived from the following sources:</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89"/>
              </w:rPr>
              <w:t>2012</w:t>
            </w:r>
          </w:p>
        </w:tc>
        <w:tc>
          <w:tcPr>
            <w:tcW w:w="5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2011</w:t>
            </w:r>
          </w:p>
        </w:tc>
      </w:tr>
      <w:tr>
        <w:trPr>
          <w:trHeight w:val="141"/>
        </w:trPr>
        <w:tc>
          <w:tcPr>
            <w:tcW w:w="20" w:type="dxa"/>
            <w:vAlign w:val="bottom"/>
          </w:tcPr>
          <w:p>
            <w:pPr>
              <w:spacing w:after="0"/>
              <w:rPr>
                <w:sz w:val="12"/>
                <w:szCs w:val="12"/>
                <w:color w:val="auto"/>
              </w:rPr>
            </w:pPr>
          </w:p>
        </w:tc>
        <w:tc>
          <w:tcPr>
            <w:tcW w:w="4460" w:type="dxa"/>
            <w:vAlign w:val="bottom"/>
          </w:tcPr>
          <w:p>
            <w:pPr>
              <w:spacing w:after="0" w:line="141" w:lineRule="exact"/>
              <w:rPr>
                <w:sz w:val="20"/>
                <w:szCs w:val="20"/>
                <w:color w:val="auto"/>
              </w:rPr>
            </w:pPr>
            <w:r>
              <w:rPr>
                <w:rFonts w:ascii="Arial" w:cs="Arial" w:eastAsia="Arial" w:hAnsi="Arial"/>
                <w:sz w:val="14"/>
                <w:szCs w:val="14"/>
                <w:color w:val="auto"/>
              </w:rPr>
              <w:t>Residential:</w:t>
            </w: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Video</w:t>
            </w: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49.1%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High-speed Internet</w:t>
            </w: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24.7%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r>
      <w:tr>
        <w:trPr>
          <w:trHeight w:val="149"/>
        </w:trPr>
        <w:tc>
          <w:tcPr>
            <w:tcW w:w="20" w:type="dxa"/>
            <w:vAlign w:val="bottom"/>
          </w:tcPr>
          <w:p>
            <w:pPr>
              <w:spacing w:after="0"/>
              <w:rPr>
                <w:sz w:val="12"/>
                <w:szCs w:val="12"/>
                <w:color w:val="auto"/>
              </w:rPr>
            </w:pPr>
          </w:p>
        </w:tc>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Voice</w:t>
            </w: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8.7%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7.7%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Advertising</w:t>
            </w: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82"/>
              <w:spacing w:after="0" w:line="149" w:lineRule="exact"/>
              <w:rPr>
                <w:sz w:val="20"/>
                <w:szCs w:val="20"/>
                <w:color w:val="auto"/>
              </w:rPr>
            </w:pPr>
            <w:r>
              <w:rPr>
                <w:rFonts w:ascii="Arial" w:cs="Arial" w:eastAsia="Arial" w:hAnsi="Arial"/>
                <w:sz w:val="14"/>
                <w:szCs w:val="14"/>
                <w:color w:val="auto"/>
              </w:rPr>
              <w:t>5.2%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r>
      <w:tr>
        <w:trPr>
          <w:trHeight w:val="149"/>
        </w:trPr>
        <w:tc>
          <w:tcPr>
            <w:tcW w:w="448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Other</w:t>
            </w:r>
          </w:p>
        </w:tc>
        <w:tc>
          <w:tcPr>
            <w:tcW w:w="30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2"/>
              <w:spacing w:after="0" w:line="149" w:lineRule="exact"/>
              <w:rPr>
                <w:sz w:val="20"/>
                <w:szCs w:val="20"/>
                <w:color w:val="auto"/>
              </w:rPr>
            </w:pPr>
            <w:r>
              <w:rPr>
                <w:rFonts w:ascii="Arial" w:cs="Arial" w:eastAsia="Arial" w:hAnsi="Arial"/>
                <w:sz w:val="14"/>
                <w:szCs w:val="14"/>
                <w:color w:val="auto"/>
              </w:rPr>
              <w:t>4.6%</w:t>
            </w: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2"/>
        </w:trPr>
        <w:tc>
          <w:tcPr>
            <w:tcW w:w="4480" w:type="dxa"/>
            <w:vAlign w:val="bottom"/>
            <w:tcBorders>
              <w:bottom w:val="single" w:sz="8" w:color="0C6DFF"/>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3040" w:type="dxa"/>
            <w:vAlign w:val="bottom"/>
            <w:tcBorders>
              <w:bottom w:val="single" w:sz="8" w:color="0C6DFF"/>
            </w:tcBorders>
          </w:tcPr>
          <w:p>
            <w:pPr>
              <w:spacing w:after="0"/>
              <w:rPr>
                <w:sz w:val="12"/>
                <w:szCs w:val="12"/>
                <w:color w:val="auto"/>
              </w:rPr>
            </w:pPr>
          </w:p>
        </w:tc>
        <w:tc>
          <w:tcPr>
            <w:tcW w:w="200" w:type="dxa"/>
            <w:vAlign w:val="bottom"/>
            <w:tcBorders>
              <w:bottom w:val="single" w:sz="8" w:color="0C6DFF"/>
            </w:tcBorders>
          </w:tcPr>
          <w:p>
            <w:pPr>
              <w:spacing w:after="0"/>
              <w:rPr>
                <w:sz w:val="12"/>
                <w:szCs w:val="12"/>
                <w:color w:val="auto"/>
              </w:rPr>
            </w:pPr>
          </w:p>
        </w:tc>
        <w:tc>
          <w:tcPr>
            <w:tcW w:w="960" w:type="dxa"/>
            <w:vAlign w:val="bottom"/>
            <w:tcBorders>
              <w:bottom w:val="single" w:sz="8" w:color="0C6DFF"/>
            </w:tcBorders>
          </w:tcPr>
          <w:p>
            <w:pPr>
              <w:spacing w:after="0"/>
              <w:rPr>
                <w:sz w:val="12"/>
                <w:szCs w:val="12"/>
                <w:color w:val="auto"/>
              </w:rPr>
            </w:pPr>
          </w:p>
        </w:tc>
        <w:tc>
          <w:tcPr>
            <w:tcW w:w="220" w:type="dxa"/>
            <w:vAlign w:val="bottom"/>
            <w:tcBorders>
              <w:bottom w:val="single" w:sz="8" w:color="0C6DFF"/>
            </w:tcBorders>
          </w:tcPr>
          <w:p>
            <w:pPr>
              <w:spacing w:after="0"/>
              <w:rPr>
                <w:sz w:val="12"/>
                <w:szCs w:val="12"/>
                <w:color w:val="auto"/>
              </w:rPr>
            </w:pPr>
          </w:p>
        </w:tc>
        <w:tc>
          <w:tcPr>
            <w:tcW w:w="700" w:type="dxa"/>
            <w:vAlign w:val="bottom"/>
            <w:tcBorders>
              <w:bottom w:val="single" w:sz="8" w:color="0C6DFF"/>
            </w:tcBorders>
          </w:tcPr>
          <w:p>
            <w:pPr>
              <w:spacing w:after="0"/>
              <w:rPr>
                <w:sz w:val="12"/>
                <w:szCs w:val="12"/>
                <w:color w:val="auto"/>
              </w:rPr>
            </w:pPr>
          </w:p>
        </w:tc>
        <w:tc>
          <w:tcPr>
            <w:tcW w:w="160" w:type="dxa"/>
            <w:vAlign w:val="bottom"/>
            <w:tcBorders>
              <w:bottom w:val="single" w:sz="8" w:color="0C6DFF"/>
            </w:tcBorders>
          </w:tcPr>
          <w:p>
            <w:pPr>
              <w:spacing w:after="0"/>
              <w:rPr>
                <w:sz w:val="12"/>
                <w:szCs w:val="12"/>
                <w:color w:val="auto"/>
              </w:rPr>
            </w:pPr>
          </w:p>
        </w:tc>
        <w:tc>
          <w:tcPr>
            <w:tcW w:w="620" w:type="dxa"/>
            <w:vAlign w:val="bottom"/>
            <w:tcBorders>
              <w:bottom w:val="single" w:sz="8" w:color="0C6DFF"/>
            </w:tcBorders>
          </w:tcPr>
          <w:p>
            <w:pPr>
              <w:jc w:val="right"/>
              <w:ind w:right="82"/>
              <w:spacing w:after="0" w:line="142" w:lineRule="exact"/>
              <w:rPr>
                <w:sz w:val="20"/>
                <w:szCs w:val="20"/>
                <w:color w:val="auto"/>
              </w:rPr>
            </w:pPr>
            <w:r>
              <w:rPr>
                <w:rFonts w:ascii="Arial" w:cs="Arial" w:eastAsia="Arial" w:hAnsi="Arial"/>
                <w:sz w:val="14"/>
                <w:szCs w:val="14"/>
                <w:color w:val="auto"/>
              </w:rPr>
              <w:t>100%</w:t>
            </w:r>
          </w:p>
        </w:tc>
        <w:tc>
          <w:tcPr>
            <w:tcW w:w="48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c>
          <w:tcPr>
            <w:tcW w:w="560" w:type="dxa"/>
            <w:vAlign w:val="bottom"/>
            <w:tcBorders>
              <w:bottom w:val="single" w:sz="8" w:color="0C6DFF"/>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67" w:lineRule="exact"/>
        <w:rPr>
          <w:sz w:val="20"/>
          <w:szCs w:val="20"/>
          <w:color w:val="auto"/>
        </w:rPr>
      </w:pPr>
    </w:p>
    <w:p>
      <w:pPr>
        <w:jc w:val="both"/>
        <w:ind w:left="280"/>
        <w:spacing w:after="0" w:line="228" w:lineRule="auto"/>
        <w:rPr>
          <w:sz w:val="20"/>
          <w:szCs w:val="20"/>
          <w:color w:val="auto"/>
        </w:rPr>
      </w:pPr>
      <w:r>
        <w:rPr>
          <w:rFonts w:ascii="Arial" w:cs="Arial" w:eastAsia="Arial" w:hAnsi="Arial"/>
          <w:sz w:val="14"/>
          <w:szCs w:val="14"/>
          <w:color w:val="auto"/>
        </w:rPr>
        <w:t>Subscription revenue received from customers who purchase bundled services at a discounted rate is allocated proportionally to each service based on the individual service’s price on a stand-alone basis. Beginning in 2013, revenue from certain business customers, such as hotels, restaurants and bars, is presented in business services revenue rather than in video revenue. Reclassifications have been made to the prior year periods to conform to this presentation.</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 each of 2013, 2012 and 2011, 2.8% of Cable Communications revenue was derived from franchise and other regulatory fees.</w:t>
      </w:r>
    </w:p>
    <w:p>
      <w:pPr>
        <w:spacing w:after="0" w:line="55" w:lineRule="exact"/>
        <w:rPr>
          <w:sz w:val="20"/>
          <w:szCs w:val="20"/>
          <w:color w:val="auto"/>
        </w:rPr>
      </w:pPr>
    </w:p>
    <w:p>
      <w:pPr>
        <w:jc w:val="both"/>
        <w:ind w:left="300" w:hanging="292"/>
        <w:spacing w:after="0" w:line="228" w:lineRule="auto"/>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2012, our Broadcast Television segment included all revenue and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54" w:lineRule="exact"/>
        <w:rPr>
          <w:rFonts w:ascii="Arial" w:cs="Arial" w:eastAsia="Arial" w:hAnsi="Arial"/>
          <w:sz w:val="14"/>
          <w:szCs w:val="14"/>
          <w:color w:val="auto"/>
        </w:rPr>
      </w:pPr>
    </w:p>
    <w:p>
      <w:pPr>
        <w:jc w:val="both"/>
        <w:ind w:left="280" w:hanging="272"/>
        <w:spacing w:after="0" w:line="228" w:lineRule="auto"/>
        <w:tabs>
          <w:tab w:leader="none" w:pos="2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period January 29, 2011 through June 30, 2011, we recorded Universal Orlando as an equity method investment in our consolidated results of operations. However, our Theme Parks segment included the results of operations for Universal Orlando for the period January 29, 2011 through June 30, 2011 to reflect our measure of operating performance for our Theme Parks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includes costs associated with overhead, allocations, personnel costs and headquarter initiatives.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55" w:lineRule="exact"/>
        <w:rPr>
          <w:rFonts w:ascii="Arial" w:cs="Arial" w:eastAsia="Arial" w:hAnsi="Arial"/>
          <w:sz w:val="14"/>
          <w:szCs w:val="14"/>
          <w:color w:val="auto"/>
        </w:rPr>
      </w:pPr>
    </w:p>
    <w:p>
      <w:pPr>
        <w:ind w:left="1020" w:right="1240" w:hanging="215"/>
        <w:spacing w:after="0" w:line="231" w:lineRule="auto"/>
        <w:tabs>
          <w:tab w:leader="none" w:pos="10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4" w:lineRule="exact"/>
        <w:rPr>
          <w:rFonts w:ascii="Arial" w:cs="Arial" w:eastAsia="Arial" w:hAnsi="Arial"/>
          <w:sz w:val="14"/>
          <w:szCs w:val="14"/>
          <w:color w:val="auto"/>
        </w:rPr>
      </w:pPr>
    </w:p>
    <w:p>
      <w:pPr>
        <w:ind w:left="1020" w:hanging="215"/>
        <w:spacing w:after="0"/>
        <w:tabs>
          <w:tab w:leader="none" w:pos="10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1020" w:right="1260" w:hanging="215"/>
        <w:spacing w:after="0" w:line="231" w:lineRule="auto"/>
        <w:tabs>
          <w:tab w:leader="none" w:pos="10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that are recorded as a reduction to programming expenses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30" w:lineRule="exact"/>
        <w:rPr>
          <w:sz w:val="20"/>
          <w:szCs w:val="20"/>
          <w:color w:val="auto"/>
        </w:rPr>
      </w:pPr>
    </w:p>
    <w:p>
      <w:pPr>
        <w:jc w:val="both"/>
        <w:ind w:left="280"/>
        <w:spacing w:after="0" w:line="228" w:lineRule="auto"/>
        <w:rPr>
          <w:sz w:val="20"/>
          <w:szCs w:val="20"/>
          <w:color w:val="auto"/>
        </w:rPr>
      </w:pPr>
      <w:r>
        <w:rPr>
          <w:rFonts w:ascii="Arial" w:cs="Arial" w:eastAsia="Arial" w:hAnsi="Arial"/>
          <w:sz w:val="14"/>
          <w:szCs w:val="14"/>
          <w:color w:val="auto"/>
        </w:rPr>
        <w:t>NBCUniversal eliminations for 2011 included the eliminations of the results of operations for Universal Orlando for the period January 29, 2011 through June 30, 2011. These amounts were not included in NBCUniversal’s total and our consolidated results of operations for the period January 29, 2011 through June 30, 2011 because we recorded Universal Orlando as an equity method investment during this period.</w:t>
      </w:r>
    </w:p>
    <w:p>
      <w:pPr>
        <w:spacing w:after="0" w:line="54" w:lineRule="exact"/>
        <w:rPr>
          <w:sz w:val="20"/>
          <w:szCs w:val="20"/>
          <w:color w:val="auto"/>
        </w:rPr>
      </w:pPr>
    </w:p>
    <w:p>
      <w:pPr>
        <w:ind w:left="260" w:hanging="252"/>
        <w:spacing w:after="0" w:line="231"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Revenue from customers located outside of the U.S., primarily in Europe and Asia, for the years ended December 31, 2013, 2012 and 2011 was $4.8 billion, $4.5 billion and $4.1 billion, respectively. No single customer accounted for a significant amount of our revenue in any period.</w:t>
      </w:r>
    </w:p>
    <w:p>
      <w:pPr>
        <w:spacing w:after="0" w:line="54" w:lineRule="exact"/>
        <w:rPr>
          <w:rFonts w:ascii="Arial" w:cs="Arial" w:eastAsia="Arial" w:hAnsi="Arial"/>
          <w:sz w:val="14"/>
          <w:szCs w:val="14"/>
          <w:color w:val="auto"/>
        </w:rPr>
      </w:pPr>
    </w:p>
    <w:p>
      <w:pPr>
        <w:jc w:val="both"/>
        <w:ind w:left="300" w:hanging="292"/>
        <w:spacing w:after="0" w:line="224" w:lineRule="auto"/>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20: Quarterly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First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Second</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Third</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Fourth</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3"/>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Quarter</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Total Year</w:t>
            </w:r>
          </w:p>
        </w:tc>
      </w:tr>
      <w:tr>
        <w:trPr>
          <w:trHeight w:val="177"/>
        </w:trPr>
        <w:tc>
          <w:tcPr>
            <w:tcW w:w="7140" w:type="dxa"/>
            <w:vAlign w:val="bottom"/>
          </w:tcPr>
          <w:p>
            <w:pPr>
              <w:spacing w:after="0" w:line="177"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15,310</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16,270</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16,151</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16,926</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64,657</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3,067</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3,435</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3,414</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3,647</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13,563</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Net income attributable to Comcast Corporation</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1,437</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1,734</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1,732</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1,913</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6,816</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Basic earnings per common share attributable to Comcast Corporation 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0.66</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0.66</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0.73</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Diluted earnings per common share attributable to Comcast Corporation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1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0.54</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0.65</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0.65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0.72</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2.56</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0.195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0.195</w:t>
            </w:r>
          </w:p>
        </w:tc>
        <w:tc>
          <w:tcPr>
            <w:tcW w:w="2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0.195</w:t>
            </w:r>
          </w:p>
        </w:tc>
        <w:tc>
          <w:tcPr>
            <w:tcW w:w="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0.195</w:t>
            </w:r>
          </w:p>
        </w:tc>
        <w:tc>
          <w:tcPr>
            <w:tcW w:w="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0.78</w:t>
            </w:r>
          </w:p>
        </w:tc>
      </w:tr>
      <w:tr>
        <w:trPr>
          <w:trHeight w:val="225"/>
        </w:trPr>
        <w:tc>
          <w:tcPr>
            <w:tcW w:w="7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14,878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15,211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16,544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15,937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62,570</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2,758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3,079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3,048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3,294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12,179</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Comcast Corporation</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1,224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1,348</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2,113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1,518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6,203</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 attributable to Comcast Corporation 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 attributable to Comcast Corporation shareholders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0.45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0.78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199"/>
        </w:trPr>
        <w:tc>
          <w:tcPr>
            <w:tcW w:w="71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Dividends declared per common share</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0.1625</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0.1625</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0.1625</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0.1625</w:t>
            </w:r>
          </w:p>
        </w:tc>
        <w:tc>
          <w:tcPr>
            <w:tcW w:w="1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0.65</w:t>
            </w:r>
          </w:p>
        </w:tc>
      </w:tr>
      <w:tr>
        <w:trPr>
          <w:trHeight w:val="506"/>
        </w:trPr>
        <w:tc>
          <w:tcPr>
            <w:tcW w:w="7140" w:type="dxa"/>
            <w:vAlign w:val="bottom"/>
          </w:tcPr>
          <w:p>
            <w:pPr>
              <w:ind w:left="5600"/>
              <w:spacing w:after="0"/>
              <w:rPr>
                <w:sz w:val="20"/>
                <w:szCs w:val="20"/>
                <w:color w:val="auto"/>
              </w:rPr>
            </w:pPr>
            <w:r>
              <w:rPr>
                <w:rFonts w:ascii="Arial" w:cs="Arial" w:eastAsia="Arial" w:hAnsi="Arial"/>
                <w:sz w:val="14"/>
                <w:szCs w:val="14"/>
                <w:b w:val="1"/>
                <w:bCs w:val="1"/>
                <w:color w:val="auto"/>
              </w:rPr>
              <w:t>119</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Arial" w:cs="Arial" w:eastAsia="Arial" w:hAnsi="Arial"/>
                <w:sz w:val="14"/>
                <w:szCs w:val="14"/>
                <w:color w:val="auto"/>
                <w:w w:val="95"/>
              </w:rPr>
              <w:t>Comcast 2013 Annual Report on Form 10-K</w:t>
            </w: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21: Condensed Consolidating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(“Comcast Parent”) and four of our 100% owned cable holding company subsidiaries, Comcast Cable Communications, LLC (“CCCL Parent”), Comcast MO Group, Inc. (“Comcast MO Group”), Comcast Cable Holdings, LLC (“CCH”) and Comcast MO of Delaware, LLC (“Comcast MO of Delaware”) (collectively, the “cable guarantors”), have fully and unconditionally guaranteed each other’s debt securities. Comcast MO Group, CCH and Comcast MO of Delaware are collectively referred to as the “Combined CCHMO Parents.” The debt securities within the guarantee structure total $30.9 billion, of which $11.0 billion will mature within the next five years.</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27, 2013, Comcast Parent, the cable guarantors and NBCUniversal Media, LLC (referred to as “NBCUniversal Media Parent” in the tables below) entered into a series of agreements and supplemental indentures to include NBCUniversal Media, LLC as part of our existing cross-guarantee structure. As members of the cross-guarantee structure, Comcast Parent and the cable guarantors fully and unconditionally guarantee NBCUniversal Media, LLC’s public debt securities, and NBCUniversal Media, LLC fully and unconditionally guarantees all of Comcast Parent’s and the cable guarantors’ public debt securities, as well as the $6.25 billion revolving credit facility of Comcast Parent and Comcast Cable Communications, LLC.</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Comcast Parent and the cable guarantors also fully and unconditionally guarantee NBCUniversal Enterprise’s $4 billion of senior notes and its $1.35 billion credit facility due March 2018. NBCUniversal Media, LLC does not guarantee the NBCUniversal Enterprise senior notes or credit facility.</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the cable guarantors nor NBCUniversal Media, LLC guarantee the Comcast Holdings ZONES due October 2029. None of Comcast Parent, the cable guarantors nor NBCUniversal Media, LLC guarantee the $62 million principal amount currently outstanding of Comcast Holdings’ ZONES due November 2029.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2"/>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gridSpan w:val="2"/>
          </w:tcPr>
          <w:p>
            <w:pPr>
              <w:jc w:val="right"/>
              <w:ind w:right="13"/>
              <w:spacing w:after="0" w:line="152" w:lineRule="exact"/>
              <w:rPr>
                <w:sz w:val="20"/>
                <w:szCs w:val="20"/>
                <w:color w:val="auto"/>
              </w:rPr>
            </w:pPr>
            <w:r>
              <w:rPr>
                <w:rFonts w:ascii="Arial" w:cs="Arial" w:eastAsia="Arial" w:hAnsi="Arial"/>
                <w:sz w:val="14"/>
                <w:szCs w:val="14"/>
                <w:b w:val="1"/>
                <w:bCs w:val="1"/>
                <w:color w:val="auto"/>
              </w:rPr>
              <w:t>Combined</w:t>
            </w:r>
          </w:p>
        </w:tc>
        <w:tc>
          <w:tcPr>
            <w:tcW w:w="108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NBCUniversal</w:t>
            </w:r>
          </w:p>
        </w:tc>
        <w:tc>
          <w:tcPr>
            <w:tcW w:w="20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880" w:type="dxa"/>
            <w:vAlign w:val="bottom"/>
          </w:tcPr>
          <w:p>
            <w:pPr>
              <w:jc w:val="right"/>
              <w:ind w:right="13"/>
              <w:spacing w:after="0" w:line="152"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Comcast</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Comcast</w:t>
            </w:r>
          </w:p>
        </w:tc>
        <w:tc>
          <w:tcPr>
            <w:tcW w:w="220" w:type="dxa"/>
            <w:vAlign w:val="bottom"/>
          </w:tcPr>
          <w:p>
            <w:pPr>
              <w:spacing w:after="0"/>
              <w:rPr>
                <w:sz w:val="12"/>
                <w:szCs w:val="12"/>
                <w:color w:val="auto"/>
              </w:rPr>
            </w:pPr>
          </w:p>
        </w:tc>
        <w:tc>
          <w:tcPr>
            <w:tcW w:w="7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CCCL</w:t>
            </w:r>
          </w:p>
        </w:tc>
        <w:tc>
          <w:tcPr>
            <w:tcW w:w="220" w:type="dxa"/>
            <w:vAlign w:val="bottom"/>
          </w:tcPr>
          <w:p>
            <w:pPr>
              <w:spacing w:after="0"/>
              <w:rPr>
                <w:sz w:val="12"/>
                <w:szCs w:val="12"/>
                <w:color w:val="auto"/>
              </w:rPr>
            </w:pPr>
          </w:p>
        </w:tc>
        <w:tc>
          <w:tcPr>
            <w:tcW w:w="6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CCHMO</w:t>
            </w:r>
          </w:p>
        </w:tc>
        <w:tc>
          <w:tcPr>
            <w:tcW w:w="320" w:type="dxa"/>
            <w:vAlign w:val="bottom"/>
          </w:tcPr>
          <w:p>
            <w:pPr>
              <w:spacing w:after="0"/>
              <w:rPr>
                <w:sz w:val="12"/>
                <w:szCs w:val="12"/>
                <w:color w:val="auto"/>
              </w:rPr>
            </w:pPr>
          </w:p>
        </w:tc>
        <w:tc>
          <w:tcPr>
            <w:tcW w:w="76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Media</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40" w:type="dxa"/>
            <w:vAlign w:val="bottom"/>
          </w:tcPr>
          <w:p>
            <w:pPr>
              <w:spacing w:after="0"/>
              <w:rPr>
                <w:sz w:val="12"/>
                <w:szCs w:val="12"/>
                <w:color w:val="auto"/>
              </w:rPr>
            </w:pPr>
          </w:p>
        </w:tc>
        <w:tc>
          <w:tcPr>
            <w:tcW w:w="80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Comcast</w:t>
            </w:r>
          </w:p>
        </w:tc>
      </w:tr>
      <w:tr>
        <w:trPr>
          <w:trHeight w:val="176"/>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2013 (in millions)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Holdings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Parents</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Parent</w:t>
            </w: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Adjustments</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Corporation</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336</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1,382</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1,718</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3,573</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3,573</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6,376</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6,376</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928</w:t>
            </w: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237</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1,208</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1,480</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237</w:t>
            </w:r>
          </w:p>
        </w:tc>
        <w:tc>
          <w:tcPr>
            <w:tcW w:w="20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371</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13,467</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14,075</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4,994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4,994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374</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3,770</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w w:val="99"/>
              </w:rPr>
              <w:t>subsidiaries eliminated upon consolidation</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79,956</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97,429</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8"/>
              </w:rPr>
              <w:t>102,673</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54,724</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40,644</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85,164</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(460,590)</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29,620</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29,840</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59,364</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27,098</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27,098</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17,318</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17,329</w:t>
            </w:r>
          </w:p>
        </w:tc>
      </w:tr>
      <w:tr>
        <w:trPr>
          <w:trHeight w:val="199"/>
        </w:trPr>
        <w:tc>
          <w:tcPr>
            <w:tcW w:w="3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1,078</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1,899</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(882)</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2,343</w:t>
            </w:r>
          </w:p>
        </w:tc>
      </w:tr>
      <w:tr>
        <w:trPr>
          <w:trHeight w:val="196"/>
        </w:trPr>
        <w:tc>
          <w:tcPr>
            <w:tcW w:w="3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81,513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97,574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8"/>
              </w:rPr>
              <w:t>102,673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54,724</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41,492</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242,309</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(461,472)</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158,813</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440"/>
              <w:spacing w:after="0" w:line="202" w:lineRule="exact"/>
              <w:rPr>
                <w:sz w:val="20"/>
                <w:szCs w:val="20"/>
                <w:color w:val="auto"/>
              </w:rPr>
            </w:pPr>
            <w:r>
              <w:rPr>
                <w:rFonts w:ascii="Arial" w:cs="Arial" w:eastAsia="Arial" w:hAnsi="Arial"/>
                <w:sz w:val="18"/>
                <w:szCs w:val="18"/>
                <w:color w:val="auto"/>
              </w:rPr>
              <w:t>related to trade creditors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5,520</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5,528</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1,239</w:t>
            </w: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440"/>
              <w:spacing w:after="0" w:line="202" w:lineRule="exact"/>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1,371</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323</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6,678</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8,865</w:t>
            </w: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2,351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903</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3,280</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3,730</w:t>
            </w:r>
          </w:p>
        </w:tc>
        <w:tc>
          <w:tcPr>
            <w:tcW w:w="20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266</w:t>
            </w:r>
          </w:p>
        </w:tc>
        <w:tc>
          <w:tcPr>
            <w:tcW w:w="220" w:type="dxa"/>
            <w:vAlign w:val="bottom"/>
          </w:tcPr>
          <w:p>
            <w:pPr>
              <w:spacing w:after="0"/>
              <w:rPr>
                <w:sz w:val="17"/>
                <w:szCs w:val="17"/>
                <w:color w:val="auto"/>
              </w:rPr>
            </w:pPr>
          </w:p>
        </w:tc>
        <w:tc>
          <w:tcPr>
            <w:tcW w:w="76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180</w:t>
            </w:r>
          </w:p>
        </w:tc>
        <w:tc>
          <w:tcPr>
            <w:tcW w:w="220" w:type="dxa"/>
            <w:vAlign w:val="bottom"/>
          </w:tcPr>
          <w:p>
            <w:pPr>
              <w:spacing w:after="0"/>
              <w:rPr>
                <w:sz w:val="17"/>
                <w:szCs w:val="17"/>
                <w:color w:val="auto"/>
              </w:rPr>
            </w:pPr>
          </w:p>
        </w:tc>
        <w:tc>
          <w:tcPr>
            <w:tcW w:w="6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76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1,226</w:t>
            </w:r>
          </w:p>
        </w:tc>
        <w:tc>
          <w:tcPr>
            <w:tcW w:w="20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13,463</w:t>
            </w:r>
          </w:p>
        </w:tc>
        <w:tc>
          <w:tcPr>
            <w:tcW w:w="220" w:type="dxa"/>
            <w:vAlign w:val="bottom"/>
          </w:tcPr>
          <w:p>
            <w:pPr>
              <w:spacing w:after="0"/>
              <w:rPr>
                <w:sz w:val="17"/>
                <w:szCs w:val="17"/>
                <w:color w:val="auto"/>
              </w:rPr>
            </w:pPr>
          </w:p>
        </w:tc>
        <w:tc>
          <w:tcPr>
            <w:tcW w:w="8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18,912</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25,170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1,827</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1,505</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10,236</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5,697</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44,567</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31,840</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31,935</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1,919</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931</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8,675</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11,384</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redeemable subsidiary preferred stock</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957</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199"/>
        </w:trPr>
        <w:tc>
          <w:tcPr>
            <w:tcW w:w="360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50,664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96,399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w w:val="98"/>
              </w:rPr>
              <w:t>100,666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w w:val="98"/>
              </w:rPr>
              <w:t>53,172</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29,040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181,313</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(460,590)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50,664</w:t>
            </w:r>
          </w:p>
        </w:tc>
      </w:tr>
      <w:tr>
        <w:trPr>
          <w:trHeight w:val="199"/>
        </w:trPr>
        <w:tc>
          <w:tcPr>
            <w:tcW w:w="360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50,694</w:t>
            </w: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96,399</w:t>
            </w:r>
          </w:p>
        </w:tc>
        <w:tc>
          <w:tcPr>
            <w:tcW w:w="220" w:type="dxa"/>
            <w:vAlign w:val="bottom"/>
          </w:tcPr>
          <w:p>
            <w:pPr>
              <w:spacing w:after="0"/>
              <w:rPr>
                <w:sz w:val="17"/>
                <w:szCs w:val="17"/>
                <w:color w:val="auto"/>
              </w:rPr>
            </w:pPr>
          </w:p>
        </w:tc>
        <w:tc>
          <w:tcPr>
            <w:tcW w:w="76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8"/>
              </w:rPr>
              <w:t>100,666</w:t>
            </w:r>
          </w:p>
        </w:tc>
        <w:tc>
          <w:tcPr>
            <w:tcW w:w="22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53,172</w:t>
            </w:r>
          </w:p>
        </w:tc>
        <w:tc>
          <w:tcPr>
            <w:tcW w:w="32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29,040</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181,313</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(460,590)</w:t>
            </w:r>
          </w:p>
        </w:tc>
        <w:tc>
          <w:tcPr>
            <w:tcW w:w="24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50,694</w:t>
            </w:r>
          </w:p>
        </w:tc>
      </w:tr>
      <w:tr>
        <w:trPr>
          <w:trHeight w:val="199"/>
        </w:trPr>
        <w:tc>
          <w:tcPr>
            <w:tcW w:w="360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364</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364</w:t>
            </w:r>
          </w:p>
        </w:tc>
      </w:tr>
      <w:tr>
        <w:trPr>
          <w:trHeight w:val="196"/>
        </w:trPr>
        <w:tc>
          <w:tcPr>
            <w:tcW w:w="3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50,694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96,399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w w:val="98"/>
              </w:rPr>
              <w:t>100,666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98"/>
              </w:rPr>
              <w:t>53,172</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29,040</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181,677</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(460,590)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51,058</w:t>
            </w:r>
          </w:p>
        </w:tc>
      </w:tr>
      <w:tr>
        <w:trPr>
          <w:trHeight w:val="196"/>
        </w:trPr>
        <w:tc>
          <w:tcPr>
            <w:tcW w:w="3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81,513</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97,574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w w:val="98"/>
              </w:rPr>
              <w:t>102,673</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w w:val="98"/>
              </w:rPr>
              <w:t>54,724</w:t>
            </w:r>
          </w:p>
        </w:tc>
        <w:tc>
          <w:tcPr>
            <w:tcW w:w="3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41,492</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242,309</w:t>
            </w:r>
          </w:p>
        </w:tc>
        <w:tc>
          <w:tcPr>
            <w:tcW w:w="22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(461,472)</w:t>
            </w:r>
          </w:p>
        </w:tc>
        <w:tc>
          <w:tcPr>
            <w:tcW w:w="24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158,813</w:t>
            </w:r>
          </w:p>
        </w:tc>
      </w:tr>
      <w:tr>
        <w:trPr>
          <w:trHeight w:val="506"/>
        </w:trPr>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434"/>
              <w:spacing w:after="0"/>
              <w:rPr>
                <w:sz w:val="20"/>
                <w:szCs w:val="20"/>
                <w:color w:val="auto"/>
              </w:rPr>
            </w:pPr>
            <w:r>
              <w:rPr>
                <w:rFonts w:ascii="Arial" w:cs="Arial" w:eastAsia="Arial" w:hAnsi="Arial"/>
                <w:sz w:val="14"/>
                <w:szCs w:val="14"/>
                <w:b w:val="1"/>
                <w:bCs w:val="1"/>
                <w:color w:val="auto"/>
                <w:w w:val="94"/>
              </w:rPr>
              <w:t>121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Consolidating Balance Sheet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4"/>
                <w:szCs w:val="14"/>
                <w:color w:val="auto"/>
              </w:rPr>
              <w:t>Elimination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Combined</w:t>
            </w: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Non-</w:t>
            </w:r>
          </w:p>
        </w:tc>
        <w:tc>
          <w:tcPr>
            <w:tcW w:w="200" w:type="dxa"/>
            <w:vAlign w:val="bottom"/>
          </w:tcPr>
          <w:p>
            <w:pPr>
              <w:spacing w:after="0"/>
              <w:rPr>
                <w:sz w:val="12"/>
                <w:szCs w:val="12"/>
                <w:color w:val="auto"/>
              </w:rPr>
            </w:pPr>
          </w:p>
        </w:tc>
        <w:tc>
          <w:tcPr>
            <w:tcW w:w="860" w:type="dxa"/>
            <w:vAlign w:val="bottom"/>
          </w:tcPr>
          <w:p>
            <w:pPr>
              <w:jc w:val="right"/>
              <w:ind w:right="34"/>
              <w:spacing w:after="0" w:line="149" w:lineRule="exact"/>
              <w:rPr>
                <w:sz w:val="20"/>
                <w:szCs w:val="20"/>
                <w:color w:val="auto"/>
              </w:rPr>
            </w:pPr>
            <w:r>
              <w:rPr>
                <w:rFonts w:ascii="Arial" w:cs="Arial" w:eastAsia="Arial" w:hAnsi="Arial"/>
                <w:sz w:val="14"/>
                <w:szCs w:val="14"/>
                <w:color w:val="auto"/>
              </w:rPr>
              <w:t>and</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7"/>
              </w:rPr>
              <w:t>Comcast</w:t>
            </w: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CCCL</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CCHMO</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Media</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Guarantor</w:t>
            </w:r>
          </w:p>
        </w:tc>
        <w:tc>
          <w:tcPr>
            <w:tcW w:w="106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Consolidation</w:t>
            </w:r>
          </w:p>
        </w:tc>
        <w:tc>
          <w:tcPr>
            <w:tcW w:w="180" w:type="dxa"/>
            <w:vAlign w:val="bottom"/>
          </w:tcPr>
          <w:p>
            <w:pPr>
              <w:spacing w:after="0"/>
              <w:rPr>
                <w:sz w:val="12"/>
                <w:szCs w:val="12"/>
                <w:color w:val="auto"/>
              </w:rPr>
            </w:pPr>
          </w:p>
        </w:tc>
        <w:tc>
          <w:tcPr>
            <w:tcW w:w="780" w:type="dxa"/>
            <w:vAlign w:val="bottom"/>
          </w:tcPr>
          <w:p>
            <w:pPr>
              <w:jc w:val="right"/>
              <w:ind w:right="13"/>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2012 (in millions)</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Holdings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Parents</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Parent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Subsidiaries</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3"/>
              </w:rPr>
              <w:t>Adjustments</w:t>
            </w:r>
          </w:p>
        </w:tc>
        <w:tc>
          <w:tcPr>
            <w:tcW w:w="9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Corporation</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5,129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5,822</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10,951</w:t>
            </w: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1,464</w:t>
            </w: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5,518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5,521</w:t>
            </w: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909</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909</w:t>
            </w:r>
          </w:p>
        </w:tc>
      </w:tr>
      <w:tr>
        <w:trPr>
          <w:trHeight w:val="199"/>
        </w:trPr>
        <w:tc>
          <w:tcPr>
            <w:tcW w:w="3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233</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844</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1,146</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233</w:t>
            </w:r>
          </w:p>
        </w:tc>
        <w:tc>
          <w:tcPr>
            <w:tcW w:w="22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5,183</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14,557</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19,991</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5,054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5,054</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529</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5,796</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6,325</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Investments in and amounts due from</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subsidiaries eliminated upon consolidation</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74,227</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87,630</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96,853</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50,242</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38,464</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73,298</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(420,714)</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26,990</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27,232</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59,364</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59,364</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26,985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26,985</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17,828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17,840</w:t>
            </w:r>
          </w:p>
        </w:tc>
      </w:tr>
      <w:tr>
        <w:trPr>
          <w:trHeight w:val="199"/>
        </w:trPr>
        <w:tc>
          <w:tcPr>
            <w:tcW w:w="3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Other noncurrent assets, net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1,130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147</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1,650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2,180</w:t>
            </w:r>
          </w:p>
        </w:tc>
      </w:tr>
      <w:tr>
        <w:trPr>
          <w:trHeight w:val="196"/>
        </w:trPr>
        <w:tc>
          <w:tcPr>
            <w:tcW w:w="38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75,844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87,777</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96,868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50,246</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44,328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231,522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(421,614)</w:t>
            </w:r>
          </w:p>
        </w:tc>
        <w:tc>
          <w:tcPr>
            <w:tcW w:w="1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164,971</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80" w:type="dxa"/>
            <w:vAlign w:val="bottom"/>
          </w:tcPr>
          <w:p>
            <w:pPr>
              <w:ind w:left="440"/>
              <w:spacing w:after="0" w:line="202" w:lineRule="exact"/>
              <w:rPr>
                <w:sz w:val="20"/>
                <w:szCs w:val="20"/>
                <w:color w:val="auto"/>
              </w:rPr>
            </w:pPr>
            <w:r>
              <w:rPr>
                <w:rFonts w:ascii="Arial" w:cs="Arial" w:eastAsia="Arial" w:hAnsi="Arial"/>
                <w:sz w:val="18"/>
                <w:szCs w:val="18"/>
                <w:color w:val="auto"/>
              </w:rPr>
              <w:t>related to trade creditors</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6,198</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ind w:left="6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6,206</w:t>
            </w: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1,350</w:t>
            </w: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1,290</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4,690</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6,782</w:t>
            </w:r>
          </w:p>
        </w:tc>
      </w:tr>
      <w:tr>
        <w:trPr>
          <w:trHeight w:val="199"/>
        </w:trPr>
        <w:tc>
          <w:tcPr>
            <w:tcW w:w="3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2,105</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2,376</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1,298</w:t>
            </w:r>
          </w:p>
        </w:tc>
        <w:tc>
          <w:tcPr>
            <w:tcW w:w="22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275</w:t>
            </w:r>
          </w:p>
        </w:tc>
        <w:tc>
          <w:tcPr>
            <w:tcW w:w="2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2,315</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295</w:t>
            </w:r>
          </w:p>
        </w:tc>
        <w:tc>
          <w:tcPr>
            <w:tcW w:w="3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270</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12,261</w:t>
            </w:r>
          </w:p>
        </w:tc>
        <w:tc>
          <w:tcPr>
            <w:tcW w:w="200" w:type="dxa"/>
            <w:vAlign w:val="bottom"/>
          </w:tcPr>
          <w:p>
            <w:pPr>
              <w:spacing w:after="0"/>
              <w:rPr>
                <w:sz w:val="17"/>
                <w:szCs w:val="17"/>
                <w:color w:val="auto"/>
              </w:rPr>
            </w:pPr>
          </w:p>
        </w:tc>
        <w:tc>
          <w:tcPr>
            <w:tcW w:w="860" w:type="dxa"/>
            <w:vAlign w:val="bottom"/>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16,714</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23,306</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1,827</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1,512</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11,219</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38,082</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754</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30,035</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30,110</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1,884</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10,604</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13,271</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 and</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redeemable subsidiary preferred stock</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16,998</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16,998</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80" w:type="dxa"/>
            <w:vAlign w:val="bottom"/>
          </w:tcPr>
          <w:p>
            <w:pPr>
              <w:ind w:left="220"/>
              <w:spacing w:after="0" w:line="202" w:lineRule="exact"/>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w:t>
            </w:r>
          </w:p>
        </w:tc>
      </w:tr>
      <w:tr>
        <w:trPr>
          <w:trHeight w:val="199"/>
        </w:trPr>
        <w:tc>
          <w:tcPr>
            <w:tcW w:w="3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Other shareholders’ equity</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49,325</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86,635</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92,726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48,439</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31,835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161,079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(420,714)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49,325</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Total Comcast Corporation shareholders’ equity</w:t>
            </w:r>
          </w:p>
        </w:tc>
        <w:tc>
          <w:tcPr>
            <w:tcW w:w="24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w w:val="98"/>
              </w:rPr>
              <w:t>49,356</w:t>
            </w:r>
          </w:p>
        </w:tc>
        <w:tc>
          <w:tcPr>
            <w:tcW w:w="22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86,635</w:t>
            </w:r>
          </w:p>
        </w:tc>
        <w:tc>
          <w:tcPr>
            <w:tcW w:w="28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92,726</w:t>
            </w:r>
          </w:p>
        </w:tc>
        <w:tc>
          <w:tcPr>
            <w:tcW w:w="220" w:type="dxa"/>
            <w:vAlign w:val="bottom"/>
          </w:tcPr>
          <w:p>
            <w:pPr>
              <w:spacing w:after="0"/>
              <w:rPr>
                <w:sz w:val="17"/>
                <w:szCs w:val="17"/>
                <w:color w:val="auto"/>
              </w:rPr>
            </w:pP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48,439</w:t>
            </w:r>
          </w:p>
        </w:tc>
        <w:tc>
          <w:tcPr>
            <w:tcW w:w="30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31,835</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161,079</w:t>
            </w:r>
          </w:p>
        </w:tc>
        <w:tc>
          <w:tcPr>
            <w:tcW w:w="2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(420,714)</w:t>
            </w:r>
          </w:p>
        </w:tc>
        <w:tc>
          <w:tcPr>
            <w:tcW w:w="180" w:type="dxa"/>
            <w:vAlign w:val="bottom"/>
          </w:tcPr>
          <w:p>
            <w:pPr>
              <w:spacing w:after="0"/>
              <w:rPr>
                <w:sz w:val="17"/>
                <w:szCs w:val="17"/>
                <w:color w:val="auto"/>
              </w:rPr>
            </w:pPr>
          </w:p>
        </w:tc>
        <w:tc>
          <w:tcPr>
            <w:tcW w:w="7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49,356</w:t>
            </w:r>
          </w:p>
        </w:tc>
      </w:tr>
      <w:tr>
        <w:trPr>
          <w:trHeight w:val="199"/>
        </w:trPr>
        <w:tc>
          <w:tcPr>
            <w:tcW w:w="38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200" w:lineRule="exact"/>
              <w:rPr>
                <w:sz w:val="20"/>
                <w:szCs w:val="20"/>
                <w:color w:val="auto"/>
              </w:rPr>
            </w:pPr>
            <w:r>
              <w:rPr>
                <w:rFonts w:ascii="Arial" w:cs="Arial" w:eastAsia="Arial" w:hAnsi="Arial"/>
                <w:sz w:val="18"/>
                <w:szCs w:val="18"/>
                <w:color w:val="auto"/>
              </w:rPr>
              <w:t>440</w:t>
            </w:r>
          </w:p>
        </w:tc>
      </w:tr>
      <w:tr>
        <w:trPr>
          <w:trHeight w:val="196"/>
        </w:trPr>
        <w:tc>
          <w:tcPr>
            <w:tcW w:w="3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49,356</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86,635</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92,726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48,439</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31,835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161,519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(420,714)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49,796</w:t>
            </w:r>
          </w:p>
        </w:tc>
      </w:tr>
      <w:tr>
        <w:trPr>
          <w:trHeight w:val="196"/>
        </w:trPr>
        <w:tc>
          <w:tcPr>
            <w:tcW w:w="38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8"/>
              </w:rPr>
              <w:t>75,844</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87,777</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96,868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50,246</w:t>
            </w:r>
          </w:p>
        </w:tc>
        <w:tc>
          <w:tcPr>
            <w:tcW w:w="30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44,328</w:t>
            </w:r>
          </w:p>
        </w:tc>
        <w:tc>
          <w:tcPr>
            <w:tcW w:w="2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231,522</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(421,614)</w:t>
            </w:r>
          </w:p>
        </w:tc>
        <w:tc>
          <w:tcPr>
            <w:tcW w:w="1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b w:val="1"/>
                <w:bCs w:val="1"/>
                <w:color w:val="auto"/>
              </w:rPr>
              <w:t>164,971</w:t>
            </w:r>
          </w:p>
        </w:tc>
      </w:tr>
      <w:tr>
        <w:trPr>
          <w:trHeight w:val="506"/>
        </w:trPr>
        <w:tc>
          <w:tcPr>
            <w:tcW w:w="38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4"/>
              </w:rPr>
              <w:t>122</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60"/>
        <w:spacing w:after="0" w:line="221" w:lineRule="auto"/>
        <w:rPr>
          <w:sz w:val="20"/>
          <w:szCs w:val="20"/>
          <w:color w:val="auto"/>
        </w:rPr>
      </w:pPr>
      <w:r>
        <w:rPr>
          <w:rFonts w:ascii="Arial" w:cs="Arial" w:eastAsia="Arial" w:hAnsi="Arial"/>
          <w:sz w:val="14"/>
          <w:szCs w:val="14"/>
          <w:color w:val="auto"/>
        </w:rPr>
        <w:t>For the Year Ended December 31, 2013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-895985</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rPr>
              <w:t>Elimination</w:t>
            </w:r>
          </w:p>
        </w:tc>
        <w:tc>
          <w:tcPr>
            <w:tcW w:w="960" w:type="dxa"/>
            <w:vAlign w:val="bottom"/>
          </w:tcPr>
          <w:p>
            <w:pPr>
              <w:spacing w:after="0"/>
              <w:rPr>
                <w:sz w:val="14"/>
                <w:szCs w:val="14"/>
                <w:color w:val="auto"/>
              </w:rPr>
            </w:pPr>
          </w:p>
        </w:tc>
      </w:tr>
      <w:tr>
        <w:trPr>
          <w:trHeight w:val="152"/>
        </w:trPr>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jc w:val="right"/>
              <w:ind w:right="12"/>
              <w:spacing w:after="0" w:line="152" w:lineRule="exact"/>
              <w:rPr>
                <w:sz w:val="20"/>
                <w:szCs w:val="20"/>
                <w:color w:val="auto"/>
              </w:rPr>
            </w:pPr>
            <w:r>
              <w:rPr>
                <w:rFonts w:ascii="Arial" w:cs="Arial" w:eastAsia="Arial" w:hAnsi="Arial"/>
                <w:sz w:val="14"/>
                <w:szCs w:val="14"/>
                <w:b w:val="1"/>
                <w:bCs w:val="1"/>
                <w:color w:val="auto"/>
              </w:rPr>
              <w:t>Combined</w:t>
            </w:r>
          </w:p>
        </w:tc>
        <w:tc>
          <w:tcPr>
            <w:tcW w:w="1080" w:type="dxa"/>
            <w:vAlign w:val="bottom"/>
          </w:tcPr>
          <w:p>
            <w:pPr>
              <w:jc w:val="right"/>
              <w:ind w:right="12"/>
              <w:spacing w:after="0" w:line="152" w:lineRule="exact"/>
              <w:rPr>
                <w:sz w:val="20"/>
                <w:szCs w:val="20"/>
                <w:color w:val="auto"/>
              </w:rPr>
            </w:pPr>
            <w:r>
              <w:rPr>
                <w:rFonts w:ascii="Arial" w:cs="Arial" w:eastAsia="Arial" w:hAnsi="Arial"/>
                <w:sz w:val="14"/>
                <w:szCs w:val="14"/>
                <w:b w:val="1"/>
                <w:bCs w:val="1"/>
                <w:color w:val="auto"/>
              </w:rPr>
              <w:t>NBCUniversal</w:t>
            </w:r>
          </w:p>
        </w:tc>
        <w:tc>
          <w:tcPr>
            <w:tcW w:w="980" w:type="dxa"/>
            <w:vAlign w:val="bottom"/>
          </w:tcPr>
          <w:p>
            <w:pPr>
              <w:jc w:val="right"/>
              <w:ind w:right="12"/>
              <w:spacing w:after="0" w:line="152" w:lineRule="exact"/>
              <w:rPr>
                <w:sz w:val="20"/>
                <w:szCs w:val="20"/>
                <w:color w:val="auto"/>
              </w:rPr>
            </w:pPr>
            <w:r>
              <w:rPr>
                <w:rFonts w:ascii="Arial" w:cs="Arial" w:eastAsia="Arial" w:hAnsi="Arial"/>
                <w:sz w:val="14"/>
                <w:szCs w:val="14"/>
                <w:b w:val="1"/>
                <w:bCs w:val="1"/>
                <w:color w:val="auto"/>
              </w:rPr>
              <w:t>Non-</w:t>
            </w:r>
          </w:p>
        </w:tc>
        <w:tc>
          <w:tcPr>
            <w:tcW w:w="110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and</w:t>
            </w:r>
          </w:p>
        </w:tc>
        <w:tc>
          <w:tcPr>
            <w:tcW w:w="96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6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1"/>
              </w:rPr>
              <w:t>Comcast</w:t>
            </w: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Comcast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CCCL</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CCHMO</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Media</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Consolidation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76"/>
        </w:trPr>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Parent</w:t>
            </w: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Holdings</w:t>
            </w: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84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Parents</w:t>
            </w: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r>
    </w:tbl>
    <w:p>
      <w:pPr>
        <w:spacing w:after="0" w:line="1" w:lineRule="exact"/>
        <w:rPr>
          <w:sz w:val="20"/>
          <w:szCs w:val="20"/>
          <w:color w:val="auto"/>
        </w:rPr>
      </w:pPr>
    </w:p>
    <w:p>
      <w:pPr>
        <w:sectPr>
          <w:pgSz w:w="11900" w:h="16838" w:orient="portrait"/>
          <w:cols w:equalWidth="0" w:num="2">
            <w:col w:w="3160" w:space="720"/>
            <w:col w:w="754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9"/>
        </w:trPr>
        <w:tc>
          <w:tcPr>
            <w:tcW w:w="396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64,657</w:t>
            </w:r>
          </w:p>
        </w:tc>
        <w:tc>
          <w:tcPr>
            <w:tcW w:w="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64,657</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897</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874</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(2,319)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897</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874</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64,657</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64,657</w:t>
            </w:r>
          </w:p>
        </w:tc>
      </w:tr>
      <w:tr>
        <w:trPr>
          <w:trHeight w:val="199"/>
        </w:trPr>
        <w:tc>
          <w:tcPr>
            <w:tcW w:w="20" w:type="dxa"/>
            <w:vAlign w:val="bottom"/>
          </w:tcPr>
          <w:p>
            <w:pPr>
              <w:spacing w:after="0"/>
              <w:rPr>
                <w:sz w:val="17"/>
                <w:szCs w:val="17"/>
                <w:color w:val="auto"/>
              </w:rPr>
            </w:pPr>
          </w:p>
        </w:tc>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19,670</w:t>
            </w:r>
          </w:p>
        </w:tc>
        <w:tc>
          <w:tcPr>
            <w:tcW w:w="2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19,670</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403</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874</w:t>
            </w:r>
          </w:p>
        </w:tc>
        <w:tc>
          <w:tcPr>
            <w:tcW w:w="22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548</w:t>
            </w:r>
          </w:p>
        </w:tc>
        <w:tc>
          <w:tcPr>
            <w:tcW w:w="3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855</w:t>
            </w:r>
          </w:p>
        </w:tc>
        <w:tc>
          <w:tcPr>
            <w:tcW w:w="26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18,223</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(2,319)</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18,584</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4,969</w:t>
            </w:r>
          </w:p>
        </w:tc>
        <w:tc>
          <w:tcPr>
            <w:tcW w:w="2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4,969</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6,224</w:t>
            </w:r>
          </w:p>
        </w:tc>
        <w:tc>
          <w:tcPr>
            <w:tcW w:w="2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6,254</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1,612</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1,617</w:t>
            </w: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438</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874</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855</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50,698</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(2,319)</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51,094</w:t>
            </w:r>
          </w:p>
        </w:tc>
      </w:tr>
      <w:tr>
        <w:trPr>
          <w:trHeight w:val="177"/>
        </w:trPr>
        <w:tc>
          <w:tcPr>
            <w:tcW w:w="39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5"/>
                <w:szCs w:val="15"/>
                <w:color w:val="auto"/>
              </w:rPr>
            </w:pPr>
          </w:p>
        </w:tc>
        <w:tc>
          <w:tcPr>
            <w:tcW w:w="620" w:type="dxa"/>
            <w:vAlign w:val="bottom"/>
          </w:tcPr>
          <w:p>
            <w:pPr>
              <w:jc w:val="right"/>
              <w:ind w:right="32"/>
              <w:spacing w:after="0" w:line="177" w:lineRule="exact"/>
              <w:rPr>
                <w:sz w:val="20"/>
                <w:szCs w:val="20"/>
                <w:color w:val="auto"/>
              </w:rPr>
            </w:pPr>
            <w:r>
              <w:rPr>
                <w:rFonts w:ascii="Arial" w:cs="Arial" w:eastAsia="Arial" w:hAnsi="Arial"/>
                <w:sz w:val="18"/>
                <w:szCs w:val="18"/>
                <w:color w:val="auto"/>
              </w:rPr>
              <w:t>459</w:t>
            </w:r>
          </w:p>
        </w:tc>
        <w:tc>
          <w:tcPr>
            <w:tcW w:w="200" w:type="dxa"/>
            <w:vAlign w:val="bottom"/>
          </w:tcPr>
          <w:p>
            <w:pPr>
              <w:spacing w:after="0"/>
              <w:rPr>
                <w:sz w:val="15"/>
                <w:szCs w:val="15"/>
                <w:color w:val="auto"/>
              </w:rPr>
            </w:pPr>
          </w:p>
        </w:tc>
        <w:tc>
          <w:tcPr>
            <w:tcW w:w="56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6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600" w:type="dxa"/>
            <w:vAlign w:val="bottom"/>
          </w:tcPr>
          <w:p>
            <w:pPr>
              <w:jc w:val="right"/>
              <w:ind w:right="12"/>
              <w:spacing w:after="0" w:line="177"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(855)</w:t>
            </w:r>
          </w:p>
        </w:tc>
        <w:tc>
          <w:tcPr>
            <w:tcW w:w="260" w:type="dxa"/>
            <w:vAlign w:val="bottom"/>
          </w:tcPr>
          <w:p>
            <w:pPr>
              <w:spacing w:after="0"/>
              <w:rPr>
                <w:sz w:val="15"/>
                <w:szCs w:val="15"/>
                <w:color w:val="auto"/>
              </w:rPr>
            </w:pPr>
          </w:p>
        </w:tc>
        <w:tc>
          <w:tcPr>
            <w:tcW w:w="740" w:type="dxa"/>
            <w:vAlign w:val="bottom"/>
          </w:tcPr>
          <w:p>
            <w:pPr>
              <w:jc w:val="right"/>
              <w:ind w:right="33"/>
              <w:spacing w:after="0" w:line="177" w:lineRule="exact"/>
              <w:rPr>
                <w:sz w:val="20"/>
                <w:szCs w:val="20"/>
                <w:color w:val="auto"/>
              </w:rPr>
            </w:pPr>
            <w:r>
              <w:rPr>
                <w:rFonts w:ascii="Arial" w:cs="Arial" w:eastAsia="Arial" w:hAnsi="Arial"/>
                <w:sz w:val="18"/>
                <w:szCs w:val="18"/>
                <w:color w:val="auto"/>
              </w:rPr>
              <w:t>13,959</w:t>
            </w:r>
          </w:p>
        </w:tc>
        <w:tc>
          <w:tcPr>
            <w:tcW w:w="260" w:type="dxa"/>
            <w:vAlign w:val="bottom"/>
          </w:tcPr>
          <w:p>
            <w:pPr>
              <w:spacing w:after="0"/>
              <w:rPr>
                <w:sz w:val="15"/>
                <w:szCs w:val="15"/>
                <w:color w:val="auto"/>
              </w:rPr>
            </w:pPr>
          </w:p>
        </w:tc>
        <w:tc>
          <w:tcPr>
            <w:tcW w:w="82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760" w:type="dxa"/>
            <w:vAlign w:val="bottom"/>
          </w:tcPr>
          <w:p>
            <w:pPr>
              <w:jc w:val="right"/>
              <w:ind w:right="12"/>
              <w:spacing w:after="0" w:line="177" w:lineRule="exact"/>
              <w:rPr>
                <w:sz w:val="20"/>
                <w:szCs w:val="20"/>
                <w:color w:val="auto"/>
              </w:rPr>
            </w:pPr>
            <w:r>
              <w:rPr>
                <w:rFonts w:ascii="Arial" w:cs="Arial" w:eastAsia="Arial" w:hAnsi="Arial"/>
                <w:sz w:val="18"/>
                <w:szCs w:val="18"/>
                <w:color w:val="auto"/>
              </w:rPr>
              <w:t>13,563</w:t>
            </w:r>
          </w:p>
        </w:tc>
      </w:tr>
      <w:tr>
        <w:trPr>
          <w:trHeight w:val="225"/>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(1,523)</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(488)</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(2,574)</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2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586</w:t>
            </w:r>
          </w:p>
        </w:tc>
        <w:tc>
          <w:tcPr>
            <w:tcW w:w="2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576</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24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7,509</w:t>
            </w:r>
          </w:p>
        </w:tc>
        <w:tc>
          <w:tcPr>
            <w:tcW w:w="2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7,540</w:t>
            </w:r>
          </w:p>
        </w:tc>
        <w:tc>
          <w:tcPr>
            <w:tcW w:w="260" w:type="dxa"/>
            <w:vAlign w:val="bottom"/>
          </w:tcPr>
          <w:p>
            <w:pPr>
              <w:spacing w:after="0"/>
              <w:rPr>
                <w:sz w:val="17"/>
                <w:szCs w:val="17"/>
                <w:color w:val="auto"/>
              </w:rPr>
            </w:pPr>
          </w:p>
        </w:tc>
        <w:tc>
          <w:tcPr>
            <w:tcW w:w="560" w:type="dxa"/>
            <w:vAlign w:val="bottom"/>
          </w:tcPr>
          <w:p>
            <w:pPr>
              <w:jc w:val="right"/>
              <w:ind w:right="32"/>
              <w:spacing w:after="0" w:line="202" w:lineRule="exact"/>
              <w:rPr>
                <w:sz w:val="20"/>
                <w:szCs w:val="20"/>
                <w:color w:val="auto"/>
              </w:rPr>
            </w:pPr>
            <w:r>
              <w:rPr>
                <w:rFonts w:ascii="Arial" w:cs="Arial" w:eastAsia="Arial" w:hAnsi="Arial"/>
                <w:sz w:val="18"/>
                <w:szCs w:val="18"/>
                <w:color w:val="auto"/>
                <w:w w:val="93"/>
              </w:rPr>
              <w:t>7,430</w:t>
            </w:r>
          </w:p>
        </w:tc>
        <w:tc>
          <w:tcPr>
            <w:tcW w:w="220" w:type="dxa"/>
            <w:vAlign w:val="bottom"/>
          </w:tcPr>
          <w:p>
            <w:pPr>
              <w:spacing w:after="0"/>
              <w:rPr>
                <w:sz w:val="17"/>
                <w:szCs w:val="17"/>
                <w:color w:val="auto"/>
              </w:rPr>
            </w:pPr>
          </w:p>
        </w:tc>
        <w:tc>
          <w:tcPr>
            <w:tcW w:w="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5,473</w:t>
            </w:r>
          </w:p>
        </w:tc>
        <w:tc>
          <w:tcPr>
            <w:tcW w:w="34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3,331</w:t>
            </w:r>
          </w:p>
        </w:tc>
        <w:tc>
          <w:tcPr>
            <w:tcW w:w="260" w:type="dxa"/>
            <w:vAlign w:val="bottom"/>
          </w:tcPr>
          <w:p>
            <w:pPr>
              <w:spacing w:after="0"/>
              <w:rPr>
                <w:sz w:val="17"/>
                <w:szCs w:val="17"/>
                <w:color w:val="auto"/>
              </w:rPr>
            </w:pPr>
          </w:p>
        </w:tc>
        <w:tc>
          <w:tcPr>
            <w:tcW w:w="7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1,882</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(33,251)</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(363)</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(364)</w:t>
            </w:r>
          </w:p>
        </w:tc>
      </w:tr>
      <w:tr>
        <w:trPr>
          <w:trHeight w:val="196"/>
        </w:trPr>
        <w:tc>
          <w:tcPr>
            <w:tcW w:w="20" w:type="dxa"/>
            <w:vAlign w:val="bottom"/>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5,984</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7,516</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93"/>
              </w:rPr>
              <w:t>7,220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5,347</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2,845</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1,891</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(33,251)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(2,448)</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7"/>
                <w:szCs w:val="17"/>
                <w:color w:val="auto"/>
              </w:rPr>
            </w:pP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6,443</w:t>
            </w:r>
          </w:p>
        </w:tc>
        <w:tc>
          <w:tcPr>
            <w:tcW w:w="20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7,516</w:t>
            </w:r>
          </w:p>
        </w:tc>
        <w:tc>
          <w:tcPr>
            <w:tcW w:w="260" w:type="dxa"/>
            <w:vAlign w:val="bottom"/>
          </w:tcPr>
          <w:p>
            <w:pPr>
              <w:spacing w:after="0"/>
              <w:rPr>
                <w:sz w:val="17"/>
                <w:szCs w:val="17"/>
                <w:color w:val="auto"/>
              </w:rPr>
            </w:pP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3"/>
              </w:rPr>
              <w:t>7,220</w:t>
            </w:r>
          </w:p>
        </w:tc>
        <w:tc>
          <w:tcPr>
            <w:tcW w:w="220" w:type="dxa"/>
            <w:vAlign w:val="bottom"/>
          </w:tcPr>
          <w:p>
            <w:pPr>
              <w:spacing w:after="0"/>
              <w:rPr>
                <w:sz w:val="17"/>
                <w:szCs w:val="17"/>
                <w:color w:val="auto"/>
              </w:rPr>
            </w:pPr>
          </w:p>
        </w:tc>
        <w:tc>
          <w:tcPr>
            <w:tcW w:w="6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5,347</w:t>
            </w:r>
          </w:p>
        </w:tc>
        <w:tc>
          <w:tcPr>
            <w:tcW w:w="34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1,990</w:t>
            </w:r>
          </w:p>
        </w:tc>
        <w:tc>
          <w:tcPr>
            <w:tcW w:w="260" w:type="dxa"/>
            <w:vAlign w:val="bottom"/>
          </w:tcPr>
          <w:p>
            <w:pPr>
              <w:spacing w:after="0"/>
              <w:rPr>
                <w:sz w:val="17"/>
                <w:szCs w:val="17"/>
                <w:color w:val="auto"/>
              </w:rPr>
            </w:pPr>
          </w:p>
        </w:tc>
        <w:tc>
          <w:tcPr>
            <w:tcW w:w="7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15,850</w:t>
            </w:r>
          </w:p>
        </w:tc>
        <w:tc>
          <w:tcPr>
            <w:tcW w:w="26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(33,251)</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11,115</w:t>
            </w:r>
          </w:p>
        </w:tc>
      </w:tr>
      <w:tr>
        <w:trPr>
          <w:trHeight w:val="199"/>
        </w:trPr>
        <w:tc>
          <w:tcPr>
            <w:tcW w:w="3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373</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(4,457)</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(3,980)</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7"/>
                <w:szCs w:val="17"/>
                <w:color w:val="auto"/>
              </w:rPr>
            </w:pP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6,816</w:t>
            </w:r>
          </w:p>
        </w:tc>
        <w:tc>
          <w:tcPr>
            <w:tcW w:w="20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7,525</w:t>
            </w:r>
          </w:p>
        </w:tc>
        <w:tc>
          <w:tcPr>
            <w:tcW w:w="260" w:type="dxa"/>
            <w:vAlign w:val="bottom"/>
          </w:tcPr>
          <w:p>
            <w:pPr>
              <w:spacing w:after="0"/>
              <w:rPr>
                <w:sz w:val="17"/>
                <w:szCs w:val="17"/>
                <w:color w:val="auto"/>
              </w:rPr>
            </w:pPr>
          </w:p>
        </w:tc>
        <w:tc>
          <w:tcPr>
            <w:tcW w:w="56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3"/>
              </w:rPr>
              <w:t>7,293</w:t>
            </w:r>
          </w:p>
        </w:tc>
        <w:tc>
          <w:tcPr>
            <w:tcW w:w="220" w:type="dxa"/>
            <w:vAlign w:val="bottom"/>
          </w:tcPr>
          <w:p>
            <w:pPr>
              <w:spacing w:after="0"/>
              <w:rPr>
                <w:sz w:val="17"/>
                <w:szCs w:val="17"/>
                <w:color w:val="auto"/>
              </w:rPr>
            </w:pPr>
          </w:p>
        </w:tc>
        <w:tc>
          <w:tcPr>
            <w:tcW w:w="6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5,391</w:t>
            </w:r>
          </w:p>
        </w:tc>
        <w:tc>
          <w:tcPr>
            <w:tcW w:w="34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1,968</w:t>
            </w:r>
          </w:p>
        </w:tc>
        <w:tc>
          <w:tcPr>
            <w:tcW w:w="260" w:type="dxa"/>
            <w:vAlign w:val="bottom"/>
          </w:tcPr>
          <w:p>
            <w:pPr>
              <w:spacing w:after="0"/>
              <w:rPr>
                <w:sz w:val="17"/>
                <w:szCs w:val="17"/>
                <w:color w:val="auto"/>
              </w:rPr>
            </w:pPr>
          </w:p>
        </w:tc>
        <w:tc>
          <w:tcPr>
            <w:tcW w:w="74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11,393</w:t>
            </w:r>
          </w:p>
        </w:tc>
        <w:tc>
          <w:tcPr>
            <w:tcW w:w="26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(33,251)</w:t>
            </w:r>
          </w:p>
        </w:tc>
        <w:tc>
          <w:tcPr>
            <w:tcW w:w="28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7,135</w:t>
            </w: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interests and redeemable subsidiary preferred</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(319)</w:t>
            </w:r>
          </w:p>
        </w:tc>
      </w:tr>
      <w:tr>
        <w:trPr>
          <w:trHeight w:val="177"/>
        </w:trPr>
        <w:tc>
          <w:tcPr>
            <w:tcW w:w="20" w:type="dxa"/>
            <w:vAlign w:val="bottom"/>
          </w:tcPr>
          <w:p>
            <w:pPr>
              <w:spacing w:after="0"/>
              <w:rPr>
                <w:sz w:val="15"/>
                <w:szCs w:val="15"/>
                <w:color w:val="auto"/>
              </w:rPr>
            </w:pPr>
          </w:p>
        </w:tc>
        <w:tc>
          <w:tcPr>
            <w:tcW w:w="39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6,816</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7,525</w:t>
            </w:r>
          </w:p>
        </w:tc>
        <w:tc>
          <w:tcPr>
            <w:tcW w:w="26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w w:val="93"/>
              </w:rPr>
              <w:t>7,293</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5,391</w:t>
            </w:r>
          </w:p>
        </w:tc>
        <w:tc>
          <w:tcPr>
            <w:tcW w:w="340" w:type="dxa"/>
            <w:vAlign w:val="bottom"/>
            <w:tcBorders>
              <w:bottom w:val="single" w:sz="8" w:color="0C6DFF"/>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1,968</w:t>
            </w:r>
          </w:p>
        </w:tc>
        <w:tc>
          <w:tcPr>
            <w:tcW w:w="26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11,074</w:t>
            </w:r>
          </w:p>
        </w:tc>
        <w:tc>
          <w:tcPr>
            <w:tcW w:w="26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(33,251)</w:t>
            </w:r>
          </w:p>
        </w:tc>
        <w:tc>
          <w:tcPr>
            <w:tcW w:w="28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6,816</w:t>
            </w:r>
          </w:p>
        </w:tc>
      </w:tr>
      <w:tr>
        <w:trPr>
          <w:trHeight w:val="177"/>
        </w:trPr>
        <w:tc>
          <w:tcPr>
            <w:tcW w:w="20" w:type="dxa"/>
            <w:vAlign w:val="bottom"/>
          </w:tcPr>
          <w:p>
            <w:pPr>
              <w:spacing w:after="0"/>
              <w:rPr>
                <w:sz w:val="15"/>
                <w:szCs w:val="15"/>
                <w:color w:val="auto"/>
              </w:rPr>
            </w:pPr>
          </w:p>
        </w:tc>
        <w:tc>
          <w:tcPr>
            <w:tcW w:w="39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39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24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6,883</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7,521</w:t>
            </w:r>
          </w:p>
        </w:tc>
        <w:tc>
          <w:tcPr>
            <w:tcW w:w="260" w:type="dxa"/>
            <w:vAlign w:val="bottom"/>
            <w:tcBorders>
              <w:bottom w:val="single" w:sz="8" w:color="0C6DFF"/>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w w:val="93"/>
              </w:rPr>
              <w:t>7,276</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5,392</w:t>
            </w:r>
          </w:p>
        </w:tc>
        <w:tc>
          <w:tcPr>
            <w:tcW w:w="340" w:type="dxa"/>
            <w:vAlign w:val="bottom"/>
            <w:tcBorders>
              <w:bottom w:val="single" w:sz="8" w:color="0C6DFF"/>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10,969</w:t>
            </w:r>
          </w:p>
        </w:tc>
        <w:tc>
          <w:tcPr>
            <w:tcW w:w="26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(33,175)</w:t>
            </w:r>
          </w:p>
        </w:tc>
        <w:tc>
          <w:tcPr>
            <w:tcW w:w="28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6,883</w:t>
            </w:r>
          </w:p>
        </w:tc>
      </w:tr>
      <w:tr>
        <w:trPr>
          <w:trHeight w:val="50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4"/>
              </w:rPr>
              <w:t>123</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60"/>
        <w:spacing w:after="0" w:line="221" w:lineRule="auto"/>
        <w:rPr>
          <w:sz w:val="20"/>
          <w:szCs w:val="20"/>
          <w:color w:val="auto"/>
        </w:rPr>
      </w:pPr>
      <w:r>
        <w:rPr>
          <w:rFonts w:ascii="Arial" w:cs="Arial" w:eastAsia="Arial" w:hAnsi="Arial"/>
          <w:sz w:val="14"/>
          <w:szCs w:val="14"/>
          <w:color w:val="auto"/>
        </w:rPr>
        <w:t>For the Year Ended December 31, 2012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-895985</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Elimination</w:t>
            </w:r>
          </w:p>
        </w:tc>
        <w:tc>
          <w:tcPr>
            <w:tcW w:w="90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Combined</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and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Comcast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CCCL</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CCHMO</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Media</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Guarantor</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Consolidation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660" w:type="dxa"/>
            <w:vAlign w:val="bottom"/>
          </w:tcPr>
          <w:p>
            <w:pPr>
              <w:jc w:val="right"/>
              <w:ind w:right="52"/>
              <w:spacing w:after="0"/>
              <w:rPr>
                <w:sz w:val="20"/>
                <w:szCs w:val="20"/>
                <w:color w:val="auto"/>
              </w:rPr>
            </w:pPr>
            <w:r>
              <w:rPr>
                <w:rFonts w:ascii="Arial" w:cs="Arial" w:eastAsia="Arial" w:hAnsi="Arial"/>
                <w:sz w:val="14"/>
                <w:szCs w:val="14"/>
                <w:color w:val="auto"/>
              </w:rPr>
              <w:t>Parent</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Holdings</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Parent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Parents</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Parent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Subsidiaries</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Adjustments</w:t>
            </w:r>
          </w:p>
        </w:tc>
        <w:tc>
          <w:tcPr>
            <w:tcW w:w="900" w:type="dxa"/>
            <w:vAlign w:val="bottom"/>
          </w:tcPr>
          <w:p>
            <w:pPr>
              <w:jc w:val="right"/>
              <w:spacing w:after="0"/>
              <w:rPr>
                <w:sz w:val="20"/>
                <w:szCs w:val="20"/>
                <w:color w:val="auto"/>
              </w:rPr>
            </w:pPr>
            <w:r>
              <w:rPr>
                <w:rFonts w:ascii="Arial" w:cs="Arial" w:eastAsia="Arial" w:hAnsi="Arial"/>
                <w:sz w:val="14"/>
                <w:szCs w:val="14"/>
                <w:color w:val="auto"/>
              </w:rPr>
              <w:t>Corporation</w:t>
            </w:r>
          </w:p>
        </w:tc>
      </w:tr>
    </w:tbl>
    <w:p>
      <w:pPr>
        <w:spacing w:after="0" w:line="1" w:lineRule="exact"/>
        <w:rPr>
          <w:sz w:val="20"/>
          <w:szCs w:val="20"/>
          <w:color w:val="auto"/>
        </w:rPr>
      </w:pPr>
    </w:p>
    <w:p>
      <w:pPr>
        <w:sectPr>
          <w:pgSz w:w="11900" w:h="16838" w:orient="portrait"/>
          <w:cols w:equalWidth="0" w:num="2">
            <w:col w:w="3160" w:space="720"/>
            <w:col w:w="754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9"/>
        </w:trPr>
        <w:tc>
          <w:tcPr>
            <w:tcW w:w="406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62,570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848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62,570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62,570</w:t>
            </w:r>
          </w:p>
        </w:tc>
      </w:tr>
      <w:tr>
        <w:trPr>
          <w:trHeight w:val="199"/>
        </w:trPr>
        <w:tc>
          <w:tcPr>
            <w:tcW w:w="20" w:type="dxa"/>
            <w:vAlign w:val="bottom"/>
          </w:tcPr>
          <w:p>
            <w:pPr>
              <w:spacing w:after="0"/>
              <w:rPr>
                <w:sz w:val="17"/>
                <w:szCs w:val="17"/>
                <w:color w:val="auto"/>
              </w:rPr>
            </w:pPr>
          </w:p>
        </w:tc>
        <w:tc>
          <w:tcPr>
            <w:tcW w:w="40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19,929</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19,929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401</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827</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516</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899</w:t>
            </w:r>
          </w:p>
        </w:tc>
        <w:tc>
          <w:tcPr>
            <w:tcW w:w="2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17,381</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(2,191)</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17,833</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4,831</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4,831</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6,120</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6,150</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1,644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1,648</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435</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827</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516</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899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49,905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(2,191)</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50,391</w:t>
            </w:r>
          </w:p>
        </w:tc>
      </w:tr>
      <w:tr>
        <w:trPr>
          <w:trHeight w:val="177"/>
        </w:trPr>
        <w:tc>
          <w:tcPr>
            <w:tcW w:w="40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5"/>
                <w:szCs w:val="15"/>
                <w:color w:val="auto"/>
              </w:rPr>
            </w:pPr>
          </w:p>
        </w:tc>
        <w:tc>
          <w:tcPr>
            <w:tcW w:w="620" w:type="dxa"/>
            <w:vAlign w:val="bottom"/>
          </w:tcPr>
          <w:p>
            <w:pPr>
              <w:jc w:val="right"/>
              <w:ind w:right="32"/>
              <w:spacing w:after="0" w:line="177" w:lineRule="exact"/>
              <w:rPr>
                <w:sz w:val="20"/>
                <w:szCs w:val="20"/>
                <w:color w:val="auto"/>
              </w:rPr>
            </w:pPr>
            <w:r>
              <w:rPr>
                <w:rFonts w:ascii="Arial" w:cs="Arial" w:eastAsia="Arial" w:hAnsi="Arial"/>
                <w:sz w:val="18"/>
                <w:szCs w:val="18"/>
                <w:color w:val="auto"/>
              </w:rPr>
              <w:t>413</w:t>
            </w:r>
          </w:p>
        </w:tc>
        <w:tc>
          <w:tcPr>
            <w:tcW w:w="200" w:type="dxa"/>
            <w:vAlign w:val="bottom"/>
          </w:tcPr>
          <w:p>
            <w:pPr>
              <w:spacing w:after="0"/>
              <w:rPr>
                <w:sz w:val="15"/>
                <w:szCs w:val="15"/>
                <w:color w:val="auto"/>
              </w:rPr>
            </w:pPr>
          </w:p>
        </w:tc>
        <w:tc>
          <w:tcPr>
            <w:tcW w:w="620" w:type="dxa"/>
            <w:vAlign w:val="bottom"/>
          </w:tcPr>
          <w:p>
            <w:pPr>
              <w:jc w:val="right"/>
              <w:ind w:right="53"/>
              <w:spacing w:after="0" w:line="177"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(899)</w:t>
            </w:r>
          </w:p>
        </w:tc>
        <w:tc>
          <w:tcPr>
            <w:tcW w:w="220" w:type="dxa"/>
            <w:vAlign w:val="bottom"/>
          </w:tcPr>
          <w:p>
            <w:pPr>
              <w:spacing w:after="0"/>
              <w:rPr>
                <w:sz w:val="15"/>
                <w:szCs w:val="15"/>
                <w:color w:val="auto"/>
              </w:rPr>
            </w:pPr>
          </w:p>
        </w:tc>
        <w:tc>
          <w:tcPr>
            <w:tcW w:w="720" w:type="dxa"/>
            <w:vAlign w:val="bottom"/>
          </w:tcPr>
          <w:p>
            <w:pPr>
              <w:jc w:val="right"/>
              <w:ind w:right="32"/>
              <w:spacing w:after="0" w:line="177" w:lineRule="exact"/>
              <w:rPr>
                <w:sz w:val="20"/>
                <w:szCs w:val="20"/>
                <w:color w:val="auto"/>
              </w:rPr>
            </w:pPr>
            <w:r>
              <w:rPr>
                <w:rFonts w:ascii="Arial" w:cs="Arial" w:eastAsia="Arial" w:hAnsi="Arial"/>
                <w:sz w:val="18"/>
                <w:szCs w:val="18"/>
                <w:color w:val="auto"/>
              </w:rPr>
              <w:t>12,665</w:t>
            </w:r>
          </w:p>
        </w:tc>
        <w:tc>
          <w:tcPr>
            <w:tcW w:w="220" w:type="dxa"/>
            <w:vAlign w:val="bottom"/>
          </w:tcPr>
          <w:p>
            <w:pPr>
              <w:spacing w:after="0"/>
              <w:rPr>
                <w:sz w:val="15"/>
                <w:szCs w:val="15"/>
                <w:color w:val="auto"/>
              </w:rPr>
            </w:pPr>
          </w:p>
        </w:tc>
        <w:tc>
          <w:tcPr>
            <w:tcW w:w="78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2"/>
              <w:spacing w:after="0" w:line="177" w:lineRule="exact"/>
              <w:rPr>
                <w:sz w:val="20"/>
                <w:szCs w:val="20"/>
                <w:color w:val="auto"/>
              </w:rPr>
            </w:pPr>
            <w:r>
              <w:rPr>
                <w:rFonts w:ascii="Arial" w:cs="Arial" w:eastAsia="Arial" w:hAnsi="Arial"/>
                <w:sz w:val="18"/>
                <w:szCs w:val="18"/>
                <w:color w:val="auto"/>
              </w:rPr>
              <w:t>12,179</w:t>
            </w:r>
          </w:p>
        </w:tc>
      </w:tr>
      <w:tr>
        <w:trPr>
          <w:trHeight w:val="2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(1,430)</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(2,521)</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203</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6,858</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6,536</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6,665</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4,909</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4,402</w:t>
            </w:r>
          </w:p>
        </w:tc>
        <w:tc>
          <w:tcPr>
            <w:tcW w:w="2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4,014</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959</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785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773</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5,438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6,516</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6,336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4,774</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3,963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4,828</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(32,425)</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7"/>
                <w:szCs w:val="17"/>
                <w:color w:val="auto"/>
              </w:rPr>
            </w:pP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5,851</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6,516</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6,336</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4,774</w:t>
            </w:r>
          </w:p>
        </w:tc>
        <w:tc>
          <w:tcPr>
            <w:tcW w:w="3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3,064</w:t>
            </w:r>
          </w:p>
        </w:tc>
        <w:tc>
          <w:tcPr>
            <w:tcW w:w="2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17,493</w:t>
            </w:r>
          </w:p>
        </w:tc>
        <w:tc>
          <w:tcPr>
            <w:tcW w:w="2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11,609</w:t>
            </w:r>
          </w:p>
        </w:tc>
      </w:tr>
      <w:tr>
        <w:trPr>
          <w:trHeight w:val="199"/>
        </w:trPr>
        <w:tc>
          <w:tcPr>
            <w:tcW w:w="4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47</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(4,256)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(3,744)</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7"/>
                <w:szCs w:val="17"/>
                <w:color w:val="auto"/>
              </w:rPr>
            </w:pP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6,203</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6,523</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6,451</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4,821</w:t>
            </w:r>
          </w:p>
        </w:tc>
        <w:tc>
          <w:tcPr>
            <w:tcW w:w="3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3,055</w:t>
            </w:r>
          </w:p>
        </w:tc>
        <w:tc>
          <w:tcPr>
            <w:tcW w:w="2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13,237</w:t>
            </w:r>
          </w:p>
        </w:tc>
        <w:tc>
          <w:tcPr>
            <w:tcW w:w="2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(32,425)</w:t>
            </w:r>
          </w:p>
        </w:tc>
        <w:tc>
          <w:tcPr>
            <w:tcW w:w="260" w:type="dxa"/>
            <w:vAlign w:val="bottom"/>
          </w:tcPr>
          <w:p>
            <w:pPr>
              <w:spacing w:after="0"/>
              <w:rPr>
                <w:sz w:val="17"/>
                <w:szCs w:val="17"/>
                <w:color w:val="auto"/>
              </w:rPr>
            </w:pPr>
          </w:p>
        </w:tc>
        <w:tc>
          <w:tcPr>
            <w:tcW w:w="7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7,865</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interests and redeemable subsidiary preferred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stock</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(1,662)</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6,203</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6,523</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6,451</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4,821</w:t>
            </w:r>
          </w:p>
        </w:tc>
        <w:tc>
          <w:tcPr>
            <w:tcW w:w="32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3,055</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11,575</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(32,425)</w:t>
            </w:r>
          </w:p>
        </w:tc>
        <w:tc>
          <w:tcPr>
            <w:tcW w:w="2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6,203</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6,370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6,523</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6,460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4,821</w:t>
            </w:r>
          </w:p>
        </w:tc>
        <w:tc>
          <w:tcPr>
            <w:tcW w:w="32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3,068</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11,703</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(32,575)</w:t>
            </w:r>
          </w:p>
        </w:tc>
        <w:tc>
          <w:tcPr>
            <w:tcW w:w="2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6,370</w:t>
            </w:r>
          </w:p>
        </w:tc>
      </w:tr>
      <w:tr>
        <w:trPr>
          <w:trHeight w:val="506"/>
        </w:trPr>
        <w:tc>
          <w:tcPr>
            <w:tcW w:w="406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60"/>
        <w:spacing w:after="0" w:line="221" w:lineRule="auto"/>
        <w:rPr>
          <w:sz w:val="20"/>
          <w:szCs w:val="20"/>
          <w:color w:val="auto"/>
        </w:rPr>
      </w:pPr>
      <w:r>
        <w:rPr>
          <w:rFonts w:ascii="Arial" w:cs="Arial" w:eastAsia="Arial" w:hAnsi="Arial"/>
          <w:sz w:val="14"/>
          <w:szCs w:val="14"/>
          <w:color w:val="auto"/>
        </w:rPr>
        <w:t>For the Year Ended December 31, 2011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-895985</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Elimination</w:t>
            </w:r>
          </w:p>
        </w:tc>
        <w:tc>
          <w:tcPr>
            <w:tcW w:w="90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Combined</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and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Comcast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Comcast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CCCL</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CCHMO</w:t>
            </w:r>
          </w:p>
        </w:tc>
        <w:tc>
          <w:tcPr>
            <w:tcW w:w="10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Media</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Guarantor</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Consolidation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660" w:type="dxa"/>
            <w:vAlign w:val="bottom"/>
          </w:tcPr>
          <w:p>
            <w:pPr>
              <w:jc w:val="right"/>
              <w:ind w:right="52"/>
              <w:spacing w:after="0"/>
              <w:rPr>
                <w:sz w:val="20"/>
                <w:szCs w:val="20"/>
                <w:color w:val="auto"/>
              </w:rPr>
            </w:pPr>
            <w:r>
              <w:rPr>
                <w:rFonts w:ascii="Arial" w:cs="Arial" w:eastAsia="Arial" w:hAnsi="Arial"/>
                <w:sz w:val="14"/>
                <w:szCs w:val="14"/>
                <w:color w:val="auto"/>
              </w:rPr>
              <w:t>Parent</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Holdings</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Parent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Parents</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Parent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Subsidiaries</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Adjustments</w:t>
            </w:r>
          </w:p>
        </w:tc>
        <w:tc>
          <w:tcPr>
            <w:tcW w:w="900" w:type="dxa"/>
            <w:vAlign w:val="bottom"/>
          </w:tcPr>
          <w:p>
            <w:pPr>
              <w:jc w:val="right"/>
              <w:spacing w:after="0"/>
              <w:rPr>
                <w:sz w:val="20"/>
                <w:szCs w:val="20"/>
                <w:color w:val="auto"/>
              </w:rPr>
            </w:pPr>
            <w:r>
              <w:rPr>
                <w:rFonts w:ascii="Arial" w:cs="Arial" w:eastAsia="Arial" w:hAnsi="Arial"/>
                <w:sz w:val="14"/>
                <w:szCs w:val="14"/>
                <w:color w:val="auto"/>
              </w:rPr>
              <w:t>Corporation</w:t>
            </w:r>
          </w:p>
        </w:tc>
      </w:tr>
    </w:tbl>
    <w:p>
      <w:pPr>
        <w:spacing w:after="0" w:line="1" w:lineRule="exact"/>
        <w:rPr>
          <w:sz w:val="20"/>
          <w:szCs w:val="20"/>
          <w:color w:val="auto"/>
        </w:rPr>
      </w:pPr>
    </w:p>
    <w:p>
      <w:pPr>
        <w:sectPr>
          <w:pgSz w:w="11900" w:h="16838" w:orient="portrait"/>
          <w:cols w:equalWidth="0" w:num="2">
            <w:col w:w="3160" w:space="720"/>
            <w:col w:w="754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9"/>
        </w:trPr>
        <w:tc>
          <w:tcPr>
            <w:tcW w:w="4060" w:type="dxa"/>
            <w:vAlign w:val="bottom"/>
            <w:tcBorders>
              <w:top w:val="single" w:sz="8" w:color="auto"/>
            </w:tcBorders>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Service revenue</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55,842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55,842</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Management fee revenue</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784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784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55,842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55,842</w:t>
            </w:r>
          </w:p>
        </w:tc>
      </w:tr>
      <w:tr>
        <w:trPr>
          <w:trHeight w:val="199"/>
        </w:trPr>
        <w:tc>
          <w:tcPr>
            <w:tcW w:w="20" w:type="dxa"/>
            <w:vAlign w:val="bottom"/>
          </w:tcPr>
          <w:p>
            <w:pPr>
              <w:spacing w:after="0"/>
              <w:rPr>
                <w:sz w:val="17"/>
                <w:szCs w:val="17"/>
                <w:color w:val="auto"/>
              </w:rPr>
            </w:pPr>
          </w:p>
        </w:tc>
        <w:tc>
          <w:tcPr>
            <w:tcW w:w="4040" w:type="dxa"/>
            <w:vAlign w:val="bottom"/>
          </w:tcPr>
          <w:p>
            <w:pPr>
              <w:spacing w:after="0" w:line="200" w:lineRule="exact"/>
              <w:rPr>
                <w:sz w:val="20"/>
                <w:szCs w:val="20"/>
                <w:color w:val="auto"/>
              </w:rPr>
            </w:pPr>
            <w:r>
              <w:rPr>
                <w:rFonts w:ascii="Arial" w:cs="Arial" w:eastAsia="Arial" w:hAnsi="Arial"/>
                <w:sz w:val="18"/>
                <w:szCs w:val="18"/>
                <w:b w:val="1"/>
                <w:bCs w:val="1"/>
                <w:color w:val="auto"/>
              </w:rPr>
              <w:t>Costs and Expenses:</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Programming and production</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16,596</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16,596</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420</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784</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488</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678</w:t>
            </w:r>
          </w:p>
        </w:tc>
        <w:tc>
          <w:tcPr>
            <w:tcW w:w="22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16,343</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(2,072)</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16,646</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4,243</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4,243</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6,011</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6,040</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1,593</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1,596</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452</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784</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488</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678</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44,786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45,121</w:t>
            </w:r>
          </w:p>
        </w:tc>
      </w:tr>
      <w:tr>
        <w:trPr>
          <w:trHeight w:val="177"/>
        </w:trPr>
        <w:tc>
          <w:tcPr>
            <w:tcW w:w="4060" w:type="dxa"/>
            <w:vAlign w:val="bottom"/>
            <w:gridSpan w:val="2"/>
          </w:tcPr>
          <w:p>
            <w:pPr>
              <w:spacing w:after="0" w:line="177" w:lineRule="exact"/>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15"/>
                <w:szCs w:val="15"/>
                <w:color w:val="auto"/>
              </w:rPr>
            </w:pPr>
          </w:p>
        </w:tc>
        <w:tc>
          <w:tcPr>
            <w:tcW w:w="620" w:type="dxa"/>
            <w:vAlign w:val="bottom"/>
          </w:tcPr>
          <w:p>
            <w:pPr>
              <w:jc w:val="right"/>
              <w:ind w:right="32"/>
              <w:spacing w:after="0" w:line="177" w:lineRule="exact"/>
              <w:rPr>
                <w:sz w:val="20"/>
                <w:szCs w:val="20"/>
                <w:color w:val="auto"/>
              </w:rPr>
            </w:pPr>
            <w:r>
              <w:rPr>
                <w:rFonts w:ascii="Arial" w:cs="Arial" w:eastAsia="Arial" w:hAnsi="Arial"/>
                <w:sz w:val="18"/>
                <w:szCs w:val="18"/>
                <w:color w:val="auto"/>
              </w:rPr>
              <w:t>348</w:t>
            </w:r>
          </w:p>
        </w:tc>
        <w:tc>
          <w:tcPr>
            <w:tcW w:w="20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0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rPr>
              <w:t>(678)</w:t>
            </w:r>
          </w:p>
        </w:tc>
        <w:tc>
          <w:tcPr>
            <w:tcW w:w="220" w:type="dxa"/>
            <w:vAlign w:val="bottom"/>
          </w:tcPr>
          <w:p>
            <w:pPr>
              <w:spacing w:after="0"/>
              <w:rPr>
                <w:sz w:val="15"/>
                <w:szCs w:val="15"/>
                <w:color w:val="auto"/>
              </w:rPr>
            </w:pPr>
          </w:p>
        </w:tc>
        <w:tc>
          <w:tcPr>
            <w:tcW w:w="720" w:type="dxa"/>
            <w:vAlign w:val="bottom"/>
          </w:tcPr>
          <w:p>
            <w:pPr>
              <w:jc w:val="right"/>
              <w:ind w:right="33"/>
              <w:spacing w:after="0" w:line="177" w:lineRule="exact"/>
              <w:rPr>
                <w:sz w:val="20"/>
                <w:szCs w:val="20"/>
                <w:color w:val="auto"/>
              </w:rPr>
            </w:pPr>
            <w:r>
              <w:rPr>
                <w:rFonts w:ascii="Arial" w:cs="Arial" w:eastAsia="Arial" w:hAnsi="Arial"/>
                <w:sz w:val="18"/>
                <w:szCs w:val="18"/>
                <w:color w:val="auto"/>
              </w:rPr>
              <w:t>11,056</w:t>
            </w:r>
          </w:p>
        </w:tc>
        <w:tc>
          <w:tcPr>
            <w:tcW w:w="220" w:type="dxa"/>
            <w:vAlign w:val="bottom"/>
          </w:tcPr>
          <w:p>
            <w:pPr>
              <w:spacing w:after="0"/>
              <w:rPr>
                <w:sz w:val="15"/>
                <w:szCs w:val="15"/>
                <w:color w:val="auto"/>
              </w:rPr>
            </w:pPr>
          </w:p>
        </w:tc>
        <w:tc>
          <w:tcPr>
            <w:tcW w:w="780" w:type="dxa"/>
            <w:vAlign w:val="bottom"/>
          </w:tcPr>
          <w:p>
            <w:pPr>
              <w:jc w:val="right"/>
              <w:ind w:right="32"/>
              <w:spacing w:after="0" w:line="177"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720" w:type="dxa"/>
            <w:vAlign w:val="bottom"/>
          </w:tcPr>
          <w:p>
            <w:pPr>
              <w:jc w:val="right"/>
              <w:ind w:right="12"/>
              <w:spacing w:after="0" w:line="177" w:lineRule="exact"/>
              <w:rPr>
                <w:sz w:val="20"/>
                <w:szCs w:val="20"/>
                <w:color w:val="auto"/>
              </w:rPr>
            </w:pPr>
            <w:r>
              <w:rPr>
                <w:rFonts w:ascii="Arial" w:cs="Arial" w:eastAsia="Arial" w:hAnsi="Arial"/>
                <w:sz w:val="18"/>
                <w:szCs w:val="18"/>
                <w:color w:val="auto"/>
              </w:rPr>
              <w:t>10,721</w:t>
            </w:r>
          </w:p>
        </w:tc>
      </w:tr>
      <w:tr>
        <w:trPr>
          <w:trHeight w:val="225"/>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(1,439)</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(2,505)</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154</w:t>
            </w:r>
          </w:p>
        </w:tc>
        <w:tc>
          <w:tcPr>
            <w:tcW w:w="22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159</w:t>
            </w: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38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4,879</w:t>
            </w:r>
          </w:p>
        </w:tc>
        <w:tc>
          <w:tcPr>
            <w:tcW w:w="200" w:type="dxa"/>
            <w:vAlign w:val="bottom"/>
          </w:tcPr>
          <w:p>
            <w:pPr>
              <w:spacing w:after="0"/>
              <w:rPr>
                <w:sz w:val="17"/>
                <w:szCs w:val="17"/>
                <w:color w:val="auto"/>
              </w:rPr>
            </w:pPr>
          </w:p>
        </w:tc>
        <w:tc>
          <w:tcPr>
            <w:tcW w:w="6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5,734</w:t>
            </w:r>
          </w:p>
        </w:tc>
        <w:tc>
          <w:tcPr>
            <w:tcW w:w="18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5,598</w:t>
            </w:r>
          </w:p>
        </w:tc>
        <w:tc>
          <w:tcPr>
            <w:tcW w:w="20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3,361</w:t>
            </w:r>
          </w:p>
        </w:tc>
        <w:tc>
          <w:tcPr>
            <w:tcW w:w="32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2,793</w:t>
            </w:r>
          </w:p>
        </w:tc>
        <w:tc>
          <w:tcPr>
            <w:tcW w:w="22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1,648</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(24,048)</w:t>
            </w: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(59)</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3,424</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5,705</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5,260</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3,189</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2,364</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1,592</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(24,048)</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(2,514)</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7"/>
                <w:szCs w:val="17"/>
                <w:color w:val="auto"/>
              </w:rPr>
            </w:pP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3,772</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5,700</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5,260</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3,189</w:t>
            </w:r>
          </w:p>
        </w:tc>
        <w:tc>
          <w:tcPr>
            <w:tcW w:w="3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1,686</w:t>
            </w:r>
          </w:p>
        </w:tc>
        <w:tc>
          <w:tcPr>
            <w:tcW w:w="220" w:type="dxa"/>
            <w:vAlign w:val="bottom"/>
          </w:tcPr>
          <w:p>
            <w:pPr>
              <w:spacing w:after="0"/>
              <w:rPr>
                <w:sz w:val="17"/>
                <w:szCs w:val="17"/>
                <w:color w:val="auto"/>
              </w:rPr>
            </w:pPr>
          </w:p>
        </w:tc>
        <w:tc>
          <w:tcPr>
            <w:tcW w:w="7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12,648</w:t>
            </w:r>
          </w:p>
        </w:tc>
        <w:tc>
          <w:tcPr>
            <w:tcW w:w="2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(24,048)</w:t>
            </w:r>
          </w:p>
        </w:tc>
        <w:tc>
          <w:tcPr>
            <w:tcW w:w="260" w:type="dxa"/>
            <w:vAlign w:val="bottom"/>
          </w:tcPr>
          <w:p>
            <w:pPr>
              <w:spacing w:after="0"/>
              <w:rPr>
                <w:sz w:val="17"/>
                <w:szCs w:val="17"/>
                <w:color w:val="auto"/>
              </w:rPr>
            </w:pPr>
          </w:p>
        </w:tc>
        <w:tc>
          <w:tcPr>
            <w:tcW w:w="7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8,207</w:t>
            </w:r>
          </w:p>
        </w:tc>
      </w:tr>
      <w:tr>
        <w:trPr>
          <w:trHeight w:val="199"/>
        </w:trPr>
        <w:tc>
          <w:tcPr>
            <w:tcW w:w="4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388</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118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60</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(3,625)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(3,050)</w:t>
            </w:r>
          </w:p>
        </w:tc>
      </w:tr>
      <w:tr>
        <w:trPr>
          <w:trHeight w:val="199"/>
        </w:trPr>
        <w:tc>
          <w:tcPr>
            <w:tcW w:w="4060" w:type="dxa"/>
            <w:vAlign w:val="bottom"/>
            <w:gridSpan w:val="2"/>
          </w:tcPr>
          <w:p>
            <w:pPr>
              <w:spacing w:after="0" w:line="200" w:lineRule="exact"/>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7"/>
                <w:szCs w:val="17"/>
                <w:color w:val="auto"/>
              </w:rPr>
            </w:pPr>
          </w:p>
        </w:tc>
        <w:tc>
          <w:tcPr>
            <w:tcW w:w="6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4,160</w:t>
            </w:r>
          </w:p>
        </w:tc>
        <w:tc>
          <w:tcPr>
            <w:tcW w:w="200" w:type="dxa"/>
            <w:vAlign w:val="bottom"/>
          </w:tcPr>
          <w:p>
            <w:pPr>
              <w:spacing w:after="0"/>
              <w:rPr>
                <w:sz w:val="17"/>
                <w:szCs w:val="17"/>
                <w:color w:val="auto"/>
              </w:rPr>
            </w:pPr>
          </w:p>
        </w:tc>
        <w:tc>
          <w:tcPr>
            <w:tcW w:w="620" w:type="dxa"/>
            <w:vAlign w:val="bottom"/>
          </w:tcPr>
          <w:p>
            <w:pPr>
              <w:jc w:val="right"/>
              <w:ind w:right="53"/>
              <w:spacing w:after="0" w:line="200" w:lineRule="exact"/>
              <w:rPr>
                <w:sz w:val="20"/>
                <w:szCs w:val="20"/>
                <w:color w:val="auto"/>
              </w:rPr>
            </w:pPr>
            <w:r>
              <w:rPr>
                <w:rFonts w:ascii="Arial" w:cs="Arial" w:eastAsia="Arial" w:hAnsi="Arial"/>
                <w:sz w:val="18"/>
                <w:szCs w:val="18"/>
                <w:color w:val="auto"/>
              </w:rPr>
              <w:t>5,712</w:t>
            </w:r>
          </w:p>
        </w:tc>
        <w:tc>
          <w:tcPr>
            <w:tcW w:w="18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5,378</w:t>
            </w:r>
          </w:p>
        </w:tc>
        <w:tc>
          <w:tcPr>
            <w:tcW w:w="200" w:type="dxa"/>
            <w:vAlign w:val="bottom"/>
          </w:tcPr>
          <w:p>
            <w:pPr>
              <w:spacing w:after="0"/>
              <w:rPr>
                <w:sz w:val="17"/>
                <w:szCs w:val="17"/>
                <w:color w:val="auto"/>
              </w:rPr>
            </w:pPr>
          </w:p>
        </w:tc>
        <w:tc>
          <w:tcPr>
            <w:tcW w:w="6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3,249</w:t>
            </w:r>
          </w:p>
        </w:tc>
        <w:tc>
          <w:tcPr>
            <w:tcW w:w="320" w:type="dxa"/>
            <w:vAlign w:val="bottom"/>
          </w:tcPr>
          <w:p>
            <w:pPr>
              <w:spacing w:after="0"/>
              <w:rPr>
                <w:sz w:val="17"/>
                <w:szCs w:val="17"/>
                <w:color w:val="auto"/>
              </w:rPr>
            </w:pPr>
          </w:p>
        </w:tc>
        <w:tc>
          <w:tcPr>
            <w:tcW w:w="7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1,683</w:t>
            </w:r>
          </w:p>
        </w:tc>
        <w:tc>
          <w:tcPr>
            <w:tcW w:w="220" w:type="dxa"/>
            <w:vAlign w:val="bottom"/>
          </w:tcPr>
          <w:p>
            <w:pPr>
              <w:spacing w:after="0"/>
              <w:rPr>
                <w:sz w:val="17"/>
                <w:szCs w:val="17"/>
                <w:color w:val="auto"/>
              </w:rPr>
            </w:pPr>
          </w:p>
        </w:tc>
        <w:tc>
          <w:tcPr>
            <w:tcW w:w="7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9,023</w:t>
            </w:r>
          </w:p>
        </w:tc>
        <w:tc>
          <w:tcPr>
            <w:tcW w:w="2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(24,048)</w:t>
            </w:r>
          </w:p>
        </w:tc>
        <w:tc>
          <w:tcPr>
            <w:tcW w:w="260" w:type="dxa"/>
            <w:vAlign w:val="bottom"/>
          </w:tcPr>
          <w:p>
            <w:pPr>
              <w:spacing w:after="0"/>
              <w:rPr>
                <w:sz w:val="17"/>
                <w:szCs w:val="17"/>
                <w:color w:val="auto"/>
              </w:rPr>
            </w:pPr>
          </w:p>
        </w:tc>
        <w:tc>
          <w:tcPr>
            <w:tcW w:w="7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5,157</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 attributable to noncontrolling</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interests and redeemable subsidiary preferred</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0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stock</w:t>
            </w: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(997)</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Net income (loss) attributable to Comcast</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4,160</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5,712</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5,378</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3,249</w:t>
            </w:r>
          </w:p>
        </w:tc>
        <w:tc>
          <w:tcPr>
            <w:tcW w:w="32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1,683</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8,026</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(24,048)</w:t>
            </w:r>
          </w:p>
        </w:tc>
        <w:tc>
          <w:tcPr>
            <w:tcW w:w="2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4,160</w:t>
            </w:r>
          </w:p>
        </w:tc>
      </w:tr>
      <w:tr>
        <w:trPr>
          <w:trHeight w:val="177"/>
        </w:trPr>
        <w:tc>
          <w:tcPr>
            <w:tcW w:w="20" w:type="dxa"/>
            <w:vAlign w:val="bottom"/>
          </w:tcPr>
          <w:p>
            <w:pPr>
              <w:spacing w:after="0"/>
              <w:rPr>
                <w:sz w:val="15"/>
                <w:szCs w:val="15"/>
                <w:color w:val="auto"/>
              </w:rPr>
            </w:pPr>
          </w:p>
        </w:tc>
        <w:tc>
          <w:tcPr>
            <w:tcW w:w="4040" w:type="dxa"/>
            <w:vAlign w:val="bottom"/>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4040" w:type="dxa"/>
            <w:vAlign w:val="bottom"/>
            <w:tcBorders>
              <w:bottom w:val="single" w:sz="8" w:color="0C6DFF"/>
            </w:tcBorders>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4,107</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3"/>
              <w:spacing w:after="0"/>
              <w:rPr>
                <w:sz w:val="20"/>
                <w:szCs w:val="20"/>
                <w:color w:val="auto"/>
              </w:rPr>
            </w:pPr>
            <w:r>
              <w:rPr>
                <w:rFonts w:ascii="Arial" w:cs="Arial" w:eastAsia="Arial" w:hAnsi="Arial"/>
                <w:sz w:val="18"/>
                <w:szCs w:val="18"/>
                <w:b w:val="1"/>
                <w:bCs w:val="1"/>
                <w:color w:val="auto"/>
              </w:rPr>
              <w:t>5,712</w:t>
            </w:r>
          </w:p>
        </w:tc>
        <w:tc>
          <w:tcPr>
            <w:tcW w:w="1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5,387</w:t>
            </w:r>
          </w:p>
        </w:tc>
        <w:tc>
          <w:tcPr>
            <w:tcW w:w="20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3,249</w:t>
            </w:r>
          </w:p>
        </w:tc>
        <w:tc>
          <w:tcPr>
            <w:tcW w:w="320" w:type="dxa"/>
            <w:vAlign w:val="bottom"/>
            <w:tcBorders>
              <w:bottom w:val="single" w:sz="8" w:color="0C6DFF"/>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2"/>
              <w:spacing w:after="0"/>
              <w:rPr>
                <w:sz w:val="20"/>
                <w:szCs w:val="20"/>
                <w:color w:val="auto"/>
              </w:rPr>
            </w:pPr>
            <w:r>
              <w:rPr>
                <w:rFonts w:ascii="Arial" w:cs="Arial" w:eastAsia="Arial" w:hAnsi="Arial"/>
                <w:sz w:val="18"/>
                <w:szCs w:val="18"/>
                <w:b w:val="1"/>
                <w:bCs w:val="1"/>
                <w:color w:val="auto"/>
              </w:rPr>
              <w:t>1,605</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33"/>
              <w:spacing w:after="0"/>
              <w:rPr>
                <w:sz w:val="20"/>
                <w:szCs w:val="20"/>
                <w:color w:val="auto"/>
              </w:rPr>
            </w:pPr>
            <w:r>
              <w:rPr>
                <w:rFonts w:ascii="Arial" w:cs="Arial" w:eastAsia="Arial" w:hAnsi="Arial"/>
                <w:sz w:val="18"/>
                <w:szCs w:val="18"/>
                <w:b w:val="1"/>
                <w:bCs w:val="1"/>
                <w:color w:val="auto"/>
              </w:rPr>
              <w:t>8,064</w:t>
            </w:r>
          </w:p>
        </w:tc>
        <w:tc>
          <w:tcPr>
            <w:tcW w:w="22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(24,017)</w:t>
            </w:r>
          </w:p>
        </w:tc>
        <w:tc>
          <w:tcPr>
            <w:tcW w:w="260" w:type="dxa"/>
            <w:vAlign w:val="bottom"/>
            <w:tcBorders>
              <w:bottom w:val="single" w:sz="8" w:color="0C6DFF"/>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12"/>
              <w:spacing w:after="0"/>
              <w:rPr>
                <w:sz w:val="20"/>
                <w:szCs w:val="20"/>
                <w:color w:val="auto"/>
              </w:rPr>
            </w:pPr>
            <w:r>
              <w:rPr>
                <w:rFonts w:ascii="Arial" w:cs="Arial" w:eastAsia="Arial" w:hAnsi="Arial"/>
                <w:sz w:val="18"/>
                <w:szCs w:val="18"/>
                <w:b w:val="1"/>
                <w:bCs w:val="1"/>
                <w:color w:val="auto"/>
              </w:rPr>
              <w:t>4,107</w:t>
            </w:r>
          </w:p>
        </w:tc>
      </w:tr>
      <w:tr>
        <w:trPr>
          <w:trHeight w:val="50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5"/>
          </w:tcPr>
          <w:p>
            <w:pPr>
              <w:jc w:val="right"/>
              <w:spacing w:after="0"/>
              <w:rPr>
                <w:sz w:val="20"/>
                <w:szCs w:val="20"/>
                <w:color w:val="auto"/>
              </w:rPr>
            </w:pPr>
            <w:r>
              <w:rPr>
                <w:rFonts w:ascii="Arial" w:cs="Arial" w:eastAsia="Arial" w:hAnsi="Arial"/>
                <w:sz w:val="14"/>
                <w:szCs w:val="14"/>
                <w:color w:val="auto"/>
                <w:w w:val="98"/>
              </w:rPr>
              <w:t>Comcast 2013 Annual Report on Form 10-K</w:t>
            </w:r>
          </w:p>
        </w:tc>
      </w:tr>
    </w:tbl>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80"/>
        <w:spacing w:after="0" w:line="221" w:lineRule="auto"/>
        <w:rPr>
          <w:sz w:val="20"/>
          <w:szCs w:val="20"/>
          <w:color w:val="auto"/>
        </w:rPr>
      </w:pPr>
      <w:r>
        <w:rPr>
          <w:rFonts w:ascii="Arial" w:cs="Arial" w:eastAsia="Arial" w:hAnsi="Arial"/>
          <w:sz w:val="14"/>
          <w:szCs w:val="14"/>
          <w:color w:val="auto"/>
        </w:rPr>
        <w:t>For the Year Ended December 31, 2013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-895985</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Elimination</w:t>
            </w:r>
          </w:p>
        </w:tc>
        <w:tc>
          <w:tcPr>
            <w:tcW w:w="960" w:type="dxa"/>
            <w:vAlign w:val="bottom"/>
          </w:tcPr>
          <w:p>
            <w:pPr>
              <w:spacing w:after="0"/>
              <w:rPr>
                <w:sz w:val="14"/>
                <w:szCs w:val="14"/>
                <w:color w:val="auto"/>
              </w:rPr>
            </w:pPr>
          </w:p>
        </w:tc>
      </w:tr>
      <w:tr>
        <w:trPr>
          <w:trHeight w:val="152"/>
        </w:trPr>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Combined</w:t>
            </w:r>
          </w:p>
        </w:tc>
        <w:tc>
          <w:tcPr>
            <w:tcW w:w="108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NBCUniversal</w:t>
            </w:r>
          </w:p>
        </w:tc>
        <w:tc>
          <w:tcPr>
            <w:tcW w:w="980" w:type="dxa"/>
            <w:vAlign w:val="bottom"/>
          </w:tcPr>
          <w:p>
            <w:pPr>
              <w:jc w:val="right"/>
              <w:ind w:right="12"/>
              <w:spacing w:after="0" w:line="152" w:lineRule="exact"/>
              <w:rPr>
                <w:sz w:val="20"/>
                <w:szCs w:val="20"/>
                <w:color w:val="auto"/>
              </w:rPr>
            </w:pPr>
            <w:r>
              <w:rPr>
                <w:rFonts w:ascii="Arial" w:cs="Arial" w:eastAsia="Arial" w:hAnsi="Arial"/>
                <w:sz w:val="14"/>
                <w:szCs w:val="14"/>
                <w:b w:val="1"/>
                <w:bCs w:val="1"/>
                <w:color w:val="auto"/>
              </w:rPr>
              <w:t>Non-</w:t>
            </w:r>
          </w:p>
        </w:tc>
        <w:tc>
          <w:tcPr>
            <w:tcW w:w="1080" w:type="dxa"/>
            <w:vAlign w:val="bottom"/>
          </w:tcPr>
          <w:p>
            <w:pPr>
              <w:jc w:val="right"/>
              <w:ind w:right="12"/>
              <w:spacing w:after="0" w:line="152" w:lineRule="exact"/>
              <w:rPr>
                <w:sz w:val="20"/>
                <w:szCs w:val="20"/>
                <w:color w:val="auto"/>
              </w:rPr>
            </w:pPr>
            <w:r>
              <w:rPr>
                <w:rFonts w:ascii="Arial" w:cs="Arial" w:eastAsia="Arial" w:hAnsi="Arial"/>
                <w:sz w:val="14"/>
                <w:szCs w:val="14"/>
                <w:b w:val="1"/>
                <w:bCs w:val="1"/>
                <w:color w:val="auto"/>
              </w:rPr>
              <w:t>and</w:t>
            </w:r>
          </w:p>
        </w:tc>
        <w:tc>
          <w:tcPr>
            <w:tcW w:w="96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Comcast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Comcast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CCCL</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CCHMO</w:t>
            </w:r>
          </w:p>
        </w:tc>
        <w:tc>
          <w:tcPr>
            <w:tcW w:w="10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Media</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Consolidation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76"/>
        </w:trPr>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Parent</w:t>
            </w: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rPr>
              <w:t>Holdings</w:t>
            </w: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Parent</w:t>
            </w: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rPr>
              <w:t>Parents</w:t>
            </w:r>
          </w:p>
        </w:tc>
        <w:tc>
          <w:tcPr>
            <w:tcW w:w="1080" w:type="dxa"/>
            <w:vAlign w:val="bottom"/>
          </w:tcPr>
          <w:p>
            <w:pPr>
              <w:jc w:val="right"/>
              <w:ind w:right="32"/>
              <w:spacing w:after="0"/>
              <w:rPr>
                <w:sz w:val="20"/>
                <w:szCs w:val="20"/>
                <w:color w:val="auto"/>
              </w:rPr>
            </w:pPr>
            <w:r>
              <w:rPr>
                <w:rFonts w:ascii="Arial" w:cs="Arial" w:eastAsia="Arial" w:hAnsi="Arial"/>
                <w:sz w:val="14"/>
                <w:szCs w:val="14"/>
                <w:b w:val="1"/>
                <w:bCs w:val="1"/>
                <w:color w:val="auto"/>
              </w:rPr>
              <w:t>Parent</w:t>
            </w:r>
          </w:p>
        </w:tc>
        <w:tc>
          <w:tcPr>
            <w:tcW w:w="980" w:type="dxa"/>
            <w:vAlign w:val="bottom"/>
          </w:tcPr>
          <w:p>
            <w:pPr>
              <w:jc w:val="right"/>
              <w:ind w:right="12"/>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r>
    </w:tbl>
    <w:p>
      <w:pPr>
        <w:spacing w:after="0" w:line="1" w:lineRule="exact"/>
        <w:rPr>
          <w:sz w:val="20"/>
          <w:szCs w:val="20"/>
          <w:color w:val="auto"/>
        </w:rPr>
      </w:pPr>
    </w:p>
    <w:p>
      <w:pPr>
        <w:sectPr>
          <w:pgSz w:w="11900" w:h="16838" w:orient="portrait"/>
          <w:cols w:equalWidth="0" w:num="2">
            <w:col w:w="2980" w:space="720"/>
            <w:col w:w="77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940" w:type="dxa"/>
            <w:vAlign w:val="bottom"/>
            <w:tcBorders>
              <w:top w:val="single" w:sz="8" w:color="auto"/>
            </w:tcBorders>
          </w:tcPr>
          <w:p>
            <w:pPr>
              <w:ind w:left="200"/>
              <w:spacing w:after="0" w:line="200" w:lineRule="exact"/>
              <w:rPr>
                <w:sz w:val="20"/>
                <w:szCs w:val="20"/>
                <w:color w:val="auto"/>
              </w:rPr>
            </w:pPr>
            <w:r>
              <w:rPr>
                <w:rFonts w:ascii="Arial" w:cs="Arial" w:eastAsia="Arial" w:hAnsi="Arial"/>
                <w:sz w:val="18"/>
                <w:szCs w:val="18"/>
                <w:color w:val="auto"/>
              </w:rPr>
              <w:t>Net cash provided by (used in) operating</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(600)</w:t>
            </w:r>
          </w:p>
        </w:tc>
        <w:tc>
          <w:tcPr>
            <w:tcW w:w="30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ind w:left="60"/>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(151)</w:t>
            </w:r>
          </w:p>
        </w:tc>
        <w:tc>
          <w:tcPr>
            <w:tcW w:w="2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(94)</w:t>
            </w:r>
          </w:p>
        </w:tc>
        <w:tc>
          <w:tcPr>
            <w:tcW w:w="320" w:type="dxa"/>
            <w:vAlign w:val="bottom"/>
            <w:tcBorders>
              <w:bottom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(1,102)</w:t>
            </w:r>
          </w:p>
        </w:tc>
        <w:tc>
          <w:tcPr>
            <w:tcW w:w="2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16,110</w:t>
            </w:r>
          </w:p>
        </w:tc>
        <w:tc>
          <w:tcPr>
            <w:tcW w:w="48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  $</w:t>
            </w:r>
          </w:p>
        </w:tc>
        <w:tc>
          <w:tcPr>
            <w:tcW w:w="7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14,160</w:t>
            </w:r>
          </w:p>
        </w:tc>
      </w:tr>
      <w:tr>
        <w:trPr>
          <w:trHeight w:val="199"/>
        </w:trPr>
        <w:tc>
          <w:tcPr>
            <w:tcW w:w="20" w:type="dxa"/>
            <w:vAlign w:val="bottom"/>
          </w:tcPr>
          <w:p>
            <w:pPr>
              <w:spacing w:after="0"/>
              <w:rPr>
                <w:sz w:val="17"/>
                <w:szCs w:val="17"/>
                <w:color w:val="auto"/>
              </w:rPr>
            </w:pPr>
          </w:p>
        </w:tc>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2,248</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332</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(2,179)</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(6,589)</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(6,596)</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(1,005)</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(1,009)</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real estate properties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(1,904)</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1,081</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128</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(1,209)</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105</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85</w:t>
            </w:r>
          </w:p>
        </w:tc>
      </w:tr>
      <w:tr>
        <w:trPr>
          <w:trHeight w:val="199"/>
        </w:trPr>
        <w:tc>
          <w:tcPr>
            <w:tcW w:w="20" w:type="dxa"/>
            <w:vAlign w:val="bottom"/>
          </w:tcPr>
          <w:p>
            <w:pPr>
              <w:spacing w:after="0"/>
              <w:rPr>
                <w:sz w:val="17"/>
                <w:szCs w:val="17"/>
                <w:color w:val="auto"/>
              </w:rPr>
            </w:pPr>
          </w:p>
        </w:tc>
        <w:tc>
          <w:tcPr>
            <w:tcW w:w="394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investing</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44</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2,248</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332</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(11,778)</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(9,514)</w:t>
            </w:r>
          </w:p>
        </w:tc>
      </w:tr>
      <w:tr>
        <w:trPr>
          <w:trHeight w:val="199"/>
        </w:trPr>
        <w:tc>
          <w:tcPr>
            <w:tcW w:w="20" w:type="dxa"/>
            <w:vAlign w:val="bottom"/>
          </w:tcPr>
          <w:p>
            <w:pPr>
              <w:spacing w:after="0"/>
              <w:rPr>
                <w:sz w:val="17"/>
                <w:szCs w:val="17"/>
                <w:color w:val="auto"/>
              </w:rPr>
            </w:pPr>
          </w:p>
        </w:tc>
        <w:tc>
          <w:tcPr>
            <w:tcW w:w="394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420"/>
              <w:spacing w:after="0" w:line="202" w:lineRule="exact"/>
              <w:rPr>
                <w:sz w:val="20"/>
                <w:szCs w:val="20"/>
                <w:color w:val="auto"/>
              </w:rPr>
            </w:pPr>
            <w:r>
              <w:rPr>
                <w:rFonts w:ascii="Arial" w:cs="Arial" w:eastAsia="Arial" w:hAnsi="Arial"/>
                <w:sz w:val="18"/>
                <w:szCs w:val="18"/>
                <w:color w:val="auto"/>
              </w:rPr>
              <w:t>borrowings, net</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1,349</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1,345</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2,933</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2,933</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(2,097)</w:t>
            </w:r>
          </w:p>
        </w:tc>
        <w:tc>
          <w:tcPr>
            <w:tcW w:w="2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(238)</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(2,444)</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w w:val="98"/>
              </w:rPr>
              <w:t>Repurchases and retirements of common stock</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Purchase of NBCUniversal noncontrolling</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420"/>
              <w:spacing w:after="0" w:line="202" w:lineRule="exact"/>
              <w:rPr>
                <w:sz w:val="20"/>
                <w:szCs w:val="20"/>
                <w:color w:val="auto"/>
              </w:rPr>
            </w:pPr>
            <w:r>
              <w:rPr>
                <w:rFonts w:ascii="Arial" w:cs="Arial" w:eastAsia="Arial" w:hAnsi="Arial"/>
                <w:sz w:val="18"/>
                <w:szCs w:val="18"/>
                <w:color w:val="auto"/>
              </w:rPr>
              <w:t>common equity interest</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(3,200)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(7,561)</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(10,761)</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420"/>
              <w:spacing w:after="0" w:line="202" w:lineRule="exact"/>
              <w:rPr>
                <w:sz w:val="20"/>
                <w:szCs w:val="20"/>
                <w:color w:val="auto"/>
              </w:rPr>
            </w:pPr>
            <w:r>
              <w:rPr>
                <w:rFonts w:ascii="Arial" w:cs="Arial" w:eastAsia="Arial" w:hAnsi="Arial"/>
                <w:sz w:val="18"/>
                <w:szCs w:val="18"/>
                <w:color w:val="auto"/>
              </w:rPr>
              <w:t>dividends for redeemable subsidiary</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20" w:type="dxa"/>
            <w:vAlign w:val="bottom"/>
          </w:tcPr>
          <w:p>
            <w:pPr>
              <w:spacing w:after="0"/>
              <w:rPr>
                <w:sz w:val="17"/>
                <w:szCs w:val="17"/>
                <w:color w:val="auto"/>
              </w:rPr>
            </w:pPr>
          </w:p>
        </w:tc>
        <w:tc>
          <w:tcPr>
            <w:tcW w:w="394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480" w:type="dxa"/>
            <w:vAlign w:val="bottom"/>
          </w:tcPr>
          <w:p>
            <w:pPr>
              <w:spacing w:after="0"/>
              <w:rPr>
                <w:sz w:val="17"/>
                <w:szCs w:val="17"/>
                <w:color w:val="auto"/>
              </w:rPr>
            </w:pPr>
          </w:p>
        </w:tc>
        <w:tc>
          <w:tcPr>
            <w:tcW w:w="86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(40)</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(369)</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(211)</w:t>
            </w:r>
          </w:p>
        </w:tc>
      </w:tr>
      <w:tr>
        <w:trPr>
          <w:trHeight w:val="199"/>
        </w:trPr>
        <w:tc>
          <w:tcPr>
            <w:tcW w:w="20" w:type="dxa"/>
            <w:vAlign w:val="bottom"/>
          </w:tcPr>
          <w:p>
            <w:pPr>
              <w:spacing w:after="0"/>
              <w:rPr>
                <w:sz w:val="17"/>
                <w:szCs w:val="17"/>
                <w:color w:val="auto"/>
              </w:rPr>
            </w:pPr>
          </w:p>
        </w:tc>
        <w:tc>
          <w:tcPr>
            <w:tcW w:w="3940" w:type="dxa"/>
            <w:vAlign w:val="bottom"/>
          </w:tcPr>
          <w:p>
            <w:pPr>
              <w:ind w:left="200"/>
              <w:spacing w:after="0" w:line="200" w:lineRule="exact"/>
              <w:rPr>
                <w:sz w:val="20"/>
                <w:szCs w:val="20"/>
                <w:color w:val="auto"/>
              </w:rPr>
            </w:pPr>
            <w:r>
              <w:rPr>
                <w:rFonts w:ascii="Arial" w:cs="Arial" w:eastAsia="Arial" w:hAnsi="Arial"/>
                <w:sz w:val="18"/>
                <w:szCs w:val="18"/>
                <w:color w:val="auto"/>
              </w:rPr>
              <w:t>Net cash provided by (used in) financing</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40" w:type="dxa"/>
            <w:vAlign w:val="bottom"/>
            <w:tcBorders>
              <w:bottom w:val="single" w:sz="8" w:color="auto"/>
            </w:tcBorders>
          </w:tcPr>
          <w:p>
            <w:pPr>
              <w:ind w:left="420"/>
              <w:spacing w:after="0" w:line="200" w:lineRule="exact"/>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556</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8"/>
              </w:rPr>
              <w:t>(2,097)</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(238)</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(3,328)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(8,772)</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(13,879)</w:t>
            </w:r>
          </w:p>
        </w:tc>
      </w:tr>
      <w:tr>
        <w:trPr>
          <w:trHeight w:val="199"/>
        </w:trPr>
        <w:tc>
          <w:tcPr>
            <w:tcW w:w="3960" w:type="dxa"/>
            <w:vAlign w:val="bottom"/>
            <w:gridSpan w:val="2"/>
          </w:tcPr>
          <w:p>
            <w:pPr>
              <w:spacing w:after="0" w:line="200" w:lineRule="exact"/>
              <w:rPr>
                <w:sz w:val="20"/>
                <w:szCs w:val="20"/>
                <w:color w:val="auto"/>
              </w:rPr>
            </w:pPr>
            <w:r>
              <w:rPr>
                <w:rFonts w:ascii="Arial" w:cs="Arial" w:eastAsia="Arial" w:hAnsi="Arial"/>
                <w:sz w:val="18"/>
                <w:szCs w:val="18"/>
                <w:color w:val="auto"/>
                <w:w w:val="99"/>
              </w:rPr>
              <w:t>Increase (decrease) in cash and cash equivalents</w:t>
            </w:r>
          </w:p>
        </w:tc>
        <w:tc>
          <w:tcPr>
            <w:tcW w:w="200" w:type="dxa"/>
            <w:vAlign w:val="bottom"/>
          </w:tcPr>
          <w:p>
            <w:pPr>
              <w:spacing w:after="0"/>
              <w:rPr>
                <w:sz w:val="17"/>
                <w:szCs w:val="17"/>
                <w:color w:val="auto"/>
              </w:rPr>
            </w:pPr>
          </w:p>
        </w:tc>
        <w:tc>
          <w:tcPr>
            <w:tcW w:w="6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(4,793)</w:t>
            </w:r>
          </w:p>
        </w:tc>
        <w:tc>
          <w:tcPr>
            <w:tcW w:w="22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(4,440)</w:t>
            </w:r>
          </w:p>
        </w:tc>
        <w:tc>
          <w:tcPr>
            <w:tcW w:w="480" w:type="dxa"/>
            <w:vAlign w:val="bottom"/>
          </w:tcPr>
          <w:p>
            <w:pPr>
              <w:spacing w:after="0"/>
              <w:rPr>
                <w:sz w:val="17"/>
                <w:szCs w:val="17"/>
                <w:color w:val="auto"/>
              </w:rPr>
            </w:pPr>
          </w:p>
        </w:tc>
        <w:tc>
          <w:tcPr>
            <w:tcW w:w="860" w:type="dxa"/>
            <w:vAlign w:val="bottom"/>
          </w:tcPr>
          <w:p>
            <w:pPr>
              <w:ind w:left="32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(9,233)</w:t>
            </w:r>
          </w:p>
        </w:tc>
      </w:tr>
      <w:tr>
        <w:trPr>
          <w:trHeight w:val="199"/>
        </w:trPr>
        <w:tc>
          <w:tcPr>
            <w:tcW w:w="39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5,129</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5,822</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320"/>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10,951</w:t>
            </w:r>
          </w:p>
        </w:tc>
      </w:tr>
      <w:tr>
        <w:trPr>
          <w:trHeight w:val="196"/>
        </w:trPr>
        <w:tc>
          <w:tcPr>
            <w:tcW w:w="396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0C6DFF"/>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0C6DFF"/>
            </w:tcBorders>
          </w:tcPr>
          <w:p>
            <w:pPr>
              <w:spacing w:after="0"/>
              <w:rPr>
                <w:sz w:val="17"/>
                <w:szCs w:val="17"/>
                <w:color w:val="auto"/>
              </w:rPr>
            </w:pPr>
          </w:p>
        </w:tc>
        <w:tc>
          <w:tcPr>
            <w:tcW w:w="7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336</w:t>
            </w:r>
          </w:p>
        </w:tc>
        <w:tc>
          <w:tcPr>
            <w:tcW w:w="220" w:type="dxa"/>
            <w:vAlign w:val="bottom"/>
            <w:tcBorders>
              <w:bottom w:val="single" w:sz="8" w:color="0C6DFF"/>
            </w:tcBorders>
          </w:tcPr>
          <w:p>
            <w:pPr>
              <w:spacing w:after="0"/>
              <w:rPr>
                <w:sz w:val="17"/>
                <w:szCs w:val="17"/>
                <w:color w:val="auto"/>
              </w:rPr>
            </w:pPr>
          </w:p>
        </w:tc>
        <w:tc>
          <w:tcPr>
            <w:tcW w:w="7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1,382</w:t>
            </w:r>
          </w:p>
        </w:tc>
        <w:tc>
          <w:tcPr>
            <w:tcW w:w="480" w:type="dxa"/>
            <w:vAlign w:val="bottom"/>
            <w:tcBorders>
              <w:bottom w:val="single" w:sz="8" w:color="0C6DFF"/>
            </w:tcBorders>
          </w:tcPr>
          <w:p>
            <w:pPr>
              <w:jc w:val="right"/>
              <w:ind w:right="232"/>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0C6DFF"/>
            </w:tcBorders>
          </w:tcPr>
          <w:p>
            <w:pPr>
              <w:ind w:left="320"/>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1,718</w:t>
            </w:r>
          </w:p>
        </w:tc>
      </w:tr>
      <w:tr>
        <w:trPr>
          <w:trHeight w:val="506"/>
        </w:trPr>
        <w:tc>
          <w:tcPr>
            <w:tcW w:w="396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126</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80"/>
        <w:spacing w:after="0" w:line="221" w:lineRule="auto"/>
        <w:rPr>
          <w:sz w:val="20"/>
          <w:szCs w:val="20"/>
          <w:color w:val="auto"/>
        </w:rPr>
      </w:pPr>
      <w:r>
        <w:rPr>
          <w:rFonts w:ascii="Arial" w:cs="Arial" w:eastAsia="Arial" w:hAnsi="Arial"/>
          <w:sz w:val="14"/>
          <w:szCs w:val="14"/>
          <w:color w:val="auto"/>
        </w:rPr>
        <w:t>For the Year Ended December 31, 2012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-895985</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Elimination</w:t>
            </w:r>
          </w:p>
        </w:tc>
        <w:tc>
          <w:tcPr>
            <w:tcW w:w="900" w:type="dxa"/>
            <w:vAlign w:val="bottom"/>
          </w:tcPr>
          <w:p>
            <w:pPr>
              <w:spacing w:after="0"/>
              <w:rPr>
                <w:sz w:val="14"/>
                <w:szCs w:val="14"/>
                <w:color w:val="auto"/>
              </w:rPr>
            </w:pPr>
          </w:p>
        </w:tc>
      </w:tr>
      <w:tr>
        <w:trPr>
          <w:trHeight w:val="149"/>
        </w:trPr>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Combined</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and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Comcast</w:t>
            </w:r>
          </w:p>
        </w:tc>
        <w:tc>
          <w:tcPr>
            <w:tcW w:w="7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Comcast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CCCL</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CCHMO</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Media</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Guarantor</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Consolidation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620" w:type="dxa"/>
            <w:vAlign w:val="bottom"/>
          </w:tcPr>
          <w:p>
            <w:pPr>
              <w:jc w:val="right"/>
              <w:ind w:right="32"/>
              <w:spacing w:after="0"/>
              <w:rPr>
                <w:sz w:val="20"/>
                <w:szCs w:val="20"/>
                <w:color w:val="auto"/>
              </w:rPr>
            </w:pPr>
            <w:r>
              <w:rPr>
                <w:rFonts w:ascii="Arial" w:cs="Arial" w:eastAsia="Arial" w:hAnsi="Arial"/>
                <w:sz w:val="14"/>
                <w:szCs w:val="14"/>
                <w:color w:val="auto"/>
              </w:rPr>
              <w:t>Parent</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Holdings</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Parent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Parents</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Parent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Subsidiaries</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Adjustments</w:t>
            </w:r>
          </w:p>
        </w:tc>
        <w:tc>
          <w:tcPr>
            <w:tcW w:w="900" w:type="dxa"/>
            <w:vAlign w:val="bottom"/>
          </w:tcPr>
          <w:p>
            <w:pPr>
              <w:jc w:val="right"/>
              <w:spacing w:after="0"/>
              <w:rPr>
                <w:sz w:val="20"/>
                <w:szCs w:val="20"/>
                <w:color w:val="auto"/>
              </w:rPr>
            </w:pPr>
            <w:r>
              <w:rPr>
                <w:rFonts w:ascii="Arial" w:cs="Arial" w:eastAsia="Arial" w:hAnsi="Arial"/>
                <w:sz w:val="14"/>
                <w:szCs w:val="14"/>
                <w:color w:val="auto"/>
              </w:rPr>
              <w:t>Corporation</w:t>
            </w:r>
          </w:p>
        </w:tc>
      </w:tr>
    </w:tbl>
    <w:p>
      <w:pPr>
        <w:spacing w:after="0" w:line="1" w:lineRule="exact"/>
        <w:rPr>
          <w:sz w:val="20"/>
          <w:szCs w:val="20"/>
          <w:color w:val="auto"/>
        </w:rPr>
      </w:pPr>
    </w:p>
    <w:p>
      <w:pPr>
        <w:sectPr>
          <w:pgSz w:w="11900" w:h="16838" w:orient="portrait"/>
          <w:cols w:equalWidth="0" w:num="2">
            <w:col w:w="2980" w:space="720"/>
            <w:col w:w="77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2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(177)</w:t>
            </w:r>
          </w:p>
        </w:tc>
        <w:tc>
          <w:tcPr>
            <w:tcW w:w="26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w:t>
            </w:r>
          </w:p>
        </w:tc>
        <w:tc>
          <w:tcPr>
            <w:tcW w:w="28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(1,347)</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16,861</w:t>
            </w:r>
          </w:p>
        </w:tc>
        <w:tc>
          <w:tcPr>
            <w:tcW w:w="440" w:type="dxa"/>
            <w:vAlign w:val="bottom"/>
            <w:tcBorders>
              <w:top w:val="single" w:sz="8" w:color="auto"/>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14,854</w:t>
            </w:r>
          </w:p>
        </w:tc>
      </w:tr>
      <w:tr>
        <w:trPr>
          <w:trHeight w:val="199"/>
        </w:trPr>
        <w:tc>
          <w:tcPr>
            <w:tcW w:w="20" w:type="dxa"/>
            <w:vAlign w:val="bottom"/>
          </w:tcPr>
          <w:p>
            <w:pPr>
              <w:spacing w:after="0"/>
              <w:rPr>
                <w:sz w:val="17"/>
                <w:szCs w:val="17"/>
                <w:color w:val="auto"/>
              </w:rPr>
            </w:pPr>
          </w:p>
        </w:tc>
        <w:tc>
          <w:tcPr>
            <w:tcW w:w="432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3,845</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177</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667</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4,850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(9,745)</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(5,704)</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(5,714)</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w w:val="98"/>
              </w:rPr>
              <w:t>Proceeds from sales of businesses and investments</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3,102</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3,102</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2,362</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2,362</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r>
      <w:tr>
        <w:trPr>
          <w:trHeight w:val="199"/>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93</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74</w:t>
            </w:r>
          </w:p>
        </w:tc>
      </w:tr>
      <w:tr>
        <w:trPr>
          <w:trHeight w:val="196"/>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3,829</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209</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177</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667</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4,809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(11,177)</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(1,486)</w:t>
            </w:r>
          </w:p>
        </w:tc>
      </w:tr>
      <w:tr>
        <w:trPr>
          <w:trHeight w:val="199"/>
        </w:trPr>
        <w:tc>
          <w:tcPr>
            <w:tcW w:w="20" w:type="dxa"/>
            <w:vAlign w:val="bottom"/>
          </w:tcPr>
          <w:p>
            <w:pPr>
              <w:spacing w:after="0"/>
              <w:rPr>
                <w:sz w:val="17"/>
                <w:szCs w:val="17"/>
                <w:color w:val="auto"/>
              </w:rPr>
            </w:pPr>
          </w:p>
        </w:tc>
        <w:tc>
          <w:tcPr>
            <w:tcW w:w="432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borrowings, net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2,536</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1,995</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4,544</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(1,726)</w:t>
            </w: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(2,881)</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(3,000)</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(1,608)</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233</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233</w:t>
            </w:r>
          </w:p>
        </w:tc>
      </w:tr>
      <w:tr>
        <w:trPr>
          <w:trHeight w:val="203"/>
        </w:trPr>
        <w:tc>
          <w:tcPr>
            <w:tcW w:w="20" w:type="dxa"/>
            <w:vAlign w:val="bottom"/>
          </w:tcPr>
          <w:p>
            <w:pPr>
              <w:spacing w:after="0"/>
              <w:rPr>
                <w:sz w:val="17"/>
                <w:szCs w:val="17"/>
                <w:color w:val="auto"/>
              </w:rPr>
            </w:pPr>
          </w:p>
        </w:tc>
        <w:tc>
          <w:tcPr>
            <w:tcW w:w="43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dividends for redeemable subsidiary preferred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420"/>
              <w:spacing w:after="0" w:line="202" w:lineRule="exact"/>
              <w:rPr>
                <w:sz w:val="20"/>
                <w:szCs w:val="20"/>
                <w:color w:val="auto"/>
              </w:rPr>
            </w:pPr>
            <w:r>
              <w:rPr>
                <w:rFonts w:ascii="Arial" w:cs="Arial" w:eastAsia="Arial" w:hAnsi="Arial"/>
                <w:sz w:val="18"/>
                <w:szCs w:val="18"/>
                <w:color w:val="auto"/>
              </w:rPr>
              <w:t>stock</w:t>
            </w:r>
          </w:p>
        </w:tc>
        <w:tc>
          <w:tcPr>
            <w:tcW w:w="220" w:type="dxa"/>
            <w:vAlign w:val="bottom"/>
          </w:tcPr>
          <w:p>
            <w:pPr>
              <w:spacing w:after="0"/>
              <w:rPr>
                <w:sz w:val="17"/>
                <w:szCs w:val="17"/>
                <w:color w:val="auto"/>
              </w:rPr>
            </w:pPr>
          </w:p>
        </w:tc>
        <w:tc>
          <w:tcPr>
            <w:tcW w:w="6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r>
      <w:tr>
        <w:trPr>
          <w:trHeight w:val="199"/>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99</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(175)</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(90)</w:t>
            </w:r>
          </w:p>
        </w:tc>
      </w:tr>
      <w:tr>
        <w:trPr>
          <w:trHeight w:val="196"/>
        </w:trPr>
        <w:tc>
          <w:tcPr>
            <w:tcW w:w="20" w:type="dxa"/>
            <w:vAlign w:val="bottom"/>
          </w:tcPr>
          <w:p>
            <w:pPr>
              <w:spacing w:after="0"/>
              <w:rPr>
                <w:sz w:val="17"/>
                <w:szCs w:val="17"/>
                <w:color w:val="auto"/>
              </w:rPr>
            </w:pPr>
          </w:p>
        </w:tc>
        <w:tc>
          <w:tcPr>
            <w:tcW w:w="432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(3,467)</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(553)</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1,429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(1,244)</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(4,037)</w:t>
            </w:r>
          </w:p>
        </w:tc>
      </w:tr>
      <w:tr>
        <w:trPr>
          <w:trHeight w:val="199"/>
        </w:trPr>
        <w:tc>
          <w:tcPr>
            <w:tcW w:w="434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7"/>
                <w:szCs w:val="17"/>
                <w:color w:val="auto"/>
              </w:rPr>
            </w:pPr>
          </w:p>
        </w:tc>
        <w:tc>
          <w:tcPr>
            <w:tcW w:w="6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20" w:type="dxa"/>
            <w:vAlign w:val="bottom"/>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4,891</w:t>
            </w:r>
          </w:p>
        </w:tc>
        <w:tc>
          <w:tcPr>
            <w:tcW w:w="180" w:type="dxa"/>
            <w:vAlign w:val="bottom"/>
          </w:tcPr>
          <w:p>
            <w:pPr>
              <w:spacing w:after="0"/>
              <w:rPr>
                <w:sz w:val="17"/>
                <w:szCs w:val="17"/>
                <w:color w:val="auto"/>
              </w:rPr>
            </w:pPr>
          </w:p>
        </w:tc>
        <w:tc>
          <w:tcPr>
            <w:tcW w:w="760" w:type="dxa"/>
            <w:vAlign w:val="bottom"/>
          </w:tcPr>
          <w:p>
            <w:pPr>
              <w:jc w:val="right"/>
              <w:ind w:right="33"/>
              <w:spacing w:after="0" w:line="200" w:lineRule="exact"/>
              <w:rPr>
                <w:sz w:val="20"/>
                <w:szCs w:val="20"/>
                <w:color w:val="auto"/>
              </w:rPr>
            </w:pPr>
            <w:r>
              <w:rPr>
                <w:rFonts w:ascii="Arial" w:cs="Arial" w:eastAsia="Arial" w:hAnsi="Arial"/>
                <w:sz w:val="18"/>
                <w:szCs w:val="18"/>
                <w:color w:val="auto"/>
              </w:rPr>
              <w:t>4,440</w:t>
            </w:r>
          </w:p>
        </w:tc>
        <w:tc>
          <w:tcPr>
            <w:tcW w:w="440" w:type="dxa"/>
            <w:vAlign w:val="bottom"/>
          </w:tcPr>
          <w:p>
            <w:pPr>
              <w:spacing w:after="0"/>
              <w:rPr>
                <w:sz w:val="17"/>
                <w:szCs w:val="17"/>
                <w:color w:val="auto"/>
              </w:rPr>
            </w:pPr>
          </w:p>
        </w:tc>
        <w:tc>
          <w:tcPr>
            <w:tcW w:w="54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ind w:right="12"/>
              <w:spacing w:after="0" w:line="200" w:lineRule="exact"/>
              <w:rPr>
                <w:sz w:val="20"/>
                <w:szCs w:val="20"/>
                <w:color w:val="auto"/>
              </w:rPr>
            </w:pPr>
            <w:r>
              <w:rPr>
                <w:rFonts w:ascii="Arial" w:cs="Arial" w:eastAsia="Arial" w:hAnsi="Arial"/>
                <w:sz w:val="18"/>
                <w:szCs w:val="18"/>
                <w:color w:val="auto"/>
              </w:rPr>
              <w:t>9,331</w:t>
            </w:r>
          </w:p>
        </w:tc>
      </w:tr>
      <w:tr>
        <w:trPr>
          <w:trHeight w:val="199"/>
        </w:trPr>
        <w:tc>
          <w:tcPr>
            <w:tcW w:w="434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238</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1,382</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1,620</w:t>
            </w: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5,129</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5,822</w:t>
            </w:r>
          </w:p>
        </w:tc>
        <w:tc>
          <w:tcPr>
            <w:tcW w:w="440" w:type="dxa"/>
            <w:vAlign w:val="bottom"/>
          </w:tcPr>
          <w:p>
            <w:pPr>
              <w:jc w:val="right"/>
              <w:ind w:right="192"/>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Pr>
          <w:p>
            <w:pPr>
              <w:ind w:left="28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10,951</w:t>
            </w:r>
          </w:p>
        </w:tc>
      </w:tr>
      <w:tr>
        <w:trPr>
          <w:trHeight w:val="506"/>
        </w:trPr>
        <w:tc>
          <w:tcPr>
            <w:tcW w:w="20" w:type="dxa"/>
            <w:vAlign w:val="bottom"/>
          </w:tcPr>
          <w:p>
            <w:pPr>
              <w:spacing w:after="0"/>
              <w:rPr>
                <w:sz w:val="24"/>
                <w:szCs w:val="24"/>
                <w:color w:val="auto"/>
              </w:rPr>
            </w:pPr>
          </w:p>
        </w:tc>
        <w:tc>
          <w:tcPr>
            <w:tcW w:w="4320" w:type="dxa"/>
            <w:vAlign w:val="bottom"/>
            <w:tcBorders>
              <w:top w:val="single" w:sz="8" w:color="0C6DFF"/>
            </w:tcBorders>
          </w:tcPr>
          <w:p>
            <w:pPr>
              <w:spacing w:after="0"/>
              <w:rPr>
                <w:sz w:val="24"/>
                <w:szCs w:val="24"/>
                <w:color w:val="auto"/>
              </w:rPr>
            </w:pPr>
          </w:p>
        </w:tc>
        <w:tc>
          <w:tcPr>
            <w:tcW w:w="220" w:type="dxa"/>
            <w:vAlign w:val="bottom"/>
            <w:tcBorders>
              <w:top w:val="single" w:sz="8" w:color="0C6DFF"/>
            </w:tcBorders>
          </w:tcPr>
          <w:p>
            <w:pPr>
              <w:spacing w:after="0"/>
              <w:rPr>
                <w:sz w:val="24"/>
                <w:szCs w:val="24"/>
                <w:color w:val="auto"/>
              </w:rPr>
            </w:pPr>
          </w:p>
        </w:tc>
        <w:tc>
          <w:tcPr>
            <w:tcW w:w="640" w:type="dxa"/>
            <w:vAlign w:val="bottom"/>
            <w:tcBorders>
              <w:top w:val="single" w:sz="8" w:color="0C6DFF"/>
            </w:tcBorders>
          </w:tcPr>
          <w:p>
            <w:pPr>
              <w:spacing w:after="0"/>
              <w:rPr>
                <w:sz w:val="24"/>
                <w:szCs w:val="24"/>
                <w:color w:val="auto"/>
              </w:rPr>
            </w:pPr>
          </w:p>
        </w:tc>
        <w:tc>
          <w:tcPr>
            <w:tcW w:w="220" w:type="dxa"/>
            <w:vAlign w:val="bottom"/>
            <w:tcBorders>
              <w:top w:val="single" w:sz="8" w:color="0C6DFF"/>
            </w:tcBorders>
          </w:tcPr>
          <w:p>
            <w:pPr>
              <w:spacing w:after="0"/>
              <w:rPr>
                <w:sz w:val="24"/>
                <w:szCs w:val="24"/>
                <w:color w:val="auto"/>
              </w:rPr>
            </w:pPr>
          </w:p>
        </w:tc>
        <w:tc>
          <w:tcPr>
            <w:tcW w:w="520" w:type="dxa"/>
            <w:vAlign w:val="bottom"/>
            <w:tcBorders>
              <w:top w:val="single" w:sz="8" w:color="0C6DFF"/>
            </w:tcBorders>
          </w:tcPr>
          <w:p>
            <w:pPr>
              <w:jc w:val="right"/>
              <w:ind w:right="33"/>
              <w:spacing w:after="0"/>
              <w:rPr>
                <w:sz w:val="20"/>
                <w:szCs w:val="20"/>
                <w:color w:val="auto"/>
              </w:rPr>
            </w:pPr>
            <w:r>
              <w:rPr>
                <w:rFonts w:ascii="Arial" w:cs="Arial" w:eastAsia="Arial" w:hAnsi="Arial"/>
                <w:sz w:val="14"/>
                <w:szCs w:val="14"/>
                <w:b w:val="1"/>
                <w:bCs w:val="1"/>
                <w:color w:val="auto"/>
              </w:rPr>
              <w:t>127</w:t>
            </w:r>
          </w:p>
        </w:tc>
        <w:tc>
          <w:tcPr>
            <w:tcW w:w="200" w:type="dxa"/>
            <w:vAlign w:val="bottom"/>
            <w:tcBorders>
              <w:top w:val="single" w:sz="8" w:color="0C6DFF"/>
            </w:tcBorders>
          </w:tcPr>
          <w:p>
            <w:pPr>
              <w:spacing w:after="0"/>
              <w:rPr>
                <w:sz w:val="24"/>
                <w:szCs w:val="24"/>
                <w:color w:val="auto"/>
              </w:rPr>
            </w:pPr>
          </w:p>
        </w:tc>
        <w:tc>
          <w:tcPr>
            <w:tcW w:w="500" w:type="dxa"/>
            <w:vAlign w:val="bottom"/>
            <w:tcBorders>
              <w:top w:val="single" w:sz="8" w:color="0C6DFF"/>
            </w:tcBorders>
          </w:tcPr>
          <w:p>
            <w:pPr>
              <w:spacing w:after="0"/>
              <w:rPr>
                <w:sz w:val="24"/>
                <w:szCs w:val="24"/>
                <w:color w:val="auto"/>
              </w:rPr>
            </w:pPr>
          </w:p>
        </w:tc>
        <w:tc>
          <w:tcPr>
            <w:tcW w:w="260" w:type="dxa"/>
            <w:vAlign w:val="bottom"/>
            <w:tcBorders>
              <w:top w:val="single" w:sz="8" w:color="0C6DFF"/>
            </w:tcBorders>
          </w:tcPr>
          <w:p>
            <w:pPr>
              <w:spacing w:after="0"/>
              <w:rPr>
                <w:sz w:val="24"/>
                <w:szCs w:val="24"/>
                <w:color w:val="auto"/>
              </w:rPr>
            </w:pPr>
          </w:p>
        </w:tc>
        <w:tc>
          <w:tcPr>
            <w:tcW w:w="560" w:type="dxa"/>
            <w:vAlign w:val="bottom"/>
            <w:tcBorders>
              <w:top w:val="single" w:sz="8" w:color="0C6DFF"/>
            </w:tcBorders>
          </w:tcPr>
          <w:p>
            <w:pPr>
              <w:spacing w:after="0"/>
              <w:rPr>
                <w:sz w:val="24"/>
                <w:szCs w:val="24"/>
                <w:color w:val="auto"/>
              </w:rPr>
            </w:pPr>
          </w:p>
        </w:tc>
        <w:tc>
          <w:tcPr>
            <w:tcW w:w="280" w:type="dxa"/>
            <w:vAlign w:val="bottom"/>
            <w:tcBorders>
              <w:top w:val="single" w:sz="8" w:color="0C6DFF"/>
            </w:tcBorders>
          </w:tcPr>
          <w:p>
            <w:pPr>
              <w:spacing w:after="0"/>
              <w:rPr>
                <w:sz w:val="24"/>
                <w:szCs w:val="24"/>
                <w:color w:val="auto"/>
              </w:rPr>
            </w:pPr>
          </w:p>
        </w:tc>
        <w:tc>
          <w:tcPr>
            <w:tcW w:w="760" w:type="dxa"/>
            <w:vAlign w:val="bottom"/>
            <w:tcBorders>
              <w:top w:val="single" w:sz="8" w:color="0C6DFF"/>
            </w:tcBorders>
          </w:tcPr>
          <w:p>
            <w:pPr>
              <w:spacing w:after="0"/>
              <w:rPr>
                <w:sz w:val="24"/>
                <w:szCs w:val="24"/>
                <w:color w:val="auto"/>
              </w:rPr>
            </w:pPr>
          </w:p>
        </w:tc>
        <w:tc>
          <w:tcPr>
            <w:tcW w:w="180" w:type="dxa"/>
            <w:vAlign w:val="bottom"/>
            <w:tcBorders>
              <w:top w:val="single" w:sz="8" w:color="0C6DFF"/>
            </w:tcBorders>
          </w:tcPr>
          <w:p>
            <w:pPr>
              <w:spacing w:after="0"/>
              <w:rPr>
                <w:sz w:val="24"/>
                <w:szCs w:val="24"/>
                <w:color w:val="auto"/>
              </w:rPr>
            </w:pPr>
          </w:p>
        </w:tc>
        <w:tc>
          <w:tcPr>
            <w:tcW w:w="2740" w:type="dxa"/>
            <w:vAlign w:val="bottom"/>
            <w:tcBorders>
              <w:top w:val="single" w:sz="8" w:color="0C6DFF"/>
            </w:tcBorders>
            <w:gridSpan w:val="5"/>
          </w:tcPr>
          <w:p>
            <w:pPr>
              <w:jc w:val="right"/>
              <w:spacing w:after="0"/>
              <w:rPr>
                <w:sz w:val="20"/>
                <w:szCs w:val="20"/>
                <w:color w:val="auto"/>
              </w:rPr>
            </w:pPr>
            <w:r>
              <w:rPr>
                <w:rFonts w:ascii="Arial" w:cs="Arial" w:eastAsia="Arial" w:hAnsi="Arial"/>
                <w:sz w:val="14"/>
                <w:szCs w:val="14"/>
                <w:color w:val="auto"/>
                <w:w w:val="99"/>
              </w:rPr>
              <w:t>Comcast 2013 Annual Report on Form 10-K</w:t>
            </w:r>
          </w:p>
        </w:tc>
      </w:tr>
    </w:tbl>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80"/>
        <w:spacing w:after="0" w:line="221" w:lineRule="auto"/>
        <w:rPr>
          <w:sz w:val="20"/>
          <w:szCs w:val="20"/>
          <w:color w:val="auto"/>
        </w:rPr>
      </w:pPr>
      <w:r>
        <w:rPr>
          <w:rFonts w:ascii="Arial" w:cs="Arial" w:eastAsia="Arial" w:hAnsi="Arial"/>
          <w:sz w:val="14"/>
          <w:szCs w:val="14"/>
          <w:color w:val="auto"/>
        </w:rPr>
        <w:t>For the Year Ended December 31, 2011 (in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Consolidating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-895985</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Elimination</w:t>
            </w:r>
          </w:p>
        </w:tc>
        <w:tc>
          <w:tcPr>
            <w:tcW w:w="900" w:type="dxa"/>
            <w:vAlign w:val="bottom"/>
          </w:tcPr>
          <w:p>
            <w:pPr>
              <w:spacing w:after="0"/>
              <w:rPr>
                <w:sz w:val="14"/>
                <w:szCs w:val="14"/>
                <w:color w:val="auto"/>
              </w:rPr>
            </w:pPr>
          </w:p>
        </w:tc>
      </w:tr>
      <w:tr>
        <w:trPr>
          <w:trHeight w:val="149"/>
        </w:trPr>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Combined</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Non-</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and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Comcast</w:t>
            </w: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Comcast</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CCCL</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CCHMO</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Media</w:t>
            </w: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Guarantor</w:t>
            </w:r>
          </w:p>
        </w:tc>
        <w:tc>
          <w:tcPr>
            <w:tcW w:w="10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Consolidation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Comcast</w:t>
            </w:r>
          </w:p>
        </w:tc>
      </w:tr>
      <w:tr>
        <w:trPr>
          <w:trHeight w:val="163"/>
        </w:trPr>
        <w:tc>
          <w:tcPr>
            <w:tcW w:w="640" w:type="dxa"/>
            <w:vAlign w:val="bottom"/>
          </w:tcPr>
          <w:p>
            <w:pPr>
              <w:jc w:val="right"/>
              <w:ind w:right="32"/>
              <w:spacing w:after="0"/>
              <w:rPr>
                <w:sz w:val="20"/>
                <w:szCs w:val="20"/>
                <w:color w:val="auto"/>
              </w:rPr>
            </w:pPr>
            <w:r>
              <w:rPr>
                <w:rFonts w:ascii="Arial" w:cs="Arial" w:eastAsia="Arial" w:hAnsi="Arial"/>
                <w:sz w:val="14"/>
                <w:szCs w:val="14"/>
                <w:color w:val="auto"/>
              </w:rPr>
              <w:t>Parent</w:t>
            </w:r>
          </w:p>
        </w:tc>
        <w:tc>
          <w:tcPr>
            <w:tcW w:w="860" w:type="dxa"/>
            <w:vAlign w:val="bottom"/>
          </w:tcPr>
          <w:p>
            <w:pPr>
              <w:jc w:val="right"/>
              <w:ind w:right="172"/>
              <w:spacing w:after="0"/>
              <w:rPr>
                <w:sz w:val="20"/>
                <w:szCs w:val="20"/>
                <w:color w:val="auto"/>
              </w:rPr>
            </w:pPr>
            <w:r>
              <w:rPr>
                <w:rFonts w:ascii="Arial" w:cs="Arial" w:eastAsia="Arial" w:hAnsi="Arial"/>
                <w:sz w:val="14"/>
                <w:szCs w:val="14"/>
                <w:color w:val="auto"/>
              </w:rPr>
              <w:t>Holdings</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Parent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Parents</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Parent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Subsidiaries</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Adjustments</w:t>
            </w:r>
          </w:p>
        </w:tc>
        <w:tc>
          <w:tcPr>
            <w:tcW w:w="900" w:type="dxa"/>
            <w:vAlign w:val="bottom"/>
          </w:tcPr>
          <w:p>
            <w:pPr>
              <w:jc w:val="right"/>
              <w:spacing w:after="0"/>
              <w:rPr>
                <w:sz w:val="20"/>
                <w:szCs w:val="20"/>
                <w:color w:val="auto"/>
              </w:rPr>
            </w:pPr>
            <w:r>
              <w:rPr>
                <w:rFonts w:ascii="Arial" w:cs="Arial" w:eastAsia="Arial" w:hAnsi="Arial"/>
                <w:sz w:val="14"/>
                <w:szCs w:val="14"/>
                <w:color w:val="auto"/>
              </w:rPr>
              <w:t>Corporation</w:t>
            </w:r>
          </w:p>
        </w:tc>
      </w:tr>
    </w:tbl>
    <w:p>
      <w:pPr>
        <w:spacing w:after="0" w:line="1" w:lineRule="exact"/>
        <w:rPr>
          <w:sz w:val="20"/>
          <w:szCs w:val="20"/>
          <w:color w:val="auto"/>
        </w:rPr>
      </w:pPr>
    </w:p>
    <w:p>
      <w:pPr>
        <w:sectPr>
          <w:pgSz w:w="11900" w:h="16838" w:orient="portrait"/>
          <w:cols w:equalWidth="0" w:num="2">
            <w:col w:w="2980" w:space="720"/>
            <w:col w:w="77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80" w:type="dxa"/>
            <w:vAlign w:val="bottom"/>
            <w:tcBorders>
              <w:top w:val="single" w:sz="8" w:color="auto"/>
              <w:bottom w:val="single" w:sz="8" w:color="auto"/>
            </w:tcBorders>
          </w:tcPr>
          <w:p>
            <w:pPr>
              <w:ind w:left="200"/>
              <w:spacing w:after="0" w:line="196" w:lineRule="exact"/>
              <w:rPr>
                <w:sz w:val="20"/>
                <w:szCs w:val="20"/>
                <w:color w:val="auto"/>
              </w:rPr>
            </w:pPr>
            <w:r>
              <w:rPr>
                <w:rFonts w:ascii="Arial" w:cs="Arial" w:eastAsia="Arial" w:hAnsi="Arial"/>
                <w:sz w:val="18"/>
                <w:szCs w:val="18"/>
                <w:color w:val="auto"/>
                <w:w w:val="99"/>
              </w:rPr>
              <w:t>Net cash provided by (used in) operating activities</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w:t>
            </w:r>
          </w:p>
        </w:tc>
        <w:tc>
          <w:tcPr>
            <w:tcW w:w="26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(19)</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26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w:t>
            </w:r>
          </w:p>
        </w:tc>
        <w:tc>
          <w:tcPr>
            <w:tcW w:w="36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(638)</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15,855</w:t>
            </w:r>
          </w:p>
        </w:tc>
        <w:tc>
          <w:tcPr>
            <w:tcW w:w="440" w:type="dxa"/>
            <w:vAlign w:val="bottom"/>
            <w:tcBorders>
              <w:top w:val="single" w:sz="8" w:color="auto"/>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14,345</w:t>
            </w:r>
          </w:p>
        </w:tc>
      </w:tr>
      <w:tr>
        <w:trPr>
          <w:trHeight w:val="199"/>
        </w:trPr>
        <w:tc>
          <w:tcPr>
            <w:tcW w:w="20" w:type="dxa"/>
            <w:vAlign w:val="bottom"/>
          </w:tcPr>
          <w:p>
            <w:pPr>
              <w:spacing w:after="0"/>
              <w:rPr>
                <w:sz w:val="17"/>
                <w:szCs w:val="17"/>
                <w:color w:val="auto"/>
              </w:rPr>
            </w:pPr>
          </w:p>
        </w:tc>
        <w:tc>
          <w:tcPr>
            <w:tcW w:w="4180" w:type="dxa"/>
            <w:vAlign w:val="bottom"/>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Net transactions with affiliates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4,615</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1,209</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131</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247</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(6,221)</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(5,300)</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(5,307)</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295</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(6,702)</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(6,407)</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420"/>
              <w:spacing w:after="0" w:line="202" w:lineRule="exact"/>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274</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277</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37</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199"/>
        </w:trPr>
        <w:tc>
          <w:tcPr>
            <w:tcW w:w="20" w:type="dxa"/>
            <w:vAlign w:val="bottom"/>
          </w:tcPr>
          <w:p>
            <w:pPr>
              <w:spacing w:after="0"/>
              <w:rPr>
                <w:sz w:val="17"/>
                <w:szCs w:val="17"/>
                <w:color w:val="auto"/>
              </w:rPr>
            </w:pPr>
          </w:p>
        </w:tc>
        <w:tc>
          <w:tcPr>
            <w:tcW w:w="41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w:t>
            </w:r>
          </w:p>
        </w:tc>
      </w:tr>
      <w:tr>
        <w:trPr>
          <w:trHeight w:val="196"/>
        </w:trPr>
        <w:tc>
          <w:tcPr>
            <w:tcW w:w="20" w:type="dxa"/>
            <w:vAlign w:val="bottom"/>
          </w:tcPr>
          <w:p>
            <w:pPr>
              <w:spacing w:after="0"/>
              <w:rPr>
                <w:sz w:val="17"/>
                <w:szCs w:val="17"/>
                <w:color w:val="auto"/>
              </w:rPr>
            </w:pPr>
          </w:p>
        </w:tc>
        <w:tc>
          <w:tcPr>
            <w:tcW w:w="41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4,606</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1,209</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131</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541</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(19,014)</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(12,508)</w:t>
            </w:r>
          </w:p>
        </w:tc>
      </w:tr>
      <w:tr>
        <w:trPr>
          <w:trHeight w:val="199"/>
        </w:trPr>
        <w:tc>
          <w:tcPr>
            <w:tcW w:w="20" w:type="dxa"/>
            <w:vAlign w:val="bottom"/>
          </w:tcPr>
          <w:p>
            <w:pPr>
              <w:spacing w:after="0"/>
              <w:rPr>
                <w:sz w:val="17"/>
                <w:szCs w:val="17"/>
                <w:color w:val="auto"/>
              </w:rPr>
            </w:pPr>
          </w:p>
        </w:tc>
        <w:tc>
          <w:tcPr>
            <w:tcW w:w="4180" w:type="dxa"/>
            <w:vAlign w:val="bottom"/>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(repayments of) short-term</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420"/>
              <w:spacing w:after="0" w:line="202" w:lineRule="exact"/>
              <w:rPr>
                <w:sz w:val="20"/>
                <w:szCs w:val="20"/>
                <w:color w:val="auto"/>
              </w:rPr>
            </w:pPr>
            <w:r>
              <w:rPr>
                <w:rFonts w:ascii="Arial" w:cs="Arial" w:eastAsia="Arial" w:hAnsi="Arial"/>
                <w:sz w:val="18"/>
                <w:szCs w:val="18"/>
                <w:color w:val="auto"/>
              </w:rPr>
              <w:t>borrowings, net</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550</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(1,095)</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(1,121)</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(1,187)</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283</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283</w:t>
            </w:r>
          </w:p>
        </w:tc>
      </w:tr>
      <w:tr>
        <w:trPr>
          <w:trHeight w:val="203"/>
        </w:trPr>
        <w:tc>
          <w:tcPr>
            <w:tcW w:w="20" w:type="dxa"/>
            <w:vAlign w:val="bottom"/>
          </w:tcPr>
          <w:p>
            <w:pPr>
              <w:spacing w:after="0"/>
              <w:rPr>
                <w:sz w:val="17"/>
                <w:szCs w:val="17"/>
                <w:color w:val="auto"/>
              </w:rPr>
            </w:pPr>
          </w:p>
        </w:tc>
        <w:tc>
          <w:tcPr>
            <w:tcW w:w="418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 and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420"/>
              <w:spacing w:after="0" w:line="202" w:lineRule="exact"/>
              <w:rPr>
                <w:sz w:val="20"/>
                <w:szCs w:val="20"/>
                <w:color w:val="auto"/>
              </w:rPr>
            </w:pPr>
            <w:r>
              <w:rPr>
                <w:rFonts w:ascii="Arial" w:cs="Arial" w:eastAsia="Arial" w:hAnsi="Arial"/>
                <w:sz w:val="18"/>
                <w:szCs w:val="18"/>
                <w:color w:val="auto"/>
              </w:rPr>
              <w:t>dividends for redeemable subsidiary preferred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420"/>
              <w:spacing w:after="0" w:line="202" w:lineRule="exact"/>
              <w:rPr>
                <w:sz w:val="20"/>
                <w:szCs w:val="20"/>
                <w:color w:val="auto"/>
              </w:rPr>
            </w:pPr>
            <w:r>
              <w:rPr>
                <w:rFonts w:ascii="Arial" w:cs="Arial" w:eastAsia="Arial" w:hAnsi="Arial"/>
                <w:sz w:val="18"/>
                <w:szCs w:val="18"/>
                <w:color w:val="auto"/>
              </w:rPr>
              <w:t>stock</w:t>
            </w:r>
          </w:p>
        </w:tc>
        <w:tc>
          <w:tcPr>
            <w:tcW w:w="20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c>
          <w:tcPr>
            <w:tcW w:w="440" w:type="dxa"/>
            <w:vAlign w:val="bottom"/>
          </w:tcPr>
          <w:p>
            <w:pPr>
              <w:spacing w:after="0"/>
              <w:rPr>
                <w:sz w:val="17"/>
                <w:szCs w:val="17"/>
                <w:color w:val="auto"/>
              </w:rPr>
            </w:pPr>
          </w:p>
        </w:tc>
        <w:tc>
          <w:tcPr>
            <w:tcW w:w="54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199"/>
        </w:trPr>
        <w:tc>
          <w:tcPr>
            <w:tcW w:w="20" w:type="dxa"/>
            <w:vAlign w:val="bottom"/>
          </w:tcPr>
          <w:p>
            <w:pPr>
              <w:spacing w:after="0"/>
              <w:rPr>
                <w:sz w:val="17"/>
                <w:szCs w:val="17"/>
                <w:color w:val="auto"/>
              </w:rPr>
            </w:pPr>
          </w:p>
        </w:tc>
        <w:tc>
          <w:tcPr>
            <w:tcW w:w="418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51</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(159)</w:t>
            </w:r>
          </w:p>
        </w:tc>
      </w:tr>
      <w:tr>
        <w:trPr>
          <w:trHeight w:val="196"/>
        </w:trPr>
        <w:tc>
          <w:tcPr>
            <w:tcW w:w="20" w:type="dxa"/>
            <w:vAlign w:val="bottom"/>
          </w:tcPr>
          <w:p>
            <w:pPr>
              <w:spacing w:after="0"/>
              <w:rPr>
                <w:sz w:val="17"/>
                <w:szCs w:val="17"/>
                <w:color w:val="auto"/>
              </w:rPr>
            </w:pPr>
          </w:p>
        </w:tc>
        <w:tc>
          <w:tcPr>
            <w:tcW w:w="418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(4,093)</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335</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(1,443)</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(6,201)</w:t>
            </w:r>
          </w:p>
        </w:tc>
      </w:tr>
      <w:tr>
        <w:trPr>
          <w:trHeight w:val="199"/>
        </w:trPr>
        <w:tc>
          <w:tcPr>
            <w:tcW w:w="4200" w:type="dxa"/>
            <w:vAlign w:val="bottom"/>
            <w:gridSpan w:val="2"/>
          </w:tcPr>
          <w:p>
            <w:pPr>
              <w:spacing w:after="0" w:line="200" w:lineRule="exact"/>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17"/>
                <w:szCs w:val="17"/>
                <w:color w:val="auto"/>
              </w:rPr>
            </w:pPr>
          </w:p>
        </w:tc>
        <w:tc>
          <w:tcPr>
            <w:tcW w:w="6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20" w:type="dxa"/>
            <w:vAlign w:val="bottom"/>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52"/>
              <w:spacing w:after="0" w:line="200" w:lineRule="exact"/>
              <w:rPr>
                <w:sz w:val="20"/>
                <w:szCs w:val="20"/>
                <w:color w:val="auto"/>
              </w:rPr>
            </w:pPr>
            <w:r>
              <w:rPr>
                <w:rFonts w:ascii="Arial" w:cs="Arial" w:eastAsia="Arial" w:hAnsi="Arial"/>
                <w:sz w:val="18"/>
                <w:szCs w:val="18"/>
                <w:color w:val="auto"/>
              </w:rPr>
              <w:t>238</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(4,602)</w:t>
            </w:r>
          </w:p>
        </w:tc>
        <w:tc>
          <w:tcPr>
            <w:tcW w:w="440" w:type="dxa"/>
            <w:vAlign w:val="bottom"/>
          </w:tcPr>
          <w:p>
            <w:pPr>
              <w:spacing w:after="0"/>
              <w:rPr>
                <w:sz w:val="17"/>
                <w:szCs w:val="17"/>
                <w:color w:val="auto"/>
              </w:rPr>
            </w:pPr>
          </w:p>
        </w:tc>
        <w:tc>
          <w:tcPr>
            <w:tcW w:w="540" w:type="dxa"/>
            <w:vAlign w:val="bottom"/>
          </w:tcPr>
          <w:p>
            <w:pPr>
              <w:ind w:left="280"/>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(4,364)</w:t>
            </w:r>
          </w:p>
        </w:tc>
      </w:tr>
      <w:tr>
        <w:trPr>
          <w:trHeight w:val="199"/>
        </w:trPr>
        <w:tc>
          <w:tcPr>
            <w:tcW w:w="420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rPr>
              <w:t>Cash and cash equivalents, beginning of year</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0" w:lineRule="exact"/>
              <w:rPr>
                <w:sz w:val="20"/>
                <w:szCs w:val="20"/>
                <w:color w:val="auto"/>
              </w:rPr>
            </w:pPr>
            <w:r>
              <w:rPr>
                <w:rFonts w:ascii="Arial" w:cs="Arial" w:eastAsia="Arial" w:hAnsi="Arial"/>
                <w:sz w:val="18"/>
                <w:szCs w:val="18"/>
                <w:color w:val="auto"/>
              </w:rPr>
              <w:t>5,984</w:t>
            </w:r>
          </w:p>
        </w:tc>
        <w:tc>
          <w:tcPr>
            <w:tcW w:w="4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280"/>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5,984</w:t>
            </w:r>
          </w:p>
        </w:tc>
      </w:tr>
      <w:tr>
        <w:trPr>
          <w:trHeight w:val="196"/>
        </w:trPr>
        <w:tc>
          <w:tcPr>
            <w:tcW w:w="4200" w:type="dxa"/>
            <w:vAlign w:val="bottom"/>
            <w:tcBorders>
              <w:bottom w:val="single" w:sz="8" w:color="0C6DFF"/>
            </w:tcBorders>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0C6DFF"/>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238</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1,382</w:t>
            </w:r>
          </w:p>
        </w:tc>
        <w:tc>
          <w:tcPr>
            <w:tcW w:w="440" w:type="dxa"/>
            <w:vAlign w:val="bottom"/>
            <w:tcBorders>
              <w:bottom w:val="single" w:sz="8" w:color="0C6DFF"/>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ind w:left="28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1,620</w:t>
            </w:r>
          </w:p>
        </w:tc>
      </w:tr>
      <w:tr>
        <w:trPr>
          <w:trHeight w:val="506"/>
        </w:trPr>
        <w:tc>
          <w:tcPr>
            <w:tcW w:w="420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9A: 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Management’s Report on Comcast’s Internal Control Over Financial Reporting on page 78.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Report of Independent Registered Public Accounting Firm on page 79.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w:t>
      </w:r>
    </w:p>
    <w:p>
      <w:pPr>
        <w:ind w:right="20" w:firstLine="8"/>
        <w:spacing w:after="0" w:line="239" w:lineRule="auto"/>
        <w:tabs>
          <w:tab w:leader="none" w:pos="2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Exchange Act Rules 13a-15 or 15d-15 that occurred during our last fiscal quarter that have materially affected, or are reasonably likely to materially affect, Comcast’s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Exchange Act Rules 13a-15(e) and 15d-15(e)),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129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17" w:lineRule="exact"/>
        <w:rPr>
          <w:sz w:val="20"/>
          <w:szCs w:val="20"/>
          <w:color w:val="auto"/>
        </w:rPr>
      </w:pPr>
    </w:p>
    <w:p>
      <w:pPr>
        <w:ind w:left="1020" w:right="1240" w:hanging="215"/>
        <w:spacing w:after="0" w:line="23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14" w:lineRule="exact"/>
        <w:rPr>
          <w:rFonts w:ascii="Arial" w:cs="Arial" w:eastAsia="Arial" w:hAnsi="Arial"/>
          <w:sz w:val="18"/>
          <w:szCs w:val="18"/>
          <w:color w:val="auto"/>
        </w:rPr>
      </w:pPr>
    </w:p>
    <w:p>
      <w:pPr>
        <w:jc w:val="both"/>
        <w:ind w:left="1020" w:right="1240" w:hanging="215"/>
        <w:spacing w:after="0" w:line="28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accounting principles generally accepted in the United States, and that our receipts and expenditures are being made only in accordance with authorizations of our management and our directors</w:t>
      </w:r>
    </w:p>
    <w:p>
      <w:pPr>
        <w:spacing w:after="0" w:line="83" w:lineRule="exact"/>
        <w:rPr>
          <w:rFonts w:ascii="Arial" w:cs="Arial" w:eastAsia="Arial" w:hAnsi="Arial"/>
          <w:sz w:val="16"/>
          <w:szCs w:val="16"/>
          <w:color w:val="auto"/>
        </w:rPr>
      </w:pPr>
    </w:p>
    <w:p>
      <w:pPr>
        <w:ind w:left="1020" w:right="1240" w:hanging="215"/>
        <w:spacing w:after="0" w:line="23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a system of internal control over financial reporting can provide only reasonable assurance and may not prevent or detect misstatements. Further, because of changes in conditions, effectiveness of internal control over financial reporting may vary over time. Our system contains self-monitoring mechanisms, and actions are taken to correct deficiencies as they are identified.</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Our management conducted an evaluation of the effectiveness of the system of internal control over financial reporting based on the framework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in 1992 by the Committee of Sponsoring Organizations of the Treadway Commission.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this evaluation, our management concluded that NBCUniversal’s system of internal control over financial reporting was effective as of December 31,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our last fiscal quarter that have materially affected, or are reasonably likely to materially affect, NBCUniversal’s internal control over financial reporting.</w:t>
      </w:r>
    </w:p>
    <w:p>
      <w:pPr>
        <w:spacing w:after="0" w:line="309" w:lineRule="exact"/>
        <w:rPr>
          <w:sz w:val="20"/>
          <w:szCs w:val="20"/>
          <w:color w:val="auto"/>
        </w:rPr>
      </w:pPr>
    </w:p>
    <w:p>
      <w:pPr>
        <w:spacing w:after="0"/>
        <w:rPr>
          <w:sz w:val="20"/>
          <w:szCs w:val="20"/>
          <w:color w:val="auto"/>
        </w:rPr>
      </w:pPr>
      <w:r>
        <w:rPr>
          <w:rFonts w:ascii="Arial" w:cs="Arial" w:eastAsia="Arial" w:hAnsi="Arial"/>
          <w:sz w:val="24"/>
          <w:szCs w:val="24"/>
          <w:color w:val="0C6DFF"/>
        </w:rPr>
        <w:t>Item 9B: Other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130</w:t>
            </w: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III</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10: Directors, Executive Officers and Corporate Governance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information regarding executive officers required by Item 401 of Regulation S-K, we incorporate the information required by this item by reference to our definitive proxy statement for our annual meeting of shareholders presently scheduled to be held in May 2014. We refer to this proxy statement as the 2014 Proxy Statement.</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of office of each of our executive officers continues until his successor is selected and qualified or until his earlier death, resignation or removal. The following table sets forth information concerning our executive officers, including their ages, positions and tenure, as of the date of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Age</w:t>
            </w: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w w:val="94"/>
              </w:rPr>
              <w:t>Officer Since</w:t>
            </w:r>
          </w:p>
        </w:tc>
        <w:tc>
          <w:tcPr>
            <w:tcW w:w="63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Position with Comcast</w:t>
            </w:r>
          </w:p>
        </w:tc>
      </w:tr>
      <w:tr>
        <w:trPr>
          <w:trHeight w:val="199"/>
        </w:trPr>
        <w:tc>
          <w:tcPr>
            <w:tcW w:w="24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1280" w:type="dxa"/>
            <w:vAlign w:val="bottom"/>
          </w:tcPr>
          <w:p>
            <w:pPr>
              <w:ind w:left="880"/>
              <w:spacing w:after="0" w:line="200" w:lineRule="exact"/>
              <w:rPr>
                <w:sz w:val="20"/>
                <w:szCs w:val="20"/>
                <w:color w:val="auto"/>
              </w:rPr>
            </w:pPr>
            <w:r>
              <w:rPr>
                <w:rFonts w:ascii="Arial" w:cs="Arial" w:eastAsia="Arial" w:hAnsi="Arial"/>
                <w:sz w:val="18"/>
                <w:szCs w:val="18"/>
                <w:color w:val="auto"/>
              </w:rPr>
              <w:t>54</w:t>
            </w:r>
          </w:p>
        </w:tc>
        <w:tc>
          <w:tcPr>
            <w:tcW w:w="1280" w:type="dxa"/>
            <w:vAlign w:val="bottom"/>
          </w:tcPr>
          <w:p>
            <w:pPr>
              <w:jc w:val="center"/>
              <w:ind w:right="75"/>
              <w:spacing w:after="0" w:line="200" w:lineRule="exact"/>
              <w:rPr>
                <w:sz w:val="20"/>
                <w:szCs w:val="20"/>
                <w:color w:val="auto"/>
              </w:rPr>
            </w:pPr>
            <w:r>
              <w:rPr>
                <w:rFonts w:ascii="Arial" w:cs="Arial" w:eastAsia="Arial" w:hAnsi="Arial"/>
                <w:sz w:val="18"/>
                <w:szCs w:val="18"/>
                <w:color w:val="auto"/>
                <w:w w:val="99"/>
              </w:rPr>
              <w:t>1986</w:t>
            </w:r>
          </w:p>
        </w:tc>
        <w:tc>
          <w:tcPr>
            <w:tcW w:w="6380" w:type="dxa"/>
            <w:vAlign w:val="bottom"/>
          </w:tcPr>
          <w:p>
            <w:pPr>
              <w:ind w:left="340"/>
              <w:spacing w:after="0" w:line="200" w:lineRule="exact"/>
              <w:rPr>
                <w:sz w:val="20"/>
                <w:szCs w:val="20"/>
                <w:color w:val="auto"/>
              </w:rPr>
            </w:pPr>
            <w:r>
              <w:rPr>
                <w:rFonts w:ascii="Arial" w:cs="Arial" w:eastAsia="Arial" w:hAnsi="Arial"/>
                <w:sz w:val="18"/>
                <w:szCs w:val="18"/>
                <w:color w:val="auto"/>
              </w:rPr>
              <w:t>Chairman and Chief Executive Officer;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49</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2007</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Vice Chairman; Chief Financial Officer</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55</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1998</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President and Chief Executive Officer,</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NBCUniversal Holdings and NBCUniversal</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58</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2002</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Neil Smit</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55</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2011</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Executive Vice President; President and Chief Executive Officer, Comcast</w:t>
            </w:r>
          </w:p>
        </w:tc>
      </w:tr>
      <w:tr>
        <w:trPr>
          <w:trHeight w:val="203"/>
        </w:trPr>
        <w:tc>
          <w:tcPr>
            <w:tcW w:w="2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Cable</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rPr>
              <w:t>59</w:t>
            </w:r>
          </w:p>
        </w:tc>
        <w:tc>
          <w:tcPr>
            <w:tcW w:w="1280" w:type="dxa"/>
            <w:vAlign w:val="bottom"/>
          </w:tcPr>
          <w:p>
            <w:pPr>
              <w:jc w:val="center"/>
              <w:ind w:right="75"/>
              <w:spacing w:after="0" w:line="202" w:lineRule="exact"/>
              <w:rPr>
                <w:sz w:val="20"/>
                <w:szCs w:val="20"/>
                <w:color w:val="auto"/>
              </w:rPr>
            </w:pPr>
            <w:r>
              <w:rPr>
                <w:rFonts w:ascii="Arial" w:cs="Arial" w:eastAsia="Arial" w:hAnsi="Arial"/>
                <w:sz w:val="18"/>
                <w:szCs w:val="18"/>
                <w:color w:val="auto"/>
                <w:w w:val="99"/>
              </w:rPr>
              <w:t>1993</w:t>
            </w: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Senior Vice President; General Counsel; Secretary</w:t>
            </w:r>
          </w:p>
        </w:tc>
      </w:tr>
      <w:tr>
        <w:trPr>
          <w:trHeight w:val="199"/>
        </w:trPr>
        <w:tc>
          <w:tcPr>
            <w:tcW w:w="24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1280" w:type="dxa"/>
            <w:vAlign w:val="bottom"/>
            <w:tcBorders>
              <w:bottom w:val="single" w:sz="8" w:color="auto"/>
            </w:tcBorders>
          </w:tcPr>
          <w:p>
            <w:pPr>
              <w:ind w:left="880"/>
              <w:spacing w:after="0" w:line="200" w:lineRule="exact"/>
              <w:rPr>
                <w:sz w:val="20"/>
                <w:szCs w:val="20"/>
                <w:color w:val="auto"/>
              </w:rPr>
            </w:pPr>
            <w:r>
              <w:rPr>
                <w:rFonts w:ascii="Arial" w:cs="Arial" w:eastAsia="Arial" w:hAnsi="Arial"/>
                <w:sz w:val="18"/>
                <w:szCs w:val="18"/>
                <w:color w:val="auto"/>
              </w:rPr>
              <w:t>57</w:t>
            </w:r>
          </w:p>
        </w:tc>
        <w:tc>
          <w:tcPr>
            <w:tcW w:w="1280" w:type="dxa"/>
            <w:vAlign w:val="bottom"/>
            <w:tcBorders>
              <w:bottom w:val="single" w:sz="8" w:color="auto"/>
            </w:tcBorders>
          </w:tcPr>
          <w:p>
            <w:pPr>
              <w:jc w:val="center"/>
              <w:ind w:right="75"/>
              <w:spacing w:after="0" w:line="200" w:lineRule="exact"/>
              <w:rPr>
                <w:sz w:val="20"/>
                <w:szCs w:val="20"/>
                <w:color w:val="auto"/>
              </w:rPr>
            </w:pPr>
            <w:r>
              <w:rPr>
                <w:rFonts w:ascii="Arial" w:cs="Arial" w:eastAsia="Arial" w:hAnsi="Arial"/>
                <w:sz w:val="18"/>
                <w:szCs w:val="18"/>
                <w:color w:val="auto"/>
                <w:w w:val="99"/>
              </w:rPr>
              <w:t>2000</w:t>
            </w:r>
          </w:p>
        </w:tc>
        <w:tc>
          <w:tcPr>
            <w:tcW w:w="6380" w:type="dxa"/>
            <w:vAlign w:val="bottom"/>
            <w:tcBorders>
              <w:bottom w:val="single" w:sz="8" w:color="auto"/>
            </w:tcBorders>
          </w:tcPr>
          <w:p>
            <w:pPr>
              <w:ind w:left="340"/>
              <w:spacing w:after="0" w:line="200" w:lineRule="exact"/>
              <w:rPr>
                <w:sz w:val="20"/>
                <w:szCs w:val="20"/>
                <w:color w:val="auto"/>
              </w:rPr>
            </w:pPr>
            <w:r>
              <w:rPr>
                <w:rFonts w:ascii="Arial" w:cs="Arial" w:eastAsia="Arial" w:hAnsi="Arial"/>
                <w:sz w:val="18"/>
                <w:szCs w:val="18"/>
                <w:color w:val="auto"/>
              </w:rPr>
              <w:t>Senior Vice President; Chief Accounting Officer; Controller</w:t>
            </w:r>
          </w:p>
        </w:tc>
      </w:tr>
    </w:tbl>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Brian L. Roberts </w:t>
      </w:r>
      <w:r>
        <w:rPr>
          <w:rFonts w:ascii="Arial" w:cs="Arial" w:eastAsia="Arial" w:hAnsi="Arial"/>
          <w:sz w:val="16"/>
          <w:szCs w:val="16"/>
          <w:color w:val="auto"/>
        </w:rPr>
        <w:t>has served as a director and as our President, Chief Executive Officer and Chairman of the Board for more than five years.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Mr. Roberts had sole voting power over approximately 33 1/3% of the combined voting power of our two classes of voting common stock. He is a son of Mr. Ralph J. Roberts. Mr. Roberts is also a director of the National Cable and Telecommunications Association.</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Michael J. Angelakis </w:t>
      </w:r>
      <w:r>
        <w:rPr>
          <w:rFonts w:ascii="Arial" w:cs="Arial" w:eastAsia="Arial" w:hAnsi="Arial"/>
          <w:sz w:val="18"/>
          <w:szCs w:val="18"/>
          <w:color w:val="auto"/>
        </w:rPr>
        <w:t>has served as the Chief Financial Officer of Comcast Corporation for more than five years. Mr. Angelakis currently serves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of the Federal Reserve Bank of Philadelphia.</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Stephen B. Burke </w:t>
      </w:r>
      <w:r>
        <w:rPr>
          <w:rFonts w:ascii="Arial" w:cs="Arial" w:eastAsia="Arial" w:hAnsi="Arial"/>
          <w:sz w:val="18"/>
          <w:szCs w:val="18"/>
          <w:color w:val="auto"/>
        </w:rPr>
        <w:t>has served as an Executive Vice President for more than five years. On January 28, 2011, Mr. Burke became the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NBCUniversal Holdings and NBCUniversal and resigned from his position as our Chief Operating Officer, which position he had held for more than five years. Mr. Burke also had been the President of Comcast Cable until March 2010. Mr. Burke is also a director of NBCUniversal Holdings, JPMorgan Chase &amp; Company and Berkshire Hathaway, Incorporated.</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an Executive Vice President for more than five years. Mr. Cohen is also a director of the FS Global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Funds, the FS Global Credit Opportunities Fund A and the FS Global Credit Opportunities Fund D.</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Neil Smit </w:t>
      </w:r>
      <w:r>
        <w:rPr>
          <w:rFonts w:ascii="Arial" w:cs="Arial" w:eastAsia="Arial" w:hAnsi="Arial"/>
          <w:sz w:val="18"/>
          <w:szCs w:val="18"/>
          <w:color w:val="auto"/>
        </w:rPr>
        <w:t>has served as the President of Comcast Cable since March 2010, became an Executive Vice President in January 2011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as Chief Executive Officer of Comcast Cable in November 2011. Before March 2010, Mr. Smit had been the President and Chief Executive Officer and a director of Charter Communications, Inc., a cable company, since August 2005. Charter Communications filed a voluntary petition for reorganization under Chapter 11 of the U.S. Bankruptcy Code in March 2009 and emerged from Chapter 11 bankruptcy in November 2009. Mr. Smit is also the Chairman of the Board of Directors of the National Cable and Telecommunications Association and Chairman of CableLabs.</w:t>
      </w:r>
    </w:p>
    <w:p>
      <w:pPr>
        <w:spacing w:after="0" w:line="328"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131</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a Senior Vice President and our General Counsel and Secretary for more than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Lawrence J. Salva </w:t>
      </w:r>
      <w:r>
        <w:rPr>
          <w:rFonts w:ascii="Arial" w:cs="Arial" w:eastAsia="Arial" w:hAnsi="Arial"/>
          <w:sz w:val="18"/>
          <w:szCs w:val="18"/>
          <w:color w:val="auto"/>
        </w:rPr>
        <w:t>has served as a Senior Vice President and our Controller and Chief Accounting Officer for more than five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under this Item 10 has been omitted pursuant to General Instruction I(2)(c) to Form 10-K.</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table below sets forth certain information with respect to each of NBCUniversal’s executive officers as of December 31, 2013, each of whom has served as such since the close of the NBCUniversal transaction on January 28, 2011. The table also sets forth NBCUniversal Holdings’ directors as of December 31,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804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Title</w:t>
            </w:r>
          </w:p>
        </w:tc>
      </w:tr>
      <w:tr>
        <w:trPr>
          <w:trHeight w:val="199"/>
        </w:trPr>
        <w:tc>
          <w:tcPr>
            <w:tcW w:w="3380" w:type="dxa"/>
            <w:vAlign w:val="bottom"/>
          </w:tcPr>
          <w:p>
            <w:pPr>
              <w:spacing w:after="0" w:line="200" w:lineRule="exact"/>
              <w:rPr>
                <w:sz w:val="20"/>
                <w:szCs w:val="20"/>
                <w:color w:val="auto"/>
              </w:rPr>
            </w:pPr>
            <w:r>
              <w:rPr>
                <w:rFonts w:ascii="Arial" w:cs="Arial" w:eastAsia="Arial" w:hAnsi="Arial"/>
                <w:sz w:val="18"/>
                <w:szCs w:val="18"/>
                <w:color w:val="auto"/>
              </w:rPr>
              <w:t>Brian L. Roberts</w:t>
            </w:r>
          </w:p>
        </w:tc>
        <w:tc>
          <w:tcPr>
            <w:tcW w:w="8040" w:type="dxa"/>
            <w:vAlign w:val="bottom"/>
          </w:tcPr>
          <w:p>
            <w:pPr>
              <w:ind w:left="1780"/>
              <w:spacing w:after="0" w:line="200" w:lineRule="exact"/>
              <w:rPr>
                <w:sz w:val="20"/>
                <w:szCs w:val="20"/>
                <w:color w:val="auto"/>
              </w:rPr>
            </w:pPr>
            <w:r>
              <w:rPr>
                <w:rFonts w:ascii="Arial" w:cs="Arial" w:eastAsia="Arial" w:hAnsi="Arial"/>
                <w:sz w:val="18"/>
                <w:szCs w:val="18"/>
                <w:color w:val="auto"/>
              </w:rPr>
              <w:t>Principal Executive Officer</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Michael J. Angelakis</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Principal Financial Officer; Director of NBCUniversal Holdings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Stephen B. Burke</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David L. Cohen</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Executive Vice President; Director of NBCUniversal Holdings</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Arthur R. Block</w:t>
            </w:r>
          </w:p>
        </w:tc>
        <w:tc>
          <w:tcPr>
            <w:tcW w:w="8040" w:type="dxa"/>
            <w:vAlign w:val="bottom"/>
          </w:tcPr>
          <w:p>
            <w:pPr>
              <w:ind w:left="1780"/>
              <w:spacing w:after="0" w:line="202" w:lineRule="exact"/>
              <w:rPr>
                <w:sz w:val="20"/>
                <w:szCs w:val="20"/>
                <w:color w:val="auto"/>
              </w:rPr>
            </w:pPr>
            <w:r>
              <w:rPr>
                <w:rFonts w:ascii="Arial" w:cs="Arial" w:eastAsia="Arial" w:hAnsi="Arial"/>
                <w:sz w:val="18"/>
                <w:szCs w:val="18"/>
                <w:color w:val="auto"/>
              </w:rPr>
              <w:t>Senior Vice President; Director of NBCUniversal Holdings</w:t>
            </w:r>
          </w:p>
        </w:tc>
      </w:tr>
      <w:tr>
        <w:trPr>
          <w:trHeight w:val="199"/>
        </w:trPr>
        <w:tc>
          <w:tcPr>
            <w:tcW w:w="33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Lawrence J. Salva</w:t>
            </w:r>
          </w:p>
        </w:tc>
        <w:tc>
          <w:tcPr>
            <w:tcW w:w="8040" w:type="dxa"/>
            <w:vAlign w:val="bottom"/>
            <w:tcBorders>
              <w:bottom w:val="single" w:sz="8" w:color="auto"/>
            </w:tcBorders>
          </w:tcPr>
          <w:p>
            <w:pPr>
              <w:ind w:left="1780"/>
              <w:spacing w:after="0" w:line="200" w:lineRule="exact"/>
              <w:rPr>
                <w:sz w:val="20"/>
                <w:szCs w:val="20"/>
                <w:color w:val="auto"/>
              </w:rPr>
            </w:pPr>
            <w:r>
              <w:rPr>
                <w:rFonts w:ascii="Arial" w:cs="Arial" w:eastAsia="Arial" w:hAnsi="Arial"/>
                <w:sz w:val="18"/>
                <w:szCs w:val="18"/>
                <w:color w:val="auto"/>
              </w:rPr>
              <w:t>Senior Vice President</w:t>
            </w:r>
          </w:p>
        </w:tc>
      </w:tr>
    </w:tbl>
    <w:p>
      <w:pPr>
        <w:spacing w:after="0" w:line="16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For the year ended December 31, 2013, NBCUniversal reimbursed Comcast approximately $27 million for direct services provided by our executive officers.</w:t>
      </w: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color w:val="0C6DFF"/>
        </w:rPr>
        <w:t>Item 11: Executive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2014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ind w:right="520"/>
        <w:spacing w:after="0" w:line="260" w:lineRule="auto"/>
        <w:rPr>
          <w:sz w:val="20"/>
          <w:szCs w:val="20"/>
          <w:color w:val="auto"/>
        </w:rPr>
      </w:pPr>
      <w:r>
        <w:rPr>
          <w:rFonts w:ascii="Arial" w:cs="Arial" w:eastAsia="Arial" w:hAnsi="Arial"/>
          <w:sz w:val="24"/>
          <w:szCs w:val="24"/>
          <w:color w:val="0C6DFF"/>
        </w:rPr>
        <w:t>Item 12: 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2014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color w:val="0C6DFF"/>
        </w:rPr>
        <w:t>Item 13: Certain Relationships and Related Transactions, and Director Independence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Comcast incorporates the information required by this item by reference to its 2014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omitted for NBCUniversal pursuant to General Instruction I(2)(c) to Form 10-K.</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132</w:t>
            </w:r>
          </w:p>
        </w:tc>
      </w:tr>
    </w:tbl>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Item 14: Principal Accountant Fees and Services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Comcast incorporates the information required by this item by reference to its 2014 Proxy Statement, which it intends to file with the SEC on or before April 11,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Comcast’s Board of Directors appointed Deloitte &amp; Touche LLP as NBCUniversal’s independent registered public accounting firm for the years ended December 31, 2013 and 2012. Set forth below are the fees paid or accrued for the services of Deloitte &amp; Touche LLP, the member firms of Deloitte Touche Tohmatsu and their respective affiliates in 2013 and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2012</w:t>
            </w:r>
          </w:p>
        </w:tc>
      </w:tr>
      <w:tr>
        <w:trPr>
          <w:trHeight w:val="177"/>
        </w:trPr>
        <w:tc>
          <w:tcPr>
            <w:tcW w:w="5740" w:type="dxa"/>
            <w:vAlign w:val="bottom"/>
          </w:tcPr>
          <w:p>
            <w:pPr>
              <w:spacing w:after="0" w:line="177" w:lineRule="exact"/>
              <w:rPr>
                <w:sz w:val="20"/>
                <w:szCs w:val="20"/>
                <w:color w:val="auto"/>
              </w:rPr>
            </w:pPr>
            <w:r>
              <w:rPr>
                <w:rFonts w:ascii="Arial" w:cs="Arial" w:eastAsia="Arial" w:hAnsi="Arial"/>
                <w:sz w:val="18"/>
                <w:szCs w:val="18"/>
                <w:color w:val="auto"/>
              </w:rPr>
              <w:t>Audit fees</w:t>
            </w:r>
          </w:p>
        </w:tc>
        <w:tc>
          <w:tcPr>
            <w:tcW w:w="44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76"/>
              <w:spacing w:after="0" w:line="177" w:lineRule="exact"/>
              <w:rPr>
                <w:sz w:val="20"/>
                <w:szCs w:val="20"/>
                <w:color w:val="auto"/>
              </w:rPr>
            </w:pPr>
            <w:r>
              <w:rPr>
                <w:rFonts w:ascii="Arial" w:cs="Arial" w:eastAsia="Arial" w:hAnsi="Arial"/>
                <w:sz w:val="18"/>
                <w:szCs w:val="18"/>
                <w:b w:val="1"/>
                <w:bCs w:val="1"/>
                <w:color w:val="auto"/>
              </w:rPr>
              <w:t>9.7</w:t>
            </w:r>
          </w:p>
        </w:tc>
        <w:tc>
          <w:tcPr>
            <w:tcW w:w="680" w:type="dxa"/>
            <w:vAlign w:val="bottom"/>
          </w:tcPr>
          <w:p>
            <w:pPr>
              <w:jc w:val="right"/>
              <w:ind w:right="16"/>
              <w:spacing w:after="0" w:line="177" w:lineRule="exact"/>
              <w:rPr>
                <w:sz w:val="20"/>
                <w:szCs w:val="20"/>
                <w:color w:val="auto"/>
              </w:rPr>
            </w:pPr>
            <w:r>
              <w:rPr>
                <w:rFonts w:ascii="Arial" w:cs="Arial" w:eastAsia="Arial" w:hAnsi="Arial"/>
                <w:sz w:val="18"/>
                <w:szCs w:val="18"/>
                <w:color w:val="auto"/>
              </w:rPr>
              <w:t>$ 8.4</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4480" w:type="dxa"/>
            <w:vAlign w:val="bottom"/>
          </w:tcPr>
          <w:p>
            <w:pPr>
              <w:spacing w:after="0"/>
              <w:rPr>
                <w:sz w:val="17"/>
                <w:szCs w:val="17"/>
                <w:color w:val="auto"/>
              </w:rPr>
            </w:pPr>
          </w:p>
        </w:tc>
        <w:tc>
          <w:tcPr>
            <w:tcW w:w="5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0.6</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0.4</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Tax fees</w:t>
            </w:r>
          </w:p>
        </w:tc>
        <w:tc>
          <w:tcPr>
            <w:tcW w:w="4480" w:type="dxa"/>
            <w:vAlign w:val="bottom"/>
          </w:tcPr>
          <w:p>
            <w:pPr>
              <w:spacing w:after="0"/>
              <w:rPr>
                <w:sz w:val="17"/>
                <w:szCs w:val="17"/>
                <w:color w:val="auto"/>
              </w:rPr>
            </w:pPr>
          </w:p>
        </w:tc>
        <w:tc>
          <w:tcPr>
            <w:tcW w:w="520" w:type="dxa"/>
            <w:vAlign w:val="bottom"/>
          </w:tcPr>
          <w:p>
            <w:pPr>
              <w:jc w:val="right"/>
              <w:ind w:right="76"/>
              <w:spacing w:after="0" w:line="202" w:lineRule="exact"/>
              <w:rPr>
                <w:sz w:val="20"/>
                <w:szCs w:val="20"/>
                <w:color w:val="auto"/>
              </w:rPr>
            </w:pPr>
            <w:r>
              <w:rPr>
                <w:rFonts w:ascii="Arial" w:cs="Arial" w:eastAsia="Arial" w:hAnsi="Arial"/>
                <w:sz w:val="18"/>
                <w:szCs w:val="18"/>
                <w:b w:val="1"/>
                <w:bCs w:val="1"/>
                <w:color w:val="auto"/>
              </w:rPr>
              <w:t>0.2</w:t>
            </w: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0.6</w:t>
            </w:r>
          </w:p>
        </w:tc>
      </w:tr>
      <w:tr>
        <w:trPr>
          <w:trHeight w:val="221"/>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other fees</w:t>
            </w:r>
          </w:p>
        </w:tc>
        <w:tc>
          <w:tcPr>
            <w:tcW w:w="4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0.2</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0.1</w:t>
            </w:r>
          </w:p>
        </w:tc>
      </w:tr>
      <w:tr>
        <w:trPr>
          <w:trHeight w:val="196"/>
        </w:trPr>
        <w:tc>
          <w:tcPr>
            <w:tcW w:w="5740" w:type="dxa"/>
            <w:vAlign w:val="bottom"/>
            <w:tcBorders>
              <w:bottom w:val="single" w:sz="8" w:color="0C6DFF"/>
            </w:tcBorders>
          </w:tcPr>
          <w:p>
            <w:pPr>
              <w:spacing w:after="0"/>
              <w:rPr>
                <w:sz w:val="17"/>
                <w:szCs w:val="17"/>
                <w:color w:val="auto"/>
              </w:rPr>
            </w:pPr>
          </w:p>
        </w:tc>
        <w:tc>
          <w:tcPr>
            <w:tcW w:w="44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0C6DFF"/>
            </w:tcBorders>
          </w:tcPr>
          <w:p>
            <w:pPr>
              <w:jc w:val="right"/>
              <w:ind w:right="76"/>
              <w:spacing w:after="0" w:line="196" w:lineRule="exact"/>
              <w:rPr>
                <w:sz w:val="20"/>
                <w:szCs w:val="20"/>
                <w:color w:val="auto"/>
              </w:rPr>
            </w:pPr>
            <w:r>
              <w:rPr>
                <w:rFonts w:ascii="Arial" w:cs="Arial" w:eastAsia="Arial" w:hAnsi="Arial"/>
                <w:sz w:val="18"/>
                <w:szCs w:val="18"/>
                <w:b w:val="1"/>
                <w:bCs w:val="1"/>
                <w:color w:val="auto"/>
                <w:w w:val="96"/>
              </w:rPr>
              <w:t>10.7</w:t>
            </w:r>
          </w:p>
        </w:tc>
        <w:tc>
          <w:tcPr>
            <w:tcW w:w="680" w:type="dxa"/>
            <w:vAlign w:val="bottom"/>
            <w:tcBorders>
              <w:bottom w:val="single" w:sz="8" w:color="0C6DFF"/>
            </w:tcBorders>
          </w:tcPr>
          <w:p>
            <w:pPr>
              <w:jc w:val="right"/>
              <w:ind w:right="16"/>
              <w:spacing w:after="0" w:line="196" w:lineRule="exact"/>
              <w:rPr>
                <w:sz w:val="20"/>
                <w:szCs w:val="20"/>
                <w:color w:val="auto"/>
              </w:rPr>
            </w:pPr>
            <w:r>
              <w:rPr>
                <w:rFonts w:ascii="Arial" w:cs="Arial" w:eastAsia="Arial" w:hAnsi="Arial"/>
                <w:sz w:val="18"/>
                <w:szCs w:val="18"/>
                <w:color w:val="auto"/>
              </w:rPr>
              <w:t>$ 9.5</w:t>
            </w:r>
          </w:p>
        </w:tc>
      </w:tr>
    </w:tbl>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Audit fees consisted of fees paid or accrued for services rendered to NBCUniversal and its subsidiaries for the audits of its annual financial statements, reviews of its quarterly financial statements and audit services provided in connection with other statutory or regulatory filings.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in 2013 and 2012 consisted primarily of fees paid or accrued for audits associated with employee benefit plans.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Tax fees in 2013 and 2012 consisted of fees paid or accrued for domestic and foreign tax compliance services, including tax examination assistance. In 2012, tax compliance services included an analysis of tax accounting methods.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All other fees in 2013 and 2012 consisted of fees paid or accrued for various consulting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consolidated subsidiary of Comcast, NBCUniversal is subject to the policies of Comcast’s Audit Committee regarding the preapproval of services provided by the independent auditors. This policy requires that the Audit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Part IV</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color w:val="0C6DFF"/>
        </w:rPr>
        <w:t>Item 15: Exhibits and Financial Statement Schedules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Comcast’s consolidated financial statements are filed as a part of this report on Form 10-K in Item 8, Financial Statements and Supplementary Data, and a list of Comcast’s consolidated financial statements are found on page 77 of this report. Schedule II, Valuation and Qualifying Accounts, is found on page 177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Exhibits required to be filed by Item 601 of Regulation S-K (all of which are under Commission File No. 001-32871, except as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2.1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Transaction Agreement, dated February 12, 2013, by and among Comcast Corporation, General Electric Company, NBCUniversal, LLC,</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NBCUniversal Media, LLC, National Broadcasting Company Holding, Inc. and Navy Holdings, Inc. (n/k/a/ NBCUniversal Enterprise, Inc.)</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2.1 to Comcast’s Quarterly Report on Form 10-Q for the quarter ended March 31, 2013).</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2.2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Amendment to Transaction Agreement, dated March 19, 2013, by and among Comcast Corporation, General Electric Company,</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NBCUniversal, LLC, NBCUniversal Media, LLC, National Broadcasting Company Holding, Inc. and Navy Holdings, Inc. (n/k/a/</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NBCUniversal Enterprise, Inc.). (incorporated by reference to Exhibit 2.2 to Comcast’s Quarterly Report on Form 10-Q for the quarter</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ended March 31, 2013).</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Amended and Restated Articles of Incorporation of Comcast Corporation (incorporated by reference to Exhibit 3.1 to Comcast’s</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Quarterly Report on Form 10-Q for the quarter ended June 30, 2009).</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Amended and Restated By-Laws of Comcast Corporation (incorporated by reference to Exhibit 3.1 to Comcast’s Current Report on</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Form 8-K filed on November 23, 2011).</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Common Stock Certificate (incorporated by reference to Exhibit 4.1 to Comcast’s Annual Report on Form 10-K for the</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year ended December 31, 2002).</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Specimen Class A Special Common Stock Certificate (incorporated by reference to Exhibit 4.2 to Comcast’s Annual Report on Form 10-</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K for the year ended December 31, 2002).</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Indenture, dated January 7, 2003, between Comcast Corporation, the subsidiary guarantor party thereto, and The Bank of New York</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Mellon (f/k/a The Bank of New York), as trustee (incorporated by reference to Exhibit 4.4 to Comcast’s Annual Report on Form 10-K for</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the year ended December 31, 2008).</w:t>
            </w:r>
          </w:p>
        </w:tc>
        <w:tc>
          <w:tcPr>
            <w:tcW w:w="6560" w:type="dxa"/>
            <w:vAlign w:val="bottom"/>
          </w:tcPr>
          <w:p>
            <w:pPr>
              <w:spacing w:after="0"/>
              <w:rPr>
                <w:sz w:val="18"/>
                <w:szCs w:val="18"/>
                <w:color w:val="auto"/>
              </w:rPr>
            </w:pP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w w:val="97"/>
              </w:rPr>
              <w:t>Supplemental Indenture, dated March 25, 2003, to the Indenture between Comcast Corporation, the subsidiary guarantors party thereto,</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7"/>
              </w:rPr>
              <w:t>and The Bank of New York Mellon (f/k/a The Bank of New York), as trustee, dated January 7, 2003 (incorporated by reference to Exhibit</w:t>
            </w:r>
          </w:p>
        </w:tc>
      </w:tr>
      <w:tr>
        <w:trPr>
          <w:trHeight w:val="211"/>
        </w:trPr>
        <w:tc>
          <w:tcPr>
            <w:tcW w:w="540" w:type="dxa"/>
            <w:vAlign w:val="bottom"/>
          </w:tcPr>
          <w:p>
            <w:pPr>
              <w:spacing w:after="0"/>
              <w:rPr>
                <w:sz w:val="18"/>
                <w:szCs w:val="18"/>
                <w:color w:val="auto"/>
              </w:rPr>
            </w:pP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4.5 to Comcast’s Annual Report on Form 10-K for the year ended December 31, 2008).</w:t>
            </w:r>
          </w:p>
        </w:tc>
      </w:tr>
      <w:tr>
        <w:trPr>
          <w:trHeight w:val="262"/>
        </w:trPr>
        <w:tc>
          <w:tcPr>
            <w:tcW w:w="54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2"/>
          </w:tcPr>
          <w:p>
            <w:pPr>
              <w:ind w:left="280"/>
              <w:spacing w:after="0"/>
              <w:rPr>
                <w:sz w:val="20"/>
                <w:szCs w:val="20"/>
                <w:color w:val="auto"/>
              </w:rPr>
            </w:pPr>
            <w:r>
              <w:rPr>
                <w:rFonts w:ascii="Arial" w:cs="Arial" w:eastAsia="Arial" w:hAnsi="Arial"/>
                <w:sz w:val="18"/>
                <w:szCs w:val="18"/>
                <w:color w:val="auto"/>
              </w:rPr>
              <w:t>Second Supplemental Indenture, dated August 31, 2009, to the Indenture between Comcast Corporation, the subsidiary guarantors</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party thereto, and The Bank of New York Mellon, as Trustee, dated January 7, 2003, as supplemented by a First Supplemental</w:t>
            </w:r>
          </w:p>
        </w:tc>
      </w:tr>
      <w:tr>
        <w:trPr>
          <w:trHeight w:val="203"/>
        </w:trPr>
        <w:tc>
          <w:tcPr>
            <w:tcW w:w="540" w:type="dxa"/>
            <w:vAlign w:val="bottom"/>
          </w:tcPr>
          <w:p>
            <w:pPr>
              <w:spacing w:after="0"/>
              <w:rPr>
                <w:sz w:val="17"/>
                <w:szCs w:val="17"/>
                <w:color w:val="auto"/>
              </w:rPr>
            </w:pPr>
          </w:p>
        </w:tc>
        <w:tc>
          <w:tcPr>
            <w:tcW w:w="1088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Indenture dated March 25, 2003 (incorporated by reference to Exhibit 4.1 to Comcast’s Current Report on Form 8-K filed on September</w:t>
            </w:r>
          </w:p>
        </w:tc>
      </w:tr>
      <w:tr>
        <w:trPr>
          <w:trHeight w:val="211"/>
        </w:trPr>
        <w:tc>
          <w:tcPr>
            <w:tcW w:w="54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2, 2009).</w:t>
            </w:r>
          </w:p>
        </w:tc>
        <w:tc>
          <w:tcPr>
            <w:tcW w:w="6560" w:type="dxa"/>
            <w:vAlign w:val="bottom"/>
          </w:tcPr>
          <w:p>
            <w:pPr>
              <w:spacing w:after="0"/>
              <w:rPr>
                <w:sz w:val="18"/>
                <w:szCs w:val="18"/>
                <w:color w:val="auto"/>
              </w:rPr>
            </w:pPr>
          </w:p>
        </w:tc>
      </w:tr>
      <w:tr>
        <w:trPr>
          <w:trHeight w:val="501"/>
        </w:trPr>
        <w:tc>
          <w:tcPr>
            <w:tcW w:w="486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6560" w:type="dxa"/>
            <w:vAlign w:val="bottom"/>
          </w:tcPr>
          <w:p>
            <w:pPr>
              <w:jc w:val="right"/>
              <w:ind w:right="5532"/>
              <w:spacing w:after="0"/>
              <w:rPr>
                <w:sz w:val="20"/>
                <w:szCs w:val="20"/>
                <w:color w:val="auto"/>
              </w:rPr>
            </w:pPr>
            <w:r>
              <w:rPr>
                <w:rFonts w:ascii="Arial" w:cs="Arial" w:eastAsia="Arial" w:hAnsi="Arial"/>
                <w:sz w:val="14"/>
                <w:szCs w:val="14"/>
                <w:b w:val="1"/>
                <w:bCs w:val="1"/>
                <w:color w:val="auto"/>
              </w:rPr>
              <w:t>134</w:t>
            </w: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jc w:val="center"/>
              <w:ind w:right="252"/>
              <w:spacing w:after="0"/>
              <w:rPr>
                <w:sz w:val="20"/>
                <w:szCs w:val="20"/>
                <w:color w:val="auto"/>
              </w:rPr>
            </w:pPr>
            <w:r>
              <w:rPr>
                <w:rFonts w:ascii="Arial" w:cs="Arial" w:eastAsia="Arial" w:hAnsi="Arial"/>
                <w:sz w:val="18"/>
                <w:szCs w:val="18"/>
                <w:color w:val="auto"/>
                <w:w w:val="95"/>
              </w:rPr>
              <w:t>4.6</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7"/>
              </w:rPr>
              <w:t>Third Supplemental Indenture, dated March 27, 2013, to the Indenture between Comcast Corporation, the subsidiary guarantors party</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thereto, and The Bank of New York Mellon (f/k/a The Bank of New York), as trustee, dated January 7, 2003, as supplemented by a</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First Supplemental Indenture dated March 25, 2003 and a second Supplemental Indenture dated August 31, 2009 (incorporated by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reference to Exhibit 4.4 to Comcast’s Quarterly Report on Form 10-Q for the quarter ended March 31, 2013).</w:t>
            </w:r>
          </w:p>
        </w:tc>
      </w:tr>
      <w:tr>
        <w:trPr>
          <w:trHeight w:val="262"/>
        </w:trPr>
        <w:tc>
          <w:tcPr>
            <w:tcW w:w="700" w:type="dxa"/>
            <w:vAlign w:val="bottom"/>
          </w:tcPr>
          <w:p>
            <w:pPr>
              <w:jc w:val="center"/>
              <w:ind w:right="252"/>
              <w:spacing w:after="0"/>
              <w:rPr>
                <w:sz w:val="20"/>
                <w:szCs w:val="20"/>
                <w:color w:val="auto"/>
              </w:rPr>
            </w:pPr>
            <w:r>
              <w:rPr>
                <w:rFonts w:ascii="Arial" w:cs="Arial" w:eastAsia="Arial" w:hAnsi="Arial"/>
                <w:sz w:val="18"/>
                <w:szCs w:val="18"/>
                <w:color w:val="auto"/>
                <w:w w:val="95"/>
              </w:rPr>
              <w:t>4.7</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Indenture, dated as of April 30, 2010, between NBC Universal, Inc. (n/k/a NBCUniversal Media, LLC) and The Bank of New York</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Mellon, as trustee (incorporated by reference to Exhibit 4.1 to the Registration Statement on Form S-4 of NBCUniversal Media, LLC</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(Commission File No. 333-174175) filed on May 13, 2011).</w:t>
            </w:r>
          </w:p>
        </w:tc>
        <w:tc>
          <w:tcPr>
            <w:tcW w:w="2820" w:type="dxa"/>
            <w:vAlign w:val="bottom"/>
          </w:tcPr>
          <w:p>
            <w:pPr>
              <w:spacing w:after="0"/>
              <w:rPr>
                <w:sz w:val="18"/>
                <w:szCs w:val="18"/>
                <w:color w:val="auto"/>
              </w:rPr>
            </w:pPr>
          </w:p>
        </w:tc>
      </w:tr>
      <w:tr>
        <w:trPr>
          <w:trHeight w:val="262"/>
        </w:trPr>
        <w:tc>
          <w:tcPr>
            <w:tcW w:w="700" w:type="dxa"/>
            <w:vAlign w:val="bottom"/>
          </w:tcPr>
          <w:p>
            <w:pPr>
              <w:jc w:val="center"/>
              <w:ind w:right="252"/>
              <w:spacing w:after="0"/>
              <w:rPr>
                <w:sz w:val="20"/>
                <w:szCs w:val="20"/>
                <w:color w:val="auto"/>
              </w:rPr>
            </w:pPr>
            <w:r>
              <w:rPr>
                <w:rFonts w:ascii="Arial" w:cs="Arial" w:eastAsia="Arial" w:hAnsi="Arial"/>
                <w:sz w:val="18"/>
                <w:szCs w:val="18"/>
                <w:color w:val="auto"/>
                <w:w w:val="95"/>
              </w:rPr>
              <w:t>4.8</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First Supplemental Indenture, dated March 27, 2013, to the Indenture between NBCUniversal Media, LLC (f/k/a NBC Universal, Inc.)</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and The Bank of New York Mellon, as trustee, dated April 30, 2010 (incorporated by reference to Exhibit 4.3 to Comcast’s Quarterly</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Report on Form 10-Q for the quarter ended March 31, 2013).</w:t>
            </w:r>
          </w:p>
        </w:tc>
        <w:tc>
          <w:tcPr>
            <w:tcW w:w="2820" w:type="dxa"/>
            <w:vAlign w:val="bottom"/>
          </w:tcPr>
          <w:p>
            <w:pPr>
              <w:spacing w:after="0"/>
              <w:rPr>
                <w:sz w:val="18"/>
                <w:szCs w:val="18"/>
                <w:color w:val="auto"/>
              </w:rPr>
            </w:pPr>
          </w:p>
        </w:tc>
      </w:tr>
      <w:tr>
        <w:trPr>
          <w:trHeight w:val="262"/>
        </w:trPr>
        <w:tc>
          <w:tcPr>
            <w:tcW w:w="700" w:type="dxa"/>
            <w:vAlign w:val="bottom"/>
          </w:tcPr>
          <w:p>
            <w:pPr>
              <w:jc w:val="center"/>
              <w:ind w:right="252"/>
              <w:spacing w:after="0"/>
              <w:rPr>
                <w:sz w:val="20"/>
                <w:szCs w:val="20"/>
                <w:color w:val="auto"/>
              </w:rPr>
            </w:pPr>
            <w:r>
              <w:rPr>
                <w:rFonts w:ascii="Arial" w:cs="Arial" w:eastAsia="Arial" w:hAnsi="Arial"/>
                <w:sz w:val="18"/>
                <w:szCs w:val="18"/>
                <w:color w:val="auto"/>
                <w:w w:val="95"/>
              </w:rPr>
              <w:t>4.9</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Indenture, dated March 19, 2013, among NBCUniversal Enterprise, Inc. (f/k/a Navy Holdings, Inc.), Comcast Corporation, the Cable</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Guarantors party thereto, and The Bank of New York Mellon, as trustee (incorporated by reference to Exhibit 4.1 to Comcast’s</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Quarterly Report on Form 10-Q for the quarter ended March 31, 2013).</w:t>
            </w:r>
          </w:p>
        </w:tc>
        <w:tc>
          <w:tcPr>
            <w:tcW w:w="2820" w:type="dxa"/>
            <w:vAlign w:val="bottom"/>
          </w:tcPr>
          <w:p>
            <w:pPr>
              <w:spacing w:after="0"/>
              <w:rPr>
                <w:sz w:val="18"/>
                <w:szCs w:val="18"/>
                <w:color w:val="auto"/>
              </w:rPr>
            </w:pPr>
          </w:p>
        </w:tc>
      </w:tr>
      <w:tr>
        <w:trPr>
          <w:trHeight w:val="262"/>
        </w:trPr>
        <w:tc>
          <w:tcPr>
            <w:tcW w:w="700" w:type="dxa"/>
            <w:vAlign w:val="bottom"/>
          </w:tcPr>
          <w:p>
            <w:pPr>
              <w:spacing w:after="0"/>
              <w:rPr>
                <w:sz w:val="22"/>
                <w:szCs w:val="22"/>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Certain instruments defining the rights of holders of long-term obligation of the registrant and certain of its subsidiaries (the total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amount of securities authorized under each of which does not exceed ten percent of the total assets of the registrant and its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subsidiaries on a consolidated basis), are omitted pursuant to Item 601(b)(4)(iii)(A) of Regulation S-K. We agree to furnish copies of</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any such instruments to the SEC upon request.</w:t>
            </w:r>
          </w:p>
        </w:tc>
        <w:tc>
          <w:tcPr>
            <w:tcW w:w="2820" w:type="dxa"/>
            <w:vAlign w:val="bottom"/>
          </w:tcPr>
          <w:p>
            <w:pPr>
              <w:spacing w:after="0"/>
              <w:rPr>
                <w:sz w:val="18"/>
                <w:szCs w:val="18"/>
                <w:color w:val="auto"/>
              </w:rPr>
            </w:pPr>
          </w:p>
        </w:tc>
      </w:tr>
      <w:tr>
        <w:trPr>
          <w:trHeight w:val="262"/>
        </w:trPr>
        <w:tc>
          <w:tcPr>
            <w:tcW w:w="700" w:type="dxa"/>
            <w:vAlign w:val="bottom"/>
          </w:tcPr>
          <w:p>
            <w:pPr>
              <w:jc w:val="center"/>
              <w:ind w:right="272"/>
              <w:spacing w:after="0"/>
              <w:rPr>
                <w:sz w:val="20"/>
                <w:szCs w:val="20"/>
                <w:color w:val="auto"/>
              </w:rPr>
            </w:pPr>
            <w:r>
              <w:rPr>
                <w:rFonts w:ascii="Arial" w:cs="Arial" w:eastAsia="Arial" w:hAnsi="Arial"/>
                <w:sz w:val="18"/>
                <w:szCs w:val="18"/>
                <w:color w:val="auto"/>
                <w:w w:val="96"/>
              </w:rPr>
              <w:t>10.1</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Credit Agreement dated as of June 6, 2012 among Comcast Corporation, Comcast Cable Communications, LLC, the Financial</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Institutions party thereto and JP Morgan Chase Bank, N.A., as Administrative Agent and the Issuing Lender (incorporated by</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reference to Exhibit 10.1 to Comcast’s Quarterly Report on Form 10-Q for the quarter ended June 30, 2012).</w:t>
            </w:r>
          </w:p>
        </w:tc>
      </w:tr>
      <w:tr>
        <w:trPr>
          <w:trHeight w:val="262"/>
        </w:trPr>
        <w:tc>
          <w:tcPr>
            <w:tcW w:w="700" w:type="dxa"/>
            <w:vAlign w:val="bottom"/>
          </w:tcPr>
          <w:p>
            <w:pPr>
              <w:jc w:val="center"/>
              <w:ind w:right="272"/>
              <w:spacing w:after="0"/>
              <w:rPr>
                <w:sz w:val="20"/>
                <w:szCs w:val="20"/>
                <w:color w:val="auto"/>
              </w:rPr>
            </w:pPr>
            <w:r>
              <w:rPr>
                <w:rFonts w:ascii="Arial" w:cs="Arial" w:eastAsia="Arial" w:hAnsi="Arial"/>
                <w:sz w:val="18"/>
                <w:szCs w:val="18"/>
                <w:color w:val="auto"/>
                <w:w w:val="96"/>
              </w:rPr>
              <w:t>10.2</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9"/>
              </w:rPr>
              <w:t>Amended and Restated Credit Agreement, dated as of March 19, 2013, among NBCUniversal Enterprise, Inc. (f/k/a Navy Holdings,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Inc.), as Borrower, the Financial Institutions party thereto, JPMorgan Chase Bank, N.A., as Administrative Agent and the other agents</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8"/>
              </w:rPr>
              <w:t>party thereto (incorporated by reference to Exhibit 10.1 to Comcast’s Quarterly Report on Form 10-Q for the quarter ended March 31,</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2013).</w:t>
            </w:r>
          </w:p>
        </w:tc>
        <w:tc>
          <w:tcPr>
            <w:tcW w:w="2820" w:type="dxa"/>
            <w:vAlign w:val="bottom"/>
          </w:tcPr>
          <w:p>
            <w:pPr>
              <w:spacing w:after="0"/>
              <w:rPr>
                <w:sz w:val="18"/>
                <w:szCs w:val="18"/>
                <w:color w:val="auto"/>
              </w:rPr>
            </w:pPr>
          </w:p>
        </w:tc>
      </w:tr>
      <w:tr>
        <w:trPr>
          <w:trHeight w:val="262"/>
        </w:trPr>
        <w:tc>
          <w:tcPr>
            <w:tcW w:w="700" w:type="dxa"/>
            <w:vAlign w:val="bottom"/>
          </w:tcPr>
          <w:p>
            <w:pPr>
              <w:jc w:val="center"/>
              <w:ind w:right="272"/>
              <w:spacing w:after="0"/>
              <w:rPr>
                <w:sz w:val="20"/>
                <w:szCs w:val="20"/>
                <w:color w:val="auto"/>
              </w:rPr>
            </w:pPr>
            <w:r>
              <w:rPr>
                <w:rFonts w:ascii="Arial" w:cs="Arial" w:eastAsia="Arial" w:hAnsi="Arial"/>
                <w:sz w:val="18"/>
                <w:szCs w:val="18"/>
                <w:color w:val="auto"/>
                <w:w w:val="96"/>
              </w:rPr>
              <w:t>10.3</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Second Amended and Restated Certificate of Incorporation of NBCUniversal Enterprise, Inc. (f/k/a/ Navy Holdings, Inc.), dated March</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19, 2013 (incorporated by reference to Exhibit 10.3 to Comcast’s Quarterly Report on Form 10-Q for the quarter ended March 31,</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2013).</w:t>
            </w:r>
          </w:p>
        </w:tc>
        <w:tc>
          <w:tcPr>
            <w:tcW w:w="2820" w:type="dxa"/>
            <w:vAlign w:val="bottom"/>
          </w:tcPr>
          <w:p>
            <w:pPr>
              <w:spacing w:after="0"/>
              <w:rPr>
                <w:sz w:val="18"/>
                <w:szCs w:val="18"/>
                <w:color w:val="auto"/>
              </w:rPr>
            </w:pPr>
          </w:p>
        </w:tc>
      </w:tr>
      <w:tr>
        <w:trPr>
          <w:trHeight w:val="262"/>
        </w:trPr>
        <w:tc>
          <w:tcPr>
            <w:tcW w:w="700" w:type="dxa"/>
            <w:vAlign w:val="bottom"/>
          </w:tcPr>
          <w:p>
            <w:pPr>
              <w:jc w:val="center"/>
              <w:ind w:right="272"/>
              <w:spacing w:after="0"/>
              <w:rPr>
                <w:sz w:val="20"/>
                <w:szCs w:val="20"/>
                <w:color w:val="auto"/>
              </w:rPr>
            </w:pPr>
            <w:r>
              <w:rPr>
                <w:rFonts w:ascii="Arial" w:cs="Arial" w:eastAsia="Arial" w:hAnsi="Arial"/>
                <w:sz w:val="18"/>
                <w:szCs w:val="18"/>
                <w:color w:val="auto"/>
                <w:w w:val="96"/>
              </w:rPr>
              <w:t>10.4</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7"/>
              </w:rPr>
              <w:t>Certificate of Designations for Series A Cumulative Preferred Stock of NBCUniversal Enterprise, Inc. (f/k/a/ Navy Holdings, Inc.), dated</w:t>
            </w:r>
          </w:p>
        </w:tc>
      </w:tr>
      <w:tr>
        <w:trPr>
          <w:trHeight w:val="203"/>
        </w:trPr>
        <w:tc>
          <w:tcPr>
            <w:tcW w:w="700" w:type="dxa"/>
            <w:vAlign w:val="bottom"/>
          </w:tcPr>
          <w:p>
            <w:pPr>
              <w:spacing w:after="0"/>
              <w:rPr>
                <w:sz w:val="17"/>
                <w:szCs w:val="17"/>
                <w:color w:val="auto"/>
              </w:rPr>
            </w:pPr>
          </w:p>
        </w:tc>
        <w:tc>
          <w:tcPr>
            <w:tcW w:w="1072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March 19, 2013 (incorporated by reference to Exhibit 10.4 to Comcast’s Quarterly Report on Form 10-Q for the quarter ended March</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31, 2013).</w:t>
            </w:r>
          </w:p>
        </w:tc>
        <w:tc>
          <w:tcPr>
            <w:tcW w:w="2820" w:type="dxa"/>
            <w:vAlign w:val="bottom"/>
          </w:tcPr>
          <w:p>
            <w:pPr>
              <w:spacing w:after="0"/>
              <w:rPr>
                <w:sz w:val="18"/>
                <w:szCs w:val="18"/>
                <w:color w:val="auto"/>
              </w:rPr>
            </w:pPr>
          </w:p>
        </w:tc>
      </w:tr>
      <w:tr>
        <w:trPr>
          <w:trHeight w:val="262"/>
        </w:trPr>
        <w:tc>
          <w:tcPr>
            <w:tcW w:w="700" w:type="dxa"/>
            <w:vAlign w:val="bottom"/>
          </w:tcPr>
          <w:p>
            <w:pPr>
              <w:jc w:val="center"/>
              <w:ind w:right="272"/>
              <w:spacing w:after="0"/>
              <w:rPr>
                <w:sz w:val="20"/>
                <w:szCs w:val="20"/>
                <w:color w:val="auto"/>
              </w:rPr>
            </w:pPr>
            <w:r>
              <w:rPr>
                <w:rFonts w:ascii="Arial" w:cs="Arial" w:eastAsia="Arial" w:hAnsi="Arial"/>
                <w:sz w:val="18"/>
                <w:szCs w:val="18"/>
                <w:color w:val="auto"/>
                <w:w w:val="96"/>
              </w:rPr>
              <w:t>10.5</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Amendment to Certificate of Designations for Series A Cumulative Preferred Stock of NBCUniversal Enterprise, Inc. dated March 19,</w:t>
            </w:r>
          </w:p>
        </w:tc>
      </w:tr>
      <w:tr>
        <w:trPr>
          <w:trHeight w:val="211"/>
        </w:trPr>
        <w:tc>
          <w:tcPr>
            <w:tcW w:w="700" w:type="dxa"/>
            <w:vAlign w:val="bottom"/>
          </w:tcPr>
          <w:p>
            <w:pPr>
              <w:spacing w:after="0"/>
              <w:rPr>
                <w:sz w:val="18"/>
                <w:szCs w:val="18"/>
                <w:color w:val="auto"/>
              </w:rPr>
            </w:pP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w w:val="98"/>
              </w:rPr>
              <w:t>2013 (incorporated by reference to Exhibit 10.5 to Comcast’s Quarterly Report on Form 10-Q for the quarter ended March 31, 2013).</w:t>
            </w:r>
          </w:p>
        </w:tc>
      </w:tr>
      <w:tr>
        <w:trPr>
          <w:trHeight w:val="262"/>
        </w:trPr>
        <w:tc>
          <w:tcPr>
            <w:tcW w:w="700" w:type="dxa"/>
            <w:vAlign w:val="bottom"/>
          </w:tcPr>
          <w:p>
            <w:pPr>
              <w:jc w:val="right"/>
              <w:ind w:right="192"/>
              <w:spacing w:after="0"/>
              <w:rPr>
                <w:sz w:val="20"/>
                <w:szCs w:val="20"/>
                <w:color w:val="auto"/>
              </w:rPr>
            </w:pPr>
            <w:r>
              <w:rPr>
                <w:rFonts w:ascii="Arial" w:cs="Arial" w:eastAsia="Arial" w:hAnsi="Arial"/>
                <w:sz w:val="18"/>
                <w:szCs w:val="18"/>
                <w:color w:val="auto"/>
                <w:w w:val="95"/>
              </w:rPr>
              <w:t>10.6*</w:t>
            </w:r>
          </w:p>
        </w:tc>
        <w:tc>
          <w:tcPr>
            <w:tcW w:w="10720" w:type="dxa"/>
            <w:vAlign w:val="bottom"/>
            <w:gridSpan w:val="2"/>
          </w:tcPr>
          <w:p>
            <w:pPr>
              <w:ind w:left="280"/>
              <w:spacing w:after="0"/>
              <w:rPr>
                <w:sz w:val="20"/>
                <w:szCs w:val="20"/>
                <w:color w:val="auto"/>
              </w:rPr>
            </w:pPr>
            <w:r>
              <w:rPr>
                <w:rFonts w:ascii="Arial" w:cs="Arial" w:eastAsia="Arial" w:hAnsi="Arial"/>
                <w:sz w:val="18"/>
                <w:szCs w:val="18"/>
                <w:color w:val="auto"/>
              </w:rPr>
              <w:t>Comcast Corporation 2002 Stock Option Plan, as amended and restated effective December 9, 2008 (incorporated by reference to</w:t>
            </w:r>
          </w:p>
        </w:tc>
      </w:tr>
      <w:tr>
        <w:trPr>
          <w:trHeight w:val="211"/>
        </w:trPr>
        <w:tc>
          <w:tcPr>
            <w:tcW w:w="7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w w:val="99"/>
              </w:rPr>
              <w:t>Exhibit 10.2 to Comcast’s Annual Report on Form 10-K for the year ended December 31, 2008).</w:t>
            </w:r>
          </w:p>
        </w:tc>
        <w:tc>
          <w:tcPr>
            <w:tcW w:w="2820" w:type="dxa"/>
            <w:vAlign w:val="bottom"/>
          </w:tcPr>
          <w:p>
            <w:pPr>
              <w:spacing w:after="0"/>
              <w:rPr>
                <w:sz w:val="18"/>
                <w:szCs w:val="18"/>
                <w:color w:val="auto"/>
              </w:rPr>
            </w:pPr>
          </w:p>
        </w:tc>
      </w:tr>
      <w:tr>
        <w:trPr>
          <w:trHeight w:val="270"/>
        </w:trPr>
        <w:tc>
          <w:tcPr>
            <w:tcW w:w="700" w:type="dxa"/>
            <w:vAlign w:val="bottom"/>
          </w:tcPr>
          <w:p>
            <w:pPr>
              <w:jc w:val="right"/>
              <w:ind w:right="192"/>
              <w:spacing w:after="0"/>
              <w:rPr>
                <w:sz w:val="20"/>
                <w:szCs w:val="20"/>
                <w:color w:val="auto"/>
              </w:rPr>
            </w:pPr>
            <w:r>
              <w:rPr>
                <w:rFonts w:ascii="Arial" w:cs="Arial" w:eastAsia="Arial" w:hAnsi="Arial"/>
                <w:sz w:val="18"/>
                <w:szCs w:val="18"/>
                <w:color w:val="auto"/>
                <w:w w:val="95"/>
              </w:rPr>
              <w:t>10.7*</w:t>
            </w:r>
          </w:p>
        </w:tc>
        <w:tc>
          <w:tcPr>
            <w:tcW w:w="7900" w:type="dxa"/>
            <w:vAlign w:val="bottom"/>
          </w:tcPr>
          <w:p>
            <w:pPr>
              <w:ind w:left="280"/>
              <w:spacing w:after="0"/>
              <w:rPr>
                <w:sz w:val="20"/>
                <w:szCs w:val="20"/>
                <w:color w:val="auto"/>
              </w:rPr>
            </w:pPr>
            <w:r>
              <w:rPr>
                <w:rFonts w:ascii="Arial" w:cs="Arial" w:eastAsia="Arial" w:hAnsi="Arial"/>
                <w:sz w:val="18"/>
                <w:szCs w:val="18"/>
                <w:color w:val="auto"/>
              </w:rPr>
              <w:t>Comcast Corporation 2003 Stock Option Plan, as amended and restated October 22, 2013.</w:t>
            </w:r>
          </w:p>
        </w:tc>
        <w:tc>
          <w:tcPr>
            <w:tcW w:w="2820" w:type="dxa"/>
            <w:vAlign w:val="bottom"/>
          </w:tcPr>
          <w:p>
            <w:pPr>
              <w:spacing w:after="0"/>
              <w:rPr>
                <w:sz w:val="23"/>
                <w:szCs w:val="23"/>
                <w:color w:val="auto"/>
              </w:rPr>
            </w:pPr>
          </w:p>
        </w:tc>
      </w:tr>
      <w:tr>
        <w:trPr>
          <w:trHeight w:val="501"/>
        </w:trPr>
        <w:tc>
          <w:tcPr>
            <w:tcW w:w="700" w:type="dxa"/>
            <w:vAlign w:val="bottom"/>
          </w:tcPr>
          <w:p>
            <w:pPr>
              <w:spacing w:after="0"/>
              <w:rPr>
                <w:sz w:val="24"/>
                <w:szCs w:val="24"/>
                <w:color w:val="auto"/>
              </w:rPr>
            </w:pPr>
          </w:p>
        </w:tc>
        <w:tc>
          <w:tcPr>
            <w:tcW w:w="7900" w:type="dxa"/>
            <w:vAlign w:val="bottom"/>
          </w:tcPr>
          <w:p>
            <w:pPr>
              <w:ind w:left="4900"/>
              <w:spacing w:after="0"/>
              <w:rPr>
                <w:sz w:val="20"/>
                <w:szCs w:val="20"/>
                <w:color w:val="auto"/>
              </w:rPr>
            </w:pPr>
            <w:r>
              <w:rPr>
                <w:rFonts w:ascii="Arial" w:cs="Arial" w:eastAsia="Arial" w:hAnsi="Arial"/>
                <w:sz w:val="14"/>
                <w:szCs w:val="14"/>
                <w:b w:val="1"/>
                <w:bCs w:val="1"/>
                <w:color w:val="auto"/>
              </w:rPr>
              <w:t>135</w:t>
            </w:r>
          </w:p>
        </w:tc>
        <w:tc>
          <w:tcPr>
            <w:tcW w:w="2820" w:type="dxa"/>
            <w:vAlign w:val="bottom"/>
          </w:tcPr>
          <w:p>
            <w:pPr>
              <w:ind w:left="180"/>
              <w:spacing w:after="0"/>
              <w:rPr>
                <w:sz w:val="20"/>
                <w:szCs w:val="20"/>
                <w:color w:val="auto"/>
              </w:rPr>
            </w:pPr>
            <w:r>
              <w:rPr>
                <w:rFonts w:ascii="Arial" w:cs="Arial" w:eastAsia="Arial" w:hAnsi="Arial"/>
                <w:sz w:val="14"/>
                <w:szCs w:val="14"/>
                <w:color w:val="auto"/>
                <w:w w:val="95"/>
              </w:rPr>
              <w:t>Comcast 2013 Annual Report on Form 10-K</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Comcast Corporation 2002 Deferred Stock Option Plan, as amended and restated effective October 7, 2008 (incorporated by reference to Exhibit 10.2 to Comcast’s Quarterly Report on Form 10-Q for the quarter ended September 30, 2008).</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Comcast Corporation 2002 Deferred Compensation Plan, as amended and restated effective February 10, 2009 (incorporated by reference to Exhibit 10.5 to Comcast’s Annual Report on Form 10-K for the year ended December 31, 2009).</w:t>
      </w:r>
    </w:p>
    <w:p>
      <w:pPr>
        <w:spacing w:after="0" w:line="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Comcast Corporation 2005 Deferred Compensation Plan, as amended and restated, dated December 17, 2013.</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Comcast Corporation 2002 Restricted Stock Plan, as amended and restated effective August 29, 2012 (incorporated by reference to Exhibit 10.2 to Comcast’s Quarterly Report on Form 10-Q for the quarter ended September 30, 2012).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1992 Executive Split Dollar Insurance Plan (incorporated by reference to Exhibit 10.12 to the Comcast Holdings Corporation Annual Report on Form 10-K for the year ended December 31, 1992).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Comcast Corporation 2006 Cash Bonus Plan, as amended and restated effective February 22, 2011 (incorporated by reference to Exhibit 10.5 to Comcast’s Quarterly Report on Form 10-Q for the quarter ended March 31, 2011).</w:t>
      </w:r>
    </w:p>
    <w:p>
      <w:pPr>
        <w:spacing w:after="0" w:line="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Comcast Corporation Retirement-Investment Plan, as amended and restated effective January 1, 2014.</w:t>
      </w:r>
    </w:p>
    <w:p>
      <w:pPr>
        <w:spacing w:after="0" w:line="63"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Comcast Corporation 2002 Non-Employee Director Compensation Plan, as amended and restated effective May 14, 2013 (incorporated by reference to Exhibit 10.1 to Comcast’s Quarterly Report on Form 10-Q for the quarter ended June 30, 2013).</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Comcast Corporation 2002 Employee Stock Purchase Plan (incorporated by reference to Exhibit 10.3 to Comcast’s Quarterly Report on Form 10-Q for the quarter ended September 30, 2012).</w:t>
      </w:r>
    </w:p>
    <w:p>
      <w:pPr>
        <w:spacing w:after="0" w:line="60"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Comcast-NBCUniversal 2011 Employee Stock Purchase Plan (incorporated by reference to Exhibit 10.4 to Comcast’s Quarterly Report on Form 10-Q for the quarter ended September 30, 2012).</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Comcast Corporation Supplemental Executive Retirement Plan, as amended and restated effective January 1, 2005 (incorporated by reference to Exhibit 10.15 to Comcast’s Annual Report on Form 10-K for the year ended December 31, 2007).</w:t>
      </w:r>
    </w:p>
    <w:p>
      <w:pPr>
        <w:spacing w:after="0" w:line="60"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Employment Agreement between Comcast Corporation and Brian L. Roberts, dated as of June 1, 2005 (incorporated by reference to Exhibit 99.1 to Comcast’s Current Report on Form 8-K filed on August 5, 2005).</w:t>
      </w:r>
    </w:p>
    <w:p>
      <w:pPr>
        <w:spacing w:after="0" w:line="60" w:lineRule="exact"/>
        <w:rPr>
          <w:sz w:val="20"/>
          <w:szCs w:val="20"/>
          <w:color w:val="auto"/>
        </w:rPr>
      </w:pPr>
    </w:p>
    <w:p>
      <w:pPr>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to Employment Agreement between Comcast Corporation and Brian L. Roberts, dated as of February 13, 2009 (incorporated by reference to Exhibit 99.1 to Comcast’s Current Report on Form 8-K filed on February 13, 2009).</w:t>
      </w:r>
    </w:p>
    <w:p>
      <w:pPr>
        <w:spacing w:after="0" w:line="60" w:lineRule="exact"/>
        <w:rPr>
          <w:sz w:val="20"/>
          <w:szCs w:val="20"/>
          <w:color w:val="auto"/>
        </w:rPr>
      </w:pPr>
    </w:p>
    <w:p>
      <w:pPr>
        <w:ind w:left="1080" w:hanging="1066"/>
        <w:spacing w:after="0" w:line="299" w:lineRule="auto"/>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Amendment No. 2 to Employment Agreement between Comcast Corporation and Brian L. Roberts, dated as of December 31, 2009 (incorporated by reference to Exhibit 10.23 to Comcast’s Annual Report on Form 10-K for the year ended December 31, 2009).</w:t>
      </w:r>
    </w:p>
    <w:p>
      <w:pPr>
        <w:spacing w:after="0" w:line="14" w:lineRule="exact"/>
        <w:rPr>
          <w:sz w:val="20"/>
          <w:szCs w:val="20"/>
          <w:color w:val="auto"/>
        </w:rPr>
      </w:pPr>
    </w:p>
    <w:p>
      <w:pPr>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Amendment No. 3 to Employment Agreement between Comcast Corporation and Brian L. Roberts, dated as of June 30, 2010 (incorporated by reference to Exhibit 99.1 to Comcast’s Current Report on Form 8-K filed on July 7, 2010).</w:t>
      </w:r>
    </w:p>
    <w:p>
      <w:pPr>
        <w:spacing w:after="0" w:line="60" w:lineRule="exact"/>
        <w:rPr>
          <w:sz w:val="20"/>
          <w:szCs w:val="20"/>
          <w:color w:val="auto"/>
        </w:rPr>
      </w:pPr>
    </w:p>
    <w:p>
      <w:pPr>
        <w:ind w:left="1080" w:hanging="1066"/>
        <w:spacing w:after="0" w:line="299" w:lineRule="auto"/>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Amendment No. 4 to Employment Agreement between Comcast Corporation and Brian L. Roberts, dated as of December 31, 2010 (incorporated by reference to Exhibit 10.25 to Comcast’s Annual Report on Form 10-K for the year ended December 31, 2010).</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136</w:t>
            </w: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5 to Employment Agreement between Comcast Corporation and Brian L. Roberts, dated as of June 30, 2011 (incorporated by reference to Exhibit 99.1 to Comcast’s Current Report on Form 8-K filed on July 1, 2011).</w:t>
      </w:r>
    </w:p>
    <w:p>
      <w:pPr>
        <w:spacing w:after="0" w:line="60" w:lineRule="exact"/>
        <w:rPr>
          <w:sz w:val="20"/>
          <w:szCs w:val="20"/>
          <w:color w:val="auto"/>
        </w:rPr>
      </w:pPr>
    </w:p>
    <w:p>
      <w:pPr>
        <w:jc w:val="both"/>
        <w:ind w:left="1080" w:hanging="1066"/>
        <w:spacing w:after="0" w:line="299"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Amendment No. 6 to Employment Agreement between Comcast Corporation and Brian L. Roberts, dated as of December 15, 2011 (incorporated by reference to Exhibit 10.21 to Comcast’s Annual Report on Form 10-K for the year ended December 31, 2011).</w:t>
      </w:r>
    </w:p>
    <w:p>
      <w:pPr>
        <w:spacing w:after="0" w:line="14"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No. 7 to Employment Agreement between Comcast Corporation and Brian L. Roberts, effective as of June 30, 2012 (incorporated by reference to Exhibit 99.1 to Comcast’s Current Report on Form 8-K filed on September 14, 2012).</w:t>
      </w:r>
    </w:p>
    <w:p>
      <w:pPr>
        <w:spacing w:after="0" w:line="60" w:lineRule="exact"/>
        <w:rPr>
          <w:sz w:val="20"/>
          <w:szCs w:val="20"/>
          <w:color w:val="auto"/>
        </w:rPr>
      </w:pPr>
    </w:p>
    <w:p>
      <w:pPr>
        <w:jc w:val="both"/>
        <w:ind w:left="1080" w:hanging="1066"/>
        <w:spacing w:after="0" w:line="299" w:lineRule="auto"/>
        <w:tabs>
          <w:tab w:leader="none" w:pos="10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Amendment No. 8 to Employment Agreement between Comcast Corporation and Brian L. Roberts, dated as of December 14, 2012 (incorporated by reference to Exhibit 10.23 to Comcast’s Annual Report on Form 10-K for the year ended December 31, 2012).</w:t>
      </w:r>
    </w:p>
    <w:p>
      <w:pPr>
        <w:spacing w:after="0" w:line="14"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No. 10 to Employment Agreement with Brian L. Roberts, effective as of June 30, 2013 (incorporated by reference to Exhibit 99.1 to Comcast’s Current Report on Form 8-K filed on July 24, 2013).</w:t>
      </w:r>
    </w:p>
    <w:p>
      <w:pPr>
        <w:spacing w:after="0" w:line="6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Amendment No. 11 to Employment Agreement with Brian L. Roberts, effective as of December 18, 2013.</w:t>
      </w:r>
    </w:p>
    <w:p>
      <w:pPr>
        <w:spacing w:after="0" w:line="63" w:lineRule="exact"/>
        <w:rPr>
          <w:sz w:val="20"/>
          <w:szCs w:val="20"/>
          <w:color w:val="auto"/>
        </w:rPr>
      </w:pPr>
    </w:p>
    <w:p>
      <w:pPr>
        <w:jc w:val="both"/>
        <w:ind w:left="1080" w:right="20" w:hanging="1066"/>
        <w:spacing w:after="0" w:line="239" w:lineRule="auto"/>
        <w:tabs>
          <w:tab w:leader="none" w:pos="10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Notice of Rights Waiver from Brian L. Roberts dated February 13, 2009 (incorporated by reference to Exhibit 99.2 to Comcast’s Current Report on Form 8-K filed on February 13, 2009).</w:t>
      </w:r>
    </w:p>
    <w:p>
      <w:pPr>
        <w:spacing w:after="0" w:line="60"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Notice of Termination from Brian L. Roberts dated February 13, 2009 (incorporated by reference to Exhibit 99.3 to Comcast’s Current Report on Form 8-K filed on February 13, 2009).</w:t>
      </w:r>
    </w:p>
    <w:p>
      <w:pPr>
        <w:spacing w:after="0" w:line="60"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Employment Agreement between Comcast Corporation and Ralph J. Roberts dated December 27, 2007 (incorporated by reference to Exhibit 99.1 to Comcast’s Current Report on Form 8-K filed on December 28, 2007).</w:t>
      </w:r>
    </w:p>
    <w:p>
      <w:pPr>
        <w:spacing w:after="0" w:line="60" w:lineRule="exact"/>
        <w:rPr>
          <w:sz w:val="20"/>
          <w:szCs w:val="20"/>
          <w:color w:val="auto"/>
        </w:rPr>
      </w:pPr>
    </w:p>
    <w:p>
      <w:pPr>
        <w:jc w:val="both"/>
        <w:ind w:left="1080" w:hanging="1066"/>
        <w:spacing w:after="0" w:line="239" w:lineRule="auto"/>
        <w:tabs>
          <w:tab w:leader="none" w:pos="10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Amendment to Employment Agreement between Comcast Corporation and Ralph J. Roberts dated as of January 1, 2008 (incorporated by reference to Exhibit 99.1 to Comcast’s Current Report on Form 8-K filed on February 13, 2008).</w:t>
      </w:r>
    </w:p>
    <w:p>
      <w:pPr>
        <w:spacing w:after="0" w:line="60" w:lineRule="exact"/>
        <w:rPr>
          <w:sz w:val="20"/>
          <w:szCs w:val="20"/>
          <w:color w:val="auto"/>
        </w:rPr>
      </w:pPr>
    </w:p>
    <w:p>
      <w:pPr>
        <w:jc w:val="both"/>
        <w:ind w:left="1080" w:hanging="1066"/>
        <w:spacing w:after="0" w:line="281" w:lineRule="auto"/>
        <w:tabs>
          <w:tab w:leader="none" w:pos="10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(Commission File No. 001-15471) for the year ended December 31, 1993).</w:t>
      </w:r>
    </w:p>
    <w:p>
      <w:pPr>
        <w:spacing w:after="0" w:line="2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Compensation and Deferred Compensation Agreement between Comcast Holdings Corporation and Ralph J. Roberts, as amended and restated August 31, 1998 (incorporated by reference to Exhibit 10.1 to the Comcast Holdings Corporation Quarterly Report on Form 10-Q (Commission File No. 001-15471) for the quarter ended September 30, 1998).</w:t>
      </w:r>
    </w:p>
    <w:p>
      <w:pPr>
        <w:spacing w:after="0" w:line="5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Amendment Agreement to Compensation and Deferred Compensation Agreement between Comcast Holdings Corporation and Ralph J. Roberts, dated as of August 19, 1999 (incorporated by reference to Exhibit 10.2 to the Comcast Holdings Corporation Quarterly Report on Form 10-Q (Commission File No. 001-15471) for the quarter ended March 31, 2000).</w:t>
      </w:r>
    </w:p>
    <w:p>
      <w:pPr>
        <w:spacing w:after="0" w:line="59" w:lineRule="exact"/>
        <w:rPr>
          <w:sz w:val="20"/>
          <w:szCs w:val="20"/>
          <w:color w:val="auto"/>
        </w:rPr>
      </w:pPr>
    </w:p>
    <w:p>
      <w:pPr>
        <w:jc w:val="both"/>
        <w:ind w:left="1080" w:hanging="1066"/>
        <w:spacing w:after="0" w:line="238" w:lineRule="auto"/>
        <w:tabs>
          <w:tab w:leader="none" w:pos="106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Amendment to Compensation and Deferred Compensation Agreement between Comcast Holdings Corporation and Ralph J. Roberts, dated as of June 5, 2001 (incorporated by reference to Exhibit 10.8 to the Comcast Holdings Corporation Annual Report on Form 10-K (Commission File No. 001-15471) for the year ended December 31, 2001).</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137</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jc w:val="both"/>
        <w:ind w:left="1120" w:hanging="1120"/>
        <w:spacing w:after="0" w:line="238" w:lineRule="auto"/>
        <w:tabs>
          <w:tab w:leader="none" w:pos="11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January 24, 2002 (incorporated by reference to Exhibit 10.16 to Comcast’s Annual Report on Form 10-K for the year ended December 31, 2002).</w:t>
      </w:r>
    </w:p>
    <w:p>
      <w:pPr>
        <w:spacing w:after="0" w:line="59" w:lineRule="exact"/>
        <w:rPr>
          <w:sz w:val="20"/>
          <w:szCs w:val="20"/>
          <w:color w:val="auto"/>
        </w:rPr>
      </w:pPr>
    </w:p>
    <w:p>
      <w:pPr>
        <w:jc w:val="both"/>
        <w:ind w:left="1120" w:hanging="1120"/>
        <w:spacing w:after="0" w:line="238" w:lineRule="auto"/>
        <w:tabs>
          <w:tab w:leader="none" w:pos="11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Amendment to Compensation and Deferred Compensation Agreement between Comcast Corporation and Ralph J. Roberts, dated as of November 18, 2002 (incorporated by reference to Exhibit 10.17 to Comcast’s Annual Report on Form 10-K for the year ended December 31, 2002).</w:t>
      </w:r>
    </w:p>
    <w:p>
      <w:pPr>
        <w:spacing w:after="0" w:line="59"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Second Amendment to Agreement between Comcast Corporation and Ralph J. Roberts, dated as of December 10, 2008 (incorporated by reference to Exhibit 10.2 to Comcast’s Quarterly Report on Form 10-Q for the quarter ended June 30, 2009).</w:t>
      </w:r>
    </w:p>
    <w:p>
      <w:pPr>
        <w:spacing w:after="0" w:line="60" w:lineRule="exact"/>
        <w:rPr>
          <w:sz w:val="20"/>
          <w:szCs w:val="20"/>
          <w:color w:val="auto"/>
        </w:rPr>
      </w:pPr>
    </w:p>
    <w:p>
      <w:pPr>
        <w:jc w:val="both"/>
        <w:ind w:left="1120" w:hanging="1120"/>
        <w:spacing w:after="0" w:line="299" w:lineRule="auto"/>
        <w:tabs>
          <w:tab w:leader="none" w:pos="11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Insurance Premium Termination Agreement between Comcast Corporation and Ralph J. Roberts, effective as of January 30, 2004 (incorporated by reference to Exhibit 10.1 to Comcast’s Quarterly Report on Form 10-Q for the quarter ended March 31, 2004).</w:t>
      </w:r>
    </w:p>
    <w:p>
      <w:pPr>
        <w:spacing w:after="0" w:line="14"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Employment Agreement between Comcast Corporation and Michael J. Angelakis, dated as of November 22, 2011 (incorporated by reference to Exhibit 99.1 to Comcast’s Current Report on Form 8-K filed on November 23, 2011).</w:t>
      </w:r>
    </w:p>
    <w:p>
      <w:pPr>
        <w:spacing w:after="0" w:line="60"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Employment Agreement between Comcast Corporation and Stephen B. Burke, dated as of December 16, 2009 (incorporated by reference to Exhibit 99.1 to Comcast’s Current Report on Form 8-K filed on December 22, 2009).</w:t>
      </w:r>
    </w:p>
    <w:p>
      <w:pPr>
        <w:spacing w:after="0" w:line="60"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Amendment No. 2 to Employment Agreement with Stephen B. Burke dated as of August 16, 2013 (incorporated by reference to Exhibit 99.1 to Comcast’s Current Report on Form 8-K filed on August 16, 2013).</w:t>
      </w:r>
    </w:p>
    <w:p>
      <w:pPr>
        <w:spacing w:after="0" w:line="60" w:lineRule="exact"/>
        <w:rPr>
          <w:sz w:val="20"/>
          <w:szCs w:val="20"/>
          <w:color w:val="auto"/>
        </w:rPr>
      </w:pPr>
    </w:p>
    <w:p>
      <w:pPr>
        <w:jc w:val="both"/>
        <w:ind w:left="1120" w:right="20" w:hanging="1120"/>
        <w:spacing w:after="0" w:line="239" w:lineRule="auto"/>
        <w:tabs>
          <w:tab w:leader="none" w:pos="11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Employment Agreement between Comcast Corporation and David L. Cohen, dated as of February 22, 2011 (incorporated by reference to Exhibit 99.1 to Comcast’s Current Report on Form 8-K filed on February 25, 2011).</w:t>
      </w:r>
    </w:p>
    <w:p>
      <w:pPr>
        <w:spacing w:after="0" w:line="60"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Employment Agreement between Comcast Corporation and Neil Smit, dated as of November 21, 2011 (incorporated by reference to Exhibit 10.37 to Comcast’s Annual Report on Form 10-K for the year ended December 31, 2011).</w:t>
      </w:r>
    </w:p>
    <w:p>
      <w:pPr>
        <w:spacing w:after="0" w:line="60" w:lineRule="exact"/>
        <w:rPr>
          <w:sz w:val="20"/>
          <w:szCs w:val="20"/>
          <w:color w:val="auto"/>
        </w:rPr>
      </w:pPr>
    </w:p>
    <w:p>
      <w:pPr>
        <w:jc w:val="both"/>
        <w:ind w:left="1120" w:right="20" w:hanging="1120"/>
        <w:spacing w:after="0" w:line="299" w:lineRule="auto"/>
        <w:tabs>
          <w:tab w:leader="none" w:pos="110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Form of Amendment, dated as of December 16, 2008, to the Employment Agreements with Ralph J. Roberts and Brian L. Roberts (incorporated by reference to Exhibit 10.38 to Comcast’s Annual Report on Form 10-K for the year ended December 31, 2008).</w:t>
      </w:r>
    </w:p>
    <w:p>
      <w:pPr>
        <w:spacing w:after="0" w:line="14" w:lineRule="exact"/>
        <w:rPr>
          <w:sz w:val="20"/>
          <w:szCs w:val="20"/>
          <w:color w:val="auto"/>
        </w:rPr>
      </w:pPr>
    </w:p>
    <w:p>
      <w:pPr>
        <w:jc w:val="both"/>
        <w:ind w:left="1120" w:hanging="1120"/>
        <w:spacing w:after="0" w:line="238" w:lineRule="auto"/>
        <w:tabs>
          <w:tab w:leader="none" w:pos="110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Form of Amendment, dated as of December 14, 2012, to the Employment Agreements with Brian L. Roberts, Michael J. Angelakis, Stephen B. Burke, Neil Smit and David L. Cohen (incorporated by reference to Exhibit 10.41 to Comcast’s Annual Report on Form 10-K for the year ended December 31, 2012).</w:t>
      </w:r>
    </w:p>
    <w:p>
      <w:pPr>
        <w:spacing w:after="0" w:line="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Form of Non-Qualified Stock Option under the Comcast Corporation 2003 Stock Option Plan (incorporated by reference to Exhibit</w:t>
      </w:r>
    </w:p>
    <w:p>
      <w:pPr>
        <w:ind w:left="1120"/>
        <w:spacing w:after="0"/>
        <w:rPr>
          <w:sz w:val="20"/>
          <w:szCs w:val="20"/>
          <w:color w:val="auto"/>
        </w:rPr>
      </w:pPr>
      <w:r>
        <w:rPr>
          <w:rFonts w:ascii="Arial" w:cs="Arial" w:eastAsia="Arial" w:hAnsi="Arial"/>
          <w:sz w:val="18"/>
          <w:szCs w:val="18"/>
          <w:color w:val="auto"/>
        </w:rPr>
        <w:t>10.40 to Comcast’s Annual Report on Form 10-K for the year ended December 31, 2008).</w:t>
      </w:r>
    </w:p>
    <w:p>
      <w:pPr>
        <w:spacing w:after="0" w:line="63"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Form of Long-Term Incentive Awards Summary Schedule under the Comcast Corporation 2002 Restricted Stock Plan (incorporated by reference to Exhibit 10.43 to Comcast’s Annual Report on Form 10-K for the year ended December 31, 2012).</w:t>
      </w:r>
    </w:p>
    <w:p>
      <w:pPr>
        <w:spacing w:after="0" w:line="60" w:lineRule="exact"/>
        <w:rPr>
          <w:sz w:val="20"/>
          <w:szCs w:val="20"/>
          <w:color w:val="auto"/>
        </w:rPr>
      </w:pPr>
    </w:p>
    <w:p>
      <w:pPr>
        <w:jc w:val="both"/>
        <w:ind w:left="1120" w:hanging="1120"/>
        <w:spacing w:after="0" w:line="239" w:lineRule="auto"/>
        <w:tabs>
          <w:tab w:leader="none" w:pos="110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10.41 to Comcast’s Annual Report on Form 10-K for the year ended December 31, 2008).</w:t>
      </w:r>
    </w:p>
    <w:p>
      <w:pPr>
        <w:spacing w:after="0" w:line="60" w:lineRule="exact"/>
        <w:rPr>
          <w:sz w:val="20"/>
          <w:szCs w:val="20"/>
          <w:color w:val="auto"/>
        </w:rPr>
      </w:pPr>
    </w:p>
    <w:p>
      <w:pPr>
        <w:ind w:left="1120" w:hanging="1071"/>
        <w:spacing w:after="0" w:line="239" w:lineRule="auto"/>
        <w:tabs>
          <w:tab w:leader="none" w:pos="110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Form of Restricted Stock Unit Award under the Comcast Corporation 2002 Restricted Stock Plan (incorporated by reference to Exhibit 99.4 to Comcast’s Current Report on Form 8-K filed on December 22, 2009).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138</w:t>
            </w: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10.53*</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80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Exhibit 10.4 to Comcast’s Quarterly Report on Form 10-Q for the quarter ended March 31, 2010).</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10.54*</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80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Exhibit 10.7 to Comcast’s Quarterly Report on Form 10-Q for the quarter ended March 31, 2011).</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10.55*</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80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Exhibit 10.1 to Comcast’s Quarterly Report on Form 10-Q for the quarter ended March 31, 2012).</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10.56*</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Restricted Stock Unit Award under the Comcast Corporation 2002 Restricted Stock Plan (incorporated by reference to</w:t>
            </w:r>
          </w:p>
        </w:tc>
      </w:tr>
      <w:tr>
        <w:trPr>
          <w:trHeight w:val="211"/>
        </w:trPr>
        <w:tc>
          <w:tcPr>
            <w:tcW w:w="80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Exhibit 10.6 to Comcast’s Quarterly Report on Form 10-Q for the quarter ended March 31, 2013).</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10.57*</w:t>
            </w:r>
          </w:p>
        </w:tc>
        <w:tc>
          <w:tcPr>
            <w:tcW w:w="10560" w:type="dxa"/>
            <w:vAlign w:val="bottom"/>
          </w:tcPr>
          <w:p>
            <w:pPr>
              <w:ind w:left="300"/>
              <w:spacing w:after="0"/>
              <w:rPr>
                <w:sz w:val="20"/>
                <w:szCs w:val="20"/>
                <w:color w:val="auto"/>
              </w:rPr>
            </w:pPr>
            <w:r>
              <w:rPr>
                <w:rFonts w:ascii="Arial" w:cs="Arial" w:eastAsia="Arial" w:hAnsi="Arial"/>
                <w:sz w:val="18"/>
                <w:szCs w:val="18"/>
                <w:color w:val="auto"/>
                <w:w w:val="99"/>
              </w:rPr>
              <w:t>Form of Restricted Stock Unit Award and Long-Term Incentive Awards Summary Schedule under the Comcast Corporation 2002</w:t>
            </w:r>
          </w:p>
        </w:tc>
      </w:tr>
      <w:tr>
        <w:trPr>
          <w:trHeight w:val="203"/>
        </w:trPr>
        <w:tc>
          <w:tcPr>
            <w:tcW w:w="800" w:type="dxa"/>
            <w:vAlign w:val="bottom"/>
          </w:tcPr>
          <w:p>
            <w:pPr>
              <w:spacing w:after="0"/>
              <w:rPr>
                <w:sz w:val="17"/>
                <w:szCs w:val="17"/>
                <w:color w:val="auto"/>
              </w:rPr>
            </w:pPr>
          </w:p>
        </w:tc>
        <w:tc>
          <w:tcPr>
            <w:tcW w:w="10560" w:type="dxa"/>
            <w:vAlign w:val="bottom"/>
          </w:tcPr>
          <w:p>
            <w:pPr>
              <w:ind w:left="300"/>
              <w:spacing w:after="0" w:line="202" w:lineRule="exact"/>
              <w:rPr>
                <w:sz w:val="20"/>
                <w:szCs w:val="20"/>
                <w:color w:val="auto"/>
              </w:rPr>
            </w:pPr>
            <w:r>
              <w:rPr>
                <w:rFonts w:ascii="Arial" w:cs="Arial" w:eastAsia="Arial" w:hAnsi="Arial"/>
                <w:sz w:val="18"/>
                <w:szCs w:val="18"/>
                <w:color w:val="auto"/>
                <w:w w:val="98"/>
              </w:rPr>
              <w:t>Restricted Stock Plan (incorporated by reference to Exhibit 10.3 to Comcast’s Quarterly Report on Form 10-Q for the quarter ended</w:t>
            </w:r>
          </w:p>
        </w:tc>
      </w:tr>
      <w:tr>
        <w:trPr>
          <w:trHeight w:val="211"/>
        </w:trPr>
        <w:tc>
          <w:tcPr>
            <w:tcW w:w="80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September 30, 2013).</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10.58*</w:t>
            </w: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Form of Director Indemnification Agreement (incorporated by reference to Exhibit 10.3 to Comcast’s Quarterly Report on Form 10-Q</w:t>
            </w:r>
          </w:p>
        </w:tc>
      </w:tr>
      <w:tr>
        <w:trPr>
          <w:trHeight w:val="211"/>
        </w:trPr>
        <w:tc>
          <w:tcPr>
            <w:tcW w:w="80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for the quarter ended June 30, 2009).</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00"/>
              <w:spacing w:after="0"/>
              <w:rPr>
                <w:sz w:val="20"/>
                <w:szCs w:val="20"/>
                <w:color w:val="auto"/>
              </w:rPr>
            </w:pPr>
            <w:r>
              <w:rPr>
                <w:rFonts w:ascii="Arial" w:cs="Arial" w:eastAsia="Arial" w:hAnsi="Arial"/>
                <w:sz w:val="18"/>
                <w:szCs w:val="18"/>
                <w:color w:val="auto"/>
              </w:rPr>
              <w:t>Statement of Earnings to Fixed Charges and Earnings to Combined Fixed Charges and Preferred Dividends.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300"/>
              <w:spacing w:after="0"/>
              <w:rPr>
                <w:sz w:val="20"/>
                <w:szCs w:val="20"/>
                <w:color w:val="auto"/>
              </w:rPr>
            </w:pPr>
            <w:r>
              <w:rPr>
                <w:rFonts w:ascii="Arial" w:cs="Arial" w:eastAsia="Arial" w:hAnsi="Arial"/>
                <w:sz w:val="18"/>
                <w:szCs w:val="18"/>
                <w:color w:val="auto"/>
              </w:rPr>
              <w:t>List of subsidiaries.</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and Chief Financial Officer pursuant to Section 302 of the Sarbanes-Oxley Act of 2002.</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the Sarbanes-Oxley Act of 2002.</w:t>
            </w:r>
          </w:p>
        </w:tc>
      </w:tr>
    </w:tbl>
    <w:p>
      <w:pPr>
        <w:spacing w:after="0" w:line="59" w:lineRule="exact"/>
        <w:rPr>
          <w:sz w:val="20"/>
          <w:szCs w:val="20"/>
          <w:color w:val="auto"/>
        </w:rPr>
      </w:pPr>
    </w:p>
    <w:p>
      <w:pPr>
        <w:jc w:val="both"/>
        <w:ind w:left="1160" w:hanging="1152"/>
        <w:spacing w:after="0" w:line="236"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Annual Report on Form 10-K for the year ended December 31, 2013, filed with the Securities and Exchange Commission on February 12, 2014, formatted in XBRL (eXtensible Business Reporting Language): (i) the Consolidated Balance Sheet; (ii) the Consolidated Statement of Income; (iii) the Consolidated Statement of Comprehensive Income; (iv) the Consolidated Statement of Cash Flows; (v) the Consolidated Statement of Changes in Equity; and (vi)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139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ind w:firstLine="8"/>
        <w:spacing w:after="0" w:line="237" w:lineRule="auto"/>
        <w:tabs>
          <w:tab w:leader="none" w:pos="298" w:val="left"/>
        </w:tabs>
        <w:numPr>
          <w:ilvl w:val="0"/>
          <w:numId w:val="41"/>
        </w:numPr>
        <w:rPr>
          <w:rFonts w:ascii="Arial" w:cs="Arial" w:eastAsia="Arial" w:hAnsi="Arial"/>
          <w:sz w:val="18"/>
          <w:szCs w:val="18"/>
          <w:color w:val="auto"/>
        </w:rPr>
      </w:pPr>
      <w:r>
        <w:rPr>
          <w:rFonts w:ascii="Arial" w:cs="Arial" w:eastAsia="Arial" w:hAnsi="Arial"/>
          <w:sz w:val="18"/>
          <w:szCs w:val="18"/>
          <w:color w:val="auto"/>
        </w:rPr>
        <w:t>NBCUniversal’s consolidated financial statements are filed as a part of this report on Form 10-K and a list of the consolidated financial statements are found on page 145 of this report. Schedule II – Valuation and Qualifying Accounts is found on page 177 of this report; all other financial statement schedules are omitted because the required information is not applicable, or because the information required is included in the consolidated financial statements and notes thereto.</w:t>
      </w:r>
    </w:p>
    <w:p>
      <w:pPr>
        <w:spacing w:after="0" w:line="154" w:lineRule="exact"/>
        <w:rPr>
          <w:rFonts w:ascii="Arial" w:cs="Arial" w:eastAsia="Arial" w:hAnsi="Arial"/>
          <w:sz w:val="18"/>
          <w:szCs w:val="18"/>
          <w:color w:val="auto"/>
        </w:rPr>
      </w:pPr>
    </w:p>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66"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Transaction Agreement, dated February 12, 2013, by and among Comcast Corporation, General Electric Company, NBCUniversal, LLC, NBCUniversal Media, LLC, National Broadcasting Company Holding, Inc. and Navy Holdings, Inc. (n/k/a/ NBCUniversal Enterprise, Inc.) (incorporated by reference to Exhibit 2.1 of the Quarterly Report on Form 10-Q of Comcast Corporation for the quarter ended March 31, 2013).</w:t>
      </w:r>
    </w:p>
    <w:p>
      <w:pPr>
        <w:spacing w:after="0" w:line="60" w:lineRule="exact"/>
        <w:rPr>
          <w:sz w:val="20"/>
          <w:szCs w:val="20"/>
          <w:color w:val="auto"/>
        </w:rPr>
      </w:pPr>
    </w:p>
    <w:p>
      <w:pPr>
        <w:jc w:val="both"/>
        <w:ind w:left="820" w:hanging="809"/>
        <w:spacing w:after="0" w:line="237"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Amendment to Transaction Agreement, dated March 19, 2013, by and among Comcast Corporation, General Electric Company, NBCUniversal, LLC, NBCUniversal Media, LLC, National Broadcasting Company Holding, Inc. and Navy Holdings, Inc. (n/k/a/ NBCUniversal Enterprise, Inc.) (incorporated by reference to Exhibit 2.2 of the Quarterly Report on Form 10-Q of Comcast Corporation for the quarter ended March 31, 2013).</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Purchase and Sale Agreement, dated as of February 12, 2013, between 30RC Trust and NBCUniversal Atlas LLC (incorporated by reference to Exhibit 2.3 to NBCUniversal’s Form 10-Q for the quarter ended March 31, 2013).</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Formation of NBCUniversal Media, LLC (incorporated by reference to Exhibit 3.1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Amendment to Certificate of Formation of NBCUniversal Media, LLC (incorporated by reference to Exhibit 3.2 to NBCUniversal’s Registration Statement on Form S-4 filed on May 13, 2011).</w:t>
      </w:r>
    </w:p>
    <w:p>
      <w:pPr>
        <w:spacing w:after="0" w:line="60" w:lineRule="exact"/>
        <w:rPr>
          <w:sz w:val="20"/>
          <w:szCs w:val="20"/>
          <w:color w:val="auto"/>
        </w:rPr>
      </w:pPr>
    </w:p>
    <w:p>
      <w:pPr>
        <w:jc w:val="both"/>
        <w:ind w:left="820" w:hanging="809"/>
        <w:spacing w:after="0" w:line="239" w:lineRule="auto"/>
        <w:tabs>
          <w:tab w:leader="none" w:pos="8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Limited Liability Company Agreement of NBCUniversal Media, LLC (incorporated by reference to Exhibit 3.2 to Amendment No. 2 to NBCUniversal’s Registration Statement on Form S-4 filed on July 12, 2011).</w:t>
      </w:r>
    </w:p>
    <w:p>
      <w:pPr>
        <w:spacing w:after="0" w:line="60" w:lineRule="exact"/>
        <w:rPr>
          <w:sz w:val="20"/>
          <w:szCs w:val="20"/>
          <w:color w:val="auto"/>
        </w:rPr>
      </w:pPr>
    </w:p>
    <w:p>
      <w:pPr>
        <w:jc w:val="both"/>
        <w:ind w:left="820" w:right="20" w:hanging="809"/>
        <w:spacing w:after="0" w:line="299"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April 30, 2010 between NBC Universal, Inc. (n/k/a NBCUniversal Media, LLC) and The Bank of New York Mellon, as Trustee (incorporated by reference to Exhibit 4.1 to NBCUniversal’s Registration Statement on Form S-4 filed on May 13, 2011).</w:t>
      </w:r>
    </w:p>
    <w:p>
      <w:pPr>
        <w:spacing w:after="0" w:line="14"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First Supplemental Indenture, dated March 27, 2013, to the Indenture between NBCUniversal Media, LLC (f/k/a NBC Universal, Inc.) and The Bank of New York Mellon, as trustee, dated April 30, 2010 (incorporated by reference to Exhibit 4.3 of the Quarterly Report on Form 10-Q of Comcast Corporation for the quarter ended March 31, 2013).</w:t>
      </w:r>
    </w:p>
    <w:p>
      <w:pPr>
        <w:spacing w:after="0" w:line="59" w:lineRule="exact"/>
        <w:rPr>
          <w:sz w:val="20"/>
          <w:szCs w:val="20"/>
          <w:color w:val="auto"/>
        </w:rPr>
      </w:pPr>
    </w:p>
    <w:p>
      <w:pPr>
        <w:jc w:val="both"/>
        <w:ind w:left="820" w:right="20" w:hanging="809"/>
        <w:spacing w:after="0" w:line="238"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Indenture, dated January 7, 2003, between Comcast Corporation, the subsidiary guarantor party thereto, and The Bank of New York Mellon (f/k/a The Bank of New York), as trustee (incorporated by reference to Exhibit 4.4 to the Annual Report on Form 10-K of Comcast Corporation for the year ended December 31, 2008).</w:t>
      </w:r>
    </w:p>
    <w:p>
      <w:pPr>
        <w:spacing w:after="0" w:line="59" w:lineRule="exact"/>
        <w:rPr>
          <w:sz w:val="20"/>
          <w:szCs w:val="20"/>
          <w:color w:val="auto"/>
        </w:rPr>
      </w:pPr>
    </w:p>
    <w:p>
      <w:pPr>
        <w:jc w:val="both"/>
        <w:ind w:left="820" w:hanging="809"/>
        <w:spacing w:after="0" w:line="238" w:lineRule="auto"/>
        <w:tabs>
          <w:tab w:leader="none" w:pos="8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Indenture, dated March 25, 2003, to the Indenture between Comcast Corporation, the subsidiary guarantors party thereto, and The Bank of New York Mellon (f/k/a The Bank of New York), as trustee, dated January 7, 2003 (incorporated by reference to Exhibit 4.5 to the Annual Report on Form 10-K of Comcast Corporation for the year ended December 31, 2008).</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140</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Second Supplemental Indenture, dated August 31, 2009, to the Indenture between Comcast Corporation, the subsidiary guarantors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party thereto, and The Bank of New York Mellon, as Trustee, dated January 7, 2003, as supplemented by a First Supplemental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Indenture dated March 25, 2003 (incorporated by reference to Exhibit 4.1 to the Current Report on Form 8-K of Comcast Corporation</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filed on September 2, 2009).</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Third Supplemental Indenture, dated March 27, 2013, to the Indenture between Comcast Corporation, the subsidiary guarantors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party thereto, and The Bank of New York Mellon (f/k/a The Bank of New York), as trustee, dated January 7, 2003, as supplemented</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by a First Supplemental Indenture dated March 25, 2003 and a Second Supplemental Indenture dated August 31, 2009 (incorporated</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by reference to Exhibit 4.4 of the Quarterly Report on Form 10-Q of Comcast Corporation for the quarter ended March 31, 2013).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Second Amended and Restated Limited Liability Company Agreement of NBCUniversal, LLC, dated March 19, 2013 (incorporated by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10.2 of the Quarterly Report on Form 10-Q of Comcast Corporation for the quarter ended March 31, 2013).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Credit Agreement, dated as of June 6, 2012, among Comcast Corporation, Comcast Cable Communications, LLC, the Financial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Institutions party thereto and JP Morgan Chase Bank, N.A., as Administrative Agent and the Issuing Lender (incorporated by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 to the Quarterly Report on Form 10-Q of Comcast Corporation for the quarter ended June 30, 2012).</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Transition Services Agreement, dated as of January 28, 2011, between General Electric Company and Navy, LLC (n/k/a</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NBCUniversal, LLC) (incorporated by reference to Exhibit 10.4 to Amendment No. 2 of NBCUniversal’s Registration Statement on</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Form S-4 filed on July 12, 2011).</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Comcast Services Agreement, dated as of January 28, 2011, between Comcast Corporation and Navy, LLC (n/k/a NBCUniversal,</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LLC) (incorporated by reference to Exhibit 10.5 to Amendment No. 2 of NBCUniversal’s Registration Statement on Form S-4 filed on</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July 12, 2011).</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7"/>
              </w:rPr>
              <w:t>GE Intellectual Property Cross License Agreement, dated as of January 28, 2011, between General Electric Company and Navy, LLC</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(n/k/a NBCUniversal, LLC) (incorporated by reference to Exhibit 10.6 to Amendment No. 2 to NBCUniversal’s Registration Statement</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on Form S-4 of NBCUniversal Media, LLC filed on July 12, 2011).</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Comcast Intellectual Property Cross License Agreement, dated as of January 28, 2011, between Comcast Corporation and Navy,</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LLC (n/k/a NBCUniversal, LLC) (incorporated by reference to Exhibit 10.7 to Amendment No. 2 to NBCUniversal’s Registration</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Statement on Form S-4 filed on July 12, 2011).</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Amended and Restated Credit Agreement, dated as of March 19, 2013, among NBCUniversal Enterprise, Inc. (f/k/a Navy Holdings,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Inc.), as Borrower, the Financial Institutions party thereto, JPMorgan Chase Bank, N.A., as Administrative Agent and the other agents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party thereto (incorporated by reference to Exhibit 10.1 to the Quarterly Report of Comcast Corporation on Form 10-Q for the quarter</w:t>
            </w:r>
          </w:p>
        </w:tc>
      </w:tr>
      <w:tr>
        <w:trPr>
          <w:trHeight w:val="211"/>
        </w:trPr>
        <w:tc>
          <w:tcPr>
            <w:tcW w:w="74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ended March 31, 2013).</w:t>
            </w:r>
          </w:p>
        </w:tc>
        <w:tc>
          <w:tcPr>
            <w:tcW w:w="396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w w:val="99"/>
              </w:rPr>
              <w:t>Receivables Acquisition Agreement among NBCUniversal Media, LLC; NBCUniversal Receivables Funding LLC; Gotham Funding</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8"/>
              </w:rPr>
              <w:t>Corporation, Victory Receivables Corporation, Market Street Funding LLC and Working Capital Management Co., L.P., as Conduits;</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PNC Bank, National Association, and Mizuho Corporate Bank, Ltd., as Investor Agents and Banks; and The Bank Of Tokyo-</w:t>
            </w:r>
          </w:p>
        </w:tc>
      </w:tr>
      <w:tr>
        <w:trPr>
          <w:trHeight w:val="203"/>
        </w:trPr>
        <w:tc>
          <w:tcPr>
            <w:tcW w:w="740" w:type="dxa"/>
            <w:vAlign w:val="bottom"/>
          </w:tcPr>
          <w:p>
            <w:pPr>
              <w:spacing w:after="0"/>
              <w:rPr>
                <w:sz w:val="17"/>
                <w:szCs w:val="17"/>
                <w:color w:val="auto"/>
              </w:rPr>
            </w:pPr>
          </w:p>
        </w:tc>
        <w:tc>
          <w:tcPr>
            <w:tcW w:w="1068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7"/>
              </w:rPr>
              <w:t>Mitsubishi UFJ, Ltd., New York Branch, as Investor Agent, Program Agent and Bank, dated as of December 5, 2011 (incorporated by</w:t>
            </w:r>
          </w:p>
        </w:tc>
      </w:tr>
      <w:tr>
        <w:trPr>
          <w:trHeight w:val="211"/>
        </w:trPr>
        <w:tc>
          <w:tcPr>
            <w:tcW w:w="740" w:type="dxa"/>
            <w:vAlign w:val="bottom"/>
          </w:tcPr>
          <w:p>
            <w:pPr>
              <w:spacing w:after="0"/>
              <w:rPr>
                <w:sz w:val="18"/>
                <w:szCs w:val="18"/>
                <w:color w:val="auto"/>
              </w:rPr>
            </w:pPr>
          </w:p>
        </w:tc>
        <w:tc>
          <w:tcPr>
            <w:tcW w:w="10680" w:type="dxa"/>
            <w:vAlign w:val="bottom"/>
            <w:gridSpan w:val="2"/>
          </w:tcPr>
          <w:p>
            <w:pPr>
              <w:ind w:left="300"/>
              <w:spacing w:after="0"/>
              <w:rPr>
                <w:sz w:val="20"/>
                <w:szCs w:val="20"/>
                <w:color w:val="auto"/>
              </w:rPr>
            </w:pPr>
            <w:r>
              <w:rPr>
                <w:rFonts w:ascii="Arial" w:cs="Arial" w:eastAsia="Arial" w:hAnsi="Arial"/>
                <w:sz w:val="18"/>
                <w:szCs w:val="18"/>
                <w:color w:val="auto"/>
              </w:rPr>
              <w:t>reference to Exhibit 10.12 to NBCUniversal’s Annual Report on Form 10-K for the year ended December 31, 2011).</w:t>
            </w:r>
          </w:p>
        </w:tc>
      </w:tr>
      <w:tr>
        <w:trPr>
          <w:trHeight w:val="501"/>
        </w:trPr>
        <w:tc>
          <w:tcPr>
            <w:tcW w:w="740" w:type="dxa"/>
            <w:vAlign w:val="bottom"/>
          </w:tcPr>
          <w:p>
            <w:pPr>
              <w:spacing w:after="0"/>
              <w:rPr>
                <w:sz w:val="24"/>
                <w:szCs w:val="24"/>
                <w:color w:val="auto"/>
              </w:rPr>
            </w:pPr>
          </w:p>
        </w:tc>
        <w:tc>
          <w:tcPr>
            <w:tcW w:w="6720" w:type="dxa"/>
            <w:vAlign w:val="bottom"/>
          </w:tcPr>
          <w:p>
            <w:pPr>
              <w:ind w:left="4860"/>
              <w:spacing w:after="0"/>
              <w:rPr>
                <w:sz w:val="20"/>
                <w:szCs w:val="20"/>
                <w:color w:val="auto"/>
              </w:rPr>
            </w:pPr>
            <w:r>
              <w:rPr>
                <w:rFonts w:ascii="Arial" w:cs="Arial" w:eastAsia="Arial" w:hAnsi="Arial"/>
                <w:sz w:val="14"/>
                <w:szCs w:val="14"/>
                <w:b w:val="1"/>
                <w:bCs w:val="1"/>
                <w:color w:val="auto"/>
              </w:rPr>
              <w:t>141</w:t>
            </w:r>
          </w:p>
        </w:tc>
        <w:tc>
          <w:tcPr>
            <w:tcW w:w="3960" w:type="dxa"/>
            <w:vAlign w:val="bottom"/>
          </w:tcPr>
          <w:p>
            <w:pPr>
              <w:ind w:left="1320"/>
              <w:spacing w:after="0"/>
              <w:rPr>
                <w:sz w:val="20"/>
                <w:szCs w:val="20"/>
                <w:color w:val="auto"/>
              </w:rPr>
            </w:pPr>
            <w:r>
              <w:rPr>
                <w:rFonts w:ascii="Arial" w:cs="Arial" w:eastAsia="Arial" w:hAnsi="Arial"/>
                <w:sz w:val="14"/>
                <w:szCs w:val="14"/>
                <w:color w:val="auto"/>
                <w:w w:val="95"/>
              </w:rPr>
              <w:t>Comcast 2013 Annual Report on Form 10-K</w:t>
            </w:r>
          </w:p>
        </w:tc>
      </w:tr>
    </w:tbl>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10.9</w:t>
            </w:r>
          </w:p>
        </w:tc>
        <w:tc>
          <w:tcPr>
            <w:tcW w:w="10620" w:type="dxa"/>
            <w:vAlign w:val="bottom"/>
          </w:tcPr>
          <w:p>
            <w:pPr>
              <w:ind w:left="240"/>
              <w:spacing w:after="0"/>
              <w:rPr>
                <w:sz w:val="20"/>
                <w:szCs w:val="20"/>
                <w:color w:val="auto"/>
              </w:rPr>
            </w:pPr>
            <w:r>
              <w:rPr>
                <w:rFonts w:ascii="Arial" w:cs="Arial" w:eastAsia="Arial" w:hAnsi="Arial"/>
                <w:sz w:val="18"/>
                <w:szCs w:val="18"/>
                <w:color w:val="auto"/>
                <w:w w:val="97"/>
              </w:rPr>
              <w:t>Receivables Repurchase Agreement, dated as of December 18, 2013, among NBCUniversal Media, LLC, NBCUniversal Receivables</w:t>
            </w:r>
          </w:p>
        </w:tc>
      </w:tr>
      <w:tr>
        <w:trPr>
          <w:trHeight w:val="203"/>
        </w:trPr>
        <w:tc>
          <w:tcPr>
            <w:tcW w:w="800" w:type="dxa"/>
            <w:vAlign w:val="bottom"/>
          </w:tcPr>
          <w:p>
            <w:pPr>
              <w:spacing w:after="0"/>
              <w:rPr>
                <w:sz w:val="17"/>
                <w:szCs w:val="17"/>
                <w:color w:val="auto"/>
              </w:rPr>
            </w:pPr>
          </w:p>
        </w:tc>
        <w:tc>
          <w:tcPr>
            <w:tcW w:w="10620" w:type="dxa"/>
            <w:vAlign w:val="bottom"/>
          </w:tcPr>
          <w:p>
            <w:pPr>
              <w:ind w:left="240"/>
              <w:spacing w:after="0" w:line="202" w:lineRule="exact"/>
              <w:rPr>
                <w:sz w:val="20"/>
                <w:szCs w:val="20"/>
                <w:color w:val="auto"/>
              </w:rPr>
            </w:pPr>
            <w:r>
              <w:rPr>
                <w:rFonts w:ascii="Arial" w:cs="Arial" w:eastAsia="Arial" w:hAnsi="Arial"/>
                <w:sz w:val="18"/>
                <w:szCs w:val="18"/>
                <w:color w:val="auto"/>
              </w:rPr>
              <w:t>Funding LLC, Gotham Funding Corporation, Victory Receivables Corporation, Working Capital Management Co., L.P., PNC Bank,</w:t>
            </w:r>
          </w:p>
        </w:tc>
      </w:tr>
      <w:tr>
        <w:trPr>
          <w:trHeight w:val="203"/>
        </w:trPr>
        <w:tc>
          <w:tcPr>
            <w:tcW w:w="800" w:type="dxa"/>
            <w:vAlign w:val="bottom"/>
          </w:tcPr>
          <w:p>
            <w:pPr>
              <w:spacing w:after="0"/>
              <w:rPr>
                <w:sz w:val="17"/>
                <w:szCs w:val="17"/>
                <w:color w:val="auto"/>
              </w:rPr>
            </w:pPr>
          </w:p>
        </w:tc>
        <w:tc>
          <w:tcPr>
            <w:tcW w:w="10620" w:type="dxa"/>
            <w:vAlign w:val="bottom"/>
          </w:tcPr>
          <w:p>
            <w:pPr>
              <w:ind w:left="240"/>
              <w:spacing w:after="0" w:line="202" w:lineRule="exact"/>
              <w:rPr>
                <w:sz w:val="20"/>
                <w:szCs w:val="20"/>
                <w:color w:val="auto"/>
              </w:rPr>
            </w:pPr>
            <w:r>
              <w:rPr>
                <w:rFonts w:ascii="Arial" w:cs="Arial" w:eastAsia="Arial" w:hAnsi="Arial"/>
                <w:sz w:val="18"/>
                <w:szCs w:val="18"/>
                <w:color w:val="auto"/>
                <w:w w:val="97"/>
              </w:rPr>
              <w:t>National Association, Mizuho Bank, Ltd., and The Bank of Tokyo-Mitsubishi UFJ, Ltd., New York Branch (incorporated by reference to</w:t>
            </w:r>
          </w:p>
        </w:tc>
      </w:tr>
      <w:tr>
        <w:trPr>
          <w:trHeight w:val="211"/>
        </w:trPr>
        <w:tc>
          <w:tcPr>
            <w:tcW w:w="80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Exhibit 99.1 to NBCUniversal’s Current Report on Form 8-K filed on December 19, 2013).</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10.10†</w:t>
            </w:r>
          </w:p>
        </w:tc>
        <w:tc>
          <w:tcPr>
            <w:tcW w:w="10620" w:type="dxa"/>
            <w:vAlign w:val="bottom"/>
          </w:tcPr>
          <w:p>
            <w:pPr>
              <w:ind w:left="240"/>
              <w:spacing w:after="0"/>
              <w:rPr>
                <w:sz w:val="20"/>
                <w:szCs w:val="20"/>
                <w:color w:val="auto"/>
              </w:rPr>
            </w:pPr>
            <w:r>
              <w:rPr>
                <w:rFonts w:ascii="Arial" w:cs="Arial" w:eastAsia="Arial" w:hAnsi="Arial"/>
                <w:sz w:val="18"/>
                <w:szCs w:val="18"/>
                <w:color w:val="auto"/>
                <w:w w:val="97"/>
              </w:rPr>
              <w:t>Consultant Agreement, dated as of January 20, 1987, between Steven Spielberg and Universal City Florida Partners (incorporated by</w:t>
            </w:r>
          </w:p>
        </w:tc>
      </w:tr>
      <w:tr>
        <w:trPr>
          <w:trHeight w:val="203"/>
        </w:trPr>
        <w:tc>
          <w:tcPr>
            <w:tcW w:w="800" w:type="dxa"/>
            <w:vAlign w:val="bottom"/>
          </w:tcPr>
          <w:p>
            <w:pPr>
              <w:spacing w:after="0"/>
              <w:rPr>
                <w:sz w:val="17"/>
                <w:szCs w:val="17"/>
                <w:color w:val="auto"/>
              </w:rPr>
            </w:pPr>
          </w:p>
        </w:tc>
        <w:tc>
          <w:tcPr>
            <w:tcW w:w="10620" w:type="dxa"/>
            <w:vAlign w:val="bottom"/>
          </w:tcPr>
          <w:p>
            <w:pPr>
              <w:ind w:left="240"/>
              <w:spacing w:after="0" w:line="202" w:lineRule="exact"/>
              <w:rPr>
                <w:sz w:val="20"/>
                <w:szCs w:val="20"/>
                <w:color w:val="auto"/>
              </w:rPr>
            </w:pPr>
            <w:r>
              <w:rPr>
                <w:rFonts w:ascii="Arial" w:cs="Arial" w:eastAsia="Arial" w:hAnsi="Arial"/>
                <w:sz w:val="18"/>
                <w:szCs w:val="18"/>
                <w:color w:val="auto"/>
              </w:rPr>
              <w:t>reference to Exhibit 10.49 to the Registration Statement on Form S-4 of Universal City Development Partners, Ltd. and UCDP</w:t>
            </w:r>
          </w:p>
        </w:tc>
      </w:tr>
      <w:tr>
        <w:trPr>
          <w:trHeight w:val="211"/>
        </w:trPr>
        <w:tc>
          <w:tcPr>
            <w:tcW w:w="80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Finance, Inc. filed on January 20, 2010 (File No. 333-164431)).</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tcPr>
          <w:p>
            <w:pPr>
              <w:ind w:left="240"/>
              <w:spacing w:after="0"/>
              <w:rPr>
                <w:sz w:val="20"/>
                <w:szCs w:val="20"/>
                <w:color w:val="auto"/>
              </w:rPr>
            </w:pPr>
            <w:r>
              <w:rPr>
                <w:rFonts w:ascii="Arial" w:cs="Arial" w:eastAsia="Arial" w:hAnsi="Arial"/>
                <w:sz w:val="18"/>
                <w:szCs w:val="18"/>
                <w:color w:val="auto"/>
              </w:rPr>
              <w:t>Amendment dated February 5, 2001 to the Consultant Agreement dated as of January 20, 1987, between the Consultant and</w:t>
            </w:r>
          </w:p>
        </w:tc>
      </w:tr>
      <w:tr>
        <w:trPr>
          <w:trHeight w:val="203"/>
        </w:trPr>
        <w:tc>
          <w:tcPr>
            <w:tcW w:w="800" w:type="dxa"/>
            <w:vAlign w:val="bottom"/>
          </w:tcPr>
          <w:p>
            <w:pPr>
              <w:spacing w:after="0"/>
              <w:rPr>
                <w:sz w:val="17"/>
                <w:szCs w:val="17"/>
                <w:color w:val="auto"/>
              </w:rPr>
            </w:pPr>
          </w:p>
        </w:tc>
        <w:tc>
          <w:tcPr>
            <w:tcW w:w="10620" w:type="dxa"/>
            <w:vAlign w:val="bottom"/>
          </w:tcPr>
          <w:p>
            <w:pPr>
              <w:ind w:left="240"/>
              <w:spacing w:after="0" w:line="202" w:lineRule="exact"/>
              <w:rPr>
                <w:sz w:val="20"/>
                <w:szCs w:val="20"/>
                <w:color w:val="auto"/>
              </w:rPr>
            </w:pPr>
            <w:r>
              <w:rPr>
                <w:rFonts w:ascii="Arial" w:cs="Arial" w:eastAsia="Arial" w:hAnsi="Arial"/>
                <w:sz w:val="18"/>
                <w:szCs w:val="18"/>
                <w:color w:val="auto"/>
              </w:rPr>
              <w:t>Universal City Florida Partners (incorporated by reference to Exhibit 10.50 to the Registration Statement on Form S-4 of Universal</w:t>
            </w:r>
          </w:p>
        </w:tc>
      </w:tr>
      <w:tr>
        <w:trPr>
          <w:trHeight w:val="211"/>
        </w:trPr>
        <w:tc>
          <w:tcPr>
            <w:tcW w:w="80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City Development Partners, Ltd. and UCDP Finance, Inc. filed on January 20, 2010 (File No. 333-164431)).</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10.12†</w:t>
            </w:r>
          </w:p>
        </w:tc>
        <w:tc>
          <w:tcPr>
            <w:tcW w:w="10620" w:type="dxa"/>
            <w:vAlign w:val="bottom"/>
          </w:tcPr>
          <w:p>
            <w:pPr>
              <w:ind w:left="240"/>
              <w:spacing w:after="0"/>
              <w:rPr>
                <w:sz w:val="20"/>
                <w:szCs w:val="20"/>
                <w:color w:val="auto"/>
              </w:rPr>
            </w:pPr>
            <w:r>
              <w:rPr>
                <w:rFonts w:ascii="Arial" w:cs="Arial" w:eastAsia="Arial" w:hAnsi="Arial"/>
                <w:sz w:val="18"/>
                <w:szCs w:val="18"/>
                <w:color w:val="auto"/>
                <w:w w:val="97"/>
              </w:rPr>
              <w:t>Amendment to the Consultant Agreement, dated as of October 18, 2009, between Steven Spielberg, Diamond Lane Productions, Inc.</w:t>
            </w:r>
          </w:p>
        </w:tc>
      </w:tr>
      <w:tr>
        <w:trPr>
          <w:trHeight w:val="203"/>
        </w:trPr>
        <w:tc>
          <w:tcPr>
            <w:tcW w:w="800" w:type="dxa"/>
            <w:vAlign w:val="bottom"/>
          </w:tcPr>
          <w:p>
            <w:pPr>
              <w:spacing w:after="0"/>
              <w:rPr>
                <w:sz w:val="17"/>
                <w:szCs w:val="17"/>
                <w:color w:val="auto"/>
              </w:rPr>
            </w:pPr>
          </w:p>
        </w:tc>
        <w:tc>
          <w:tcPr>
            <w:tcW w:w="10620" w:type="dxa"/>
            <w:vAlign w:val="bottom"/>
          </w:tcPr>
          <w:p>
            <w:pPr>
              <w:ind w:left="240"/>
              <w:spacing w:after="0" w:line="202" w:lineRule="exact"/>
              <w:rPr>
                <w:sz w:val="20"/>
                <w:szCs w:val="20"/>
                <w:color w:val="auto"/>
              </w:rPr>
            </w:pPr>
            <w:r>
              <w:rPr>
                <w:rFonts w:ascii="Arial" w:cs="Arial" w:eastAsia="Arial" w:hAnsi="Arial"/>
                <w:sz w:val="18"/>
                <w:szCs w:val="18"/>
                <w:color w:val="auto"/>
                <w:w w:val="97"/>
              </w:rPr>
              <w:t>and Universal City Development Partners, Ltd. (incorporated by reference to Exhibit 10.52 to the Registration Statement on Form S-4</w:t>
            </w:r>
          </w:p>
        </w:tc>
      </w:tr>
      <w:tr>
        <w:trPr>
          <w:trHeight w:val="211"/>
        </w:trPr>
        <w:tc>
          <w:tcPr>
            <w:tcW w:w="80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of Universal City Development Partners, Ltd. and UCDP Finance, Inc. filed on January 20, 2010 (File No. 333-164431)).</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10.13†</w:t>
            </w:r>
          </w:p>
        </w:tc>
        <w:tc>
          <w:tcPr>
            <w:tcW w:w="10620" w:type="dxa"/>
            <w:vAlign w:val="bottom"/>
          </w:tcPr>
          <w:p>
            <w:pPr>
              <w:ind w:left="240"/>
              <w:spacing w:after="0"/>
              <w:rPr>
                <w:sz w:val="20"/>
                <w:szCs w:val="20"/>
                <w:color w:val="auto"/>
              </w:rPr>
            </w:pPr>
            <w:r>
              <w:rPr>
                <w:rFonts w:ascii="Arial" w:cs="Arial" w:eastAsia="Arial" w:hAnsi="Arial"/>
                <w:sz w:val="18"/>
                <w:szCs w:val="18"/>
                <w:color w:val="auto"/>
                <w:w w:val="98"/>
              </w:rPr>
              <w:t>Letter Agreement dated July 15, 2003, among Diamond Lane Productions, Vivendi Universal Entertainment LLLP and Universal City</w:t>
            </w:r>
          </w:p>
        </w:tc>
      </w:tr>
      <w:tr>
        <w:trPr>
          <w:trHeight w:val="203"/>
        </w:trPr>
        <w:tc>
          <w:tcPr>
            <w:tcW w:w="800" w:type="dxa"/>
            <w:vAlign w:val="bottom"/>
          </w:tcPr>
          <w:p>
            <w:pPr>
              <w:spacing w:after="0"/>
              <w:rPr>
                <w:sz w:val="17"/>
                <w:szCs w:val="17"/>
                <w:color w:val="auto"/>
              </w:rPr>
            </w:pPr>
          </w:p>
        </w:tc>
        <w:tc>
          <w:tcPr>
            <w:tcW w:w="10620" w:type="dxa"/>
            <w:vAlign w:val="bottom"/>
          </w:tcPr>
          <w:p>
            <w:pPr>
              <w:ind w:left="240"/>
              <w:spacing w:after="0" w:line="202" w:lineRule="exact"/>
              <w:rPr>
                <w:sz w:val="20"/>
                <w:szCs w:val="20"/>
                <w:color w:val="auto"/>
              </w:rPr>
            </w:pPr>
            <w:r>
              <w:rPr>
                <w:rFonts w:ascii="Arial" w:cs="Arial" w:eastAsia="Arial" w:hAnsi="Arial"/>
                <w:sz w:val="18"/>
                <w:szCs w:val="18"/>
                <w:color w:val="auto"/>
                <w:w w:val="99"/>
              </w:rPr>
              <w:t>Development Partners, Ltd. (incorporated by reference to Exhibit 10.51 to the Registration Statement on Form S-4 of Universal City</w:t>
            </w:r>
          </w:p>
        </w:tc>
      </w:tr>
      <w:tr>
        <w:trPr>
          <w:trHeight w:val="211"/>
        </w:trPr>
        <w:tc>
          <w:tcPr>
            <w:tcW w:w="80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Development Partners, Ltd. and UCDP Finance, Inc. filed on January 20, 2010 (File No. 333-164431)).</w:t>
            </w:r>
          </w:p>
        </w:tc>
      </w:tr>
      <w:tr>
        <w:trPr>
          <w:trHeight w:val="262"/>
        </w:trPr>
        <w:tc>
          <w:tcPr>
            <w:tcW w:w="800" w:type="dxa"/>
            <w:vAlign w:val="bottom"/>
          </w:tcPr>
          <w:p>
            <w:pPr>
              <w:spacing w:after="0"/>
              <w:rPr>
                <w:sz w:val="20"/>
                <w:szCs w:val="20"/>
                <w:color w:val="auto"/>
              </w:rPr>
            </w:pPr>
            <w:r>
              <w:rPr>
                <w:rFonts w:ascii="Arial" w:cs="Arial" w:eastAsia="Arial" w:hAnsi="Arial"/>
                <w:sz w:val="18"/>
                <w:szCs w:val="18"/>
                <w:color w:val="auto"/>
              </w:rPr>
              <w:t>10.14*</w:t>
            </w:r>
          </w:p>
        </w:tc>
        <w:tc>
          <w:tcPr>
            <w:tcW w:w="10620" w:type="dxa"/>
            <w:vAlign w:val="bottom"/>
          </w:tcPr>
          <w:p>
            <w:pPr>
              <w:ind w:left="240"/>
              <w:spacing w:after="0"/>
              <w:rPr>
                <w:sz w:val="20"/>
                <w:szCs w:val="20"/>
                <w:color w:val="auto"/>
              </w:rPr>
            </w:pPr>
            <w:r>
              <w:rPr>
                <w:rFonts w:ascii="Arial" w:cs="Arial" w:eastAsia="Arial" w:hAnsi="Arial"/>
                <w:sz w:val="18"/>
                <w:szCs w:val="18"/>
                <w:color w:val="auto"/>
                <w:w w:val="99"/>
              </w:rPr>
              <w:t>NBCUniversal Deferred Compensation Plan (incorporated by reference to Exhibit 10.1 to NBCUniversal’s Quarterly Report on Form</w:t>
            </w:r>
          </w:p>
        </w:tc>
      </w:tr>
      <w:tr>
        <w:trPr>
          <w:trHeight w:val="211"/>
        </w:trPr>
        <w:tc>
          <w:tcPr>
            <w:tcW w:w="800" w:type="dxa"/>
            <w:vAlign w:val="bottom"/>
          </w:tcPr>
          <w:p>
            <w:pPr>
              <w:spacing w:after="0"/>
              <w:rPr>
                <w:sz w:val="18"/>
                <w:szCs w:val="18"/>
                <w:color w:val="auto"/>
              </w:rPr>
            </w:pPr>
          </w:p>
        </w:tc>
        <w:tc>
          <w:tcPr>
            <w:tcW w:w="10620" w:type="dxa"/>
            <w:vAlign w:val="bottom"/>
          </w:tcPr>
          <w:p>
            <w:pPr>
              <w:ind w:left="240"/>
              <w:spacing w:after="0"/>
              <w:rPr>
                <w:sz w:val="20"/>
                <w:szCs w:val="20"/>
                <w:color w:val="auto"/>
              </w:rPr>
            </w:pPr>
            <w:r>
              <w:rPr>
                <w:rFonts w:ascii="Arial" w:cs="Arial" w:eastAsia="Arial" w:hAnsi="Arial"/>
                <w:sz w:val="18"/>
                <w:szCs w:val="18"/>
                <w:color w:val="auto"/>
              </w:rPr>
              <w:t>10-Q filed on October 26, 2012).</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10620" w:type="dxa"/>
            <w:vAlign w:val="bottom"/>
          </w:tcPr>
          <w:p>
            <w:pPr>
              <w:ind w:left="24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4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302 of the Sarbanes-Oxley Act of 2002.</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240"/>
              <w:spacing w:after="0"/>
              <w:rPr>
                <w:sz w:val="20"/>
                <w:szCs w:val="20"/>
                <w:color w:val="auto"/>
              </w:rPr>
            </w:pPr>
            <w:r>
              <w:rPr>
                <w:rFonts w:ascii="Arial" w:cs="Arial" w:eastAsia="Arial" w:hAnsi="Arial"/>
                <w:sz w:val="18"/>
                <w:szCs w:val="18"/>
                <w:color w:val="auto"/>
                <w:w w:val="98"/>
              </w:rPr>
              <w:t>Certification of Principal Executive Officer and Principal Financial Officer pursuant to Section 906 of the Sarbanes-Oxley Act of 2002.</w:t>
            </w:r>
          </w:p>
        </w:tc>
      </w:tr>
    </w:tbl>
    <w:p>
      <w:pPr>
        <w:spacing w:after="0" w:line="59" w:lineRule="exact"/>
        <w:rPr>
          <w:sz w:val="20"/>
          <w:szCs w:val="20"/>
          <w:color w:val="auto"/>
        </w:rPr>
      </w:pPr>
    </w:p>
    <w:p>
      <w:pPr>
        <w:jc w:val="both"/>
        <w:ind w:left="1040" w:hanging="1032"/>
        <w:spacing w:after="0" w:line="236"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Annual Report on Form 10-K for the year ended December 31, 2013, filed with the Securities and Exchange Commission on February 12, 2014, formatted in XBRL (eXtensible Business Reporting Language): (i) the Consolidated Balance Sheet; (ii) the Consolidated Statement of Income; (iii) the Consolidated Statement of Comprehensive Income; (iv) the Consolidated Statement of Cash Flows; (v) the Consolidated Statement of Changes in Equity; and (vi) the Notes to Consolidated Financial Statements.</w:t>
      </w:r>
    </w:p>
    <w:p>
      <w:pPr>
        <w:spacing w:after="0" w:line="59"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Confidential treatment granted.</w:t>
      </w:r>
    </w:p>
    <w:p>
      <w:pPr>
        <w:spacing w:after="0" w:line="55"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Signatures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Comcast</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12, 2014.</w:t>
      </w:r>
    </w:p>
    <w:p>
      <w:pPr>
        <w:spacing w:after="0" w:line="195" w:lineRule="exact"/>
        <w:rPr>
          <w:sz w:val="20"/>
          <w:szCs w:val="20"/>
          <w:color w:val="auto"/>
        </w:rPr>
      </w:pPr>
    </w:p>
    <w:p>
      <w:pPr>
        <w:ind w:left="686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Brian L. Roberts</w:t>
      </w:r>
    </w:p>
    <w:p>
      <w:pPr>
        <w:jc w:val="center"/>
        <w:ind w:left="7280"/>
        <w:spacing w:after="0"/>
        <w:rPr>
          <w:sz w:val="20"/>
          <w:szCs w:val="20"/>
          <w:color w:val="auto"/>
        </w:rPr>
      </w:pPr>
      <w:r>
        <w:rPr>
          <w:rFonts w:ascii="Arial" w:cs="Arial" w:eastAsia="Arial" w:hAnsi="Arial"/>
          <w:sz w:val="18"/>
          <w:szCs w:val="18"/>
          <w:i w:val="1"/>
          <w:iCs w:val="1"/>
          <w:color w:val="auto"/>
        </w:rPr>
        <w:t>Chairman and CEO</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3860" w:type="dxa"/>
            <w:vAlign w:val="bottom"/>
            <w:tcBorders>
              <w:bottom w:val="single" w:sz="8" w:color="auto"/>
            </w:tcBorders>
          </w:tcPr>
          <w:p>
            <w:pPr>
              <w:jc w:val="center"/>
              <w:ind w:left="774"/>
              <w:spacing w:after="0"/>
              <w:rPr>
                <w:sz w:val="20"/>
                <w:szCs w:val="20"/>
                <w:color w:val="auto"/>
              </w:rPr>
            </w:pPr>
            <w:r>
              <w:rPr>
                <w:rFonts w:ascii="Arial" w:cs="Arial" w:eastAsia="Arial" w:hAnsi="Arial"/>
                <w:sz w:val="14"/>
                <w:szCs w:val="14"/>
                <w:color w:val="auto"/>
                <w:w w:val="90"/>
              </w:rPr>
              <w:t>Title</w:t>
            </w:r>
          </w:p>
        </w:tc>
        <w:tc>
          <w:tcPr>
            <w:tcW w:w="8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r>
      <w:tr>
        <w:trPr>
          <w:trHeight w:val="372"/>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7"/>
              </w:rPr>
              <w:t>Chairman and CEO; 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3860" w:type="dxa"/>
            <w:vAlign w:val="bottom"/>
          </w:tcPr>
          <w:p>
            <w:pPr>
              <w:jc w:val="center"/>
              <w:ind w:left="774"/>
              <w:spacing w:after="0" w:line="195" w:lineRule="exact"/>
              <w:rPr>
                <w:sz w:val="20"/>
                <w:szCs w:val="20"/>
                <w:color w:val="auto"/>
              </w:rPr>
            </w:pPr>
            <w:r>
              <w:rPr>
                <w:rFonts w:ascii="Arial" w:cs="Arial" w:eastAsia="Arial" w:hAnsi="Arial"/>
                <w:sz w:val="18"/>
                <w:szCs w:val="18"/>
                <w:color w:val="auto"/>
                <w:w w:val="97"/>
              </w:rPr>
              <w:t>(Principal Executive Officer)</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ALPH</w:t>
            </w:r>
            <w:r>
              <w:rPr>
                <w:rFonts w:ascii="Arial" w:cs="Arial" w:eastAsia="Arial" w:hAnsi="Arial"/>
                <w:sz w:val="18"/>
                <w:szCs w:val="18"/>
                <w:color w:val="auto"/>
              </w:rPr>
              <w:t xml:space="preserve"> J. R</w:t>
            </w:r>
            <w:r>
              <w:rPr>
                <w:rFonts w:ascii="Arial" w:cs="Arial" w:eastAsia="Arial" w:hAnsi="Arial"/>
                <w:sz w:val="14"/>
                <w:szCs w:val="14"/>
                <w:color w:val="auto"/>
              </w:rPr>
              <w:t>OBERTS</w:t>
            </w:r>
          </w:p>
        </w:tc>
        <w:tc>
          <w:tcPr>
            <w:tcW w:w="3860" w:type="dxa"/>
            <w:vAlign w:val="bottom"/>
          </w:tcPr>
          <w:p>
            <w:pPr>
              <w:jc w:val="center"/>
              <w:ind w:left="754"/>
              <w:spacing w:after="0"/>
              <w:rPr>
                <w:sz w:val="20"/>
                <w:szCs w:val="20"/>
                <w:color w:val="auto"/>
              </w:rPr>
            </w:pPr>
            <w:r>
              <w:rPr>
                <w:rFonts w:ascii="Arial" w:cs="Arial" w:eastAsia="Arial" w:hAnsi="Arial"/>
                <w:sz w:val="18"/>
                <w:szCs w:val="18"/>
                <w:color w:val="auto"/>
                <w:w w:val="97"/>
              </w:rPr>
              <w:t>Founder;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Ralph J. Roberts</w:t>
            </w:r>
          </w:p>
        </w:tc>
        <w:tc>
          <w:tcPr>
            <w:tcW w:w="3860" w:type="dxa"/>
            <w:vAlign w:val="bottom"/>
          </w:tcPr>
          <w:p>
            <w:pPr>
              <w:jc w:val="center"/>
              <w:ind w:left="774"/>
              <w:spacing w:after="0" w:line="195" w:lineRule="exact"/>
              <w:rPr>
                <w:sz w:val="20"/>
                <w:szCs w:val="20"/>
                <w:color w:val="auto"/>
              </w:rPr>
            </w:pPr>
            <w:r>
              <w:rPr>
                <w:rFonts w:ascii="Arial" w:cs="Arial" w:eastAsia="Arial" w:hAnsi="Arial"/>
                <w:sz w:val="18"/>
                <w:szCs w:val="18"/>
                <w:color w:val="auto"/>
                <w:w w:val="97"/>
              </w:rPr>
              <w:t>Chairman Emeritus of the Board</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7"/>
              </w:rPr>
              <w:t>Vice Chairman and CFO</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Michael J. Angelakis</w:t>
            </w:r>
          </w:p>
        </w:tc>
        <w:tc>
          <w:tcPr>
            <w:tcW w:w="3860" w:type="dxa"/>
            <w:vAlign w:val="bottom"/>
          </w:tcPr>
          <w:p>
            <w:pPr>
              <w:jc w:val="center"/>
              <w:ind w:left="754"/>
              <w:spacing w:after="0" w:line="195" w:lineRule="exact"/>
              <w:rPr>
                <w:sz w:val="20"/>
                <w:szCs w:val="20"/>
                <w:color w:val="auto"/>
              </w:rPr>
            </w:pPr>
            <w:r>
              <w:rPr>
                <w:rFonts w:ascii="Arial" w:cs="Arial" w:eastAsia="Arial" w:hAnsi="Arial"/>
                <w:sz w:val="18"/>
                <w:szCs w:val="18"/>
                <w:color w:val="auto"/>
                <w:w w:val="97"/>
              </w:rPr>
              <w:t>(Principal Financial Officer)</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680" w:type="dxa"/>
            <w:vAlign w:val="bottom"/>
            <w:gridSpan w:val="2"/>
          </w:tcPr>
          <w:p>
            <w:pPr>
              <w:jc w:val="center"/>
              <w:spacing w:after="0"/>
              <w:rPr>
                <w:sz w:val="20"/>
                <w:szCs w:val="20"/>
                <w:color w:val="auto"/>
              </w:rPr>
            </w:pPr>
            <w:r>
              <w:rPr>
                <w:rFonts w:ascii="Arial" w:cs="Arial" w:eastAsia="Arial" w:hAnsi="Arial"/>
                <w:sz w:val="18"/>
                <w:szCs w:val="18"/>
                <w:color w:val="auto"/>
                <w:w w:val="97"/>
              </w:rPr>
              <w:t>Senior Vice President, Chief Accounting Officer and</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Lawrence J. Salva</w:t>
            </w:r>
          </w:p>
        </w:tc>
        <w:tc>
          <w:tcPr>
            <w:tcW w:w="3860" w:type="dxa"/>
            <w:vAlign w:val="bottom"/>
          </w:tcPr>
          <w:p>
            <w:pPr>
              <w:jc w:val="center"/>
              <w:ind w:left="774"/>
              <w:spacing w:after="0" w:line="186" w:lineRule="exact"/>
              <w:rPr>
                <w:sz w:val="20"/>
                <w:szCs w:val="20"/>
                <w:color w:val="auto"/>
              </w:rPr>
            </w:pPr>
            <w:r>
              <w:rPr>
                <w:rFonts w:ascii="Arial" w:cs="Arial" w:eastAsia="Arial" w:hAnsi="Arial"/>
                <w:sz w:val="18"/>
                <w:szCs w:val="18"/>
                <w:color w:val="auto"/>
                <w:w w:val="97"/>
              </w:rPr>
              <w:t>Controller</w:t>
            </w:r>
          </w:p>
        </w:tc>
        <w:tc>
          <w:tcPr>
            <w:tcW w:w="8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7"/>
              </w:rPr>
              <w:t>(Principal Accounting Officer)</w:t>
            </w: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80"/>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ENNETH</w:t>
            </w:r>
            <w:r>
              <w:rPr>
                <w:rFonts w:ascii="Arial" w:cs="Arial" w:eastAsia="Arial" w:hAnsi="Arial"/>
                <w:sz w:val="18"/>
                <w:szCs w:val="18"/>
                <w:color w:val="auto"/>
              </w:rPr>
              <w:t xml:space="preserve"> J. B</w:t>
            </w:r>
            <w:r>
              <w:rPr>
                <w:rFonts w:ascii="Arial" w:cs="Arial" w:eastAsia="Arial" w:hAnsi="Arial"/>
                <w:sz w:val="14"/>
                <w:szCs w:val="14"/>
                <w:color w:val="auto"/>
              </w:rPr>
              <w:t>ACON</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Kenneth J. Bacon</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Sheldon M. Bonovitz</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J. C</w:t>
            </w:r>
            <w:r>
              <w:rPr>
                <w:rFonts w:ascii="Arial" w:cs="Arial" w:eastAsia="Arial" w:hAnsi="Arial"/>
                <w:sz w:val="14"/>
                <w:szCs w:val="14"/>
                <w:color w:val="auto"/>
              </w:rPr>
              <w:t>OLLINS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Joseph J. Collins</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 M</w:t>
            </w:r>
            <w:r>
              <w:rPr>
                <w:rFonts w:ascii="Arial" w:cs="Arial" w:eastAsia="Arial" w:hAnsi="Arial"/>
                <w:sz w:val="14"/>
                <w:szCs w:val="14"/>
                <w:color w:val="auto"/>
              </w:rPr>
              <w:t>ICHAEL</w:t>
            </w:r>
            <w:r>
              <w:rPr>
                <w:rFonts w:ascii="Arial" w:cs="Arial" w:eastAsia="Arial" w:hAnsi="Arial"/>
                <w:sz w:val="18"/>
                <w:szCs w:val="18"/>
                <w:color w:val="auto"/>
              </w:rPr>
              <w:t xml:space="preserve"> C</w:t>
            </w:r>
            <w:r>
              <w:rPr>
                <w:rFonts w:ascii="Arial" w:cs="Arial" w:eastAsia="Arial" w:hAnsi="Arial"/>
                <w:sz w:val="14"/>
                <w:szCs w:val="14"/>
                <w:color w:val="auto"/>
              </w:rPr>
              <w:t>OOK</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J. Michael Cook</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Gerald L. Hassell</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Jeffrey A. Honickman</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DUARDO</w:t>
            </w:r>
            <w:r>
              <w:rPr>
                <w:rFonts w:ascii="Arial" w:cs="Arial" w:eastAsia="Arial" w:hAnsi="Arial"/>
                <w:sz w:val="18"/>
                <w:szCs w:val="18"/>
                <w:color w:val="auto"/>
              </w:rPr>
              <w:t xml:space="preserve"> G. M</w:t>
            </w:r>
            <w:r>
              <w:rPr>
                <w:rFonts w:ascii="Arial" w:cs="Arial" w:eastAsia="Arial" w:hAnsi="Arial"/>
                <w:sz w:val="14"/>
                <w:szCs w:val="14"/>
                <w:color w:val="auto"/>
              </w:rPr>
              <w:t>ESTRE</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Eduardo G. Mestre</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OHNATHAN</w:t>
            </w:r>
            <w:r>
              <w:rPr>
                <w:rFonts w:ascii="Arial" w:cs="Arial" w:eastAsia="Arial" w:hAnsi="Arial"/>
                <w:sz w:val="18"/>
                <w:szCs w:val="18"/>
                <w:color w:val="auto"/>
              </w:rPr>
              <w:t xml:space="preserve"> A. R</w:t>
            </w:r>
            <w:r>
              <w:rPr>
                <w:rFonts w:ascii="Arial" w:cs="Arial" w:eastAsia="Arial" w:hAnsi="Arial"/>
                <w:sz w:val="14"/>
                <w:szCs w:val="14"/>
                <w:color w:val="auto"/>
              </w:rPr>
              <w:t>ODGERS</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Johnathan A. Rodgers</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3860" w:type="dxa"/>
            <w:vAlign w:val="bottom"/>
          </w:tcPr>
          <w:p>
            <w:pPr>
              <w:jc w:val="center"/>
              <w:ind w:left="774"/>
              <w:spacing w:after="0"/>
              <w:rPr>
                <w:sz w:val="20"/>
                <w:szCs w:val="20"/>
                <w:color w:val="auto"/>
              </w:rPr>
            </w:pPr>
            <w:r>
              <w:rPr>
                <w:rFonts w:ascii="Arial" w:cs="Arial" w:eastAsia="Arial" w:hAnsi="Arial"/>
                <w:sz w:val="18"/>
                <w:szCs w:val="18"/>
                <w:color w:val="auto"/>
                <w:w w:val="95"/>
              </w:rPr>
              <w:t>Director</w:t>
            </w:r>
          </w:p>
        </w:tc>
        <w:tc>
          <w:tcPr>
            <w:tcW w:w="82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Dr. Judith Rodin</w:t>
            </w: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515"/>
        </w:trPr>
        <w:tc>
          <w:tcPr>
            <w:tcW w:w="4680" w:type="dxa"/>
            <w:vAlign w:val="bottom"/>
          </w:tcPr>
          <w:p>
            <w:pPr>
              <w:spacing w:after="0"/>
              <w:rPr>
                <w:sz w:val="24"/>
                <w:szCs w:val="24"/>
                <w:color w:val="auto"/>
              </w:rPr>
            </w:pPr>
          </w:p>
        </w:tc>
        <w:tc>
          <w:tcPr>
            <w:tcW w:w="3860" w:type="dxa"/>
            <w:vAlign w:val="bottom"/>
          </w:tcPr>
          <w:p>
            <w:pPr>
              <w:jc w:val="right"/>
              <w:ind w:right="2634"/>
              <w:spacing w:after="0"/>
              <w:rPr>
                <w:sz w:val="20"/>
                <w:szCs w:val="20"/>
                <w:color w:val="auto"/>
              </w:rPr>
            </w:pPr>
            <w:r>
              <w:rPr>
                <w:rFonts w:ascii="Arial" w:cs="Arial" w:eastAsia="Arial" w:hAnsi="Arial"/>
                <w:sz w:val="14"/>
                <w:szCs w:val="14"/>
                <w:b w:val="1"/>
                <w:bCs w:val="1"/>
                <w:color w:val="auto"/>
              </w:rPr>
              <w:t>143</w:t>
            </w:r>
          </w:p>
        </w:tc>
        <w:tc>
          <w:tcPr>
            <w:tcW w:w="2880" w:type="dxa"/>
            <w:vAlign w:val="bottom"/>
            <w:gridSpan w:val="2"/>
          </w:tcPr>
          <w:p>
            <w:pPr>
              <w:ind w:left="240"/>
              <w:spacing w:after="0"/>
              <w:rPr>
                <w:sz w:val="20"/>
                <w:szCs w:val="20"/>
                <w:color w:val="auto"/>
              </w:rPr>
            </w:pPr>
            <w:r>
              <w:rPr>
                <w:rFonts w:ascii="Arial" w:cs="Arial" w:eastAsia="Arial" w:hAnsi="Arial"/>
                <w:sz w:val="14"/>
                <w:szCs w:val="14"/>
                <w:color w:val="auto"/>
                <w:w w:val="95"/>
              </w:rPr>
              <w:t>Comcast 2013 Annual Report on Form 10-K</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NBCUniversal</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12, 2014.</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ind w:left="6860"/>
        <w:spacing w:after="0"/>
        <w:rPr>
          <w:sz w:val="20"/>
          <w:szCs w:val="20"/>
          <w:color w:val="auto"/>
        </w:rPr>
      </w:pPr>
      <w:r>
        <w:rPr>
          <w:rFonts w:ascii="Arial" w:cs="Arial" w:eastAsia="Arial" w:hAnsi="Arial"/>
          <w:sz w:val="18"/>
          <w:szCs w:val="18"/>
          <w:color w:val="auto"/>
        </w:rPr>
        <w:t>By: NBCUNIVERSAL, LLC, its sole member</w:t>
      </w:r>
    </w:p>
    <w:p>
      <w:pPr>
        <w:spacing w:after="0" w:line="63"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-4445</wp:posOffset>
            </wp:positionV>
            <wp:extent cx="263271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8"/>
          <w:szCs w:val="18"/>
          <w:color w:val="auto"/>
        </w:rPr>
        <w:t>Name: Stephen B. Burke</w:t>
      </w:r>
    </w:p>
    <w:p>
      <w:pPr>
        <w:jc w:val="center"/>
        <w:ind w:left="7280"/>
        <w:spacing w:after="0"/>
        <w:rPr>
          <w:sz w:val="20"/>
          <w:szCs w:val="20"/>
          <w:color w:val="auto"/>
        </w:rPr>
      </w:pPr>
      <w:r>
        <w:rPr>
          <w:rFonts w:ascii="Arial" w:cs="Arial" w:eastAsia="Arial" w:hAnsi="Arial"/>
          <w:sz w:val="18"/>
          <w:szCs w:val="18"/>
          <w:color w:val="auto"/>
        </w:rPr>
        <w:t>Title: Chief Executive Officer</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Signature</w:t>
            </w:r>
          </w:p>
        </w:tc>
        <w:tc>
          <w:tcPr>
            <w:tcW w:w="4280" w:type="dxa"/>
            <w:vAlign w:val="bottom"/>
            <w:tcBorders>
              <w:bottom w:val="single" w:sz="8" w:color="auto"/>
            </w:tcBorders>
          </w:tcPr>
          <w:p>
            <w:pPr>
              <w:jc w:val="center"/>
              <w:ind w:left="356"/>
              <w:spacing w:after="0"/>
              <w:rPr>
                <w:sz w:val="20"/>
                <w:szCs w:val="20"/>
                <w:color w:val="auto"/>
              </w:rPr>
            </w:pPr>
            <w:r>
              <w:rPr>
                <w:rFonts w:ascii="Arial" w:cs="Arial" w:eastAsia="Arial" w:hAnsi="Arial"/>
                <w:sz w:val="14"/>
                <w:szCs w:val="14"/>
                <w:color w:val="auto"/>
                <w:w w:val="90"/>
              </w:rPr>
              <w:t>Title</w:t>
            </w:r>
          </w:p>
        </w:tc>
        <w:tc>
          <w:tcPr>
            <w:tcW w:w="2460" w:type="dxa"/>
            <w:vAlign w:val="bottom"/>
            <w:tcBorders>
              <w:bottom w:val="single" w:sz="8" w:color="auto"/>
            </w:tcBorders>
          </w:tcPr>
          <w:p>
            <w:pPr>
              <w:jc w:val="center"/>
              <w:ind w:left="336"/>
              <w:spacing w:after="0"/>
              <w:rPr>
                <w:sz w:val="20"/>
                <w:szCs w:val="20"/>
                <w:color w:val="auto"/>
              </w:rPr>
            </w:pPr>
            <w:r>
              <w:rPr>
                <w:rFonts w:ascii="Arial" w:cs="Arial" w:eastAsia="Arial" w:hAnsi="Arial"/>
                <w:sz w:val="14"/>
                <w:szCs w:val="14"/>
                <w:color w:val="auto"/>
                <w:w w:val="94"/>
              </w:rPr>
              <w:t>Date</w:t>
            </w:r>
          </w:p>
        </w:tc>
      </w:tr>
      <w:tr>
        <w:trPr>
          <w:trHeight w:val="372"/>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4280" w:type="dxa"/>
            <w:vAlign w:val="bottom"/>
          </w:tcPr>
          <w:p>
            <w:pPr>
              <w:jc w:val="center"/>
              <w:ind w:left="356"/>
              <w:spacing w:after="0"/>
              <w:rPr>
                <w:sz w:val="20"/>
                <w:szCs w:val="20"/>
                <w:color w:val="auto"/>
              </w:rPr>
            </w:pPr>
            <w:r>
              <w:rPr>
                <w:rFonts w:ascii="Arial" w:cs="Arial" w:eastAsia="Arial" w:hAnsi="Arial"/>
                <w:sz w:val="18"/>
                <w:szCs w:val="18"/>
                <w:color w:val="auto"/>
                <w:w w:val="97"/>
              </w:rPr>
              <w:t>Principal Executive Officer</w:t>
            </w:r>
          </w:p>
        </w:tc>
        <w:tc>
          <w:tcPr>
            <w:tcW w:w="2460" w:type="dxa"/>
            <w:vAlign w:val="bottom"/>
          </w:tcPr>
          <w:p>
            <w:pPr>
              <w:jc w:val="center"/>
              <w:ind w:left="336"/>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Brian L. Roberts</w:t>
            </w:r>
          </w:p>
        </w:tc>
        <w:tc>
          <w:tcPr>
            <w:tcW w:w="4280" w:type="dxa"/>
            <w:vAlign w:val="bottom"/>
          </w:tcPr>
          <w:p>
            <w:pPr>
              <w:jc w:val="center"/>
              <w:ind w:left="356"/>
              <w:spacing w:after="0" w:line="195" w:lineRule="exact"/>
              <w:rPr>
                <w:sz w:val="20"/>
                <w:szCs w:val="20"/>
                <w:color w:val="auto"/>
              </w:rPr>
            </w:pPr>
            <w:r>
              <w:rPr>
                <w:rFonts w:ascii="Arial" w:cs="Arial" w:eastAsia="Arial" w:hAnsi="Arial"/>
                <w:sz w:val="18"/>
                <w:szCs w:val="18"/>
                <w:color w:val="auto"/>
                <w:w w:val="97"/>
              </w:rPr>
              <w:t>of NBCUniversal Media, LLC</w:t>
            </w:r>
          </w:p>
        </w:tc>
        <w:tc>
          <w:tcPr>
            <w:tcW w:w="24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280" w:type="dxa"/>
            <w:vAlign w:val="bottom"/>
          </w:tcPr>
          <w:p>
            <w:pPr>
              <w:jc w:val="center"/>
              <w:ind w:left="356"/>
              <w:spacing w:after="0"/>
              <w:rPr>
                <w:sz w:val="20"/>
                <w:szCs w:val="20"/>
                <w:color w:val="auto"/>
              </w:rPr>
            </w:pPr>
            <w:r>
              <w:rPr>
                <w:rFonts w:ascii="Arial" w:cs="Arial" w:eastAsia="Arial" w:hAnsi="Arial"/>
                <w:sz w:val="18"/>
                <w:szCs w:val="18"/>
                <w:color w:val="auto"/>
                <w:w w:val="97"/>
              </w:rPr>
              <w:t>Principal Financial Officer</w:t>
            </w:r>
          </w:p>
        </w:tc>
        <w:tc>
          <w:tcPr>
            <w:tcW w:w="2460" w:type="dxa"/>
            <w:vAlign w:val="bottom"/>
          </w:tcPr>
          <w:p>
            <w:pPr>
              <w:jc w:val="center"/>
              <w:ind w:left="336"/>
              <w:spacing w:after="0"/>
              <w:rPr>
                <w:sz w:val="20"/>
                <w:szCs w:val="20"/>
                <w:color w:val="auto"/>
              </w:rPr>
            </w:pPr>
            <w:r>
              <w:rPr>
                <w:rFonts w:ascii="Arial" w:cs="Arial" w:eastAsia="Arial" w:hAnsi="Arial"/>
                <w:sz w:val="18"/>
                <w:szCs w:val="18"/>
                <w:color w:val="auto"/>
                <w:w w:val="97"/>
              </w:rPr>
              <w:t>February 12, 2014</w:t>
            </w:r>
          </w:p>
        </w:tc>
      </w:tr>
      <w:tr>
        <w:trPr>
          <w:trHeight w:val="186"/>
        </w:trPr>
        <w:tc>
          <w:tcPr>
            <w:tcW w:w="4680" w:type="dxa"/>
            <w:vAlign w:val="bottom"/>
          </w:tcPr>
          <w:p>
            <w:pPr>
              <w:jc w:val="center"/>
              <w:spacing w:after="0" w:line="186" w:lineRule="exact"/>
              <w:rPr>
                <w:sz w:val="20"/>
                <w:szCs w:val="20"/>
                <w:color w:val="auto"/>
              </w:rPr>
            </w:pPr>
            <w:r>
              <w:rPr>
                <w:rFonts w:ascii="Arial" w:cs="Arial" w:eastAsia="Arial" w:hAnsi="Arial"/>
                <w:sz w:val="18"/>
                <w:szCs w:val="18"/>
                <w:color w:val="auto"/>
                <w:w w:val="97"/>
              </w:rPr>
              <w:t>Michael J. Angelakis</w:t>
            </w:r>
          </w:p>
        </w:tc>
        <w:tc>
          <w:tcPr>
            <w:tcW w:w="4280" w:type="dxa"/>
            <w:vAlign w:val="bottom"/>
          </w:tcPr>
          <w:p>
            <w:pPr>
              <w:jc w:val="center"/>
              <w:ind w:left="356"/>
              <w:spacing w:after="0" w:line="186" w:lineRule="exact"/>
              <w:rPr>
                <w:sz w:val="20"/>
                <w:szCs w:val="20"/>
                <w:color w:val="auto"/>
              </w:rPr>
            </w:pPr>
            <w:r>
              <w:rPr>
                <w:rFonts w:ascii="Arial" w:cs="Arial" w:eastAsia="Arial" w:hAnsi="Arial"/>
                <w:sz w:val="18"/>
                <w:szCs w:val="18"/>
                <w:color w:val="auto"/>
                <w:w w:val="96"/>
              </w:rPr>
              <w:t>of NBCUniversal Media, LLC;</w:t>
            </w:r>
          </w:p>
        </w:tc>
        <w:tc>
          <w:tcPr>
            <w:tcW w:w="2460" w:type="dxa"/>
            <w:vAlign w:val="bottom"/>
          </w:tcPr>
          <w:p>
            <w:pPr>
              <w:spacing w:after="0"/>
              <w:rPr>
                <w:sz w:val="16"/>
                <w:szCs w:val="16"/>
                <w:color w:val="auto"/>
              </w:rPr>
            </w:pPr>
          </w:p>
        </w:tc>
      </w:tr>
      <w:tr>
        <w:trPr>
          <w:trHeight w:val="211"/>
        </w:trPr>
        <w:tc>
          <w:tcPr>
            <w:tcW w:w="4680" w:type="dxa"/>
            <w:vAlign w:val="bottom"/>
          </w:tcPr>
          <w:p>
            <w:pPr>
              <w:spacing w:after="0"/>
              <w:rPr>
                <w:sz w:val="18"/>
                <w:szCs w:val="18"/>
                <w:color w:val="auto"/>
              </w:rPr>
            </w:pPr>
          </w:p>
        </w:tc>
        <w:tc>
          <w:tcPr>
            <w:tcW w:w="4280" w:type="dxa"/>
            <w:vAlign w:val="bottom"/>
          </w:tcPr>
          <w:p>
            <w:pPr>
              <w:jc w:val="center"/>
              <w:ind w:left="336"/>
              <w:spacing w:after="0"/>
              <w:rPr>
                <w:sz w:val="20"/>
                <w:szCs w:val="20"/>
                <w:color w:val="auto"/>
              </w:rPr>
            </w:pPr>
            <w:r>
              <w:rPr>
                <w:rFonts w:ascii="Arial" w:cs="Arial" w:eastAsia="Arial" w:hAnsi="Arial"/>
                <w:sz w:val="18"/>
                <w:szCs w:val="18"/>
                <w:color w:val="auto"/>
                <w:w w:val="97"/>
              </w:rPr>
              <w:t>Director of NBCUniversal, LLC</w:t>
            </w:r>
          </w:p>
        </w:tc>
        <w:tc>
          <w:tcPr>
            <w:tcW w:w="24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4280" w:type="dxa"/>
            <w:vAlign w:val="bottom"/>
          </w:tcPr>
          <w:p>
            <w:pPr>
              <w:jc w:val="center"/>
              <w:ind w:left="336"/>
              <w:spacing w:after="0"/>
              <w:rPr>
                <w:sz w:val="20"/>
                <w:szCs w:val="20"/>
                <w:color w:val="auto"/>
              </w:rPr>
            </w:pPr>
            <w:r>
              <w:rPr>
                <w:rFonts w:ascii="Arial" w:cs="Arial" w:eastAsia="Arial" w:hAnsi="Arial"/>
                <w:sz w:val="18"/>
                <w:szCs w:val="18"/>
                <w:color w:val="auto"/>
                <w:w w:val="97"/>
              </w:rPr>
              <w:t>Director of NBCUniversal, LLC</w:t>
            </w:r>
          </w:p>
        </w:tc>
        <w:tc>
          <w:tcPr>
            <w:tcW w:w="2460" w:type="dxa"/>
            <w:vAlign w:val="bottom"/>
          </w:tcPr>
          <w:p>
            <w:pPr>
              <w:jc w:val="center"/>
              <w:ind w:left="336"/>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Arthur R. Block</w:t>
            </w:r>
          </w:p>
        </w:tc>
        <w:tc>
          <w:tcPr>
            <w:tcW w:w="42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L. C</w:t>
            </w:r>
            <w:r>
              <w:rPr>
                <w:rFonts w:ascii="Arial" w:cs="Arial" w:eastAsia="Arial" w:hAnsi="Arial"/>
                <w:sz w:val="14"/>
                <w:szCs w:val="14"/>
                <w:color w:val="auto"/>
              </w:rPr>
              <w:t>OHEN</w:t>
            </w:r>
          </w:p>
        </w:tc>
        <w:tc>
          <w:tcPr>
            <w:tcW w:w="4280" w:type="dxa"/>
            <w:vAlign w:val="bottom"/>
          </w:tcPr>
          <w:p>
            <w:pPr>
              <w:jc w:val="center"/>
              <w:ind w:left="336"/>
              <w:spacing w:after="0"/>
              <w:rPr>
                <w:sz w:val="20"/>
                <w:szCs w:val="20"/>
                <w:color w:val="auto"/>
              </w:rPr>
            </w:pPr>
            <w:r>
              <w:rPr>
                <w:rFonts w:ascii="Arial" w:cs="Arial" w:eastAsia="Arial" w:hAnsi="Arial"/>
                <w:sz w:val="18"/>
                <w:szCs w:val="18"/>
                <w:color w:val="auto"/>
                <w:w w:val="97"/>
              </w:rPr>
              <w:t>Director of NBCUniversal, LLC</w:t>
            </w:r>
          </w:p>
        </w:tc>
        <w:tc>
          <w:tcPr>
            <w:tcW w:w="2460" w:type="dxa"/>
            <w:vAlign w:val="bottom"/>
          </w:tcPr>
          <w:p>
            <w:pPr>
              <w:jc w:val="center"/>
              <w:ind w:left="336"/>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6"/>
              </w:rPr>
              <w:t>David L. Cohen</w:t>
            </w:r>
          </w:p>
        </w:tc>
        <w:tc>
          <w:tcPr>
            <w:tcW w:w="42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94"/>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AWRENCE</w:t>
            </w:r>
            <w:r>
              <w:rPr>
                <w:rFonts w:ascii="Arial" w:cs="Arial" w:eastAsia="Arial" w:hAnsi="Arial"/>
                <w:sz w:val="18"/>
                <w:szCs w:val="18"/>
                <w:color w:val="auto"/>
              </w:rPr>
              <w:t xml:space="preserve"> J. S</w:t>
            </w:r>
            <w:r>
              <w:rPr>
                <w:rFonts w:ascii="Arial" w:cs="Arial" w:eastAsia="Arial" w:hAnsi="Arial"/>
                <w:sz w:val="14"/>
                <w:szCs w:val="14"/>
                <w:color w:val="auto"/>
              </w:rPr>
              <w:t>ALVA</w:t>
            </w:r>
          </w:p>
        </w:tc>
        <w:tc>
          <w:tcPr>
            <w:tcW w:w="4280" w:type="dxa"/>
            <w:vAlign w:val="bottom"/>
          </w:tcPr>
          <w:p>
            <w:pPr>
              <w:jc w:val="center"/>
              <w:ind w:left="356"/>
              <w:spacing w:after="0"/>
              <w:rPr>
                <w:sz w:val="20"/>
                <w:szCs w:val="20"/>
                <w:color w:val="auto"/>
              </w:rPr>
            </w:pPr>
            <w:r>
              <w:rPr>
                <w:rFonts w:ascii="Arial" w:cs="Arial" w:eastAsia="Arial" w:hAnsi="Arial"/>
                <w:sz w:val="18"/>
                <w:szCs w:val="18"/>
                <w:color w:val="auto"/>
                <w:w w:val="97"/>
              </w:rPr>
              <w:t>Principal Accounting Officer</w:t>
            </w:r>
          </w:p>
        </w:tc>
        <w:tc>
          <w:tcPr>
            <w:tcW w:w="2460" w:type="dxa"/>
            <w:vAlign w:val="bottom"/>
          </w:tcPr>
          <w:p>
            <w:pPr>
              <w:jc w:val="center"/>
              <w:ind w:left="336"/>
              <w:spacing w:after="0"/>
              <w:rPr>
                <w:sz w:val="20"/>
                <w:szCs w:val="20"/>
                <w:color w:val="auto"/>
              </w:rPr>
            </w:pPr>
            <w:r>
              <w:rPr>
                <w:rFonts w:ascii="Arial" w:cs="Arial" w:eastAsia="Arial" w:hAnsi="Arial"/>
                <w:sz w:val="18"/>
                <w:szCs w:val="18"/>
                <w:color w:val="auto"/>
                <w:w w:val="97"/>
              </w:rPr>
              <w:t>February 12, 2014</w:t>
            </w:r>
          </w:p>
        </w:tc>
      </w:tr>
      <w:tr>
        <w:trPr>
          <w:trHeight w:val="208"/>
        </w:trPr>
        <w:tc>
          <w:tcPr>
            <w:tcW w:w="4680" w:type="dxa"/>
            <w:vAlign w:val="bottom"/>
          </w:tcPr>
          <w:p>
            <w:pPr>
              <w:jc w:val="center"/>
              <w:spacing w:after="0"/>
              <w:rPr>
                <w:sz w:val="20"/>
                <w:szCs w:val="20"/>
                <w:color w:val="auto"/>
              </w:rPr>
            </w:pPr>
            <w:r>
              <w:rPr>
                <w:rFonts w:ascii="Arial" w:cs="Arial" w:eastAsia="Arial" w:hAnsi="Arial"/>
                <w:sz w:val="18"/>
                <w:szCs w:val="18"/>
                <w:color w:val="auto"/>
                <w:w w:val="97"/>
              </w:rPr>
              <w:t>Lawrence J. Salva</w:t>
            </w:r>
          </w:p>
        </w:tc>
        <w:tc>
          <w:tcPr>
            <w:tcW w:w="4280" w:type="dxa"/>
            <w:vAlign w:val="bottom"/>
          </w:tcPr>
          <w:p>
            <w:pPr>
              <w:jc w:val="center"/>
              <w:ind w:left="356"/>
              <w:spacing w:after="0" w:line="195" w:lineRule="exact"/>
              <w:rPr>
                <w:sz w:val="20"/>
                <w:szCs w:val="20"/>
                <w:color w:val="auto"/>
              </w:rPr>
            </w:pPr>
            <w:r>
              <w:rPr>
                <w:rFonts w:ascii="Arial" w:cs="Arial" w:eastAsia="Arial" w:hAnsi="Arial"/>
                <w:sz w:val="18"/>
                <w:szCs w:val="18"/>
                <w:color w:val="auto"/>
                <w:w w:val="97"/>
              </w:rPr>
              <w:t>of NBCUniversal Media, LLC</w:t>
            </w:r>
          </w:p>
        </w:tc>
        <w:tc>
          <w:tcPr>
            <w:tcW w:w="2460" w:type="dxa"/>
            <w:vAlign w:val="bottom"/>
          </w:tcPr>
          <w:p>
            <w:pPr>
              <w:spacing w:after="0"/>
              <w:rPr>
                <w:sz w:val="18"/>
                <w:szCs w:val="18"/>
                <w:color w:val="auto"/>
              </w:rPr>
            </w:pPr>
          </w:p>
        </w:tc>
      </w:tr>
      <w:tr>
        <w:trPr>
          <w:trHeight w:val="515"/>
        </w:trPr>
        <w:tc>
          <w:tcPr>
            <w:tcW w:w="468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4280" w:type="dxa"/>
            <w:vAlign w:val="bottom"/>
          </w:tcPr>
          <w:p>
            <w:pPr>
              <w:jc w:val="right"/>
              <w:ind w:right="3056"/>
              <w:spacing w:after="0"/>
              <w:rPr>
                <w:sz w:val="20"/>
                <w:szCs w:val="20"/>
                <w:color w:val="auto"/>
              </w:rPr>
            </w:pPr>
            <w:r>
              <w:rPr>
                <w:rFonts w:ascii="Arial" w:cs="Arial" w:eastAsia="Arial" w:hAnsi="Arial"/>
                <w:sz w:val="14"/>
                <w:szCs w:val="14"/>
                <w:b w:val="1"/>
                <w:bCs w:val="1"/>
                <w:color w:val="auto"/>
              </w:rPr>
              <w:t>144</w:t>
            </w:r>
          </w:p>
        </w:tc>
        <w:tc>
          <w:tcPr>
            <w:tcW w:w="2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0C6DFF"/>
        </w:rPr>
        <w:t>NBCUniversal Media, LLC Financial Statements and Supplementary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rPr>
              <w:t>Index</w:t>
            </w:r>
          </w:p>
        </w:tc>
        <w:tc>
          <w:tcPr>
            <w:tcW w:w="4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169"/>
        </w:trPr>
        <w:tc>
          <w:tcPr>
            <w:tcW w:w="4500" w:type="dxa"/>
            <w:vAlign w:val="bottom"/>
            <w:tcBorders>
              <w:bottom w:val="single" w:sz="8" w:color="0000EE"/>
            </w:tcBorders>
            <w:gridSpan w:val="7"/>
          </w:tcPr>
          <w:p>
            <w:pPr>
              <w:spacing w:after="0" w:line="170" w:lineRule="exact"/>
              <w:rPr>
                <w:rFonts w:ascii="Arial" w:cs="Arial" w:eastAsia="Arial" w:hAnsi="Arial"/>
                <w:sz w:val="18"/>
                <w:szCs w:val="18"/>
                <w:color w:val="0000EE"/>
                <w:w w:val="97"/>
              </w:rPr>
            </w:pPr>
            <w:hyperlink w:anchor="page150">
              <w:r>
                <w:rPr>
                  <w:rFonts w:ascii="Arial" w:cs="Arial" w:eastAsia="Arial" w:hAnsi="Arial"/>
                  <w:sz w:val="18"/>
                  <w:szCs w:val="18"/>
                  <w:color w:val="0000EE"/>
                  <w:w w:val="97"/>
                </w:rPr>
                <w:t>Report of Independent Registered Public Accounting Firm</w:t>
              </w:r>
            </w:hyperlink>
          </w:p>
        </w:tc>
        <w:tc>
          <w:tcPr>
            <w:tcW w:w="2800" w:type="dxa"/>
            <w:vAlign w:val="bottom"/>
          </w:tcPr>
          <w:p>
            <w:pPr>
              <w:spacing w:after="0"/>
              <w:rPr>
                <w:sz w:val="14"/>
                <w:szCs w:val="14"/>
                <w:color w:val="auto"/>
              </w:rPr>
            </w:pPr>
          </w:p>
        </w:tc>
        <w:tc>
          <w:tcPr>
            <w:tcW w:w="4120" w:type="dxa"/>
            <w:vAlign w:val="bottom"/>
          </w:tcPr>
          <w:p>
            <w:pPr>
              <w:jc w:val="right"/>
              <w:spacing w:after="0" w:line="170" w:lineRule="exact"/>
              <w:rPr>
                <w:sz w:val="20"/>
                <w:szCs w:val="20"/>
                <w:color w:val="auto"/>
              </w:rPr>
            </w:pPr>
            <w:r>
              <w:rPr>
                <w:rFonts w:ascii="Arial" w:cs="Arial" w:eastAsia="Arial" w:hAnsi="Arial"/>
                <w:sz w:val="18"/>
                <w:szCs w:val="18"/>
                <w:color w:val="auto"/>
              </w:rPr>
              <w:t>146</w:t>
            </w: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Consolidated Balance Sheet</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Consolidated Statement of Income</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2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39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53">
              <w:r>
                <w:rPr>
                  <w:rFonts w:ascii="Arial" w:cs="Arial" w:eastAsia="Arial" w:hAnsi="Arial"/>
                  <w:sz w:val="18"/>
                  <w:szCs w:val="18"/>
                  <w:color w:val="0000EE"/>
                  <w:w w:val="97"/>
                </w:rPr>
                <w:t>Consolidated Statement of Comprehensive Income</w:t>
              </w:r>
            </w:hyperlink>
          </w:p>
        </w:tc>
        <w:tc>
          <w:tcPr>
            <w:tcW w:w="3320" w:type="dxa"/>
            <w:vAlign w:val="bottom"/>
            <w:gridSpan w:val="2"/>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Statement of Cash Flows</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30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91"/>
        </w:trPr>
        <w:tc>
          <w:tcPr>
            <w:tcW w:w="35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55">
              <w:r>
                <w:rPr>
                  <w:rFonts w:ascii="Arial" w:cs="Arial" w:eastAsia="Arial" w:hAnsi="Arial"/>
                  <w:sz w:val="18"/>
                  <w:szCs w:val="18"/>
                  <w:color w:val="0000EE"/>
                  <w:w w:val="97"/>
                </w:rPr>
                <w:t>Consolidated Statement of Changes in Equity</w:t>
              </w:r>
            </w:hyperlink>
          </w:p>
        </w:tc>
        <w:tc>
          <w:tcPr>
            <w:tcW w:w="3740" w:type="dxa"/>
            <w:vAlign w:val="bottom"/>
            <w:gridSpan w:val="3"/>
          </w:tcPr>
          <w:p>
            <w:pPr>
              <w:spacing w:after="0"/>
              <w:rPr>
                <w:sz w:val="24"/>
                <w:szCs w:val="24"/>
                <w:color w:val="auto"/>
              </w:rPr>
            </w:pPr>
          </w:p>
        </w:tc>
        <w:tc>
          <w:tcPr>
            <w:tcW w:w="41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91"/>
        </w:trPr>
        <w:tc>
          <w:tcPr>
            <w:tcW w:w="7300" w:type="dxa"/>
            <w:vAlign w:val="bottom"/>
            <w:gridSpan w:val="8"/>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Notes to Consolidated Financial Statements</w:t>
              </w:r>
            </w:hyperlink>
          </w:p>
        </w:tc>
        <w:tc>
          <w:tcPr>
            <w:tcW w:w="4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22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493"/>
        </w:trPr>
        <w:tc>
          <w:tcPr>
            <w:tcW w:w="7300" w:type="dxa"/>
            <w:vAlign w:val="bottom"/>
            <w:gridSpan w:val="8"/>
          </w:tcPr>
          <w:p>
            <w:pPr>
              <w:ind w:left="5600"/>
              <w:spacing w:after="0"/>
              <w:rPr>
                <w:sz w:val="20"/>
                <w:szCs w:val="20"/>
                <w:color w:val="auto"/>
              </w:rPr>
            </w:pPr>
            <w:r>
              <w:rPr>
                <w:rFonts w:ascii="Arial" w:cs="Arial" w:eastAsia="Arial" w:hAnsi="Arial"/>
                <w:sz w:val="14"/>
                <w:szCs w:val="14"/>
                <w:b w:val="1"/>
                <w:bCs w:val="1"/>
                <w:color w:val="auto"/>
              </w:rPr>
              <w:t>145</w:t>
            </w:r>
          </w:p>
        </w:tc>
        <w:tc>
          <w:tcPr>
            <w:tcW w:w="4120" w:type="dxa"/>
            <w:vAlign w:val="bottom"/>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audited the accompanying consolidated balance sheets of NBCUniversal Media, LLC and subsidiaries (the “Company”), as of December 31, 2013 and 2012, the related consolidated statements of income, comprehensive income, cash flows and changes in equity for the years ended December 31, 2013 and 2012, and for the period from January 29, 2011 to December 31, 2011 (successor), and the consolidated statements of income, comprehensive income, cash flows and changes in equity of NBC Universal, Inc. and subsidiaries (the “Predecessor Company”) for the period from January 1, 2011 to January 28, 2011 (predecessor). These consolidated financial statements are the responsibility of the Company’s management. Our responsibility is to express an opinion on these consolidated financial statements based on our audits.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and the Predecessor Company are not required to have, nor were we engaged to perform, an audit of their internal control over financial reporting. Our audits included consideration of internal control over financial reporting as a basis for designing audit procedures that are appropriate in the circumstances, but not for the purposes of expressing an opinion on the effectiveness of the Company’s or the Predecessor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2013 and 2012, the results of its operations and its cash flows for the years ended December 31, 2013 and 2012, and for the period from January 29, 2011 to December 31, 2011 (successor), and the results of the Predecessor Company’s operations and cash flows for the period from January 1, 2011 to January 28, 2011 (predecessor), in conformity with accounting principles generally accepted in the United States of America.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February 12, 2014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146</w:t>
            </w: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vMerge w:val="continue"/>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5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967</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Cash and cash equivalents</w:t>
            </w:r>
          </w:p>
        </w:tc>
        <w:tc>
          <w:tcPr>
            <w:tcW w:w="2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Receivables, net</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4,911</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Programming rights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903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current assets</w:t>
            </w:r>
          </w:p>
        </w:tc>
        <w:tc>
          <w:tcPr>
            <w:tcW w:w="2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615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current assets</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7,396</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Film and television costs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4,983</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884</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7,650</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14,882</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14,857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15,420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1,087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520" w:type="dxa"/>
            <w:vAlign w:val="bottom"/>
            <w:tcBorders>
              <w:bottom w:val="single" w:sz="8" w:color="0C6DFF"/>
            </w:tcBorders>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51,739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54,462</w:t>
            </w:r>
          </w:p>
        </w:tc>
        <w:tc>
          <w:tcPr>
            <w:tcW w:w="0" w:type="dxa"/>
            <w:vAlign w:val="bottom"/>
          </w:tcPr>
          <w:p>
            <w:pPr>
              <w:spacing w:after="0"/>
              <w:rPr>
                <w:sz w:val="1"/>
                <w:szCs w:val="1"/>
                <w:color w:val="auto"/>
              </w:rPr>
            </w:pPr>
          </w:p>
        </w:tc>
      </w:tr>
      <w:tr>
        <w:trPr>
          <w:trHeight w:val="199"/>
        </w:trPr>
        <w:tc>
          <w:tcPr>
            <w:tcW w:w="7300" w:type="dxa"/>
            <w:vAlign w:val="bottom"/>
          </w:tcPr>
          <w:p>
            <w:pPr>
              <w:spacing w:after="0" w:line="200" w:lineRule="exact"/>
              <w:rPr>
                <w:sz w:val="20"/>
                <w:szCs w:val="20"/>
                <w:color w:val="auto"/>
              </w:rPr>
            </w:pPr>
            <w:r>
              <w:rPr>
                <w:rFonts w:ascii="Arial" w:cs="Arial" w:eastAsia="Arial" w:hAnsi="Arial"/>
                <w:sz w:val="18"/>
                <w:szCs w:val="18"/>
                <w:b w:val="1"/>
                <w:bCs w:val="1"/>
                <w:color w:val="auto"/>
              </w:rPr>
              <w:t>Liabilities and Equity</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5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1,583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2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participations and residuals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1,239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Program obligations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657</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Deferred revenue</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846</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1,465</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03"/>
        </w:trPr>
        <w:tc>
          <w:tcPr>
            <w:tcW w:w="730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799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906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current liabilities</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7,495</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Long-term debt, less current portion</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10,259</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Accrued participations, residuals and program obligations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1,015</w:t>
            </w: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5"/>
        </w:trPr>
        <w:tc>
          <w:tcPr>
            <w:tcW w:w="7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b w:val="1"/>
                <w:bCs w:val="1"/>
                <w:color w:val="auto"/>
              </w:rPr>
              <w:t>3,412</w:t>
            </w:r>
          </w:p>
        </w:tc>
        <w:tc>
          <w:tcPr>
            <w:tcW w:w="20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17)</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231</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interests</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29,056</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00" w:type="dxa"/>
            <w:vAlign w:val="bottom"/>
          </w:tcPr>
          <w:p>
            <w:pPr>
              <w:ind w:left="220"/>
              <w:spacing w:after="0" w:line="181" w:lineRule="exact"/>
              <w:rPr>
                <w:sz w:val="20"/>
                <w:szCs w:val="20"/>
                <w:color w:val="auto"/>
              </w:rPr>
            </w:pPr>
            <w:r>
              <w:rPr>
                <w:rFonts w:ascii="Arial" w:cs="Arial" w:eastAsia="Arial" w:hAnsi="Arial"/>
                <w:sz w:val="18"/>
                <w:szCs w:val="18"/>
                <w:color w:val="auto"/>
              </w:rPr>
              <w:t>Member’s Capital</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Total NBCUniversal member’s equity</w:t>
            </w: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53"/>
              <w:spacing w:after="0" w:line="177" w:lineRule="exact"/>
              <w:rPr>
                <w:sz w:val="20"/>
                <w:szCs w:val="20"/>
                <w:color w:val="auto"/>
              </w:rPr>
            </w:pPr>
            <w:r>
              <w:rPr>
                <w:rFonts w:ascii="Arial" w:cs="Arial" w:eastAsia="Arial" w:hAnsi="Arial"/>
                <w:sz w:val="18"/>
                <w:szCs w:val="18"/>
                <w:b w:val="1"/>
                <w:bCs w:val="1"/>
                <w:color w:val="auto"/>
              </w:rPr>
              <w:t>29,040</w:t>
            </w:r>
          </w:p>
        </w:tc>
        <w:tc>
          <w:tcPr>
            <w:tcW w:w="200" w:type="dxa"/>
            <w:vAlign w:val="bottom"/>
          </w:tcPr>
          <w:p>
            <w:pPr>
              <w:spacing w:after="0"/>
              <w:rPr>
                <w:sz w:val="15"/>
                <w:szCs w:val="15"/>
                <w:color w:val="auto"/>
              </w:rPr>
            </w:pPr>
          </w:p>
        </w:tc>
        <w:tc>
          <w:tcPr>
            <w:tcW w:w="6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31,835</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287</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equity</w:t>
            </w:r>
          </w:p>
        </w:tc>
        <w:tc>
          <w:tcPr>
            <w:tcW w:w="2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29,327</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520" w:type="dxa"/>
            <w:vAlign w:val="bottom"/>
            <w:tcBorders>
              <w:bottom w:val="single" w:sz="8" w:color="0C6DFF"/>
            </w:tcBorders>
            <w:gridSpan w:val="2"/>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0C6DFF"/>
            </w:tcBorders>
          </w:tcPr>
          <w:p>
            <w:pPr>
              <w:jc w:val="right"/>
              <w:ind w:right="53"/>
              <w:spacing w:after="0" w:line="196" w:lineRule="exact"/>
              <w:rPr>
                <w:sz w:val="20"/>
                <w:szCs w:val="20"/>
                <w:color w:val="auto"/>
              </w:rPr>
            </w:pPr>
            <w:r>
              <w:rPr>
                <w:rFonts w:ascii="Arial" w:cs="Arial" w:eastAsia="Arial" w:hAnsi="Arial"/>
                <w:sz w:val="18"/>
                <w:szCs w:val="18"/>
                <w:b w:val="1"/>
                <w:bCs w:val="1"/>
                <w:color w:val="auto"/>
              </w:rPr>
              <w:t>51,739</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3"/>
              <w:spacing w:after="0" w:line="196" w:lineRule="exact"/>
              <w:rPr>
                <w:sz w:val="20"/>
                <w:szCs w:val="20"/>
                <w:color w:val="auto"/>
              </w:rPr>
            </w:pPr>
            <w:r>
              <w:rPr>
                <w:rFonts w:ascii="Arial" w:cs="Arial" w:eastAsia="Arial" w:hAnsi="Arial"/>
                <w:sz w:val="18"/>
                <w:szCs w:val="18"/>
                <w:color w:val="auto"/>
              </w:rPr>
              <w:t>54,462</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147</w:t>
            </w:r>
          </w:p>
        </w:tc>
        <w:tc>
          <w:tcPr>
            <w:tcW w:w="4120" w:type="dxa"/>
            <w:vAlign w:val="bottom"/>
            <w:gridSpan w:val="5"/>
          </w:tcPr>
          <w:p>
            <w:pPr>
              <w:jc w:val="right"/>
              <w:spacing w:after="0"/>
              <w:rPr>
                <w:sz w:val="20"/>
                <w:szCs w:val="20"/>
                <w:color w:val="auto"/>
              </w:rPr>
            </w:pPr>
            <w:r>
              <w:rPr>
                <w:rFonts w:ascii="Arial" w:cs="Arial" w:eastAsia="Arial" w:hAnsi="Arial"/>
                <w:sz w:val="14"/>
                <w:szCs w:val="14"/>
                <w:color w:val="auto"/>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9"/>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ind w:right="34"/>
              <w:spacing w:after="0" w:line="125"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0"/>
                <w:szCs w:val="10"/>
                <w:color w:val="auto"/>
              </w:rPr>
            </w:pPr>
          </w:p>
        </w:tc>
        <w:tc>
          <w:tcPr>
            <w:tcW w:w="860" w:type="dxa"/>
            <w:vAlign w:val="bottom"/>
          </w:tcPr>
          <w:p>
            <w:pPr>
              <w:jc w:val="right"/>
              <w:ind w:right="35"/>
              <w:spacing w:after="0" w:line="125" w:lineRule="exact"/>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0"/>
                <w:szCs w:val="10"/>
                <w:color w:val="auto"/>
              </w:rPr>
            </w:pPr>
          </w:p>
        </w:tc>
        <w:tc>
          <w:tcPr>
            <w:tcW w:w="1080" w:type="dxa"/>
            <w:vAlign w:val="bottom"/>
          </w:tcPr>
          <w:p>
            <w:pPr>
              <w:jc w:val="right"/>
              <w:ind w:right="13"/>
              <w:spacing w:after="0" w:line="125"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14"/>
              <w:spacing w:after="0" w:line="125"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jc w:val="right"/>
              <w:ind w:right="14"/>
              <w:spacing w:after="0" w:line="149" w:lineRule="exact"/>
              <w:rPr>
                <w:sz w:val="20"/>
                <w:szCs w:val="20"/>
                <w:color w:val="auto"/>
              </w:rPr>
            </w:pPr>
            <w:r>
              <w:rPr>
                <w:rFonts w:ascii="Arial" w:cs="Arial" w:eastAsia="Arial" w:hAnsi="Arial"/>
                <w:sz w:val="14"/>
                <w:szCs w:val="14"/>
                <w:color w:val="auto"/>
              </w:rPr>
              <w:t>January 1, 2011 to</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2012</w:t>
            </w:r>
          </w:p>
        </w:tc>
        <w:tc>
          <w:tcPr>
            <w:tcW w:w="1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color w:val="auto"/>
              </w:rPr>
              <w:t>January 28, 2011</w:t>
            </w:r>
          </w:p>
        </w:tc>
        <w:tc>
          <w:tcPr>
            <w:tcW w:w="0" w:type="dxa"/>
            <w:vAlign w:val="bottom"/>
          </w:tcPr>
          <w:p>
            <w:pPr>
              <w:spacing w:after="0"/>
              <w:rPr>
                <w:sz w:val="1"/>
                <w:szCs w:val="1"/>
                <w:color w:val="auto"/>
              </w:rPr>
            </w:pPr>
          </w:p>
        </w:tc>
      </w:tr>
      <w:tr>
        <w:trPr>
          <w:trHeight w:val="199"/>
        </w:trPr>
        <w:tc>
          <w:tcPr>
            <w:tcW w:w="498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Revenue</w:t>
            </w:r>
          </w:p>
        </w:tc>
        <w:tc>
          <w:tcPr>
            <w:tcW w:w="1400" w:type="dxa"/>
            <w:vAlign w:val="bottom"/>
            <w:gridSpan w:val="2"/>
          </w:tcPr>
          <w:p>
            <w:pPr>
              <w:ind w:left="1260"/>
              <w:spacing w:after="0" w:line="200"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23,650</w:t>
            </w:r>
          </w:p>
        </w:tc>
        <w:tc>
          <w:tcPr>
            <w:tcW w:w="200" w:type="dxa"/>
            <w:vAlign w:val="bottom"/>
          </w:tcPr>
          <w:p>
            <w:pPr>
              <w:ind w:left="80"/>
              <w:spacing w:after="0" w:line="200"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23,812</w:t>
            </w:r>
          </w:p>
        </w:tc>
        <w:tc>
          <w:tcPr>
            <w:tcW w:w="30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19,028</w:t>
            </w:r>
          </w:p>
        </w:tc>
        <w:tc>
          <w:tcPr>
            <w:tcW w:w="220" w:type="dxa"/>
            <w:vAlign w:val="bottom"/>
            <w:tcBorders>
              <w:right w:val="single" w:sz="8" w:color="auto"/>
            </w:tcBorders>
          </w:tcPr>
          <w:p>
            <w:pPr>
              <w:spacing w:after="0"/>
              <w:rPr>
                <w:sz w:val="17"/>
                <w:szCs w:val="17"/>
                <w:color w:val="auto"/>
              </w:rPr>
            </w:pPr>
          </w:p>
        </w:tc>
        <w:tc>
          <w:tcPr>
            <w:tcW w:w="4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Costs and Expenses: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11,770</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Pr>
          <w:p>
            <w:pPr>
              <w:ind w:left="200"/>
              <w:spacing w:after="0" w:line="181" w:lineRule="exact"/>
              <w:rPr>
                <w:sz w:val="20"/>
                <w:szCs w:val="20"/>
                <w:color w:val="auto"/>
              </w:rPr>
            </w:pPr>
            <w:r>
              <w:rPr>
                <w:rFonts w:ascii="Arial" w:cs="Arial" w:eastAsia="Arial" w:hAnsi="Arial"/>
                <w:sz w:val="18"/>
                <w:szCs w:val="18"/>
                <w:color w:val="auto"/>
              </w:rPr>
              <w:t>Programming and production</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5"/>
              <w:spacing w:after="0" w:line="181" w:lineRule="exact"/>
              <w:rPr>
                <w:sz w:val="20"/>
                <w:szCs w:val="20"/>
                <w:color w:val="auto"/>
              </w:rPr>
            </w:pPr>
            <w:r>
              <w:rPr>
                <w:rFonts w:ascii="Arial" w:cs="Arial" w:eastAsia="Arial" w:hAnsi="Arial"/>
                <w:sz w:val="18"/>
                <w:szCs w:val="18"/>
                <w:color w:val="auto"/>
              </w:rPr>
              <w:t>12,710</w:t>
            </w:r>
          </w:p>
        </w:tc>
        <w:tc>
          <w:tcPr>
            <w:tcW w:w="30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9,708</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4"/>
              <w:spacing w:after="0" w:line="181"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Other operating and administrative</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4,949</w:t>
            </w:r>
          </w:p>
        </w:tc>
        <w:tc>
          <w:tcPr>
            <w:tcW w:w="20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4,763</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4,075</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Advertising, marketing and promotion</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2,199</w:t>
            </w:r>
          </w:p>
        </w:tc>
        <w:tc>
          <w:tcPr>
            <w:tcW w:w="20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2,232</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1,849</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639</w:t>
            </w:r>
          </w:p>
        </w:tc>
        <w:tc>
          <w:tcPr>
            <w:tcW w:w="20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562</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401</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772</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764</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b w:val="1"/>
                <w:bCs w:val="1"/>
                <w:color w:val="auto"/>
              </w:rPr>
              <w:t>20,329</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21,031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16,745</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income</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0" w:lineRule="exact"/>
              <w:rPr>
                <w:sz w:val="20"/>
                <w:szCs w:val="20"/>
                <w:color w:val="auto"/>
              </w:rPr>
            </w:pPr>
            <w:r>
              <w:rPr>
                <w:rFonts w:ascii="Arial" w:cs="Arial" w:eastAsia="Arial" w:hAnsi="Arial"/>
                <w:sz w:val="18"/>
                <w:szCs w:val="18"/>
                <w:b w:val="1"/>
                <w:bCs w:val="1"/>
                <w:color w:val="auto"/>
              </w:rPr>
              <w:t>3,321</w:t>
            </w:r>
          </w:p>
        </w:tc>
        <w:tc>
          <w:tcPr>
            <w:tcW w:w="200" w:type="dxa"/>
            <w:vAlign w:val="bottom"/>
          </w:tcPr>
          <w:p>
            <w:pPr>
              <w:spacing w:after="0"/>
              <w:rPr>
                <w:sz w:val="17"/>
                <w:szCs w:val="17"/>
                <w:color w:val="auto"/>
              </w:rPr>
            </w:pPr>
          </w:p>
        </w:tc>
        <w:tc>
          <w:tcPr>
            <w:tcW w:w="860" w:type="dxa"/>
            <w:vAlign w:val="bottom"/>
          </w:tcPr>
          <w:p>
            <w:pPr>
              <w:jc w:val="right"/>
              <w:ind w:right="35"/>
              <w:spacing w:after="0" w:line="200" w:lineRule="exact"/>
              <w:rPr>
                <w:sz w:val="20"/>
                <w:szCs w:val="20"/>
                <w:color w:val="auto"/>
              </w:rPr>
            </w:pPr>
            <w:r>
              <w:rPr>
                <w:rFonts w:ascii="Arial" w:cs="Arial" w:eastAsia="Arial" w:hAnsi="Arial"/>
                <w:sz w:val="18"/>
                <w:szCs w:val="18"/>
                <w:color w:val="auto"/>
              </w:rPr>
              <w:t>2,781</w:t>
            </w:r>
          </w:p>
        </w:tc>
        <w:tc>
          <w:tcPr>
            <w:tcW w:w="300" w:type="dxa"/>
            <w:vAlign w:val="bottom"/>
          </w:tcPr>
          <w:p>
            <w:pPr>
              <w:spacing w:after="0"/>
              <w:rPr>
                <w:sz w:val="17"/>
                <w:szCs w:val="17"/>
                <w:color w:val="auto"/>
              </w:rPr>
            </w:pPr>
          </w:p>
        </w:tc>
        <w:tc>
          <w:tcPr>
            <w:tcW w:w="1080" w:type="dxa"/>
            <w:vAlign w:val="bottom"/>
          </w:tcPr>
          <w:p>
            <w:pPr>
              <w:jc w:val="right"/>
              <w:ind w:right="13"/>
              <w:spacing w:after="0" w:line="200" w:lineRule="exact"/>
              <w:rPr>
                <w:sz w:val="20"/>
                <w:szCs w:val="20"/>
                <w:color w:val="auto"/>
              </w:rPr>
            </w:pPr>
            <w:r>
              <w:rPr>
                <w:rFonts w:ascii="Arial" w:cs="Arial" w:eastAsia="Arial" w:hAnsi="Arial"/>
                <w:sz w:val="18"/>
                <w:szCs w:val="18"/>
                <w:color w:val="auto"/>
              </w:rPr>
              <w:t>2,283</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(515)</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60" w:type="dxa"/>
            <w:vAlign w:val="bottom"/>
          </w:tcPr>
          <w:p>
            <w:pPr>
              <w:ind w:left="200"/>
              <w:spacing w:after="0" w:line="181" w:lineRule="exact"/>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(480)</w:t>
            </w:r>
          </w:p>
        </w:tc>
        <w:tc>
          <w:tcPr>
            <w:tcW w:w="30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(389)</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(loss), net</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17</w:t>
            </w:r>
          </w:p>
        </w:tc>
        <w:tc>
          <w:tcPr>
            <w:tcW w:w="20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w:t>
            </w:r>
          </w:p>
        </w:tc>
        <w:tc>
          <w:tcPr>
            <w:tcW w:w="20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183</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262</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income (expense), net</w:t>
            </w: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917</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(993)</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647</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2,328</w:t>
            </w:r>
          </w:p>
        </w:tc>
        <w:tc>
          <w:tcPr>
            <w:tcW w:w="200" w:type="dxa"/>
            <w:vAlign w:val="bottom"/>
          </w:tcPr>
          <w:p>
            <w:pPr>
              <w:spacing w:after="0"/>
              <w:rPr>
                <w:sz w:val="15"/>
                <w:szCs w:val="15"/>
                <w:color w:val="auto"/>
              </w:rPr>
            </w:pPr>
          </w:p>
        </w:tc>
        <w:tc>
          <w:tcPr>
            <w:tcW w:w="8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3,428</w:t>
            </w:r>
          </w:p>
        </w:tc>
        <w:tc>
          <w:tcPr>
            <w:tcW w:w="300" w:type="dxa"/>
            <w:vAlign w:val="bottom"/>
          </w:tcPr>
          <w:p>
            <w:pPr>
              <w:spacing w:after="0"/>
              <w:rPr>
                <w:sz w:val="15"/>
                <w:szCs w:val="15"/>
                <w:color w:val="auto"/>
              </w:rPr>
            </w:pPr>
          </w:p>
        </w:tc>
        <w:tc>
          <w:tcPr>
            <w:tcW w:w="10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2,046</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7" w:lineRule="exact"/>
              <w:rPr>
                <w:sz w:val="20"/>
                <w:szCs w:val="20"/>
                <w:color w:val="auto"/>
              </w:rPr>
            </w:pPr>
            <w:r>
              <w:rPr>
                <w:rFonts w:ascii="Arial" w:cs="Arial" w:eastAsia="Arial" w:hAnsi="Arial"/>
                <w:sz w:val="18"/>
                <w:szCs w:val="18"/>
                <w:color w:val="auto"/>
              </w:rPr>
              <w:t>Net income (loss)</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4"/>
              <w:spacing w:after="0" w:line="177" w:lineRule="exact"/>
              <w:rPr>
                <w:sz w:val="20"/>
                <w:szCs w:val="20"/>
                <w:color w:val="auto"/>
              </w:rPr>
            </w:pPr>
            <w:r>
              <w:rPr>
                <w:rFonts w:ascii="Arial" w:cs="Arial" w:eastAsia="Arial" w:hAnsi="Arial"/>
                <w:sz w:val="18"/>
                <w:szCs w:val="18"/>
                <w:b w:val="1"/>
                <w:bCs w:val="1"/>
                <w:color w:val="auto"/>
              </w:rPr>
              <w:t>2,122</w:t>
            </w:r>
          </w:p>
        </w:tc>
        <w:tc>
          <w:tcPr>
            <w:tcW w:w="200" w:type="dxa"/>
            <w:vAlign w:val="bottom"/>
          </w:tcPr>
          <w:p>
            <w:pPr>
              <w:spacing w:after="0"/>
              <w:rPr>
                <w:sz w:val="15"/>
                <w:szCs w:val="15"/>
                <w:color w:val="auto"/>
              </w:rPr>
            </w:pPr>
          </w:p>
        </w:tc>
        <w:tc>
          <w:tcPr>
            <w:tcW w:w="860" w:type="dxa"/>
            <w:vAlign w:val="bottom"/>
          </w:tcPr>
          <w:p>
            <w:pPr>
              <w:jc w:val="right"/>
              <w:ind w:right="35"/>
              <w:spacing w:after="0" w:line="177" w:lineRule="exact"/>
              <w:rPr>
                <w:sz w:val="20"/>
                <w:szCs w:val="20"/>
                <w:color w:val="auto"/>
              </w:rPr>
            </w:pPr>
            <w:r>
              <w:rPr>
                <w:rFonts w:ascii="Arial" w:cs="Arial" w:eastAsia="Arial" w:hAnsi="Arial"/>
                <w:sz w:val="18"/>
                <w:szCs w:val="18"/>
                <w:color w:val="auto"/>
              </w:rPr>
              <w:t>3,231</w:t>
            </w:r>
          </w:p>
        </w:tc>
        <w:tc>
          <w:tcPr>
            <w:tcW w:w="300" w:type="dxa"/>
            <w:vAlign w:val="bottom"/>
          </w:tcPr>
          <w:p>
            <w:pPr>
              <w:spacing w:after="0"/>
              <w:rPr>
                <w:sz w:val="15"/>
                <w:szCs w:val="15"/>
                <w:color w:val="auto"/>
              </w:rPr>
            </w:pPr>
          </w:p>
        </w:tc>
        <w:tc>
          <w:tcPr>
            <w:tcW w:w="10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1,861</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income (loss) attributable to NBCUniversal</w:t>
            </w:r>
          </w:p>
        </w:tc>
        <w:tc>
          <w:tcPr>
            <w:tcW w:w="1400" w:type="dxa"/>
            <w:vAlign w:val="bottom"/>
            <w:gridSpan w:val="2"/>
          </w:tcPr>
          <w:p>
            <w:pPr>
              <w:ind w:left="126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1,968</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line="196" w:lineRule="exact"/>
              <w:rPr>
                <w:sz w:val="20"/>
                <w:szCs w:val="20"/>
                <w:color w:val="auto"/>
              </w:rPr>
            </w:pPr>
            <w:r>
              <w:rPr>
                <w:rFonts w:ascii="Arial" w:cs="Arial" w:eastAsia="Arial" w:hAnsi="Arial"/>
                <w:sz w:val="18"/>
                <w:szCs w:val="18"/>
                <w:color w:val="auto"/>
              </w:rPr>
              <w:t>3,055</w:t>
            </w: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1,683</w:t>
            </w:r>
          </w:p>
        </w:tc>
        <w:tc>
          <w:tcPr>
            <w:tcW w:w="220" w:type="dxa"/>
            <w:vAlign w:val="bottom"/>
            <w:tcBorders>
              <w:right w:val="single" w:sz="8" w:color="auto"/>
            </w:tcBorders>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Borders>
              <w:bottom w:val="single" w:sz="8" w:color="0C6DFF"/>
            </w:tcBorders>
          </w:tcPr>
          <w:p>
            <w:pPr>
              <w:spacing w:after="0"/>
              <w:rPr>
                <w:sz w:val="2"/>
                <w:szCs w:val="2"/>
                <w:color w:val="auto"/>
              </w:rPr>
            </w:pPr>
          </w:p>
        </w:tc>
        <w:tc>
          <w:tcPr>
            <w:tcW w:w="11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498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1180" w:type="dxa"/>
            <w:vAlign w:val="bottom"/>
          </w:tcPr>
          <w:p>
            <w:pPr>
              <w:jc w:val="right"/>
              <w:ind w:right="259"/>
              <w:spacing w:after="0"/>
              <w:rPr>
                <w:sz w:val="20"/>
                <w:szCs w:val="20"/>
                <w:color w:val="auto"/>
              </w:rPr>
            </w:pPr>
            <w:r>
              <w:rPr>
                <w:rFonts w:ascii="Arial" w:cs="Arial" w:eastAsia="Arial" w:hAnsi="Arial"/>
                <w:sz w:val="14"/>
                <w:szCs w:val="14"/>
                <w:b w:val="1"/>
                <w:bCs w:val="1"/>
                <w:color w:val="auto"/>
              </w:rPr>
              <w:t>148</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w w:val="99"/>
              </w:rPr>
              <w:t>Predecessor</w:t>
            </w:r>
          </w:p>
        </w:tc>
      </w:tr>
      <w:tr>
        <w:trPr>
          <w:trHeight w:val="125"/>
        </w:trPr>
        <w:tc>
          <w:tcPr>
            <w:tcW w:w="5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ind w:right="37"/>
              <w:spacing w:after="0" w:line="125"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0"/>
                <w:szCs w:val="10"/>
                <w:color w:val="auto"/>
              </w:rPr>
            </w:pPr>
          </w:p>
        </w:tc>
        <w:tc>
          <w:tcPr>
            <w:tcW w:w="860" w:type="dxa"/>
            <w:vAlign w:val="bottom"/>
          </w:tcPr>
          <w:p>
            <w:pPr>
              <w:jc w:val="right"/>
              <w:ind w:right="38"/>
              <w:spacing w:after="0" w:line="125" w:lineRule="exact"/>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0"/>
                <w:szCs w:val="10"/>
                <w:color w:val="auto"/>
              </w:rPr>
            </w:pPr>
          </w:p>
        </w:tc>
        <w:tc>
          <w:tcPr>
            <w:tcW w:w="1080" w:type="dxa"/>
            <w:vAlign w:val="bottom"/>
          </w:tcPr>
          <w:p>
            <w:pPr>
              <w:jc w:val="right"/>
              <w:ind w:right="17"/>
              <w:spacing w:after="0" w:line="125"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17"/>
              <w:spacing w:after="0" w:line="125" w:lineRule="exact"/>
              <w:rPr>
                <w:sz w:val="20"/>
                <w:szCs w:val="20"/>
                <w:color w:val="auto"/>
              </w:rPr>
            </w:pPr>
            <w:r>
              <w:rPr>
                <w:rFonts w:ascii="Arial" w:cs="Arial" w:eastAsia="Arial" w:hAnsi="Arial"/>
                <w:sz w:val="14"/>
                <w:szCs w:val="14"/>
                <w:color w:val="auto"/>
              </w:rPr>
              <w:t>For the Period</w:t>
            </w:r>
          </w:p>
        </w:tc>
      </w:tr>
      <w:tr>
        <w:trPr>
          <w:trHeight w:val="149"/>
        </w:trPr>
        <w:tc>
          <w:tcPr>
            <w:tcW w:w="5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jc w:val="right"/>
              <w:ind w:right="17"/>
              <w:spacing w:after="0" w:line="149" w:lineRule="exact"/>
              <w:rPr>
                <w:sz w:val="20"/>
                <w:szCs w:val="20"/>
                <w:color w:val="auto"/>
              </w:rPr>
            </w:pPr>
            <w:r>
              <w:rPr>
                <w:rFonts w:ascii="Arial" w:cs="Arial" w:eastAsia="Arial" w:hAnsi="Arial"/>
                <w:sz w:val="14"/>
                <w:szCs w:val="14"/>
                <w:color w:val="auto"/>
              </w:rPr>
              <w:t>January 1, 2011 to</w:t>
            </w:r>
          </w:p>
        </w:tc>
      </w:tr>
      <w:tr>
        <w:trPr>
          <w:trHeight w:val="165"/>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rPr>
              <w:t>2012</w:t>
            </w:r>
          </w:p>
        </w:tc>
        <w:tc>
          <w:tcPr>
            <w:tcW w:w="1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January 28, 2011</w:t>
            </w:r>
          </w:p>
        </w:tc>
      </w:tr>
      <w:tr>
        <w:trPr>
          <w:trHeight w:val="177"/>
        </w:trPr>
        <w:tc>
          <w:tcPr>
            <w:tcW w:w="5280" w:type="dxa"/>
            <w:vAlign w:val="bottom"/>
          </w:tcPr>
          <w:p>
            <w:pPr>
              <w:spacing w:after="0" w:line="177" w:lineRule="exact"/>
              <w:rPr>
                <w:sz w:val="20"/>
                <w:szCs w:val="20"/>
                <w:color w:val="auto"/>
              </w:rPr>
            </w:pPr>
            <w:r>
              <w:rPr>
                <w:rFonts w:ascii="Arial" w:cs="Arial" w:eastAsia="Arial" w:hAnsi="Arial"/>
                <w:sz w:val="18"/>
                <w:szCs w:val="18"/>
                <w:color w:val="auto"/>
              </w:rPr>
              <w:t>Net income (loss)</w:t>
            </w:r>
          </w:p>
        </w:tc>
        <w:tc>
          <w:tcPr>
            <w:tcW w:w="1100" w:type="dxa"/>
            <w:vAlign w:val="bottom"/>
            <w:gridSpan w:val="2"/>
          </w:tcPr>
          <w:p>
            <w:pPr>
              <w:ind w:left="960"/>
              <w:spacing w:after="0" w:line="177"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2,122</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line="177" w:lineRule="exact"/>
              <w:rPr>
                <w:sz w:val="20"/>
                <w:szCs w:val="20"/>
                <w:color w:val="auto"/>
              </w:rPr>
            </w:pPr>
            <w:r>
              <w:rPr>
                <w:rFonts w:ascii="Arial" w:cs="Arial" w:eastAsia="Arial" w:hAnsi="Arial"/>
                <w:sz w:val="18"/>
                <w:szCs w:val="18"/>
                <w:color w:val="auto"/>
              </w:rPr>
              <w:t>3,231</w:t>
            </w:r>
          </w:p>
        </w:tc>
        <w:tc>
          <w:tcPr>
            <w:tcW w:w="30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1,861</w:t>
            </w:r>
          </w:p>
        </w:tc>
        <w:tc>
          <w:tcPr>
            <w:tcW w:w="220" w:type="dxa"/>
            <w:vAlign w:val="bottom"/>
            <w:tcBorders>
              <w:right w:val="single" w:sz="8" w:color="auto"/>
            </w:tcBorders>
          </w:tcPr>
          <w:p>
            <w:pPr>
              <w:spacing w:after="0"/>
              <w:rPr>
                <w:sz w:val="15"/>
                <w:szCs w:val="15"/>
                <w:color w:val="auto"/>
              </w:rPr>
            </w:pPr>
          </w:p>
        </w:tc>
        <w:tc>
          <w:tcPr>
            <w:tcW w:w="420" w:type="dxa"/>
            <w:vAlign w:val="bottom"/>
            <w:gridSpan w:val="2"/>
          </w:tcPr>
          <w:p>
            <w:pPr>
              <w:jc w:val="right"/>
              <w:spacing w:after="0" w:line="177"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(25)</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Employee benefit obligations, net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95</w:t>
            </w:r>
          </w:p>
        </w:tc>
        <w:tc>
          <w:tcPr>
            <w:tcW w:w="200" w:type="dxa"/>
            <w:vAlign w:val="bottom"/>
          </w:tcPr>
          <w:p>
            <w:pPr>
              <w:spacing w:after="0"/>
              <w:rPr>
                <w:sz w:val="17"/>
                <w:szCs w:val="17"/>
                <w:color w:val="auto"/>
              </w:rPr>
            </w:pPr>
          </w:p>
        </w:tc>
        <w:tc>
          <w:tcPr>
            <w:tcW w:w="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Currency translation adjustments, net</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w:t>
            </w:r>
          </w:p>
        </w:tc>
      </w:tr>
      <w:tr>
        <w:trPr>
          <w:trHeight w:val="221"/>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177"/>
        </w:trPr>
        <w:tc>
          <w:tcPr>
            <w:tcW w:w="5280" w:type="dxa"/>
            <w:vAlign w:val="bottom"/>
          </w:tcPr>
          <w:p>
            <w:pPr>
              <w:spacing w:after="0" w:line="177" w:lineRule="exact"/>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2,171</w:t>
            </w:r>
          </w:p>
        </w:tc>
        <w:tc>
          <w:tcPr>
            <w:tcW w:w="200" w:type="dxa"/>
            <w:vAlign w:val="bottom"/>
          </w:tcPr>
          <w:p>
            <w:pPr>
              <w:spacing w:after="0"/>
              <w:rPr>
                <w:sz w:val="15"/>
                <w:szCs w:val="15"/>
                <w:color w:val="auto"/>
              </w:rPr>
            </w:pPr>
          </w:p>
        </w:tc>
        <w:tc>
          <w:tcPr>
            <w:tcW w:w="860" w:type="dxa"/>
            <w:vAlign w:val="bottom"/>
          </w:tcPr>
          <w:p>
            <w:pPr>
              <w:jc w:val="right"/>
              <w:ind w:right="38"/>
              <w:spacing w:after="0" w:line="177" w:lineRule="exact"/>
              <w:rPr>
                <w:sz w:val="20"/>
                <w:szCs w:val="20"/>
                <w:color w:val="auto"/>
              </w:rPr>
            </w:pPr>
            <w:r>
              <w:rPr>
                <w:rFonts w:ascii="Arial" w:cs="Arial" w:eastAsia="Arial" w:hAnsi="Arial"/>
                <w:sz w:val="18"/>
                <w:szCs w:val="18"/>
                <w:color w:val="auto"/>
              </w:rPr>
              <w:t>3,244</w:t>
            </w:r>
          </w:p>
        </w:tc>
        <w:tc>
          <w:tcPr>
            <w:tcW w:w="300" w:type="dxa"/>
            <w:vAlign w:val="bottom"/>
          </w:tcPr>
          <w:p>
            <w:pPr>
              <w:spacing w:after="0"/>
              <w:rPr>
                <w:sz w:val="15"/>
                <w:szCs w:val="15"/>
                <w:color w:val="auto"/>
              </w:rPr>
            </w:pPr>
          </w:p>
        </w:tc>
        <w:tc>
          <w:tcPr>
            <w:tcW w:w="1080" w:type="dxa"/>
            <w:vAlign w:val="bottom"/>
          </w:tcPr>
          <w:p>
            <w:pPr>
              <w:jc w:val="right"/>
              <w:ind w:right="17"/>
              <w:spacing w:after="0" w:line="177" w:lineRule="exact"/>
              <w:rPr>
                <w:sz w:val="20"/>
                <w:szCs w:val="20"/>
                <w:color w:val="auto"/>
              </w:rPr>
            </w:pPr>
            <w:r>
              <w:rPr>
                <w:rFonts w:ascii="Arial" w:cs="Arial" w:eastAsia="Arial" w:hAnsi="Arial"/>
                <w:sz w:val="18"/>
                <w:szCs w:val="18"/>
                <w:color w:val="auto"/>
              </w:rPr>
              <w:t>1,783</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(22)</w:t>
            </w:r>
          </w:p>
        </w:tc>
      </w:tr>
      <w:tr>
        <w:trPr>
          <w:trHeight w:val="221"/>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r>
      <w:tr>
        <w:trPr>
          <w:trHeight w:val="196"/>
        </w:trPr>
        <w:tc>
          <w:tcPr>
            <w:tcW w:w="5280" w:type="dxa"/>
            <w:vAlign w:val="bottom"/>
          </w:tcPr>
          <w:p>
            <w:pPr>
              <w:spacing w:after="0" w:line="196" w:lineRule="exact"/>
              <w:rPr>
                <w:sz w:val="20"/>
                <w:szCs w:val="20"/>
                <w:color w:val="auto"/>
              </w:rPr>
            </w:pPr>
            <w:r>
              <w:rPr>
                <w:rFonts w:ascii="Arial" w:cs="Arial" w:eastAsia="Arial" w:hAnsi="Arial"/>
                <w:sz w:val="18"/>
                <w:szCs w:val="18"/>
                <w:b w:val="1"/>
                <w:bCs w:val="1"/>
                <w:color w:val="auto"/>
              </w:rPr>
              <w:t>Comprehensive income (loss) attributable to NBCUniversal</w:t>
            </w:r>
          </w:p>
        </w:tc>
        <w:tc>
          <w:tcPr>
            <w:tcW w:w="1100" w:type="dxa"/>
            <w:vAlign w:val="bottom"/>
            <w:gridSpan w:val="2"/>
          </w:tcPr>
          <w:p>
            <w:pPr>
              <w:ind w:left="96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7"/>
              <w:spacing w:after="0" w:line="196"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8"/>
              <w:spacing w:after="0" w:line="196" w:lineRule="exact"/>
              <w:rPr>
                <w:sz w:val="20"/>
                <w:szCs w:val="20"/>
                <w:color w:val="auto"/>
              </w:rPr>
            </w:pPr>
            <w:r>
              <w:rPr>
                <w:rFonts w:ascii="Arial" w:cs="Arial" w:eastAsia="Arial" w:hAnsi="Arial"/>
                <w:sz w:val="18"/>
                <w:szCs w:val="18"/>
                <w:color w:val="auto"/>
              </w:rPr>
              <w:t>3,068</w:t>
            </w: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line="196" w:lineRule="exact"/>
              <w:rPr>
                <w:sz w:val="20"/>
                <w:szCs w:val="20"/>
                <w:color w:val="auto"/>
              </w:rPr>
            </w:pPr>
            <w:r>
              <w:rPr>
                <w:rFonts w:ascii="Arial" w:cs="Arial" w:eastAsia="Arial" w:hAnsi="Arial"/>
                <w:sz w:val="18"/>
                <w:szCs w:val="18"/>
                <w:color w:val="auto"/>
              </w:rPr>
              <w:t>1,605</w:t>
            </w:r>
          </w:p>
        </w:tc>
        <w:tc>
          <w:tcPr>
            <w:tcW w:w="220" w:type="dxa"/>
            <w:vAlign w:val="bottom"/>
            <w:tcBorders>
              <w:right w:val="single" w:sz="8" w:color="auto"/>
            </w:tcBorders>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7"/>
        </w:trPr>
        <w:tc>
          <w:tcPr>
            <w:tcW w:w="528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500"/>
        </w:trPr>
        <w:tc>
          <w:tcPr>
            <w:tcW w:w="5280" w:type="dxa"/>
            <w:vAlign w:val="bottom"/>
          </w:tcPr>
          <w:p>
            <w:pPr>
              <w:spacing w:after="0"/>
              <w:rPr>
                <w:sz w:val="24"/>
                <w:szCs w:val="24"/>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149</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9"/>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ind w:right="33"/>
              <w:spacing w:after="0" w:line="125"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0"/>
                <w:szCs w:val="10"/>
                <w:color w:val="auto"/>
              </w:rPr>
            </w:pPr>
          </w:p>
        </w:tc>
        <w:tc>
          <w:tcPr>
            <w:tcW w:w="860" w:type="dxa"/>
            <w:vAlign w:val="bottom"/>
          </w:tcPr>
          <w:p>
            <w:pPr>
              <w:jc w:val="right"/>
              <w:ind w:right="34"/>
              <w:spacing w:after="0" w:line="125" w:lineRule="exact"/>
              <w:rPr>
                <w:sz w:val="20"/>
                <w:szCs w:val="20"/>
                <w:color w:val="auto"/>
              </w:rPr>
            </w:pPr>
            <w:r>
              <w:rPr>
                <w:rFonts w:ascii="Arial" w:cs="Arial" w:eastAsia="Arial" w:hAnsi="Arial"/>
                <w:sz w:val="14"/>
                <w:szCs w:val="14"/>
                <w:color w:val="auto"/>
                <w:w w:val="97"/>
              </w:rPr>
              <w:t>Year Ended</w:t>
            </w:r>
          </w:p>
        </w:tc>
        <w:tc>
          <w:tcPr>
            <w:tcW w:w="300" w:type="dxa"/>
            <w:vAlign w:val="bottom"/>
          </w:tcPr>
          <w:p>
            <w:pPr>
              <w:spacing w:after="0"/>
              <w:rPr>
                <w:sz w:val="10"/>
                <w:szCs w:val="10"/>
                <w:color w:val="auto"/>
              </w:rPr>
            </w:pPr>
          </w:p>
        </w:tc>
        <w:tc>
          <w:tcPr>
            <w:tcW w:w="1080" w:type="dxa"/>
            <w:vAlign w:val="bottom"/>
          </w:tcPr>
          <w:p>
            <w:pPr>
              <w:jc w:val="right"/>
              <w:ind w:right="13"/>
              <w:spacing w:after="0" w:line="125"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13"/>
              <w:spacing w:after="0" w:line="125"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160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4"/>
                <w:szCs w:val="14"/>
                <w:color w:val="auto"/>
              </w:rPr>
              <w:t>January 29, 2011 to</w:t>
            </w:r>
          </w:p>
        </w:tc>
        <w:tc>
          <w:tcPr>
            <w:tcW w:w="180" w:type="dxa"/>
            <w:vAlign w:val="bottom"/>
          </w:tcPr>
          <w:p>
            <w:pPr>
              <w:spacing w:after="0"/>
              <w:rPr>
                <w:sz w:val="12"/>
                <w:szCs w:val="12"/>
                <w:color w:val="auto"/>
              </w:rPr>
            </w:pPr>
          </w:p>
        </w:tc>
        <w:tc>
          <w:tcPr>
            <w:tcW w:w="132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rPr>
              <w:t>January 1, 2011 to</w:t>
            </w:r>
          </w:p>
        </w:tc>
        <w:tc>
          <w:tcPr>
            <w:tcW w:w="0" w:type="dxa"/>
            <w:vAlign w:val="bottom"/>
          </w:tcPr>
          <w:p>
            <w:pPr>
              <w:spacing w:after="0"/>
              <w:rPr>
                <w:sz w:val="1"/>
                <w:szCs w:val="1"/>
                <w:color w:val="auto"/>
              </w:rPr>
            </w:pPr>
          </w:p>
        </w:tc>
      </w:tr>
      <w:tr>
        <w:trPr>
          <w:trHeight w:val="165"/>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16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color w:val="auto"/>
              </w:rPr>
              <w:t>January 28, 2011</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84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2,122</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8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3,231</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1,861</w:t>
            </w:r>
          </w:p>
        </w:tc>
        <w:tc>
          <w:tcPr>
            <w:tcW w:w="220" w:type="dxa"/>
            <w:vAlign w:val="bottom"/>
            <w:tcBorders>
              <w:right w:val="single" w:sz="8" w:color="auto"/>
            </w:tcBorders>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6380" w:type="dxa"/>
            <w:vAlign w:val="bottom"/>
            <w:gridSpan w:val="4"/>
          </w:tcPr>
          <w:p>
            <w:pPr>
              <w:spacing w:after="0" w:line="202" w:lineRule="exact"/>
              <w:rPr>
                <w:sz w:val="20"/>
                <w:szCs w:val="20"/>
                <w:color w:val="auto"/>
              </w:rPr>
            </w:pPr>
            <w:r>
              <w:rPr>
                <w:rFonts w:ascii="Arial" w:cs="Arial" w:eastAsia="Arial" w:hAnsi="Arial"/>
                <w:sz w:val="18"/>
                <w:szCs w:val="18"/>
                <w:color w:val="auto"/>
              </w:rPr>
              <w:t>Adjustments to reconcile net income (loss) to net cash provided by (used in)</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1,411</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4"/>
              <w:spacing w:after="0" w:line="181" w:lineRule="exact"/>
              <w:rPr>
                <w:sz w:val="20"/>
                <w:szCs w:val="20"/>
                <w:color w:val="auto"/>
              </w:rPr>
            </w:pPr>
            <w:r>
              <w:rPr>
                <w:rFonts w:ascii="Arial" w:cs="Arial" w:eastAsia="Arial" w:hAnsi="Arial"/>
                <w:sz w:val="18"/>
                <w:szCs w:val="18"/>
                <w:color w:val="auto"/>
              </w:rPr>
              <w:t>1,326</w:t>
            </w:r>
          </w:p>
        </w:tc>
        <w:tc>
          <w:tcPr>
            <w:tcW w:w="30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1,113</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film and television costs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8,185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9,399</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6,766</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Noncash compensation expense</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17</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93</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Cash received from investees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189</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301</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345</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(1,093)</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30</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6380" w:type="dxa"/>
            <w:vAlign w:val="bottom"/>
            <w:gridSpan w:val="4"/>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divestitures: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(752)</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Change in current and noncurrent receivables, net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(643)</w:t>
            </w:r>
          </w:p>
        </w:tc>
        <w:tc>
          <w:tcPr>
            <w:tcW w:w="30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(357)</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Change in film and television costs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(8,183)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(7,018)</w:t>
            </w: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w w:val="98"/>
              </w:rPr>
              <w:t>Change in accounts payable and accrued expenses related to trade</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(789)</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420"/>
              <w:spacing w:after="0" w:line="181" w:lineRule="exact"/>
              <w:rPr>
                <w:sz w:val="20"/>
                <w:szCs w:val="20"/>
                <w:color w:val="auto"/>
              </w:rPr>
            </w:pPr>
            <w:r>
              <w:rPr>
                <w:rFonts w:ascii="Arial" w:cs="Arial" w:eastAsia="Arial" w:hAnsi="Arial"/>
                <w:sz w:val="18"/>
                <w:szCs w:val="18"/>
                <w:color w:val="auto"/>
              </w:rPr>
              <w:t>creditors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4"/>
              <w:spacing w:after="0" w:line="181"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95</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Change in other operating assets and liabilities</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505</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333</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296</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3,024</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3,333</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2,869</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(1,160)</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(763)</w:t>
            </w:r>
          </w:p>
        </w:tc>
        <w:tc>
          <w:tcPr>
            <w:tcW w:w="30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(432)</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intangible assets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Acquisitions of real estate properties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(1,705)</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Acquisitions, net of cash acquired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3,026</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117</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Return of capital from investees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131</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75</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(236)</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(3,212)</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(1,332)</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99"/>
        </w:trPr>
        <w:tc>
          <w:tcPr>
            <w:tcW w:w="554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Financing Activities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20" w:type="dxa"/>
            <w:vAlign w:val="bottom"/>
          </w:tcPr>
          <w:p>
            <w:pPr>
              <w:ind w:left="20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(550)</w:t>
            </w:r>
          </w:p>
        </w:tc>
        <w:tc>
          <w:tcPr>
            <w:tcW w:w="30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550</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3"/>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third party borrowings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1,995</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Repurchases and repayments of debt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(92)</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 from Comcast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799</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250</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Repayments of borrowings from Comcast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Decrease in short-term loans to GE, net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Redemption Transaction distribution</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(3,200)</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member</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(1,422)</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Repurchase of preferred stock interest</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Distributions to noncontrolling interests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(183)</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ind w:left="200"/>
              <w:spacing w:after="0" w:line="202" w:lineRule="exact"/>
              <w:rPr>
                <w:sz w:val="20"/>
                <w:szCs w:val="20"/>
                <w:color w:val="auto"/>
              </w:rPr>
            </w:pPr>
            <w:r>
              <w:rPr>
                <w:rFonts w:ascii="Arial" w:cs="Arial" w:eastAsia="Arial" w:hAnsi="Arial"/>
                <w:sz w:val="18"/>
                <w:szCs w:val="18"/>
                <w:color w:val="auto"/>
              </w:rPr>
              <w:t>Settlement of Station Venture liability</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(602)</w:t>
            </w:r>
          </w:p>
        </w:tc>
        <w:tc>
          <w:tcPr>
            <w:tcW w:w="20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(4,766)</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w:t>
            </w:r>
          </w:p>
        </w:tc>
        <w:tc>
          <w:tcPr>
            <w:tcW w:w="22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77"/>
        </w:trPr>
        <w:tc>
          <w:tcPr>
            <w:tcW w:w="5540" w:type="dxa"/>
            <w:vAlign w:val="bottom"/>
            <w:gridSpan w:val="2"/>
          </w:tcPr>
          <w:p>
            <w:pPr>
              <w:spacing w:after="0" w:line="177" w:lineRule="exact"/>
              <w:rPr>
                <w:sz w:val="20"/>
                <w:szCs w:val="20"/>
                <w:color w:val="auto"/>
              </w:rPr>
            </w:pPr>
            <w:r>
              <w:rPr>
                <w:rFonts w:ascii="Arial" w:cs="Arial" w:eastAsia="Arial" w:hAnsi="Arial"/>
                <w:sz w:val="18"/>
                <w:szCs w:val="18"/>
                <w:color w:val="auto"/>
              </w:rPr>
              <w:t>Increase (decrease) in cash and cash equivalents</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(4,954)</w:t>
            </w:r>
          </w:p>
        </w:tc>
        <w:tc>
          <w:tcPr>
            <w:tcW w:w="200" w:type="dxa"/>
            <w:vAlign w:val="bottom"/>
          </w:tcPr>
          <w:p>
            <w:pPr>
              <w:spacing w:after="0"/>
              <w:rPr>
                <w:sz w:val="15"/>
                <w:szCs w:val="15"/>
                <w:color w:val="auto"/>
              </w:rPr>
            </w:pPr>
          </w:p>
        </w:tc>
        <w:tc>
          <w:tcPr>
            <w:tcW w:w="860" w:type="dxa"/>
            <w:vAlign w:val="bottom"/>
          </w:tcPr>
          <w:p>
            <w:pPr>
              <w:jc w:val="right"/>
              <w:ind w:right="34"/>
              <w:spacing w:after="0" w:line="177" w:lineRule="exact"/>
              <w:rPr>
                <w:sz w:val="20"/>
                <w:szCs w:val="20"/>
                <w:color w:val="auto"/>
              </w:rPr>
            </w:pPr>
            <w:r>
              <w:rPr>
                <w:rFonts w:ascii="Arial" w:cs="Arial" w:eastAsia="Arial" w:hAnsi="Arial"/>
                <w:sz w:val="18"/>
                <w:szCs w:val="18"/>
                <w:color w:val="auto"/>
              </w:rPr>
              <w:t>5,113</w:t>
            </w:r>
          </w:p>
        </w:tc>
        <w:tc>
          <w:tcPr>
            <w:tcW w:w="300" w:type="dxa"/>
            <w:vAlign w:val="bottom"/>
          </w:tcPr>
          <w:p>
            <w:pPr>
              <w:spacing w:after="0"/>
              <w:rPr>
                <w:sz w:val="15"/>
                <w:szCs w:val="15"/>
                <w:color w:val="auto"/>
              </w:rPr>
            </w:pPr>
          </w:p>
        </w:tc>
        <w:tc>
          <w:tcPr>
            <w:tcW w:w="1080" w:type="dxa"/>
            <w:vAlign w:val="bottom"/>
          </w:tcPr>
          <w:p>
            <w:pPr>
              <w:jc w:val="right"/>
              <w:ind w:right="13"/>
              <w:spacing w:after="0" w:line="177" w:lineRule="exact"/>
              <w:rPr>
                <w:sz w:val="20"/>
                <w:szCs w:val="20"/>
                <w:color w:val="auto"/>
              </w:rPr>
            </w:pPr>
            <w:r>
              <w:rPr>
                <w:rFonts w:ascii="Arial" w:cs="Arial" w:eastAsia="Arial" w:hAnsi="Arial"/>
                <w:sz w:val="18"/>
                <w:szCs w:val="18"/>
                <w:color w:val="auto"/>
              </w:rPr>
              <w:t>300</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5,921</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808</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508</w:t>
            </w:r>
          </w:p>
        </w:tc>
        <w:tc>
          <w:tcPr>
            <w:tcW w:w="22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196"/>
        </w:trPr>
        <w:tc>
          <w:tcPr>
            <w:tcW w:w="55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Cash and cash equivalents, end of year</w:t>
            </w:r>
          </w:p>
        </w:tc>
        <w:tc>
          <w:tcPr>
            <w:tcW w:w="84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967</w:t>
            </w:r>
          </w:p>
        </w:tc>
        <w:tc>
          <w:tcPr>
            <w:tcW w:w="200" w:type="dxa"/>
            <w:vAlign w:val="bottom"/>
          </w:tcPr>
          <w:p>
            <w:pPr>
              <w:ind w:left="8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5,921</w:t>
            </w:r>
          </w:p>
        </w:tc>
        <w:tc>
          <w:tcPr>
            <w:tcW w:w="300" w:type="dxa"/>
            <w:vAlign w:val="bottom"/>
          </w:tcPr>
          <w:p>
            <w:pPr>
              <w:ind w:lef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808</w:t>
            </w:r>
          </w:p>
        </w:tc>
        <w:tc>
          <w:tcPr>
            <w:tcW w:w="220" w:type="dxa"/>
            <w:vAlign w:val="bottom"/>
            <w:tcBorders>
              <w:right w:val="single" w:sz="8" w:color="auto"/>
            </w:tcBorders>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Borders>
              <w:bottom w:val="single" w:sz="8" w:color="0C6DFF"/>
            </w:tcBorders>
          </w:tcPr>
          <w:p>
            <w:pPr>
              <w:spacing w:after="0"/>
              <w:rPr>
                <w:sz w:val="2"/>
                <w:szCs w:val="2"/>
                <w:color w:val="auto"/>
              </w:rPr>
            </w:pPr>
          </w:p>
        </w:tc>
        <w:tc>
          <w:tcPr>
            <w:tcW w:w="62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880" w:type="dxa"/>
            <w:vAlign w:val="bottom"/>
            <w:tcBorders>
              <w:bottom w:val="single" w:sz="8" w:color="0C6DFF"/>
            </w:tcBorders>
          </w:tcPr>
          <w:p>
            <w:pPr>
              <w:spacing w:after="0"/>
              <w:rPr>
                <w:sz w:val="2"/>
                <w:szCs w:val="2"/>
                <w:color w:val="auto"/>
              </w:rPr>
            </w:pPr>
          </w:p>
        </w:tc>
        <w:tc>
          <w:tcPr>
            <w:tcW w:w="200" w:type="dxa"/>
            <w:vAlign w:val="bottom"/>
            <w:tcBorders>
              <w:bottom w:val="single" w:sz="8" w:color="0C6DFF"/>
            </w:tcBorders>
          </w:tcPr>
          <w:p>
            <w:pPr>
              <w:spacing w:after="0"/>
              <w:rPr>
                <w:sz w:val="2"/>
                <w:szCs w:val="2"/>
                <w:color w:val="auto"/>
              </w:rPr>
            </w:pPr>
          </w:p>
        </w:tc>
        <w:tc>
          <w:tcPr>
            <w:tcW w:w="860" w:type="dxa"/>
            <w:vAlign w:val="bottom"/>
            <w:tcBorders>
              <w:bottom w:val="single" w:sz="8" w:color="0C6DFF"/>
            </w:tcBorders>
          </w:tcPr>
          <w:p>
            <w:pPr>
              <w:spacing w:after="0"/>
              <w:rPr>
                <w:sz w:val="2"/>
                <w:szCs w:val="2"/>
                <w:color w:val="auto"/>
              </w:rPr>
            </w:pPr>
          </w:p>
        </w:tc>
        <w:tc>
          <w:tcPr>
            <w:tcW w:w="30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220" w:type="dxa"/>
            <w:vAlign w:val="bottom"/>
            <w:tcBorders>
              <w:bottom w:val="single" w:sz="8" w:color="0C6DFF"/>
            </w:tcBorders>
          </w:tcPr>
          <w:p>
            <w:pPr>
              <w:spacing w:after="0"/>
              <w:rPr>
                <w:sz w:val="2"/>
                <w:szCs w:val="2"/>
                <w:color w:val="auto"/>
              </w:rPr>
            </w:pPr>
          </w:p>
        </w:tc>
        <w:tc>
          <w:tcPr>
            <w:tcW w:w="180" w:type="dxa"/>
            <w:vAlign w:val="bottom"/>
            <w:tcBorders>
              <w:bottom w:val="single" w:sz="8" w:color="0C6DFF"/>
            </w:tcBorders>
          </w:tcPr>
          <w:p>
            <w:pPr>
              <w:spacing w:after="0"/>
              <w:rPr>
                <w:sz w:val="2"/>
                <w:szCs w:val="2"/>
                <w:color w:val="auto"/>
              </w:rPr>
            </w:pPr>
          </w:p>
        </w:tc>
        <w:tc>
          <w:tcPr>
            <w:tcW w:w="240" w:type="dxa"/>
            <w:vAlign w:val="bottom"/>
            <w:tcBorders>
              <w:bottom w:val="single" w:sz="8" w:color="0C6DFF"/>
            </w:tcBorders>
          </w:tcPr>
          <w:p>
            <w:pPr>
              <w:spacing w:after="0"/>
              <w:rPr>
                <w:sz w:val="2"/>
                <w:szCs w:val="2"/>
                <w:color w:val="auto"/>
              </w:rPr>
            </w:pPr>
          </w:p>
        </w:tc>
        <w:tc>
          <w:tcPr>
            <w:tcW w:w="1080" w:type="dxa"/>
            <w:vAlign w:val="bottom"/>
            <w:tcBorders>
              <w:bottom w:val="single" w:sz="8" w:color="0C6D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40" w:type="dxa"/>
            <w:vAlign w:val="bottom"/>
            <w:gridSpan w:val="2"/>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620" w:type="dxa"/>
            <w:vAlign w:val="bottom"/>
          </w:tcPr>
          <w:p>
            <w:pPr>
              <w:jc w:val="right"/>
              <w:ind w:right="259"/>
              <w:spacing w:after="0"/>
              <w:rPr>
                <w:sz w:val="20"/>
                <w:szCs w:val="20"/>
                <w:color w:val="auto"/>
              </w:rPr>
            </w:pPr>
            <w:r>
              <w:rPr>
                <w:rFonts w:ascii="Arial" w:cs="Arial" w:eastAsia="Arial" w:hAnsi="Arial"/>
                <w:sz w:val="14"/>
                <w:szCs w:val="14"/>
                <w:b w:val="1"/>
                <w:bCs w:val="1"/>
                <w:color w:val="auto"/>
              </w:rPr>
              <w:t>150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14"/>
                <w:szCs w:val="14"/>
                <w:color w:val="auto"/>
              </w:rPr>
            </w:pPr>
          </w:p>
        </w:tc>
        <w:tc>
          <w:tcPr>
            <w:tcW w:w="620" w:type="dxa"/>
            <w:vAlign w:val="bottom"/>
          </w:tcPr>
          <w:p>
            <w:pPr>
              <w:jc w:val="center"/>
              <w:ind w:right="154"/>
              <w:spacing w:after="0"/>
              <w:rPr>
                <w:sz w:val="20"/>
                <w:szCs w:val="20"/>
                <w:color w:val="auto"/>
              </w:rPr>
            </w:pPr>
            <w:r>
              <w:rPr>
                <w:rFonts w:ascii="Arial" w:cs="Arial" w:eastAsia="Arial" w:hAnsi="Arial"/>
                <w:sz w:val="14"/>
                <w:szCs w:val="14"/>
                <w:color w:val="auto"/>
                <w:w w:val="98"/>
              </w:rPr>
              <w:t>Non-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90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5"/>
              </w:rPr>
              <w:t>Common</w:t>
            </w:r>
          </w:p>
        </w:tc>
        <w:tc>
          <w:tcPr>
            <w:tcW w:w="300" w:type="dxa"/>
            <w:vAlign w:val="bottom"/>
          </w:tcPr>
          <w:p>
            <w:pPr>
              <w:spacing w:after="0"/>
              <w:rPr>
                <w:sz w:val="12"/>
                <w:szCs w:val="12"/>
                <w:color w:val="auto"/>
              </w:rPr>
            </w:pPr>
          </w:p>
        </w:tc>
        <w:tc>
          <w:tcPr>
            <w:tcW w:w="900" w:type="dxa"/>
            <w:vAlign w:val="bottom"/>
          </w:tcPr>
          <w:p>
            <w:pPr>
              <w:jc w:val="right"/>
              <w:ind w:right="193"/>
              <w:spacing w:after="0" w:line="149" w:lineRule="exact"/>
              <w:rPr>
                <w:sz w:val="20"/>
                <w:szCs w:val="20"/>
                <w:color w:val="auto"/>
              </w:rPr>
            </w:pPr>
            <w:r>
              <w:rPr>
                <w:rFonts w:ascii="Arial" w:cs="Arial" w:eastAsia="Arial" w:hAnsi="Arial"/>
                <w:sz w:val="14"/>
                <w:szCs w:val="14"/>
                <w:color w:val="auto"/>
                <w:w w:val="97"/>
              </w:rPr>
              <w:t>Additional</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1160" w:type="dxa"/>
            <w:vAlign w:val="bottom"/>
            <w:gridSpan w:val="2"/>
          </w:tcPr>
          <w:p>
            <w:pPr>
              <w:jc w:val="right"/>
              <w:ind w:right="135"/>
              <w:spacing w:after="0" w:line="149" w:lineRule="exact"/>
              <w:rPr>
                <w:sz w:val="20"/>
                <w:szCs w:val="20"/>
                <w:color w:val="auto"/>
              </w:rPr>
            </w:pPr>
            <w:r>
              <w:rPr>
                <w:rFonts w:ascii="Arial" w:cs="Arial" w:eastAsia="Arial" w:hAnsi="Arial"/>
                <w:sz w:val="14"/>
                <w:szCs w:val="14"/>
                <w:color w:val="auto"/>
                <w:w w:val="93"/>
              </w:rPr>
              <w:t>Comprehensive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controlling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Stock</w:t>
            </w: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Paid-In Capital</w:t>
            </w: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Earnings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Income (Loss)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Interests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January 1, 2011</w:t>
            </w:r>
          </w:p>
        </w:tc>
        <w:tc>
          <w:tcPr>
            <w:tcW w:w="440" w:type="dxa"/>
            <w:vAlign w:val="bottom"/>
          </w:tcPr>
          <w:p>
            <w:pPr>
              <w:ind w:left="320"/>
              <w:spacing w:after="0" w:line="200" w:lineRule="exact"/>
              <w:rPr>
                <w:sz w:val="20"/>
                <w:szCs w:val="20"/>
                <w:color w:val="auto"/>
              </w:rPr>
            </w:pPr>
            <w:r>
              <w:rPr>
                <w:rFonts w:ascii="Arial" w:cs="Arial" w:eastAsia="Arial" w:hAnsi="Arial"/>
                <w:sz w:val="18"/>
                <w:szCs w:val="18"/>
                <w:color w:val="auto"/>
                <w:w w:val="99"/>
              </w:rPr>
              <w:t>$</w:t>
            </w:r>
          </w:p>
        </w:tc>
        <w:tc>
          <w:tcPr>
            <w:tcW w:w="460" w:type="dxa"/>
            <w:vAlign w:val="bottom"/>
          </w:tcPr>
          <w:p>
            <w:pPr>
              <w:ind w:left="260"/>
              <w:spacing w:after="0" w:line="200" w:lineRule="exact"/>
              <w:rPr>
                <w:sz w:val="20"/>
                <w:szCs w:val="20"/>
                <w:color w:val="auto"/>
              </w:rPr>
            </w:pPr>
            <w:r>
              <w:rPr>
                <w:rFonts w:ascii="Arial" w:cs="Arial" w:eastAsia="Arial" w:hAnsi="Arial"/>
                <w:sz w:val="18"/>
                <w:szCs w:val="18"/>
                <w:color w:val="auto"/>
                <w:w w:val="99"/>
              </w:rPr>
              <w:t>—</w:t>
            </w:r>
          </w:p>
        </w:tc>
        <w:tc>
          <w:tcPr>
            <w:tcW w:w="300" w:type="dxa"/>
            <w:vAlign w:val="bottom"/>
          </w:tcPr>
          <w:p>
            <w:pPr>
              <w:ind w:left="180"/>
              <w:spacing w:after="0" w:line="20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line="200" w:lineRule="exact"/>
              <w:rPr>
                <w:sz w:val="20"/>
                <w:szCs w:val="20"/>
                <w:color w:val="auto"/>
              </w:rPr>
            </w:pPr>
            <w:r>
              <w:rPr>
                <w:rFonts w:ascii="Arial" w:cs="Arial" w:eastAsia="Arial" w:hAnsi="Arial"/>
                <w:sz w:val="18"/>
                <w:szCs w:val="18"/>
                <w:color w:val="auto"/>
              </w:rPr>
              <w:t>23,592</w:t>
            </w: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93"/>
              <w:spacing w:after="0" w:line="200" w:lineRule="exact"/>
              <w:rPr>
                <w:sz w:val="20"/>
                <w:szCs w:val="20"/>
                <w:color w:val="auto"/>
              </w:rPr>
            </w:pPr>
            <w:r>
              <w:rPr>
                <w:rFonts w:ascii="Arial" w:cs="Arial" w:eastAsia="Arial" w:hAnsi="Arial"/>
                <w:sz w:val="18"/>
                <w:szCs w:val="18"/>
                <w:color w:val="auto"/>
              </w:rPr>
              <w:t>320</w:t>
            </w:r>
          </w:p>
        </w:tc>
        <w:tc>
          <w:tcPr>
            <w:tcW w:w="120" w:type="dxa"/>
            <w:vAlign w:val="bottom"/>
          </w:tcPr>
          <w:p>
            <w:pPr>
              <w:spacing w:after="0" w:line="200"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(13)</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0" w:lineRule="exact"/>
              <w:rPr>
                <w:sz w:val="20"/>
                <w:szCs w:val="20"/>
                <w:color w:val="auto"/>
              </w:rPr>
            </w:pPr>
            <w:r>
              <w:rPr>
                <w:rFonts w:ascii="Arial" w:cs="Arial" w:eastAsia="Arial" w:hAnsi="Arial"/>
                <w:sz w:val="18"/>
                <w:szCs w:val="18"/>
                <w:color w:val="auto"/>
              </w:rPr>
              <w:t>(82)</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$ 23,817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(7,846)</w:t>
            </w:r>
          </w:p>
        </w:tc>
        <w:tc>
          <w:tcPr>
            <w:tcW w:w="200" w:type="dxa"/>
            <w:vAlign w:val="bottom"/>
          </w:tcPr>
          <w:p>
            <w:pPr>
              <w:spacing w:after="0"/>
              <w:rPr>
                <w:sz w:val="17"/>
                <w:szCs w:val="17"/>
                <w:color w:val="auto"/>
              </w:rPr>
            </w:pPr>
          </w:p>
        </w:tc>
        <w:tc>
          <w:tcPr>
            <w:tcW w:w="6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line="200"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Balance, January 28, 2011</w:t>
            </w:r>
          </w:p>
        </w:tc>
        <w:tc>
          <w:tcPr>
            <w:tcW w:w="440" w:type="dxa"/>
            <w:vAlign w:val="bottom"/>
            <w:tcBorders>
              <w:bottom w:val="single" w:sz="8" w:color="0C6DFF"/>
            </w:tcBorders>
          </w:tcPr>
          <w:p>
            <w:pPr>
              <w:ind w:left="32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0C6DFF"/>
            </w:tcBorders>
          </w:tcPr>
          <w:p>
            <w:pPr>
              <w:ind w:left="26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0C6DFF"/>
            </w:tcBorders>
          </w:tcPr>
          <w:p>
            <w:pPr>
              <w:ind w:left="18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0C6DFF"/>
            </w:tcBorders>
          </w:tcPr>
          <w:p>
            <w:pPr>
              <w:jc w:val="right"/>
              <w:ind w:right="33"/>
              <w:spacing w:after="0" w:line="196" w:lineRule="exact"/>
              <w:rPr>
                <w:sz w:val="20"/>
                <w:szCs w:val="20"/>
                <w:color w:val="auto"/>
              </w:rPr>
            </w:pPr>
            <w:r>
              <w:rPr>
                <w:rFonts w:ascii="Arial" w:cs="Arial" w:eastAsia="Arial" w:hAnsi="Arial"/>
                <w:sz w:val="18"/>
                <w:szCs w:val="18"/>
                <w:color w:val="auto"/>
              </w:rPr>
              <w:t>15,463</w:t>
            </w: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0C6DFF"/>
            </w:tcBorders>
          </w:tcPr>
          <w:p>
            <w:pPr>
              <w:jc w:val="right"/>
              <w:ind w:right="93"/>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0C6DFF"/>
            </w:tcBorders>
          </w:tcPr>
          <w:p>
            <w:pPr>
              <w:spacing w:after="0"/>
              <w:rPr>
                <w:sz w:val="17"/>
                <w:szCs w:val="17"/>
                <w:color w:val="auto"/>
              </w:rPr>
            </w:pPr>
          </w:p>
        </w:tc>
        <w:tc>
          <w:tcPr>
            <w:tcW w:w="9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(82)</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color w:val="auto"/>
              </w:rPr>
              <w:t>$ 15,371</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Accumulated</w:t>
            </w:r>
          </w:p>
        </w:tc>
        <w:tc>
          <w:tcPr>
            <w:tcW w:w="200" w:type="dxa"/>
            <w:vAlign w:val="bottom"/>
          </w:tcPr>
          <w:p>
            <w:pPr>
              <w:spacing w:after="0"/>
              <w:rPr>
                <w:sz w:val="17"/>
                <w:szCs w:val="17"/>
                <w:color w:val="auto"/>
              </w:rPr>
            </w:pPr>
          </w:p>
        </w:tc>
        <w:tc>
          <w:tcPr>
            <w:tcW w:w="620" w:type="dxa"/>
            <w:vAlign w:val="bottom"/>
            <w:vMerge w:val="restart"/>
          </w:tcPr>
          <w:p>
            <w:pPr>
              <w:jc w:val="center"/>
              <w:ind w:right="174"/>
              <w:spacing w:after="0"/>
              <w:rPr>
                <w:sz w:val="20"/>
                <w:szCs w:val="20"/>
                <w:color w:val="auto"/>
              </w:rPr>
            </w:pPr>
            <w:r>
              <w:rPr>
                <w:rFonts w:ascii="Arial" w:cs="Arial" w:eastAsia="Arial" w:hAnsi="Arial"/>
                <w:sz w:val="14"/>
                <w:szCs w:val="14"/>
                <w:color w:val="auto"/>
                <w:w w:val="92"/>
              </w:rPr>
              <w:t>Non-</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Borders>
              <w:right w:val="single" w:sz="8" w:color="auto"/>
            </w:tcBorders>
            <w:gridSpan w:val="2"/>
          </w:tcPr>
          <w:p>
            <w:pPr>
              <w:jc w:val="right"/>
              <w:ind w:right="273"/>
              <w:spacing w:after="0" w:line="135" w:lineRule="exact"/>
              <w:rPr>
                <w:sz w:val="20"/>
                <w:szCs w:val="20"/>
                <w:color w:val="auto"/>
              </w:rPr>
            </w:pPr>
            <w:r>
              <w:rPr>
                <w:rFonts w:ascii="Arial" w:cs="Arial" w:eastAsia="Arial" w:hAnsi="Arial"/>
                <w:sz w:val="14"/>
                <w:szCs w:val="14"/>
                <w:color w:val="auto"/>
              </w:rPr>
              <w:t>Redeemable</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75"/>
              <w:spacing w:after="0" w:line="135" w:lineRule="exact"/>
              <w:rPr>
                <w:sz w:val="20"/>
                <w:szCs w:val="20"/>
                <w:color w:val="auto"/>
              </w:rPr>
            </w:pPr>
            <w:r>
              <w:rPr>
                <w:rFonts w:ascii="Arial" w:cs="Arial" w:eastAsia="Arial" w:hAnsi="Arial"/>
                <w:sz w:val="14"/>
                <w:szCs w:val="14"/>
                <w:color w:val="auto"/>
                <w:w w:val="96"/>
              </w:rPr>
              <w:t>Other</w:t>
            </w:r>
          </w:p>
        </w:tc>
        <w:tc>
          <w:tcPr>
            <w:tcW w:w="2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Borders>
              <w:right w:val="single" w:sz="8" w:color="auto"/>
            </w:tcBorders>
            <w:gridSpan w:val="2"/>
          </w:tcPr>
          <w:p>
            <w:pPr>
              <w:ind w:left="20"/>
              <w:spacing w:after="0" w:line="149" w:lineRule="exact"/>
              <w:rPr>
                <w:sz w:val="20"/>
                <w:szCs w:val="20"/>
                <w:color w:val="auto"/>
              </w:rPr>
            </w:pPr>
            <w:r>
              <w:rPr>
                <w:rFonts w:ascii="Arial" w:cs="Arial" w:eastAsia="Arial" w:hAnsi="Arial"/>
                <w:sz w:val="14"/>
                <w:szCs w:val="14"/>
                <w:color w:val="auto"/>
              </w:rPr>
              <w:t>Noncontrolling</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Member’s</w:t>
            </w:r>
          </w:p>
        </w:tc>
        <w:tc>
          <w:tcPr>
            <w:tcW w:w="1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Comprehensive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controlling</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3"/>
        </w:trPr>
        <w:tc>
          <w:tcPr>
            <w:tcW w:w="55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Interests</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w w:val="96"/>
              </w:rPr>
              <w:t>Capital</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Income (Loss)</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Interests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Member’s equity, remeasured at January 28, 2011</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$ 24,089</w:t>
            </w:r>
          </w:p>
        </w:tc>
        <w:tc>
          <w:tcPr>
            <w:tcW w:w="120" w:type="dxa"/>
            <w:vAlign w:val="bottom"/>
          </w:tcPr>
          <w:p>
            <w:pPr>
              <w:spacing w:after="0"/>
              <w:rPr>
                <w:sz w:val="17"/>
                <w:szCs w:val="17"/>
                <w:color w:val="auto"/>
              </w:rPr>
            </w:pPr>
          </w:p>
        </w:tc>
        <w:tc>
          <w:tcPr>
            <w:tcW w:w="200" w:type="dxa"/>
            <w:vAlign w:val="bottom"/>
          </w:tcPr>
          <w:p>
            <w:pPr>
              <w:ind w:left="60"/>
              <w:spacing w:after="0" w:line="200"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262</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$ 24,351</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Contribution of Comcast Content Business</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136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4,344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57</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Total member’s equity at January 28, 2011</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136</w:t>
            </w:r>
          </w:p>
        </w:tc>
        <w:tc>
          <w:tcPr>
            <w:tcW w:w="20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28,433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5"/>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6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319</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28,752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Issuance of subsidiary shares to noncontrolling interests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233"/>
              <w:spacing w:after="0" w:line="20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43</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1,683</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162</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199"/>
        </w:trPr>
        <w:tc>
          <w:tcPr>
            <w:tcW w:w="554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184</w:t>
            </w:r>
          </w:p>
        </w:tc>
        <w:tc>
          <w:tcPr>
            <w:tcW w:w="200" w:type="dxa"/>
            <w:vAlign w:val="bottom"/>
          </w:tcPr>
          <w:p>
            <w:pPr>
              <w:spacing w:after="0"/>
              <w:rPr>
                <w:sz w:val="17"/>
                <w:szCs w:val="17"/>
                <w:color w:val="auto"/>
              </w:rPr>
            </w:pP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29,798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620" w:type="dxa"/>
            <w:vAlign w:val="bottom"/>
          </w:tcPr>
          <w:p>
            <w:pPr>
              <w:jc w:val="right"/>
              <w:ind w:right="54"/>
              <w:spacing w:after="0" w:line="200" w:lineRule="exact"/>
              <w:rPr>
                <w:sz w:val="20"/>
                <w:szCs w:val="20"/>
                <w:color w:val="auto"/>
              </w:rPr>
            </w:pPr>
            <w:r>
              <w:rPr>
                <w:rFonts w:ascii="Arial" w:cs="Arial" w:eastAsia="Arial" w:hAnsi="Arial"/>
                <w:sz w:val="18"/>
                <w:szCs w:val="18"/>
                <w:color w:val="auto"/>
              </w:rPr>
              <w:t>361</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Compensation plans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(964)</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Purchase of subsidiary shares from noncontrolling interests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(47)</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Contributions from (distributions to) noncontrolling interests, net</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84</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9"/>
        </w:trPr>
        <w:tc>
          <w:tcPr>
            <w:tcW w:w="5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233"/>
              <w:spacing w:after="0" w:line="200" w:lineRule="exact"/>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3,055</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4"/>
              <w:spacing w:after="0" w:line="200" w:lineRule="exact"/>
              <w:rPr>
                <w:sz w:val="20"/>
                <w:szCs w:val="20"/>
                <w:color w:val="auto"/>
              </w:rPr>
            </w:pPr>
            <w:r>
              <w:rPr>
                <w:rFonts w:ascii="Arial" w:cs="Arial" w:eastAsia="Arial" w:hAnsi="Arial"/>
                <w:sz w:val="18"/>
                <w:szCs w:val="18"/>
                <w:color w:val="auto"/>
              </w:rPr>
              <w:t>158</w:t>
            </w:r>
          </w:p>
        </w:tc>
        <w:tc>
          <w:tcPr>
            <w:tcW w:w="8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177"/>
        </w:trPr>
        <w:tc>
          <w:tcPr>
            <w:tcW w:w="5540" w:type="dxa"/>
            <w:vAlign w:val="bottom"/>
          </w:tcPr>
          <w:p>
            <w:pPr>
              <w:spacing w:after="0" w:line="177" w:lineRule="exact"/>
              <w:rPr>
                <w:sz w:val="20"/>
                <w:szCs w:val="20"/>
                <w:color w:val="auto"/>
              </w:rPr>
            </w:pPr>
            <w:r>
              <w:rPr>
                <w:rFonts w:ascii="Arial" w:cs="Arial" w:eastAsia="Arial" w:hAnsi="Arial"/>
                <w:sz w:val="18"/>
                <w:szCs w:val="18"/>
                <w:color w:val="auto"/>
              </w:rPr>
              <w:t>Balance, December 31, 2012</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right w:val="single" w:sz="8" w:color="auto"/>
            </w:tcBorders>
          </w:tcPr>
          <w:p>
            <w:pPr>
              <w:jc w:val="right"/>
              <w:ind w:right="233"/>
              <w:spacing w:after="0" w:line="177" w:lineRule="exact"/>
              <w:rPr>
                <w:sz w:val="20"/>
                <w:szCs w:val="20"/>
                <w:color w:val="auto"/>
              </w:rPr>
            </w:pPr>
            <w:r>
              <w:rPr>
                <w:rFonts w:ascii="Arial" w:cs="Arial" w:eastAsia="Arial" w:hAnsi="Arial"/>
                <w:sz w:val="18"/>
                <w:szCs w:val="18"/>
                <w:color w:val="auto"/>
              </w:rPr>
              <w:t>131</w:t>
            </w:r>
          </w:p>
        </w:tc>
        <w:tc>
          <w:tcPr>
            <w:tcW w:w="20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Arial" w:cs="Arial" w:eastAsia="Arial" w:hAnsi="Arial"/>
                <w:sz w:val="18"/>
                <w:szCs w:val="18"/>
                <w:color w:val="auto"/>
              </w:rPr>
              <w:t>31,900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5"/>
                <w:szCs w:val="15"/>
                <w:color w:val="auto"/>
              </w:rPr>
            </w:pPr>
          </w:p>
        </w:tc>
        <w:tc>
          <w:tcPr>
            <w:tcW w:w="620" w:type="dxa"/>
            <w:vAlign w:val="bottom"/>
          </w:tcPr>
          <w:p>
            <w:pPr>
              <w:jc w:val="right"/>
              <w:ind w:right="54"/>
              <w:spacing w:after="0" w:line="177" w:lineRule="exact"/>
              <w:rPr>
                <w:sz w:val="20"/>
                <w:szCs w:val="20"/>
                <w:color w:val="auto"/>
              </w:rPr>
            </w:pPr>
            <w:r>
              <w:rPr>
                <w:rFonts w:ascii="Arial" w:cs="Arial" w:eastAsia="Arial" w:hAnsi="Arial"/>
                <w:sz w:val="18"/>
                <w:szCs w:val="18"/>
                <w:color w:val="auto"/>
              </w:rPr>
              <w:t>419</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Compensation plans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Redemption Transaction distribution</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(3,200)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(3,200)</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Dividends declared</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(1,422)</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(1,422)</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Contributions from (distributions to) noncontrolling interests, net</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73"/>
              <w:spacing w:after="0" w:line="202" w:lineRule="exact"/>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(155)</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Purchase of subsidiary shares from noncontrolling interests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233"/>
              <w:spacing w:after="0" w:line="202" w:lineRule="exact"/>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(164)</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21"/>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20</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1,968</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134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2,102</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440" w:type="dxa"/>
            <w:vAlign w:val="bottom"/>
            <w:tcBorders>
              <w:bottom w:val="single" w:sz="8" w:color="0C6DFF"/>
            </w:tcBorders>
          </w:tcPr>
          <w:p>
            <w:pPr>
              <w:spacing w:after="0"/>
              <w:rPr>
                <w:sz w:val="17"/>
                <w:szCs w:val="17"/>
                <w:color w:val="auto"/>
              </w:rPr>
            </w:pPr>
          </w:p>
        </w:tc>
        <w:tc>
          <w:tcPr>
            <w:tcW w:w="460" w:type="dxa"/>
            <w:vAlign w:val="bottom"/>
            <w:tcBorders>
              <w:bottom w:val="single" w:sz="8" w:color="0C6DFF"/>
            </w:tcBorders>
          </w:tcPr>
          <w:p>
            <w:pPr>
              <w:spacing w:after="0"/>
              <w:rPr>
                <w:sz w:val="17"/>
                <w:szCs w:val="17"/>
                <w:color w:val="auto"/>
              </w:rPr>
            </w:pPr>
          </w:p>
        </w:tc>
        <w:tc>
          <w:tcPr>
            <w:tcW w:w="300" w:type="dxa"/>
            <w:vAlign w:val="bottom"/>
            <w:tcBorders>
              <w:bottom w:val="single" w:sz="8" w:color="0C6DFF"/>
            </w:tcBorders>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right w:val="single" w:sz="8" w:color="auto"/>
            </w:tcBorders>
          </w:tcPr>
          <w:p>
            <w:pPr>
              <w:jc w:val="right"/>
              <w:ind w:right="233"/>
              <w:spacing w:after="0" w:line="196" w:lineRule="exact"/>
              <w:rPr>
                <w:sz w:val="20"/>
                <w:szCs w:val="20"/>
                <w:color w:val="auto"/>
              </w:rPr>
            </w:pPr>
            <w:r>
              <w:rPr>
                <w:rFonts w:ascii="Arial" w:cs="Arial" w:eastAsia="Arial" w:hAnsi="Arial"/>
                <w:sz w:val="18"/>
                <w:szCs w:val="18"/>
                <w:b w:val="1"/>
                <w:bCs w:val="1"/>
                <w:color w:val="auto"/>
              </w:rPr>
              <w:t>231</w:t>
            </w:r>
          </w:p>
        </w:tc>
        <w:tc>
          <w:tcPr>
            <w:tcW w:w="80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$ 29,056</w:t>
            </w:r>
          </w:p>
        </w:tc>
        <w:tc>
          <w:tcPr>
            <w:tcW w:w="120" w:type="dxa"/>
            <w:vAlign w:val="bottom"/>
            <w:tcBorders>
              <w:bottom w:val="single" w:sz="8" w:color="0C6DFF"/>
            </w:tcBorders>
          </w:tcPr>
          <w:p>
            <w:pPr>
              <w:spacing w:after="0"/>
              <w:rPr>
                <w:sz w:val="17"/>
                <w:szCs w:val="17"/>
                <w:color w:val="auto"/>
              </w:rPr>
            </w:pPr>
          </w:p>
        </w:tc>
        <w:tc>
          <w:tcPr>
            <w:tcW w:w="20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2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4"/>
              <w:spacing w:after="0" w:line="196" w:lineRule="exact"/>
              <w:rPr>
                <w:sz w:val="20"/>
                <w:szCs w:val="20"/>
                <w:color w:val="auto"/>
              </w:rPr>
            </w:pPr>
            <w:r>
              <w:rPr>
                <w:rFonts w:ascii="Arial" w:cs="Arial" w:eastAsia="Arial" w:hAnsi="Arial"/>
                <w:sz w:val="18"/>
                <w:szCs w:val="18"/>
                <w:b w:val="1"/>
                <w:bCs w:val="1"/>
                <w:color w:val="auto"/>
              </w:rPr>
              <w:t>287</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$ 29,327</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4"/>
                <w:szCs w:val="14"/>
                <w:color w:val="auto"/>
              </w:rPr>
              <w:t>See accompanying notes to consolidated financial statements.</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5540" w:type="dxa"/>
            <w:vAlign w:val="bottom"/>
          </w:tcPr>
          <w:p>
            <w:pPr>
              <w:spacing w:after="0"/>
              <w:rPr>
                <w:sz w:val="24"/>
                <w:szCs w:val="24"/>
                <w:color w:val="auto"/>
              </w:rPr>
            </w:pPr>
          </w:p>
        </w:tc>
        <w:tc>
          <w:tcPr>
            <w:tcW w:w="440" w:type="dxa"/>
            <w:vAlign w:val="bottom"/>
          </w:tcPr>
          <w:p>
            <w:pPr>
              <w:jc w:val="right"/>
              <w:ind w:right="82"/>
              <w:spacing w:after="0"/>
              <w:rPr>
                <w:sz w:val="20"/>
                <w:szCs w:val="20"/>
                <w:color w:val="auto"/>
              </w:rPr>
            </w:pPr>
            <w:r>
              <w:rPr>
                <w:rFonts w:ascii="Arial" w:cs="Arial" w:eastAsia="Arial" w:hAnsi="Arial"/>
                <w:sz w:val="14"/>
                <w:szCs w:val="14"/>
                <w:b w:val="1"/>
                <w:bCs w:val="1"/>
                <w:color w:val="auto"/>
              </w:rPr>
              <w:t>151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4"/>
          </w:tcPr>
          <w:p>
            <w:pPr>
              <w:jc w:val="center"/>
              <w:spacing w:after="0"/>
              <w:rPr>
                <w:sz w:val="20"/>
                <w:szCs w:val="20"/>
                <w:color w:val="auto"/>
              </w:rPr>
            </w:pPr>
            <w:r>
              <w:rPr>
                <w:rFonts w:ascii="Arial" w:cs="Arial" w:eastAsia="Arial" w:hAnsi="Arial"/>
                <w:sz w:val="14"/>
                <w:szCs w:val="14"/>
                <w:color w:val="auto"/>
                <w:w w:val="96"/>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 Business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one of the world’s leading media and entertainment companies that develops, produces and distributes entertainment, news and information, sports, and other content for global audiences. In 2011, Comcast closed its transaction with General Electric Company (“GE”), in which Comcast acquired control of the businesses of NBCUniversal Media, LLC (“NBCUniversal”), and in 2013, Comcast acquired GE’s remaining 49% common equity interest in our parent NBCUniversal, LLC (“NBCUniversal Holdings”). See Note 3 for additional information on these transactions.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present our operations as the following four reportable business segments: Cable Networks, Broadcast Television, Filmed Entertainment and Theme Parks. See Note 18 for additional information on our reportable business segments.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Cable Networks segment consists primarily of a diversified portfolio of cable television networks. Our cable networks are comprised of our national cable networks, which provide a variety of entertainment, news and information, and sports content, our regional sports and news networks, our international cable networks, and our cable television production operations.</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and our broadcast television production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Our films are produced primarily under the Universal Pictures, Focus Features and Illumination names.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accompanying consolidated financial statements include all entities in which we have a controlling voting interest (“subsidiaries”) and variable interest entities (“VIEs”) required to be consolidated in accordance with generally accepted accounting principles in the United States (“GAAP”). Transactions between NBCUniversal and Comcast, and their consolidated subsidiaries are reflected in these consolidated financial statements and disclosed as related party transactions when material.</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translate assets and liabilities of our foreign subsidiaries where the functional currency is the local currency, primarily the euro and the British pound, into U.S. dollars at the exchange rate in effect as of the balance sheet date. The related translation adjustments are recorded as a component of accumulated other comprehensive income (loss). We translate revenue and expenses using average monthly exchange rates, and the related foreign currency transaction gains and losses are included in our consolidated statement of income.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a result of the change in control of our company on January 28, 2011, Comcast applied the acquisition method of accounting with respect to the assets and liabilities of the NBCUniversal businesses it acquired (“NBCUniversal contributed business”), which were remeasured to fair value as of the date of the Joint Venture transaction. Our consolidated financial statements for periods following the close of the Joint Venture transaction are labeled “Successor” and reflect both Comcast’s basis of accounting in the new fair values of the assets and liabilities of the NBCUniversal contributed businesses and the consolidation of the Comcast Content Business at historical cost. All periods prior to the close of the Joint Venture transaction reflect the historical accounting basis in our assets and liabilities and are labeled “Predecessor.” Our consolidated finan-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2011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152</w:t>
            </w: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cial statements and footnotes include a black line division, which appears between the columns titled Predecessor and Successor, which signifies that the amounts shown for the periods prior to and following the Joint Venture transaction are not comparable. See Note 3 for additional information on the Joint Venture transaction.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have been made to our consolidated financial statements for the prior years to conform to classifications used in 2013.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2: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consolidated financial statements are prepared in accordance with GAAP, which requires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We believe the judgments and related estimates for the following items are critical in the preparation of our consolidated financial statements:</w:t>
      </w:r>
    </w:p>
    <w:p>
      <w:pPr>
        <w:spacing w:after="0" w:line="114" w:lineRule="exact"/>
        <w:rPr>
          <w:sz w:val="20"/>
          <w:szCs w:val="20"/>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revenue recognition (see below)</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film and television costs (see Note 5)</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goodwill and intangible assets (see Note 8)</w:t>
      </w:r>
    </w:p>
    <w:p>
      <w:pPr>
        <w:spacing w:after="0" w:line="117" w:lineRule="exact"/>
        <w:rPr>
          <w:rFonts w:ascii="Arial" w:cs="Arial" w:eastAsia="Arial" w:hAnsi="Arial"/>
          <w:sz w:val="18"/>
          <w:szCs w:val="18"/>
          <w:color w:val="auto"/>
        </w:rPr>
      </w:pPr>
    </w:p>
    <w:p>
      <w:pPr>
        <w:ind w:left="1020" w:hanging="21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fair value of contractual obligations (see Note 10)</w:t>
      </w:r>
    </w:p>
    <w:p>
      <w:pPr>
        <w:spacing w:after="0" w:line="158"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In addition, the following accounting policies are specific to the industries in which we operate:</w:t>
      </w:r>
    </w:p>
    <w:p>
      <w:pPr>
        <w:spacing w:after="0" w:line="140"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capitalization and amortization of film and television costs (see Note 5)</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our other accounting policies or methods related to our consolidated financial statements are included, where applicable, in their respective footnotes that follow. Below is a discussion of accounting policies and methods used in our consolidated financial statements that are not presented within other footnotes.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Cable Networks and Broadcast Television Segments</w:t>
      </w:r>
    </w:p>
    <w:p>
      <w:pPr>
        <w:jc w:val="both"/>
        <w:spacing w:after="0" w:line="269" w:lineRule="auto"/>
        <w:rPr>
          <w:sz w:val="20"/>
          <w:szCs w:val="20"/>
          <w:color w:val="auto"/>
        </w:rPr>
      </w:pPr>
      <w:r>
        <w:rPr>
          <w:rFonts w:ascii="Arial" w:cs="Arial" w:eastAsia="Arial" w:hAnsi="Arial"/>
          <w:sz w:val="16"/>
          <w:szCs w:val="16"/>
          <w:color w:val="auto"/>
        </w:rPr>
        <w:t>Our Cable Networks segment generates revenue primarily from the distribution of our cable network programming to multichannel video providers, the sale of advertising and the licensing of our owned programming. Our Broadcast Television segment generates revenue primarily from the sale of advertising, the licensing of our owned programming and the fees received under retransmission consent agreements. We recognize revenue from distributors as programming is provided, generally under multiyear distribution agreements. From time to time, the distribution agreements expire while programming continues to be provided to the distributor based on interim arrangements while the parties negotiate new contract terms. Revenue recognition is generally limited to current payments being made by the distributor, typically under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revenue for our Cable Networks and Broadcast Television segments is recognized in the period in which commercials are aired or viewed. In some instances, we guarantee viewer ratings for the commercials. To the extent there is a shortfall in the ratings that were guaranteed, a portion of the revenue is deferred until</w:t>
      </w:r>
    </w:p>
    <w:p>
      <w:pPr>
        <w:spacing w:after="0" w:line="32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shortfall is settled, primarily by providing additional advertising time. We record revenue from the licensing of our owned programming when the content is available for use by the licensee, and when certain other conditions are met. When license fees include advertising time, we recognize the advertising time component of revenue when the advertisements are aired or viewed.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Filmed Entertainment Segment</w:t>
      </w:r>
    </w:p>
    <w:p>
      <w:pPr>
        <w:jc w:val="both"/>
        <w:spacing w:after="0" w:line="236" w:lineRule="auto"/>
        <w:rPr>
          <w:sz w:val="20"/>
          <w:szCs w:val="20"/>
          <w:color w:val="auto"/>
        </w:rPr>
      </w:pPr>
      <w:r>
        <w:rPr>
          <w:rFonts w:ascii="Arial" w:cs="Arial" w:eastAsia="Arial" w:hAnsi="Arial"/>
          <w:sz w:val="18"/>
          <w:szCs w:val="18"/>
          <w:color w:val="auto"/>
        </w:rPr>
        <w:t>Our Filmed Entertainment segment generates revenue primarily from the worldwide distribution of our owned and acquired films for exhibition in movie theaters, the licensing of our owned and acquired films to cable, broadcast and premium networks and digital distributors, and the sale of our owned and acquired films on both standard-definition DVDs and Blu-ray discs (together, “DVDs”) and through digital distributors. We also generate revenue from producing and licensing live stage plays and distributing filmed entertainment produced by third parties. We recognize revenue from the distribution of films to movie theaters when the films are exhibited. We record revenue from the licensing of a film when the film is available for use by the licensee, and when certain other conditions are met. We recognize revenue from DVD sales, net of estimated returns and customer incentives, on the date that DVDs are delivered to and made available for sale by retailers.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0C6DFF"/>
        </w:rPr>
        <w:t>Theme Parks Segment</w:t>
      </w:r>
    </w:p>
    <w:p>
      <w:pPr>
        <w:jc w:val="both"/>
        <w:spacing w:after="0" w:line="238" w:lineRule="auto"/>
        <w:rPr>
          <w:sz w:val="20"/>
          <w:szCs w:val="20"/>
          <w:color w:val="auto"/>
        </w:rPr>
      </w:pPr>
      <w:r>
        <w:rPr>
          <w:rFonts w:ascii="Arial" w:cs="Arial" w:eastAsia="Arial" w:hAnsi="Arial"/>
          <w:sz w:val="18"/>
          <w:szCs w:val="18"/>
          <w:color w:val="auto"/>
        </w:rPr>
        <w:t>Our Theme Parks segment generates revenue primarily from theme park attendance and per capita spending at our Universal theme parks in Orlando and Hollywood, as well as from licensing and other fees. We recognize revenue from advance theme park ticket sales when the tickets are used. For annual passes, we recognize revenue on a straight-line basis over the annual period following the initial redemption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our cash equivalents approximate their fair value. Our cash equivalents consist primarily of money market funds and U.S.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government obligations, as well as commercial paper and certificates of deposit with maturities of less than three months when purchased.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use derivative financial instruments to manage our exposure to the risks associated with fluctuations in foreign exchange rates and interest rates. Our objective is to manage the financial and operational exposure arising from these risks by offsetting gains and losses on the underlying exposures with gains and losses on the derivatives used to economically hedge them.</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derivative financial instruments are recorded on our consolidated balance sheet at fair value. The impact of our derivative financial instruments on our consolidated financial statements was not material for all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3: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Redemption Transaction</w:t>
      </w:r>
    </w:p>
    <w:p>
      <w:pPr>
        <w:jc w:val="both"/>
        <w:spacing w:after="0" w:line="238" w:lineRule="auto"/>
        <w:rPr>
          <w:sz w:val="20"/>
          <w:szCs w:val="20"/>
          <w:color w:val="auto"/>
        </w:rPr>
      </w:pPr>
      <w:r>
        <w:rPr>
          <w:rFonts w:ascii="Arial" w:cs="Arial" w:eastAsia="Arial" w:hAnsi="Arial"/>
          <w:sz w:val="18"/>
          <w:szCs w:val="18"/>
          <w:color w:val="auto"/>
        </w:rPr>
        <w:t>On March 19, 2013, Comcast acquired GE’s remaining 49% common equity interest in NBCUniversal for approximately $16.7 billion (the “Redemption Transaction”). In addition to this transaction, we purchased from GE certain properties we occupy at 30 Rockefeller Plaza in New York City and CNBC’s headquarters in Englewood Cliffs, New Jersey for $1.4 billion.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154</w:t>
            </w:r>
          </w:p>
        </w:tc>
      </w:tr>
    </w:tbl>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 through Comcast’s commercial paper program; $1.25 billion of borrowings under NBCUniversal Enterprise’s credit facility, which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preferred units with a $9.4 billion aggregate liquidation preference. NBCUniversal Holdings is required to make quarterly payments to NBCUniversal Enterprise at an initial rate of 8.25% per annum on the $9.4 billion aggregate liquidation preference of the preferred units. On March 1, 2018, and thereafter on every fifth anniversary of such date, this rate will reset to 7.44% plus the yield on actively traded United States Treasury securities having a 5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and adjusted, in the case of an exercise of NBCUniversal Enterprise’s right, to the extent the equity value of NBCUniversal Holdings is less than the liquidation preference. Our cash flows are, and will continue to be, the primary source of funding for the required payments and any future redemption of the NBCUniversal Holdings preferred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Joint Venture Transaction</w:t>
      </w:r>
    </w:p>
    <w:p>
      <w:pPr>
        <w:jc w:val="both"/>
        <w:spacing w:after="0" w:line="236" w:lineRule="auto"/>
        <w:rPr>
          <w:sz w:val="20"/>
          <w:szCs w:val="20"/>
          <w:color w:val="auto"/>
        </w:rPr>
      </w:pPr>
      <w:r>
        <w:rPr>
          <w:rFonts w:ascii="Arial" w:cs="Arial" w:eastAsia="Arial" w:hAnsi="Arial"/>
          <w:sz w:val="18"/>
          <w:szCs w:val="18"/>
          <w:color w:val="auto"/>
        </w:rPr>
        <w:t>On January 28, 2011, Comcast and GE closed the Joint Venture transaction, which among other things, converted our company into a limited liability company that became a wholly owned subsidiary of NBCUniversal Holdings. NBCUniversal comprises the NBCUniversal contributed businesses and the Comcast Content Business. In addition to contributing the Comcast Content Business to NBCUniversal, Comcast made a cash payment to GE of $6.2 billion, which included transaction-related costs. Comcast also agreed to share with GE certain tax benefits as they are realized that relate to the form and structure of the Joint Venture transaction. These payments to GE are contingent on Comcast realizing tax benefits in the future and are accounted for as contingent consideration by Comcast.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0C6DFF"/>
        </w:rPr>
        <w:t>Universal Orlando Transaction</w:t>
      </w:r>
    </w:p>
    <w:p>
      <w:pPr>
        <w:jc w:val="both"/>
        <w:spacing w:after="0" w:line="281" w:lineRule="auto"/>
        <w:rPr>
          <w:sz w:val="20"/>
          <w:szCs w:val="20"/>
          <w:color w:val="auto"/>
        </w:rPr>
      </w:pPr>
      <w:r>
        <w:rPr>
          <w:rFonts w:ascii="Arial" w:cs="Arial" w:eastAsia="Arial" w:hAnsi="Arial"/>
          <w:sz w:val="16"/>
          <w:szCs w:val="16"/>
          <w:color w:val="auto"/>
        </w:rPr>
        <w:t>On July 1, 2011, we acquired the remaining 50% equity interest in Universal Orlando that we did not already own for $1 billion. Following the close of the transaction, Universal Orlando is a wholly owned consolidated subsidiary, and its operations are reported in our Theme Parks segment. We recorded $982 million of goodwill in our allocation of purchase price for this transaction, which was fully allocated to our Theme Parks segment.</w:t>
      </w:r>
    </w:p>
    <w:p>
      <w:pPr>
        <w:spacing w:after="0" w:line="293"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155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4: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19, 2013, as part of the Comcast cash management process, we and Comcast entered into a revolving credit agreement under which we can borrow up to $3 billion from Comcast and Comcast can borrow up to $3 billion from us. Amounts owed by us to Comcast under the revolving credit agreement, including accrued interest, are presented under the caption “note payable to Comcast” in our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December 31, 2013, the borrowing margin for London Interbank Offered Rate based borrowings was 1.00%.</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Comcast is the counterparty to one of our contractual obligations. As of December 31, 2013, the carrying value of the liability associated with this contractual obligation was $383 million. See Note 10 for additional information on this contractual obligation.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transactions with Comcast and its consolidated subsidiaries that are included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100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10020" w:type="dxa"/>
            <w:vAlign w:val="bottom"/>
          </w:tcPr>
          <w:p>
            <w:pPr>
              <w:spacing w:after="0" w:line="200"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w w:val="99"/>
              </w:rPr>
              <w:t>228</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0020" w:type="dxa"/>
            <w:vAlign w:val="bottom"/>
          </w:tcPr>
          <w:p>
            <w:pPr>
              <w:ind w:left="220"/>
              <w:spacing w:after="0" w:line="181" w:lineRule="exact"/>
              <w:rPr>
                <w:sz w:val="20"/>
                <w:szCs w:val="20"/>
                <w:color w:val="auto"/>
              </w:rPr>
            </w:pPr>
            <w:r>
              <w:rPr>
                <w:rFonts w:ascii="Arial" w:cs="Arial" w:eastAsia="Arial" w:hAnsi="Arial"/>
                <w:sz w:val="18"/>
                <w:szCs w:val="18"/>
                <w:color w:val="auto"/>
              </w:rPr>
              <w:t>Receivables, net</w:t>
            </w:r>
          </w:p>
        </w:tc>
        <w:tc>
          <w:tcPr>
            <w:tcW w:w="2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6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181"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100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56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10020" w:type="dxa"/>
            <w:vAlign w:val="bottom"/>
          </w:tcPr>
          <w:p>
            <w:pPr>
              <w:ind w:left="2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37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10020" w:type="dxa"/>
            <w:vAlign w:val="bottom"/>
          </w:tcPr>
          <w:p>
            <w:pPr>
              <w:ind w:left="220"/>
              <w:spacing w:after="0" w:line="202" w:lineRule="exact"/>
              <w:rPr>
                <w:sz w:val="20"/>
                <w:szCs w:val="20"/>
                <w:color w:val="auto"/>
              </w:rPr>
            </w:pPr>
            <w:r>
              <w:rPr>
                <w:rFonts w:ascii="Arial" w:cs="Arial" w:eastAsia="Arial" w:hAnsi="Arial"/>
                <w:sz w:val="18"/>
                <w:szCs w:val="18"/>
                <w:color w:val="auto"/>
              </w:rPr>
              <w:t>Note payable to Comcast</w:t>
            </w:r>
          </w:p>
        </w:tc>
        <w:tc>
          <w:tcPr>
            <w:tcW w:w="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w w:val="99"/>
              </w:rPr>
              <w:t>799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10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w w:val="99"/>
              </w:rPr>
              <w:t>383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0C6DFF"/>
        </w:rPr>
        <w:t>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p>
      <w:pPr>
        <w:ind w:left="9300"/>
        <w:spacing w:after="0"/>
        <w:rPr>
          <w:sz w:val="20"/>
          <w:szCs w:val="20"/>
          <w:color w:val="auto"/>
        </w:rPr>
      </w:pPr>
      <w:r>
        <w:rPr>
          <w:rFonts w:ascii="Arial" w:cs="Arial" w:eastAsia="Arial" w:hAnsi="Arial"/>
          <w:sz w:val="14"/>
          <w:szCs w:val="14"/>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-6985</wp:posOffset>
            </wp:positionV>
            <wp:extent cx="22726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tbl>
      <w:tblPr>
        <w:tblLayout w:type="fixed"/>
        <w:tblInd w:w="0" w:type="dxa"/>
        <w:tblCellMar>
          <w:top w:w="0" w:type="dxa"/>
          <w:left w:w="0" w:type="dxa"/>
          <w:bottom w:w="0" w:type="dxa"/>
          <w:right w:w="0" w:type="dxa"/>
        </w:tblCellMar>
      </w:tblPr>
      <w:tr>
        <w:trPr>
          <w:trHeight w:val="134"/>
        </w:trPr>
        <w:tc>
          <w:tcPr>
            <w:tcW w:w="4320" w:type="dxa"/>
            <w:vAlign w:val="bottom"/>
          </w:tcPr>
          <w:p>
            <w:pPr>
              <w:spacing w:after="0"/>
              <w:rPr>
                <w:sz w:val="11"/>
                <w:szCs w:val="11"/>
                <w:color w:val="auto"/>
              </w:rPr>
            </w:pPr>
          </w:p>
        </w:tc>
        <w:tc>
          <w:tcPr>
            <w:tcW w:w="4620" w:type="dxa"/>
            <w:vAlign w:val="bottom"/>
          </w:tcPr>
          <w:p>
            <w:pPr>
              <w:jc w:val="right"/>
              <w:ind w:right="52"/>
              <w:spacing w:after="0" w:line="134" w:lineRule="exact"/>
              <w:rPr>
                <w:sz w:val="20"/>
                <w:szCs w:val="20"/>
                <w:color w:val="auto"/>
              </w:rPr>
            </w:pPr>
            <w:r>
              <w:rPr>
                <w:rFonts w:ascii="Arial" w:cs="Arial" w:eastAsia="Arial" w:hAnsi="Arial"/>
                <w:sz w:val="14"/>
                <w:szCs w:val="14"/>
                <w:b w:val="1"/>
                <w:bCs w:val="1"/>
                <w:color w:val="auto"/>
              </w:rPr>
              <w:t>Year Ended</w:t>
            </w:r>
          </w:p>
        </w:tc>
        <w:tc>
          <w:tcPr>
            <w:tcW w:w="960" w:type="dxa"/>
            <w:vAlign w:val="bottom"/>
          </w:tcPr>
          <w:p>
            <w:pPr>
              <w:jc w:val="right"/>
              <w:spacing w:after="0" w:line="134" w:lineRule="exact"/>
              <w:rPr>
                <w:sz w:val="20"/>
                <w:szCs w:val="20"/>
                <w:color w:val="auto"/>
              </w:rPr>
            </w:pPr>
            <w:r>
              <w:rPr>
                <w:rFonts w:ascii="Arial" w:cs="Arial" w:eastAsia="Arial" w:hAnsi="Arial"/>
                <w:sz w:val="14"/>
                <w:szCs w:val="14"/>
                <w:color w:val="auto"/>
              </w:rPr>
              <w:t>Year Ended</w:t>
            </w:r>
          </w:p>
        </w:tc>
      </w:tr>
      <w:tr>
        <w:trPr>
          <w:trHeight w:val="149"/>
        </w:trPr>
        <w:tc>
          <w:tcPr>
            <w:tcW w:w="4320" w:type="dxa"/>
            <w:vAlign w:val="bottom"/>
          </w:tcPr>
          <w:p>
            <w:pPr>
              <w:spacing w:after="0"/>
              <w:rPr>
                <w:sz w:val="12"/>
                <w:szCs w:val="12"/>
                <w:color w:val="auto"/>
              </w:rPr>
            </w:pPr>
          </w:p>
        </w:tc>
        <w:tc>
          <w:tcPr>
            <w:tcW w:w="4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December 31,</w:t>
            </w:r>
          </w:p>
        </w:tc>
      </w:tr>
      <w:tr>
        <w:trPr>
          <w:trHeight w:val="179"/>
        </w:trPr>
        <w:tc>
          <w:tcPr>
            <w:tcW w:w="4320" w:type="dxa"/>
            <w:vAlign w:val="bottom"/>
          </w:tcPr>
          <w:p>
            <w:pPr>
              <w:spacing w:after="0"/>
              <w:rPr>
                <w:sz w:val="20"/>
                <w:szCs w:val="20"/>
                <w:color w:val="auto"/>
              </w:rPr>
            </w:pPr>
            <w:r>
              <w:rPr>
                <w:rFonts w:ascii="Arial" w:cs="Arial" w:eastAsia="Arial" w:hAnsi="Arial"/>
                <w:sz w:val="14"/>
                <w:szCs w:val="14"/>
                <w:color w:val="auto"/>
              </w:rPr>
              <w:t>(in millions)</w:t>
            </w:r>
          </w:p>
        </w:tc>
        <w:tc>
          <w:tcPr>
            <w:tcW w:w="4620" w:type="dxa"/>
            <w:vAlign w:val="bottom"/>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960" w:type="dxa"/>
            <w:vAlign w:val="bottom"/>
          </w:tcPr>
          <w:p>
            <w:pPr>
              <w:jc w:val="right"/>
              <w:spacing w:after="0"/>
              <w:rPr>
                <w:sz w:val="20"/>
                <w:szCs w:val="20"/>
                <w:color w:val="auto"/>
              </w:rPr>
            </w:pPr>
            <w:r>
              <w:rPr>
                <w:rFonts w:ascii="Arial" w:cs="Arial" w:eastAsia="Arial" w:hAnsi="Arial"/>
                <w:sz w:val="14"/>
                <w:szCs w:val="14"/>
                <w:color w:val="auto"/>
              </w:rPr>
              <w:t>2012</w:t>
            </w:r>
          </w:p>
        </w:tc>
      </w:tr>
    </w:tbl>
    <w:p>
      <w:pPr>
        <w:spacing w:after="0" w:line="20" w:lineRule="exact"/>
        <w:rPr>
          <w:sz w:val="20"/>
          <w:szCs w:val="20"/>
          <w:color w:val="auto"/>
        </w:rPr>
      </w:pPr>
      <w:r>
        <w:rPr>
          <w:sz w:val="20"/>
          <w:szCs w:val="20"/>
          <w:color w:val="auto"/>
        </w:rPr>
        <w:br w:type="column"/>
      </w:r>
    </w:p>
    <w:p>
      <w:pPr>
        <w:jc w:val="both"/>
        <w:ind w:right="100" w:firstLine="338"/>
        <w:spacing w:after="0" w:line="268" w:lineRule="auto"/>
        <w:rPr>
          <w:sz w:val="20"/>
          <w:szCs w:val="20"/>
          <w:color w:val="auto"/>
        </w:rPr>
      </w:pPr>
      <w:r>
        <w:rPr>
          <w:rFonts w:ascii="Arial" w:cs="Arial" w:eastAsia="Arial" w:hAnsi="Arial"/>
          <w:sz w:val="12"/>
          <w:szCs w:val="12"/>
          <w:color w:val="auto"/>
        </w:rPr>
        <w:t>For the Period January 29, 2011 to December 31, 2011</w:t>
      </w:r>
    </w:p>
    <w:p>
      <w:pPr>
        <w:spacing w:after="0" w:line="1" w:lineRule="exact"/>
        <w:rPr>
          <w:sz w:val="20"/>
          <w:szCs w:val="20"/>
          <w:color w:val="auto"/>
        </w:rPr>
      </w:pPr>
    </w:p>
    <w:p>
      <w:pPr>
        <w:sectPr>
          <w:pgSz w:w="11900" w:h="16838" w:orient="portrait"/>
          <w:cols w:equalWidth="0" w:num="2">
            <w:col w:w="9900" w:space="220"/>
            <w:col w:w="130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640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b w:val="1"/>
                <w:bCs w:val="1"/>
                <w:color w:val="auto"/>
              </w:rPr>
              <w:t>Transactions with Comcast and consolidated subsidiaries</w:t>
            </w:r>
          </w:p>
        </w:tc>
        <w:tc>
          <w:tcPr>
            <w:tcW w:w="182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8"/>
                <w:szCs w:val="18"/>
                <w:b w:val="1"/>
                <w:bCs w:val="1"/>
                <w:color w:val="auto"/>
              </w:rPr>
              <w:t>1,262</w:t>
            </w: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00" w:type="dxa"/>
            <w:vAlign w:val="bottom"/>
          </w:tcPr>
          <w:p>
            <w:pPr>
              <w:ind w:left="220"/>
              <w:spacing w:after="0" w:line="181" w:lineRule="exact"/>
              <w:rPr>
                <w:sz w:val="20"/>
                <w:szCs w:val="20"/>
                <w:color w:val="auto"/>
              </w:rPr>
            </w:pPr>
            <w:r>
              <w:rPr>
                <w:rFonts w:ascii="Arial" w:cs="Arial" w:eastAsia="Arial" w:hAnsi="Arial"/>
                <w:sz w:val="18"/>
                <w:szCs w:val="18"/>
                <w:color w:val="auto"/>
              </w:rPr>
              <w:t>Revenue</w:t>
            </w:r>
          </w:p>
        </w:tc>
        <w:tc>
          <w:tcPr>
            <w:tcW w:w="18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tcPr>
          <w:p>
            <w:pPr>
              <w:jc w:val="right"/>
              <w:ind w:right="72"/>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line="181" w:lineRule="exact"/>
              <w:rPr>
                <w:sz w:val="20"/>
                <w:szCs w:val="20"/>
                <w:color w:val="auto"/>
              </w:rPr>
            </w:pPr>
            <w:r>
              <w:rPr>
                <w:rFonts w:ascii="Arial" w:cs="Arial" w:eastAsia="Arial" w:hAnsi="Arial"/>
                <w:sz w:val="18"/>
                <w:szCs w:val="18"/>
                <w:color w:val="auto"/>
              </w:rPr>
              <w:t>1,228</w:t>
            </w:r>
          </w:p>
        </w:tc>
        <w:tc>
          <w:tcPr>
            <w:tcW w:w="500" w:type="dxa"/>
            <w:vAlign w:val="bottom"/>
          </w:tcPr>
          <w:p>
            <w:pPr>
              <w:jc w:val="right"/>
              <w:ind w:right="252"/>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181" w:lineRule="exact"/>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21"/>
        </w:trPr>
        <w:tc>
          <w:tcPr>
            <w:tcW w:w="6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Operating costs and expenses</w:t>
            </w:r>
          </w:p>
        </w:tc>
        <w:tc>
          <w:tcPr>
            <w:tcW w:w="1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addition to the transactions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r>
    </w:tbl>
    <w:p>
      <w:pPr>
        <w:sectPr>
          <w:pgSz w:w="11900" w:h="16838" w:orient="portrait"/>
          <w:cols w:equalWidth="0" w:num="1">
            <w:col w:w="11420"/>
          </w:cols>
          <w:pgMar w:left="240" w:top="460" w:right="2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ments to NBCUniversal Enterprise at an initial annual rate of 8.25% on the $9.4 billion aggregate liquidation preference of its preferred units. These distributions are presented under the caption “distributions to member” in our consolidated statement of cash flows. Following the close of the Redemption Transaction, none of these distributions to NBCUniversal Holdings are attributable to GE.</w:t>
      </w:r>
    </w:p>
    <w:p>
      <w:pPr>
        <w:spacing w:after="0" w:line="15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connection with the Redemption Transaction, we also made a distribution of $3.2 billion to NBCUniversal Holdings to fund a portion of the Redemption Transaction. This distribution is presented separately in our consolidated statement of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GE</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Following the close of the Redemption Transaction and the subsequent sale of NBCUniversal Enterprise’s preferred stock and senior notes by GE to unaffiliated third parties in March 2013, we no longer consider GE to be a related party.</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2013, Comcast closed an agreement with GE, General Electric Capital Corporation (“GECC”) and LIN TV under which, among other things, we purchased a note held by Station Venture Holdings, LLC (“Station Venture”) from GECC for $602 million, which effectively settled a liability of $482 million that had been recorded in the allocation of purchase price associated with the Joint Venture transaction. Due to the related party nature of this transaction, the excess of the purchase price of the Station Venture note over the recorded amount of the liability was recorded to member’s capital. Other than the Station Venture transaction, dividend payments to GE that are included under the caption “dividends” on our consolidated statement of changes in equity and our consolidated statement of cash flows, and the transactions discussed in Note 3, the amounts related to our transactions with GE and its consolidated subsidiaries that occurred prior to the close of the Redemption Transaction were not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5: Film and Television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64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978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9780" w:type="dxa"/>
            <w:vAlign w:val="bottom"/>
          </w:tcPr>
          <w:p>
            <w:pPr>
              <w:spacing w:after="0" w:line="200" w:lineRule="exact"/>
              <w:rPr>
                <w:sz w:val="20"/>
                <w:szCs w:val="20"/>
                <w:color w:val="auto"/>
              </w:rPr>
            </w:pPr>
            <w:r>
              <w:rPr>
                <w:rFonts w:ascii="Arial" w:cs="Arial" w:eastAsia="Arial" w:hAnsi="Arial"/>
                <w:sz w:val="18"/>
                <w:szCs w:val="18"/>
                <w:color w:val="auto"/>
              </w:rPr>
              <w:t>Film Costs:</w:t>
            </w: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$ 1,630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78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84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$ 1,472</w:t>
            </w:r>
          </w:p>
        </w:tc>
        <w:tc>
          <w:tcPr>
            <w:tcW w:w="0" w:type="dxa"/>
            <w:vAlign w:val="bottom"/>
          </w:tcPr>
          <w:p>
            <w:pPr>
              <w:spacing w:after="0"/>
              <w:rPr>
                <w:sz w:val="1"/>
                <w:szCs w:val="1"/>
                <w:color w:val="auto"/>
              </w:rPr>
            </w:pPr>
          </w:p>
        </w:tc>
      </w:tr>
      <w:tr>
        <w:trPr>
          <w:trHeight w:val="203"/>
        </w:trPr>
        <w:tc>
          <w:tcPr>
            <w:tcW w:w="9780" w:type="dxa"/>
            <w:vAlign w:val="bottom"/>
          </w:tcPr>
          <w:p>
            <w:pPr>
              <w:ind w:left="220"/>
              <w:spacing w:after="0" w:line="202" w:lineRule="exact"/>
              <w:rPr>
                <w:sz w:val="20"/>
                <w:szCs w:val="20"/>
                <w:color w:val="auto"/>
              </w:rPr>
            </w:pPr>
            <w:r>
              <w:rPr>
                <w:rFonts w:ascii="Arial" w:cs="Arial" w:eastAsia="Arial" w:hAnsi="Arial"/>
                <w:sz w:val="18"/>
                <w:szCs w:val="18"/>
                <w:color w:val="auto"/>
              </w:rPr>
              <w:t>Completed, not released</w:t>
            </w:r>
          </w:p>
        </w:tc>
        <w:tc>
          <w:tcPr>
            <w:tcW w:w="840" w:type="dxa"/>
            <w:vAlign w:val="bottom"/>
          </w:tcPr>
          <w:p>
            <w:pPr>
              <w:jc w:val="right"/>
              <w:ind w:right="55"/>
              <w:spacing w:after="0" w:line="202" w:lineRule="exact"/>
              <w:rPr>
                <w:sz w:val="20"/>
                <w:szCs w:val="20"/>
                <w:color w:val="auto"/>
              </w:rPr>
            </w:pPr>
            <w:r>
              <w:rPr>
                <w:rFonts w:ascii="Arial" w:cs="Arial" w:eastAsia="Arial" w:hAnsi="Arial"/>
                <w:sz w:val="18"/>
                <w:szCs w:val="18"/>
                <w:b w:val="1"/>
                <w:bCs w:val="1"/>
                <w:color w:val="auto"/>
              </w:rPr>
              <w:t>70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658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6"/>
        </w:trPr>
        <w:tc>
          <w:tcPr>
            <w:tcW w:w="9780" w:type="dxa"/>
            <w:vAlign w:val="bottom"/>
            <w:vMerge w:val="restart"/>
          </w:tcPr>
          <w:p>
            <w:pPr>
              <w:spacing w:after="0"/>
              <w:rPr>
                <w:sz w:val="20"/>
                <w:szCs w:val="20"/>
                <w:color w:val="auto"/>
              </w:rPr>
            </w:pPr>
            <w:r>
              <w:rPr>
                <w:rFonts w:ascii="Arial" w:cs="Arial" w:eastAsia="Arial" w:hAnsi="Arial"/>
                <w:sz w:val="18"/>
                <w:szCs w:val="18"/>
                <w:color w:val="auto"/>
              </w:rPr>
              <w:t>Television Costs:</w:t>
            </w:r>
          </w:p>
        </w:tc>
        <w:tc>
          <w:tcPr>
            <w:tcW w:w="840" w:type="dxa"/>
            <w:vAlign w:val="bottom"/>
          </w:tcPr>
          <w:p>
            <w:pPr>
              <w:jc w:val="right"/>
              <w:ind w:right="55"/>
              <w:spacing w:after="0"/>
              <w:rPr>
                <w:sz w:val="20"/>
                <w:szCs w:val="20"/>
                <w:color w:val="auto"/>
              </w:rPr>
            </w:pPr>
            <w:r>
              <w:rPr>
                <w:rFonts w:ascii="Arial" w:cs="Arial" w:eastAsia="Arial" w:hAnsi="Arial"/>
                <w:sz w:val="18"/>
                <w:szCs w:val="18"/>
                <w:b w:val="1"/>
                <w:bCs w:val="1"/>
                <w:color w:val="auto"/>
              </w:rPr>
              <w:t>2,358</w:t>
            </w:r>
          </w:p>
        </w:tc>
        <w:tc>
          <w:tcPr>
            <w:tcW w:w="80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75"/>
        </w:trPr>
        <w:tc>
          <w:tcPr>
            <w:tcW w:w="9780" w:type="dxa"/>
            <w:vAlign w:val="bottom"/>
            <w:vMerge w:val="continue"/>
          </w:tcPr>
          <w:p>
            <w:pPr>
              <w:spacing w:after="0"/>
              <w:rPr>
                <w:sz w:val="15"/>
                <w:szCs w:val="15"/>
                <w:color w:val="auto"/>
              </w:rPr>
            </w:pPr>
          </w:p>
        </w:tc>
        <w:tc>
          <w:tcPr>
            <w:tcW w:w="84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auto"/>
              </w:rPr>
              <w:t>1,155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780" w:type="dxa"/>
            <w:vAlign w:val="bottom"/>
          </w:tcPr>
          <w:p>
            <w:pPr>
              <w:ind w:left="220"/>
              <w:spacing w:after="0" w:line="181" w:lineRule="exact"/>
              <w:rPr>
                <w:sz w:val="20"/>
                <w:szCs w:val="20"/>
                <w:color w:val="auto"/>
              </w:rPr>
            </w:pPr>
            <w:r>
              <w:rPr>
                <w:rFonts w:ascii="Arial" w:cs="Arial" w:eastAsia="Arial" w:hAnsi="Arial"/>
                <w:sz w:val="18"/>
                <w:szCs w:val="18"/>
                <w:color w:val="auto"/>
              </w:rPr>
              <w:t>Released, less amortization</w:t>
            </w:r>
          </w:p>
        </w:tc>
        <w:tc>
          <w:tcPr>
            <w:tcW w:w="840" w:type="dxa"/>
            <w:vAlign w:val="bottom"/>
            <w:vMerge w:val="continue"/>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370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77"/>
        </w:trPr>
        <w:tc>
          <w:tcPr>
            <w:tcW w:w="9780" w:type="dxa"/>
            <w:vAlign w:val="bottom"/>
          </w:tcPr>
          <w:p>
            <w:pPr>
              <w:spacing w:after="0"/>
              <w:rPr>
                <w:sz w:val="15"/>
                <w:szCs w:val="15"/>
                <w:color w:val="auto"/>
              </w:rPr>
            </w:pPr>
          </w:p>
        </w:tc>
        <w:tc>
          <w:tcPr>
            <w:tcW w:w="8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1,525</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2,003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177"/>
        </w:trPr>
        <w:tc>
          <w:tcPr>
            <w:tcW w:w="9780" w:type="dxa"/>
            <w:vAlign w:val="bottom"/>
          </w:tcPr>
          <w:p>
            <w:pPr>
              <w:spacing w:after="0"/>
              <w:rPr>
                <w:sz w:val="15"/>
                <w:szCs w:val="15"/>
                <w:color w:val="auto"/>
              </w:rPr>
            </w:pPr>
          </w:p>
        </w:tc>
        <w:tc>
          <w:tcPr>
            <w:tcW w:w="840" w:type="dxa"/>
            <w:vAlign w:val="bottom"/>
          </w:tcPr>
          <w:p>
            <w:pPr>
              <w:jc w:val="right"/>
              <w:ind w:right="55"/>
              <w:spacing w:after="0" w:line="177" w:lineRule="exact"/>
              <w:rPr>
                <w:sz w:val="20"/>
                <w:szCs w:val="20"/>
                <w:color w:val="auto"/>
              </w:rPr>
            </w:pPr>
            <w:r>
              <w:rPr>
                <w:rFonts w:ascii="Arial" w:cs="Arial" w:eastAsia="Arial" w:hAnsi="Arial"/>
                <w:sz w:val="18"/>
                <w:szCs w:val="18"/>
                <w:b w:val="1"/>
                <w:bCs w:val="1"/>
                <w:color w:val="auto"/>
              </w:rPr>
              <w:t>5,886</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903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196"/>
        </w:trPr>
        <w:tc>
          <w:tcPr>
            <w:tcW w:w="97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Film and television costs</w:t>
            </w:r>
          </w:p>
        </w:tc>
        <w:tc>
          <w:tcPr>
            <w:tcW w:w="840" w:type="dxa"/>
            <w:vAlign w:val="bottom"/>
            <w:tcBorders>
              <w:bottom w:val="single" w:sz="8" w:color="0C6DFF"/>
            </w:tcBorders>
          </w:tcPr>
          <w:p>
            <w:pPr>
              <w:jc w:val="right"/>
              <w:ind w:right="55"/>
              <w:spacing w:after="0" w:line="196" w:lineRule="exact"/>
              <w:rPr>
                <w:sz w:val="20"/>
                <w:szCs w:val="20"/>
                <w:color w:val="auto"/>
              </w:rPr>
            </w:pPr>
            <w:r>
              <w:rPr>
                <w:rFonts w:ascii="Arial" w:cs="Arial" w:eastAsia="Arial" w:hAnsi="Arial"/>
                <w:sz w:val="18"/>
                <w:szCs w:val="18"/>
                <w:b w:val="1"/>
                <w:bCs w:val="1"/>
                <w:color w:val="auto"/>
              </w:rPr>
              <w:t>$ 4,983</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$ 5,041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Based on our estimates of the ratio of the current period’s actual revenue to the estimated total remaining gross revenue from all sources (“ultimate revenue”), as of December 31, 2013, approximately $ 1.3 billion of film and television costs associated with our original film and television productions that have been released, or completed and not yet released, are expected to be amortized during 2014. Approximately 85% of</w:t>
      </w:r>
    </w:p>
    <w:p>
      <w:pPr>
        <w:spacing w:after="0" w:line="293"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157</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unamortized film and television costs for our released productions, excluding amounts allocated to acquired libraries, are expected to be amortized through 2016.</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acquired film and television libraries, which are included within the “released, less amortization” captions in the table above, had remaining unamortized costs of $711 million. These costs are generally amortized over a period not to exceed 20 years, and approximately 49% of these costs are expected to be amortized through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Film and Television Costs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film and television production costs, including direct costs, production overhead, print costs, development costs and interest. We amortize capitalized film and television production costs, including acquired libraries, and accrue costs associated with participation and residual payments to programming and production expense. We generally record the amortization and the accrued costs using the individual film forecast computation method, which amortizes such costs in the same ratio as the associated ultimate revenue. Estimates of total revenue and total costs are based on anticipated release patterns, public acceptance and historical results for similar productions. Unamortized film and television costs, including acquired film and television libraries, are stated at the lower of unamortized cost or fair value. We do not capitalize costs related to the distribution of a film to movie theaters or the licensing or sale of a film or television production, which are primarily costs associated with the marketing and distribution of film and television programming.</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determining the estimated lives and method of amortization of acquired film and television libraries, we generally use the method and the life that most closely follow the undiscounted cash flows over the estimated life of the asset.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the occurrence of an event or a change in circumstance that was known or knowable as of the balance sheet date and that indicates the fair value of a film is less than its unamortized costs, we determine the fair value of the film and record an impairment charge for the amount by which the unamortized capitalized costs exceed the film’s fair value.</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arrangements with third parties to jointly finance and distribute certain of our film productions. These arrangements, which are referred to as cofinancing arrangements, can take various forms. In most cases, the arrangement involves the grant of an economic interest in a film to a third-party investor. The number of investors and the terms of these arrangements can vary, although in most cases an investor assumes full risk for the portion of the film acquired in these arrangements. We account for the proceeds received from a third-party investor under these arrangements as a reduction to our capitalized film costs. In these arrangements, the investor owns an undivided copyright interest in the film and, therefore, in each period we record either a charge or a benefit to programming and production expense to reflect the estimate of the third-party investor’s interest in the profit or loss of the film. The estimate of the third-party investor’s interest in the profit or loss of a film is determined using the ratio of actual revenue earned to date to the ultimate revenue expected to be recognized over the film’s useful life.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capitalize the costs of programming content that we license but do not own, including rights to multiyear live-event sports programming, at the earlier of when payments are made for the programming or when the license period begins and the content is available for use. We amortize capitalized programming costs as the associated programs are broadcast. We amortize multiyear, live-event sports programming rights using the ratio of the current period’s revenue to the estimated total remaining revenue or under the terms of the contract.</w:t>
      </w:r>
    </w:p>
    <w:p>
      <w:pPr>
        <w:spacing w:after="0" w:line="15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Acquired programming costs are recorded at the lower of unamortized cost or net realizable value on a program by program, package, channel or daypart basis. A daypart is an aggregation of programs broadcast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158</w:t>
            </w: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a particular time of day or programs of a similar type. Acquired programming used in our Cable Networks segment is primarily tested on a channel basis for impairment, whereas acquired programming used in our Broadcast Television segment is tested on a daypart basis. If we determine that the estimates of future cash flows are insufficient or if there is no plan to broadcast certain programming, we recognize an impairment charge to programming and production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6: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98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9860" w:type="dxa"/>
            <w:vAlign w:val="bottom"/>
          </w:tcPr>
          <w:p>
            <w:pPr>
              <w:spacing w:after="0" w:line="200" w:lineRule="exact"/>
              <w:rPr>
                <w:sz w:val="20"/>
                <w:szCs w:val="20"/>
                <w:color w:val="auto"/>
              </w:rPr>
            </w:pPr>
            <w:r>
              <w:rPr>
                <w:rFonts w:ascii="Arial" w:cs="Arial" w:eastAsia="Arial" w:hAnsi="Arial"/>
                <w:sz w:val="18"/>
                <w:szCs w:val="18"/>
                <w:color w:val="auto"/>
              </w:rPr>
              <w:t>Fair Value Method</w:t>
            </w:r>
          </w:p>
        </w:tc>
        <w:tc>
          <w:tcPr>
            <w:tcW w:w="24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37"/>
              <w:spacing w:after="0" w:line="200" w:lineRule="exact"/>
              <w:rPr>
                <w:sz w:val="20"/>
                <w:szCs w:val="20"/>
                <w:color w:val="auto"/>
              </w:rPr>
            </w:pPr>
            <w:r>
              <w:rPr>
                <w:rFonts w:ascii="Arial" w:cs="Arial" w:eastAsia="Arial" w:hAnsi="Arial"/>
                <w:sz w:val="18"/>
                <w:szCs w:val="18"/>
                <w:b w:val="1"/>
                <w:bCs w:val="1"/>
                <w:color w:val="auto"/>
              </w:rPr>
              <w:t>11</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line="200"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Equity Method:</w:t>
            </w:r>
          </w:p>
        </w:tc>
        <w:tc>
          <w:tcPr>
            <w:tcW w:w="240" w:type="dxa"/>
            <w:vAlign w:val="bottom"/>
          </w:tcPr>
          <w:p>
            <w:pPr>
              <w:spacing w:after="0"/>
              <w:rPr>
                <w:sz w:val="17"/>
                <w:szCs w:val="17"/>
                <w:color w:val="auto"/>
              </w:rPr>
            </w:pPr>
          </w:p>
        </w:tc>
        <w:tc>
          <w:tcPr>
            <w:tcW w:w="4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333</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860" w:type="dxa"/>
            <w:vAlign w:val="bottom"/>
          </w:tcPr>
          <w:p>
            <w:pPr>
              <w:ind w:left="220"/>
              <w:spacing w:after="0" w:line="181" w:lineRule="exact"/>
              <w:rPr>
                <w:sz w:val="20"/>
                <w:szCs w:val="20"/>
                <w:color w:val="auto"/>
              </w:rPr>
            </w:pPr>
            <w:r>
              <w:rPr>
                <w:rFonts w:ascii="Arial" w:cs="Arial" w:eastAsia="Arial" w:hAnsi="Arial"/>
                <w:sz w:val="18"/>
                <w:szCs w:val="18"/>
                <w:color w:val="auto"/>
              </w:rPr>
              <w:t>The Weather Channel</w:t>
            </w:r>
          </w:p>
        </w:tc>
        <w:tc>
          <w:tcPr>
            <w:tcW w:w="2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15"/>
              <w:spacing w:after="0" w:line="181"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9860" w:type="dxa"/>
            <w:vAlign w:val="bottom"/>
          </w:tcPr>
          <w:p>
            <w:pPr>
              <w:ind w:left="220"/>
              <w:spacing w:after="0" w:line="202" w:lineRule="exact"/>
              <w:rPr>
                <w:sz w:val="20"/>
                <w:szCs w:val="20"/>
                <w:color w:val="auto"/>
              </w:rPr>
            </w:pPr>
            <w:r>
              <w:rPr>
                <w:rFonts w:ascii="Arial" w:cs="Arial" w:eastAsia="Arial" w:hAnsi="Arial"/>
                <w:sz w:val="18"/>
                <w:szCs w:val="18"/>
                <w:color w:val="auto"/>
              </w:rPr>
              <w:t>Hulu</w:t>
            </w:r>
          </w:p>
        </w:tc>
        <w:tc>
          <w:tcPr>
            <w:tcW w:w="240" w:type="dxa"/>
            <w:vAlign w:val="bottom"/>
          </w:tcPr>
          <w:p>
            <w:pPr>
              <w:spacing w:after="0"/>
              <w:rPr>
                <w:sz w:val="17"/>
                <w:szCs w:val="17"/>
                <w:color w:val="auto"/>
              </w:rPr>
            </w:pPr>
          </w:p>
        </w:tc>
        <w:tc>
          <w:tcPr>
            <w:tcW w:w="46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187</w:t>
            </w:r>
          </w:p>
        </w:tc>
        <w:tc>
          <w:tcPr>
            <w:tcW w:w="28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332</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77"/>
        </w:trPr>
        <w:tc>
          <w:tcPr>
            <w:tcW w:w="9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852</w:t>
            </w:r>
          </w:p>
        </w:tc>
        <w:tc>
          <w:tcPr>
            <w:tcW w:w="280" w:type="dxa"/>
            <w:vAlign w:val="bottom"/>
          </w:tcPr>
          <w:p>
            <w:pPr>
              <w:spacing w:after="0"/>
              <w:rPr>
                <w:sz w:val="15"/>
                <w:szCs w:val="15"/>
                <w:color w:val="auto"/>
              </w:rPr>
            </w:pPr>
          </w:p>
        </w:tc>
        <w:tc>
          <w:tcPr>
            <w:tcW w:w="580" w:type="dxa"/>
            <w:vAlign w:val="bottom"/>
          </w:tcPr>
          <w:p>
            <w:pPr>
              <w:jc w:val="right"/>
              <w:ind w:right="15"/>
              <w:spacing w:after="0" w:line="177" w:lineRule="exact"/>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1"/>
        </w:trPr>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6"/>
        </w:trPr>
        <w:tc>
          <w:tcPr>
            <w:tcW w:w="98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884</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or where we hold significant partnership or LLC interests. Equity method investments are recorded at cost and are adjusted to recognize (i) our proportionate share of the investee’s net income or losses after the date of investment, (ii) amortization of the recorded investment that exceeds our share of the book value of the investee’s net assets, (iii) additional contributions made and dividends received, and</w:t>
      </w:r>
    </w:p>
    <w:p>
      <w:pPr>
        <w:spacing w:after="0" w:line="1" w:lineRule="exact"/>
        <w:rPr>
          <w:sz w:val="20"/>
          <w:szCs w:val="20"/>
          <w:color w:val="auto"/>
        </w:rPr>
      </w:pPr>
    </w:p>
    <w:p>
      <w:pPr>
        <w:jc w:val="both"/>
        <w:ind w:firstLine="8"/>
        <w:spacing w:after="0" w:line="238" w:lineRule="auto"/>
        <w:tabs>
          <w:tab w:leader="none" w:pos="3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impairments resulting from other-than-temporary declines in fair value. Gains or losses on the sale of equity method investee are recorded to other income (expense), net. If an equity method investment were to issue additional securities that would change our proportionate share of the entity, we would recognize the change, if any, as a gain or loss in our consolidated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The Weather Channel</w:t>
      </w:r>
    </w:p>
    <w:p>
      <w:pPr>
        <w:jc w:val="both"/>
        <w:spacing w:after="0" w:line="238" w:lineRule="auto"/>
        <w:rPr>
          <w:sz w:val="20"/>
          <w:szCs w:val="20"/>
          <w:color w:val="auto"/>
        </w:rPr>
      </w:pPr>
      <w:r>
        <w:rPr>
          <w:rFonts w:ascii="Arial" w:cs="Arial" w:eastAsia="Arial" w:hAnsi="Arial"/>
          <w:sz w:val="18"/>
          <w:szCs w:val="18"/>
          <w:color w:val="auto"/>
        </w:rPr>
        <w:t>In June 2013, we received a distribution from The Weather Channel Holding Corp. (“The Weather Channel”) of $152 million, of which $128 million was recorded as a return of our investment in The Weather Channel and included under the caption “return of capital from investees” in our consolidated statement of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Hulu</w:t>
      </w:r>
    </w:p>
    <w:p>
      <w:pPr>
        <w:jc w:val="both"/>
        <w:spacing w:after="0" w:line="236" w:lineRule="auto"/>
        <w:rPr>
          <w:sz w:val="20"/>
          <w:szCs w:val="20"/>
          <w:color w:val="auto"/>
        </w:rPr>
      </w:pPr>
      <w:r>
        <w:rPr>
          <w:rFonts w:ascii="Arial" w:cs="Arial" w:eastAsia="Arial" w:hAnsi="Arial"/>
          <w:sz w:val="18"/>
          <w:szCs w:val="18"/>
          <w:color w:val="auto"/>
        </w:rPr>
        <w:t>In July 2013, we entered into an agreement to provide capital contributions totaling $247 million to Hulu, LLC (“Hulu”), which we had previously accounted for as a cost method investment. This represented an agreement to provide our first capital contribution to Hulu since Comcast acquired its interest in Hulu as part of the Joint Venture transaction, therefore we began to apply the equity method of accounting for this investment. The change in the method of accounting for this investment required us to recognize our proportionate share of Hulu’s accumulated losses from the date of the Joint Venture transaction through July 2013. Prior period financial statements have not been restated as the amounts are not material for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Testing of Investments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review our investment portfolio each reporting period to determine whether there are identified events or circumstances that would indicate there is a decline in the fair value that would be considered other than temporary. For our nonpublic investments, if there are no identified events or circumstances that would have</w:t>
      </w:r>
    </w:p>
    <w:p>
      <w:pPr>
        <w:spacing w:after="0" w:line="323"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159</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significant adverse effect on the fair value of the investment, then the fair value is not estimated. If an investment is deemed to have experienced an other-than-temporary decline below its cost basis, we reduce the carrying amount of the investment to its quoted or estimated fair value, as applicable, and establish a new cost basis for the investment. For our AFS and cost method investments, we record the impairment to investment income (loss), net. For our equity method investments, we record the impairment to other income (expense), net. During 2013, we recorded $249 million of impairment charges to our equity method investments, which were primarily related to a regional sports cable network based in Houston, Texas.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7: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220" w:type="dxa"/>
            <w:vAlign w:val="bottom"/>
            <w:gridSpan w:val="2"/>
          </w:tcPr>
          <w:p>
            <w:pPr>
              <w:jc w:val="right"/>
              <w:ind w:right="100"/>
              <w:spacing w:after="0"/>
              <w:rPr>
                <w:sz w:val="20"/>
                <w:szCs w:val="20"/>
                <w:color w:val="auto"/>
              </w:rPr>
            </w:pPr>
            <w:r>
              <w:rPr>
                <w:rFonts w:ascii="Arial" w:cs="Arial" w:eastAsia="Arial" w:hAnsi="Arial"/>
                <w:sz w:val="14"/>
                <w:szCs w:val="14"/>
                <w:color w:val="auto"/>
              </w:rPr>
              <w:t>Weighted-Average</w:t>
            </w:r>
          </w:p>
        </w:tc>
        <w:tc>
          <w:tcPr>
            <w:tcW w:w="1620" w:type="dxa"/>
            <w:vAlign w:val="bottom"/>
            <w:gridSpan w:val="2"/>
            <w:vMerge w:val="restart"/>
          </w:tcPr>
          <w:p>
            <w:pPr>
              <w:jc w:val="right"/>
              <w:ind w:right="335"/>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60"/>
        </w:trPr>
        <w:tc>
          <w:tcPr>
            <w:tcW w:w="5580" w:type="dxa"/>
            <w:vAlign w:val="bottom"/>
          </w:tcPr>
          <w:p>
            <w:pPr>
              <w:spacing w:after="0"/>
              <w:rPr>
                <w:sz w:val="4"/>
                <w:szCs w:val="4"/>
                <w:color w:val="auto"/>
              </w:rPr>
            </w:pPr>
          </w:p>
        </w:tc>
        <w:tc>
          <w:tcPr>
            <w:tcW w:w="42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color w:val="auto"/>
              </w:rPr>
              <w:t>Original Useful Life</w:t>
            </w:r>
          </w:p>
        </w:tc>
        <w:tc>
          <w:tcPr>
            <w:tcW w:w="162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580" w:type="dxa"/>
            <w:vAlign w:val="bottom"/>
          </w:tcPr>
          <w:p>
            <w:pPr>
              <w:spacing w:after="0"/>
              <w:rPr>
                <w:sz w:val="6"/>
                <w:szCs w:val="6"/>
                <w:color w:val="auto"/>
              </w:rPr>
            </w:pPr>
          </w:p>
        </w:tc>
        <w:tc>
          <w:tcPr>
            <w:tcW w:w="4220" w:type="dxa"/>
            <w:vAlign w:val="bottom"/>
            <w:gridSpan w:val="2"/>
            <w:vMerge w:val="continue"/>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55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December 31 (in millions)</w:t>
            </w:r>
          </w:p>
        </w:tc>
        <w:tc>
          <w:tcPr>
            <w:tcW w:w="4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As of December 31, 2013</w:t>
            </w:r>
          </w:p>
        </w:tc>
        <w:tc>
          <w:tcPr>
            <w:tcW w:w="10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Buildings and leasehold improvements</w:t>
            </w:r>
          </w:p>
        </w:tc>
        <w:tc>
          <w:tcPr>
            <w:tcW w:w="4220" w:type="dxa"/>
            <w:vAlign w:val="bottom"/>
            <w:gridSpan w:val="2"/>
          </w:tcPr>
          <w:p>
            <w:pPr>
              <w:jc w:val="right"/>
              <w:ind w:right="100"/>
              <w:spacing w:after="0" w:line="177" w:lineRule="exact"/>
              <w:rPr>
                <w:sz w:val="20"/>
                <w:szCs w:val="20"/>
                <w:color w:val="auto"/>
              </w:rPr>
            </w:pPr>
            <w:r>
              <w:rPr>
                <w:rFonts w:ascii="Arial" w:cs="Arial" w:eastAsia="Arial" w:hAnsi="Arial"/>
                <w:sz w:val="18"/>
                <w:szCs w:val="18"/>
                <w:color w:val="auto"/>
              </w:rPr>
              <w:t>20 years</w:t>
            </w: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$ 5,239</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$ 3,223</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Furniture, fixtures and equipment</w:t>
            </w:r>
          </w:p>
        </w:tc>
        <w:tc>
          <w:tcPr>
            <w:tcW w:w="4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 years</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2,383</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4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828</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w:t>
            </w:r>
          </w:p>
        </w:tc>
        <w:tc>
          <w:tcPr>
            <w:tcW w:w="4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8"/>
                <w:szCs w:val="18"/>
                <w:color w:val="auto"/>
              </w:rPr>
              <w:t>Property and equipment, at cost</w:t>
            </w: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9,249</w:t>
            </w: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depreciation</w:t>
            </w:r>
          </w:p>
        </w:tc>
        <w:tc>
          <w:tcPr>
            <w:tcW w:w="4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20" w:type="dxa"/>
            <w:vAlign w:val="bottom"/>
            <w:tcBorders>
              <w:bottom w:val="single" w:sz="8" w:color="0C6DFF"/>
            </w:tcBorders>
          </w:tcPr>
          <w:p>
            <w:pPr>
              <w:spacing w:after="0"/>
              <w:rPr>
                <w:sz w:val="17"/>
                <w:szCs w:val="17"/>
                <w:color w:val="auto"/>
              </w:rPr>
            </w:pPr>
          </w:p>
        </w:tc>
        <w:tc>
          <w:tcPr>
            <w:tcW w:w="100" w:type="dxa"/>
            <w:vAlign w:val="bottom"/>
            <w:tcBorders>
              <w:bottom w:val="single" w:sz="8" w:color="0C6DFF"/>
            </w:tcBorders>
          </w:tcPr>
          <w:p>
            <w:pPr>
              <w:spacing w:after="0"/>
              <w:rPr>
                <w:sz w:val="17"/>
                <w:szCs w:val="17"/>
                <w:color w:val="auto"/>
              </w:rPr>
            </w:pPr>
          </w:p>
        </w:tc>
        <w:tc>
          <w:tcPr>
            <w:tcW w:w="8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$ 7,650</w:t>
            </w: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$ 5,381</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Property and equipment are stated at cost. We capitalize improvements that extend asset lives and expense repairs and maintenance costs as incurred. 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of Real Estate Properties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Real estate acquisitions for 2013 primarily included our purchase from GE of certain properties we occupy at 30 Rockefeller Plaza in New York City and CNBC’s headquarters in Englewood Cliffs, New Jersey. The CNBC property was previously recorded as a capital lease in our consolidated balance sheet. Other acquisitions included our purchase in September 2013 of a business whose primary asset is a property located at 10 Universal City Plaza, which is adjacent to Universal Studios in Hollywood, California. These purchases resulted in increases of $1.7 billion in property and equipment which are included, as applicable, within the captions “buildings and leasehold improvements” and “land” in the table above.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8: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140" w:type="dxa"/>
            <w:vAlign w:val="bottom"/>
          </w:tcPr>
          <w:p>
            <w:pPr>
              <w:jc w:val="right"/>
              <w:ind w:right="56"/>
              <w:spacing w:after="0"/>
              <w:rPr>
                <w:sz w:val="20"/>
                <w:szCs w:val="20"/>
                <w:color w:val="auto"/>
              </w:rPr>
            </w:pPr>
            <w:r>
              <w:rPr>
                <w:rFonts w:ascii="Arial" w:cs="Arial" w:eastAsia="Arial" w:hAnsi="Arial"/>
                <w:sz w:val="14"/>
                <w:szCs w:val="14"/>
                <w:color w:val="auto"/>
              </w:rPr>
              <w:t>Cable</w:t>
            </w: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Broadcast</w:t>
            </w:r>
          </w:p>
        </w:tc>
        <w:tc>
          <w:tcPr>
            <w:tcW w:w="36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Filmed</w:t>
            </w:r>
          </w:p>
        </w:tc>
        <w:tc>
          <w:tcPr>
            <w:tcW w:w="24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color w:val="auto"/>
              </w:rPr>
              <w:t>Theme</w:t>
            </w:r>
          </w:p>
        </w:tc>
        <w:tc>
          <w:tcPr>
            <w:tcW w:w="880" w:type="dxa"/>
            <w:vAlign w:val="bottom"/>
          </w:tcPr>
          <w:p>
            <w:pPr>
              <w:spacing w:after="0"/>
              <w:rPr>
                <w:sz w:val="14"/>
                <w:szCs w:val="14"/>
                <w:color w:val="auto"/>
              </w:rPr>
            </w:pPr>
          </w:p>
        </w:tc>
      </w:tr>
      <w:tr>
        <w:trPr>
          <w:trHeight w:val="149"/>
        </w:trPr>
        <w:tc>
          <w:tcPr>
            <w:tcW w:w="4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Successor (in millions)</w:t>
            </w:r>
          </w:p>
        </w:tc>
        <w:tc>
          <w:tcPr>
            <w:tcW w:w="314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Networks</w:t>
            </w:r>
          </w:p>
        </w:tc>
        <w:tc>
          <w:tcPr>
            <w:tcW w:w="840" w:type="dxa"/>
            <w:vAlign w:val="bottom"/>
            <w:tcBorders>
              <w:bottom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Television</w:t>
            </w:r>
          </w:p>
        </w:tc>
        <w:tc>
          <w:tcPr>
            <w:tcW w:w="1040" w:type="dxa"/>
            <w:vAlign w:val="bottom"/>
            <w:tcBorders>
              <w:bottom w:val="single" w:sz="8" w:color="auto"/>
            </w:tcBorders>
            <w:gridSpan w:val="2"/>
          </w:tcPr>
          <w:p>
            <w:pPr>
              <w:ind w:left="80"/>
              <w:spacing w:after="0" w:line="149" w:lineRule="exact"/>
              <w:rPr>
                <w:sz w:val="20"/>
                <w:szCs w:val="20"/>
                <w:color w:val="auto"/>
              </w:rPr>
            </w:pPr>
            <w:r>
              <w:rPr>
                <w:rFonts w:ascii="Arial" w:cs="Arial" w:eastAsia="Arial" w:hAnsi="Arial"/>
                <w:sz w:val="14"/>
                <w:szCs w:val="14"/>
                <w:color w:val="auto"/>
              </w:rPr>
              <w:t>Entertainment</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6"/>
              <w:spacing w:after="0" w:line="149" w:lineRule="exact"/>
              <w:rPr>
                <w:sz w:val="20"/>
                <w:szCs w:val="20"/>
                <w:color w:val="auto"/>
              </w:rPr>
            </w:pPr>
            <w:r>
              <w:rPr>
                <w:rFonts w:ascii="Arial" w:cs="Arial" w:eastAsia="Arial" w:hAnsi="Arial"/>
                <w:sz w:val="14"/>
                <w:szCs w:val="14"/>
                <w:color w:val="auto"/>
              </w:rPr>
              <w:t>Parks</w:t>
            </w:r>
          </w:p>
        </w:tc>
        <w:tc>
          <w:tcPr>
            <w:tcW w:w="8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Total</w:t>
            </w:r>
          </w:p>
        </w:tc>
      </w:tr>
      <w:tr>
        <w:trPr>
          <w:trHeight w:val="199"/>
        </w:trPr>
        <w:tc>
          <w:tcPr>
            <w:tcW w:w="4660" w:type="dxa"/>
            <w:vAlign w:val="bottom"/>
          </w:tcPr>
          <w:p>
            <w:pPr>
              <w:spacing w:after="0" w:line="200" w:lineRule="exact"/>
              <w:rPr>
                <w:sz w:val="20"/>
                <w:szCs w:val="20"/>
                <w:color w:val="auto"/>
              </w:rPr>
            </w:pPr>
            <w:r>
              <w:rPr>
                <w:rFonts w:ascii="Arial" w:cs="Arial" w:eastAsia="Arial" w:hAnsi="Arial"/>
                <w:sz w:val="18"/>
                <w:szCs w:val="18"/>
                <w:color w:val="auto"/>
              </w:rPr>
              <w:t>Balance, December 31, 2011</w:t>
            </w:r>
          </w:p>
        </w:tc>
        <w:tc>
          <w:tcPr>
            <w:tcW w:w="3140" w:type="dxa"/>
            <w:vAlign w:val="bottom"/>
          </w:tcPr>
          <w:p>
            <w:pPr>
              <w:jc w:val="right"/>
              <w:ind w:right="56"/>
              <w:spacing w:after="0" w:line="200" w:lineRule="exact"/>
              <w:rPr>
                <w:sz w:val="20"/>
                <w:szCs w:val="20"/>
                <w:color w:val="auto"/>
              </w:rPr>
            </w:pPr>
            <w:r>
              <w:rPr>
                <w:rFonts w:ascii="Arial" w:cs="Arial" w:eastAsia="Arial" w:hAnsi="Arial"/>
                <w:sz w:val="18"/>
                <w:szCs w:val="18"/>
                <w:color w:val="auto"/>
              </w:rPr>
              <w:t>$ 12,744</w:t>
            </w:r>
          </w:p>
        </w:tc>
        <w:tc>
          <w:tcPr>
            <w:tcW w:w="30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line="200" w:lineRule="exact"/>
              <w:rPr>
                <w:sz w:val="20"/>
                <w:szCs w:val="20"/>
                <w:color w:val="auto"/>
              </w:rPr>
            </w:pPr>
            <w:r>
              <w:rPr>
                <w:rFonts w:ascii="Arial" w:cs="Arial" w:eastAsia="Arial" w:hAnsi="Arial"/>
                <w:sz w:val="18"/>
                <w:szCs w:val="18"/>
                <w:color w:val="auto"/>
              </w:rPr>
              <w:t>772</w:t>
            </w:r>
          </w:p>
        </w:tc>
        <w:tc>
          <w:tcPr>
            <w:tcW w:w="360" w:type="dxa"/>
            <w:vAlign w:val="bottom"/>
          </w:tcPr>
          <w:p>
            <w:pPr>
              <w:ind w:left="8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0" w:lineRule="exact"/>
              <w:rPr>
                <w:sz w:val="20"/>
                <w:szCs w:val="20"/>
                <w:color w:val="auto"/>
              </w:rPr>
            </w:pPr>
            <w:r>
              <w:rPr>
                <w:rFonts w:ascii="Arial" w:cs="Arial" w:eastAsia="Arial" w:hAnsi="Arial"/>
                <w:sz w:val="18"/>
                <w:szCs w:val="18"/>
                <w:color w:val="auto"/>
              </w:rPr>
              <w:t>1</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line="200" w:lineRule="exact"/>
              <w:rPr>
                <w:sz w:val="20"/>
                <w:szCs w:val="20"/>
                <w:color w:val="auto"/>
              </w:rPr>
            </w:pPr>
            <w:r>
              <w:rPr>
                <w:rFonts w:ascii="Arial" w:cs="Arial" w:eastAsia="Arial" w:hAnsi="Arial"/>
                <w:sz w:val="18"/>
                <w:szCs w:val="18"/>
                <w:color w:val="auto"/>
              </w:rPr>
              <w:t>1,140</w:t>
            </w:r>
          </w:p>
        </w:tc>
        <w:tc>
          <w:tcPr>
            <w:tcW w:w="880" w:type="dxa"/>
            <w:vAlign w:val="bottom"/>
          </w:tcPr>
          <w:p>
            <w:pPr>
              <w:jc w:val="right"/>
              <w:ind w:right="14"/>
              <w:spacing w:after="0" w:line="200" w:lineRule="exact"/>
              <w:rPr>
                <w:sz w:val="20"/>
                <w:szCs w:val="20"/>
                <w:color w:val="auto"/>
              </w:rPr>
            </w:pPr>
            <w:r>
              <w:rPr>
                <w:rFonts w:ascii="Arial" w:cs="Arial" w:eastAsia="Arial" w:hAnsi="Arial"/>
                <w:sz w:val="18"/>
                <w:szCs w:val="18"/>
                <w:color w:val="auto"/>
              </w:rPr>
              <w:t>$ 14,657</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MSNBC.com</w:t>
            </w:r>
          </w:p>
        </w:tc>
        <w:tc>
          <w:tcPr>
            <w:tcW w:w="3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227</w:t>
            </w:r>
          </w:p>
        </w:tc>
        <w:tc>
          <w:tcPr>
            <w:tcW w:w="3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227</w:t>
            </w: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3140" w:type="dxa"/>
            <w:vAlign w:val="bottom"/>
          </w:tcPr>
          <w:p>
            <w:pPr>
              <w:jc w:val="right"/>
              <w:ind w:right="56"/>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w:t>
            </w:r>
          </w:p>
        </w:tc>
      </w:tr>
      <w:tr>
        <w:trPr>
          <w:trHeight w:val="199"/>
        </w:trPr>
        <w:tc>
          <w:tcPr>
            <w:tcW w:w="46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Adjustments</w:t>
            </w:r>
            <w:r>
              <w:rPr>
                <w:rFonts w:ascii="Arial" w:cs="Arial" w:eastAsia="Arial" w:hAnsi="Arial"/>
                <w:sz w:val="22"/>
                <w:szCs w:val="22"/>
                <w:color w:val="auto"/>
                <w:vertAlign w:val="superscript"/>
              </w:rPr>
              <w:t>(a)</w:t>
            </w:r>
          </w:p>
        </w:tc>
        <w:tc>
          <w:tcPr>
            <w:tcW w:w="3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(158)</w:t>
            </w: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(193)</w:t>
            </w:r>
          </w:p>
        </w:tc>
      </w:tr>
      <w:tr>
        <w:trPr>
          <w:trHeight w:val="177"/>
        </w:trPr>
        <w:tc>
          <w:tcPr>
            <w:tcW w:w="4660" w:type="dxa"/>
            <w:vAlign w:val="bottom"/>
          </w:tcPr>
          <w:p>
            <w:pPr>
              <w:spacing w:after="0" w:line="177" w:lineRule="exact"/>
              <w:rPr>
                <w:sz w:val="20"/>
                <w:szCs w:val="20"/>
                <w:color w:val="auto"/>
              </w:rPr>
            </w:pPr>
            <w:r>
              <w:rPr>
                <w:rFonts w:ascii="Arial" w:cs="Arial" w:eastAsia="Arial" w:hAnsi="Arial"/>
                <w:sz w:val="18"/>
                <w:szCs w:val="18"/>
                <w:color w:val="auto"/>
              </w:rPr>
              <w:t>Balance, December 31, 2012</w:t>
            </w:r>
          </w:p>
        </w:tc>
        <w:tc>
          <w:tcPr>
            <w:tcW w:w="3140" w:type="dxa"/>
            <w:vAlign w:val="bottom"/>
          </w:tcPr>
          <w:p>
            <w:pPr>
              <w:jc w:val="right"/>
              <w:ind w:right="56"/>
              <w:spacing w:after="0" w:line="177" w:lineRule="exact"/>
              <w:rPr>
                <w:sz w:val="20"/>
                <w:szCs w:val="20"/>
                <w:color w:val="auto"/>
              </w:rPr>
            </w:pPr>
            <w:r>
              <w:rPr>
                <w:rFonts w:ascii="Arial" w:cs="Arial" w:eastAsia="Arial" w:hAnsi="Arial"/>
                <w:sz w:val="18"/>
                <w:szCs w:val="18"/>
                <w:color w:val="auto"/>
              </w:rPr>
              <w:t>13,026</w:t>
            </w:r>
          </w:p>
        </w:tc>
        <w:tc>
          <w:tcPr>
            <w:tcW w:w="300" w:type="dxa"/>
            <w:vAlign w:val="bottom"/>
          </w:tcPr>
          <w:p>
            <w:pPr>
              <w:spacing w:after="0"/>
              <w:rPr>
                <w:sz w:val="15"/>
                <w:szCs w:val="15"/>
                <w:color w:val="auto"/>
              </w:rPr>
            </w:pPr>
          </w:p>
        </w:tc>
        <w:tc>
          <w:tcPr>
            <w:tcW w:w="540" w:type="dxa"/>
            <w:vAlign w:val="bottom"/>
          </w:tcPr>
          <w:p>
            <w:pPr>
              <w:jc w:val="right"/>
              <w:ind w:right="52"/>
              <w:spacing w:after="0" w:line="177" w:lineRule="exact"/>
              <w:rPr>
                <w:sz w:val="20"/>
                <w:szCs w:val="20"/>
                <w:color w:val="auto"/>
              </w:rPr>
            </w:pPr>
            <w:r>
              <w:rPr>
                <w:rFonts w:ascii="Arial" w:cs="Arial" w:eastAsia="Arial" w:hAnsi="Arial"/>
                <w:sz w:val="18"/>
                <w:szCs w:val="18"/>
                <w:color w:val="auto"/>
              </w:rPr>
              <w:t>761</w:t>
            </w:r>
          </w:p>
        </w:tc>
        <w:tc>
          <w:tcPr>
            <w:tcW w:w="360" w:type="dxa"/>
            <w:vAlign w:val="bottom"/>
          </w:tcPr>
          <w:p>
            <w:pPr>
              <w:spacing w:after="0"/>
              <w:rPr>
                <w:sz w:val="15"/>
                <w:szCs w:val="15"/>
                <w:color w:val="auto"/>
              </w:rPr>
            </w:pPr>
          </w:p>
        </w:tc>
        <w:tc>
          <w:tcPr>
            <w:tcW w:w="680" w:type="dxa"/>
            <w:vAlign w:val="bottom"/>
          </w:tcPr>
          <w:p>
            <w:pPr>
              <w:jc w:val="right"/>
              <w:ind w:right="34"/>
              <w:spacing w:after="0" w:line="177"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620" w:type="dxa"/>
            <w:vAlign w:val="bottom"/>
          </w:tcPr>
          <w:p>
            <w:pPr>
              <w:jc w:val="right"/>
              <w:ind w:right="56"/>
              <w:spacing w:after="0" w:line="177" w:lineRule="exact"/>
              <w:rPr>
                <w:sz w:val="20"/>
                <w:szCs w:val="20"/>
                <w:color w:val="auto"/>
              </w:rPr>
            </w:pPr>
            <w:r>
              <w:rPr>
                <w:rFonts w:ascii="Arial" w:cs="Arial" w:eastAsia="Arial" w:hAnsi="Arial"/>
                <w:sz w:val="18"/>
                <w:szCs w:val="18"/>
                <w:color w:val="auto"/>
              </w:rPr>
              <w:t>982</w:t>
            </w:r>
          </w:p>
        </w:tc>
        <w:tc>
          <w:tcPr>
            <w:tcW w:w="880" w:type="dxa"/>
            <w:vAlign w:val="bottom"/>
          </w:tcPr>
          <w:p>
            <w:pPr>
              <w:jc w:val="right"/>
              <w:ind w:right="14"/>
              <w:spacing w:after="0" w:line="177" w:lineRule="exact"/>
              <w:rPr>
                <w:sz w:val="20"/>
                <w:szCs w:val="20"/>
                <w:color w:val="auto"/>
              </w:rPr>
            </w:pPr>
            <w:r>
              <w:rPr>
                <w:rFonts w:ascii="Arial" w:cs="Arial" w:eastAsia="Arial" w:hAnsi="Arial"/>
                <w:sz w:val="18"/>
                <w:szCs w:val="18"/>
                <w:color w:val="auto"/>
              </w:rPr>
              <w:t>14,770</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b w:val="1"/>
                <w:bCs w:val="1"/>
                <w:color w:val="auto"/>
              </w:rPr>
              <w:t>Acquisitions</w:t>
            </w:r>
          </w:p>
        </w:tc>
        <w:tc>
          <w:tcPr>
            <w:tcW w:w="314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42</w:t>
            </w:r>
          </w:p>
        </w:tc>
      </w:tr>
      <w:tr>
        <w:trPr>
          <w:trHeight w:val="221"/>
        </w:trPr>
        <w:tc>
          <w:tcPr>
            <w:tcW w:w="466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b w:val="1"/>
                <w:bCs w:val="1"/>
                <w:color w:val="auto"/>
              </w:rPr>
              <w:t>Adjustments</w:t>
            </w:r>
            <w:r>
              <w:rPr>
                <w:rFonts w:ascii="Arial" w:cs="Arial" w:eastAsia="Arial" w:hAnsi="Arial"/>
                <w:sz w:val="22"/>
                <w:szCs w:val="22"/>
                <w:b w:val="1"/>
                <w:bCs w:val="1"/>
                <w:color w:val="auto"/>
                <w:vertAlign w:val="superscript"/>
              </w:rPr>
              <w:t>(a)</w:t>
            </w:r>
          </w:p>
        </w:tc>
        <w:tc>
          <w:tcPr>
            <w:tcW w:w="31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65</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70</w:t>
            </w:r>
          </w:p>
        </w:tc>
      </w:tr>
      <w:tr>
        <w:trPr>
          <w:trHeight w:val="196"/>
        </w:trPr>
        <w:tc>
          <w:tcPr>
            <w:tcW w:w="46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314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$ 13,130</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0C6DFF"/>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769</w:t>
            </w:r>
          </w:p>
        </w:tc>
        <w:tc>
          <w:tcPr>
            <w:tcW w:w="3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b w:val="1"/>
                <w:bCs w:val="1"/>
                <w:color w:val="auto"/>
              </w:rPr>
              <w:t>982</w:t>
            </w:r>
          </w:p>
        </w:tc>
        <w:tc>
          <w:tcPr>
            <w:tcW w:w="880" w:type="dxa"/>
            <w:vAlign w:val="bottom"/>
            <w:tcBorders>
              <w:bottom w:val="single" w:sz="8" w:color="0C6DFF"/>
            </w:tcBorders>
          </w:tcPr>
          <w:p>
            <w:pPr>
              <w:jc w:val="right"/>
              <w:ind w:right="14"/>
              <w:spacing w:after="0" w:line="196" w:lineRule="exact"/>
              <w:rPr>
                <w:sz w:val="20"/>
                <w:szCs w:val="20"/>
                <w:color w:val="auto"/>
              </w:rPr>
            </w:pPr>
            <w:r>
              <w:rPr>
                <w:rFonts w:ascii="Arial" w:cs="Arial" w:eastAsia="Arial" w:hAnsi="Arial"/>
                <w:sz w:val="18"/>
                <w:szCs w:val="18"/>
                <w:b w:val="1"/>
                <w:bCs w:val="1"/>
                <w:color w:val="auto"/>
              </w:rPr>
              <w:t>$ 14,882</w:t>
            </w:r>
          </w:p>
        </w:tc>
      </w:tr>
    </w:tbl>
    <w:p>
      <w:pPr>
        <w:spacing w:after="0" w:line="67" w:lineRule="exact"/>
        <w:rPr>
          <w:sz w:val="20"/>
          <w:szCs w:val="20"/>
          <w:color w:val="auto"/>
        </w:rPr>
      </w:pPr>
    </w:p>
    <w:p>
      <w:pPr>
        <w:ind w:left="300" w:right="20" w:hanging="292"/>
        <w:spacing w:after="0" w:line="231" w:lineRule="auto"/>
        <w:tabs>
          <w:tab w:leader="none" w:pos="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Adjustments to goodwill in 2013 were primarily related to an immaterial correction to the allocation of purchase price associated with the Joint Venture transaction. Adjustments to goodwill in 2012 were primarily related to the adjustments to the allocation of purchase price associated with the Universal Orlando transaction in 2011.</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assess the recoverability of our goodwill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As a result of this assessment, our reporting units are the same as our four reportable segments.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if the carrying amount of a reporting unit exceeds its fair value, in which case an impairment charge is recorded to the extent the carrying amount of the reporting unit’s goodwill exceeds its implied fair value. Unless presented separately, the impairment charge is included as a component of amortization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Successor</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3560" w:type="dxa"/>
            <w:vAlign w:val="bottom"/>
            <w:vMerge w:val="restart"/>
          </w:tcPr>
          <w:p>
            <w:pPr>
              <w:jc w:val="right"/>
              <w:ind w:right="144"/>
              <w:spacing w:after="0"/>
              <w:rPr>
                <w:sz w:val="20"/>
                <w:szCs w:val="20"/>
                <w:color w:val="auto"/>
              </w:rPr>
            </w:pPr>
            <w:r>
              <w:rPr>
                <w:rFonts w:ascii="Arial" w:cs="Arial" w:eastAsia="Arial" w:hAnsi="Arial"/>
                <w:sz w:val="14"/>
                <w:szCs w:val="14"/>
                <w:color w:val="auto"/>
              </w:rPr>
              <w:t>Weighted-Average</w:t>
            </w:r>
          </w:p>
        </w:tc>
        <w:tc>
          <w:tcPr>
            <w:tcW w:w="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8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2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4"/>
                <w:szCs w:val="14"/>
                <w:color w:val="auto"/>
              </w:rPr>
              <w:t>Gross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3560" w:type="dxa"/>
            <w:vAlign w:val="bottom"/>
          </w:tcPr>
          <w:p>
            <w:pPr>
              <w:jc w:val="right"/>
              <w:ind w:right="144"/>
              <w:spacing w:after="0" w:line="149" w:lineRule="exact"/>
              <w:rPr>
                <w:sz w:val="20"/>
                <w:szCs w:val="20"/>
                <w:color w:val="auto"/>
              </w:rPr>
            </w:pPr>
            <w:r>
              <w:rPr>
                <w:rFonts w:ascii="Arial" w:cs="Arial" w:eastAsia="Arial" w:hAnsi="Arial"/>
                <w:sz w:val="14"/>
                <w:szCs w:val="14"/>
                <w:color w:val="auto"/>
              </w:rPr>
              <w:t>Original Useful Life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Carrying</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5"/>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(in millions)</w:t>
            </w:r>
          </w:p>
        </w:tc>
        <w:tc>
          <w:tcPr>
            <w:tcW w:w="35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color w:val="auto"/>
              </w:rPr>
              <w:t>as of December 31, 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Amortization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9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99"/>
        </w:trPr>
        <w:tc>
          <w:tcPr>
            <w:tcW w:w="4120" w:type="dxa"/>
            <w:vAlign w:val="bottom"/>
          </w:tcPr>
          <w:p>
            <w:pPr>
              <w:spacing w:after="0" w:line="200" w:lineRule="exact"/>
              <w:rPr>
                <w:sz w:val="20"/>
                <w:szCs w:val="20"/>
                <w:color w:val="auto"/>
              </w:rPr>
            </w:pPr>
            <w:r>
              <w:rPr>
                <w:rFonts w:ascii="Arial" w:cs="Arial" w:eastAsia="Arial" w:hAnsi="Arial"/>
                <w:sz w:val="18"/>
                <w:szCs w:val="18"/>
                <w:color w:val="auto"/>
              </w:rPr>
              <w:t>Finite-Lived Intangible Assets:</w:t>
            </w:r>
          </w:p>
        </w:tc>
        <w:tc>
          <w:tcPr>
            <w:tcW w:w="35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$ 13,086</w:t>
            </w:r>
          </w:p>
        </w:tc>
        <w:tc>
          <w:tcPr>
            <w:tcW w:w="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(2,982)</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220"/>
              <w:spacing w:after="0" w:line="181" w:lineRule="exact"/>
              <w:rPr>
                <w:sz w:val="20"/>
                <w:szCs w:val="20"/>
                <w:color w:val="auto"/>
              </w:rPr>
            </w:pPr>
            <w:r>
              <w:rPr>
                <w:rFonts w:ascii="Arial" w:cs="Arial" w:eastAsia="Arial" w:hAnsi="Arial"/>
                <w:sz w:val="18"/>
                <w:szCs w:val="18"/>
                <w:color w:val="auto"/>
              </w:rPr>
              <w:t>Customer relationships</w:t>
            </w:r>
          </w:p>
        </w:tc>
        <w:tc>
          <w:tcPr>
            <w:tcW w:w="3560" w:type="dxa"/>
            <w:vAlign w:val="bottom"/>
          </w:tcPr>
          <w:p>
            <w:pPr>
              <w:jc w:val="right"/>
              <w:ind w:right="144"/>
              <w:spacing w:after="0" w:line="181" w:lineRule="exact"/>
              <w:rPr>
                <w:sz w:val="20"/>
                <w:szCs w:val="20"/>
                <w:color w:val="auto"/>
              </w:rPr>
            </w:pPr>
            <w:r>
              <w:rPr>
                <w:rFonts w:ascii="Arial" w:cs="Arial" w:eastAsia="Arial" w:hAnsi="Arial"/>
                <w:sz w:val="18"/>
                <w:szCs w:val="18"/>
                <w:color w:val="auto"/>
              </w:rPr>
              <w:t>19 years</w:t>
            </w:r>
          </w:p>
        </w:tc>
        <w:tc>
          <w:tcPr>
            <w:tcW w:w="8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$ 13,026</w:t>
            </w:r>
          </w:p>
        </w:tc>
        <w:tc>
          <w:tcPr>
            <w:tcW w:w="2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1" w:lineRule="exact"/>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03"/>
        </w:trPr>
        <w:tc>
          <w:tcPr>
            <w:tcW w:w="4120" w:type="dxa"/>
            <w:vAlign w:val="bottom"/>
          </w:tcPr>
          <w:p>
            <w:pPr>
              <w:ind w:left="220"/>
              <w:spacing w:after="0" w:line="202" w:lineRule="exact"/>
              <w:rPr>
                <w:sz w:val="20"/>
                <w:szCs w:val="20"/>
                <w:color w:val="auto"/>
              </w:rPr>
            </w:pPr>
            <w:r>
              <w:rPr>
                <w:rFonts w:ascii="Arial" w:cs="Arial" w:eastAsia="Arial" w:hAnsi="Arial"/>
                <w:sz w:val="18"/>
                <w:szCs w:val="18"/>
                <w:color w:val="auto"/>
              </w:rPr>
              <w:t>Software</w:t>
            </w:r>
          </w:p>
        </w:tc>
        <w:tc>
          <w:tcPr>
            <w:tcW w:w="3560" w:type="dxa"/>
            <w:vAlign w:val="bottom"/>
          </w:tcPr>
          <w:p>
            <w:pPr>
              <w:jc w:val="right"/>
              <w:ind w:right="144"/>
              <w:spacing w:after="0" w:line="202" w:lineRule="exact"/>
              <w:rPr>
                <w:sz w:val="20"/>
                <w:szCs w:val="20"/>
                <w:color w:val="auto"/>
              </w:rPr>
            </w:pPr>
            <w:r>
              <w:rPr>
                <w:rFonts w:ascii="Arial" w:cs="Arial" w:eastAsia="Arial" w:hAnsi="Arial"/>
                <w:sz w:val="18"/>
                <w:szCs w:val="18"/>
                <w:color w:val="auto"/>
              </w:rPr>
              <w:t>5 years</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522</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(240)</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409</w:t>
            </w: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5"/>
        </w:trPr>
        <w:tc>
          <w:tcPr>
            <w:tcW w:w="4120" w:type="dxa"/>
            <w:vAlign w:val="bottom"/>
          </w:tcPr>
          <w:p>
            <w:pPr>
              <w:ind w:left="220"/>
              <w:spacing w:after="0"/>
              <w:rPr>
                <w:sz w:val="20"/>
                <w:szCs w:val="20"/>
                <w:color w:val="auto"/>
              </w:rPr>
            </w:pPr>
            <w:r>
              <w:rPr>
                <w:rFonts w:ascii="Arial" w:cs="Arial" w:eastAsia="Arial" w:hAnsi="Arial"/>
                <w:sz w:val="18"/>
                <w:szCs w:val="18"/>
                <w:color w:val="auto"/>
              </w:rPr>
              <w:t>Other</w:t>
            </w:r>
          </w:p>
        </w:tc>
        <w:tc>
          <w:tcPr>
            <w:tcW w:w="3560" w:type="dxa"/>
            <w:vAlign w:val="bottom"/>
          </w:tcPr>
          <w:p>
            <w:pPr>
              <w:jc w:val="right"/>
              <w:ind w:right="144"/>
              <w:spacing w:after="0"/>
              <w:rPr>
                <w:sz w:val="20"/>
                <w:szCs w:val="20"/>
                <w:color w:val="auto"/>
              </w:rPr>
            </w:pPr>
            <w:r>
              <w:rPr>
                <w:rFonts w:ascii="Arial" w:cs="Arial" w:eastAsia="Arial" w:hAnsi="Arial"/>
                <w:sz w:val="18"/>
                <w:szCs w:val="18"/>
                <w:color w:val="auto"/>
              </w:rPr>
              <w:t>21 years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1,511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860" w:type="dxa"/>
            <w:vAlign w:val="bottom"/>
          </w:tcPr>
          <w:p>
            <w:pPr>
              <w:jc w:val="right"/>
              <w:spacing w:after="0"/>
              <w:rPr>
                <w:sz w:val="20"/>
                <w:szCs w:val="20"/>
                <w:color w:val="auto"/>
              </w:rPr>
            </w:pPr>
            <w:r>
              <w:rPr>
                <w:rFonts w:ascii="Arial" w:cs="Arial" w:eastAsia="Arial" w:hAnsi="Arial"/>
                <w:sz w:val="18"/>
                <w:szCs w:val="18"/>
                <w:color w:val="auto"/>
              </w:rPr>
              <w:t>1,507</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35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3,089</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120" w:type="dxa"/>
            <w:vAlign w:val="bottom"/>
          </w:tcPr>
          <w:p>
            <w:pPr>
              <w:ind w:left="220"/>
              <w:spacing w:after="0" w:line="181" w:lineRule="exact"/>
              <w:rPr>
                <w:sz w:val="20"/>
                <w:szCs w:val="20"/>
                <w:color w:val="auto"/>
              </w:rPr>
            </w:pPr>
            <w:r>
              <w:rPr>
                <w:rFonts w:ascii="Arial" w:cs="Arial" w:eastAsia="Arial" w:hAnsi="Arial"/>
                <w:sz w:val="18"/>
                <w:szCs w:val="18"/>
                <w:color w:val="auto"/>
              </w:rPr>
              <w:t>Trade names</w:t>
            </w:r>
          </w:p>
        </w:tc>
        <w:tc>
          <w:tcPr>
            <w:tcW w:w="35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3,080</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FCC licenses</w:t>
            </w:r>
          </w:p>
        </w:tc>
        <w:tc>
          <w:tcPr>
            <w:tcW w:w="3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3560" w:type="dxa"/>
            <w:vAlign w:val="bottom"/>
            <w:tcBorders>
              <w:bottom w:val="single" w:sz="8" w:color="0C6DFF"/>
            </w:tcBorders>
          </w:tcPr>
          <w:p>
            <w:pPr>
              <w:spacing w:after="0"/>
              <w:rPr>
                <w:sz w:val="17"/>
                <w:szCs w:val="17"/>
                <w:color w:val="auto"/>
              </w:rPr>
            </w:pP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$ 18,860</w:t>
            </w:r>
          </w:p>
        </w:tc>
        <w:tc>
          <w:tcPr>
            <w:tcW w:w="300" w:type="dxa"/>
            <w:vAlign w:val="bottom"/>
            <w:tcBorders>
              <w:bottom w:val="single" w:sz="8" w:color="0C6DFF"/>
            </w:tcBorders>
          </w:tcPr>
          <w:p>
            <w:pPr>
              <w:ind w:left="14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(4,003)</w:t>
            </w:r>
          </w:p>
        </w:tc>
        <w:tc>
          <w:tcPr>
            <w:tcW w:w="8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$ 18,658</w:t>
            </w:r>
          </w:p>
        </w:tc>
        <w:tc>
          <w:tcPr>
            <w:tcW w:w="26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506"/>
        </w:trPr>
        <w:tc>
          <w:tcPr>
            <w:tcW w:w="4120" w:type="dxa"/>
            <w:vAlign w:val="bottom"/>
          </w:tcPr>
          <w:p>
            <w:pPr>
              <w:spacing w:after="0"/>
              <w:rPr>
                <w:sz w:val="24"/>
                <w:szCs w:val="24"/>
                <w:color w:val="auto"/>
              </w:rPr>
            </w:pPr>
          </w:p>
        </w:tc>
        <w:tc>
          <w:tcPr>
            <w:tcW w:w="3560" w:type="dxa"/>
            <w:vAlign w:val="bottom"/>
          </w:tcPr>
          <w:p>
            <w:pPr>
              <w:jc w:val="right"/>
              <w:ind w:right="1784"/>
              <w:spacing w:after="0"/>
              <w:rPr>
                <w:sz w:val="20"/>
                <w:szCs w:val="20"/>
                <w:color w:val="auto"/>
              </w:rPr>
            </w:pPr>
            <w:r>
              <w:rPr>
                <w:rFonts w:ascii="Arial" w:cs="Arial" w:eastAsia="Arial" w:hAnsi="Arial"/>
                <w:sz w:val="14"/>
                <w:szCs w:val="14"/>
                <w:b w:val="1"/>
                <w:bCs w:val="1"/>
                <w:color w:val="auto"/>
              </w:rPr>
              <w:t>161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color w:val="auto"/>
                <w:w w:val="95"/>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0C6DFF"/>
        </w:rPr>
        <w:t>Indefinite-Lived Intangible Assets</w:t>
      </w:r>
    </w:p>
    <w:p>
      <w:pPr>
        <w:jc w:val="both"/>
        <w:spacing w:after="0" w:line="235" w:lineRule="auto"/>
        <w:rPr>
          <w:sz w:val="20"/>
          <w:szCs w:val="20"/>
          <w:color w:val="auto"/>
        </w:rPr>
      </w:pPr>
      <w:r>
        <w:rPr>
          <w:rFonts w:ascii="Arial" w:cs="Arial" w:eastAsia="Arial" w:hAnsi="Arial"/>
          <w:sz w:val="18"/>
          <w:szCs w:val="18"/>
          <w:color w:val="auto"/>
        </w:rPr>
        <w:t>Indefinite-lived intangible assets consist of trade names and FCC licenses. We assess the recoverability of our indefinite-lived intangible assets annually, or more frequently whenever events or substantive changes in circumstances indicate that the assets might be impaired. We evaluate the unit of account used to test for impairment of our indefinite-lived intangible assets periodically or whenever events or substantive changes in circumstances occur to ensure impairment testing is performed at an appropriate level. The assessment of recoverability may first consider qualitative factors to determine whether it is more likely than not that the fair value of an indefinite-lived intangible asset is less than its carrying amount. A quantitative assessment is performed if the qualitative assessment results in a more-likely-than-not determination or if a qualitative assessment is not performed. When performing a quantitative assessment, we estimate the fair value of our indefinite-lived intangible assets primarily based on a discounted cash flow analysis that involves significant judgment. When analyzing the fair values indicated under the discounted cash flow models, we also consider multiples of operating income before depreciation and amortization generated by the underlying assets, current market transactions, and profitability information. If the fair value of our indefinite-lived intangible assets were less than the carrying amount, we would recognize an impairment charge for the difference between the estimated fair value and the carrying value of the assets. Unless presented separately, the impairment charge is included as a component of amortization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Finite-Lived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Estimated Amortization Expense of Finite-Lived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99"/>
        </w:trPr>
        <w:tc>
          <w:tcPr>
            <w:tcW w:w="5660" w:type="dxa"/>
            <w:vAlign w:val="bottom"/>
            <w:tcBorders>
              <w:top w:val="single" w:sz="8" w:color="auto"/>
            </w:tcBorders>
          </w:tcPr>
          <w:p>
            <w:pPr>
              <w:jc w:val="right"/>
              <w:ind w:right="5172"/>
              <w:spacing w:after="0" w:line="200" w:lineRule="exact"/>
              <w:rPr>
                <w:sz w:val="20"/>
                <w:szCs w:val="20"/>
                <w:color w:val="auto"/>
              </w:rPr>
            </w:pPr>
            <w:r>
              <w:rPr>
                <w:rFonts w:ascii="Arial" w:cs="Arial" w:eastAsia="Arial" w:hAnsi="Arial"/>
                <w:sz w:val="18"/>
                <w:szCs w:val="18"/>
                <w:color w:val="auto"/>
                <w:w w:val="94"/>
              </w:rPr>
              <w:t>2014</w:t>
            </w:r>
          </w:p>
        </w:tc>
        <w:tc>
          <w:tcPr>
            <w:tcW w:w="57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$ 771</w:t>
            </w:r>
          </w:p>
        </w:tc>
      </w:tr>
      <w:tr>
        <w:trPr>
          <w:trHeight w:val="203"/>
        </w:trPr>
        <w:tc>
          <w:tcPr>
            <w:tcW w:w="5660" w:type="dxa"/>
            <w:vAlign w:val="bottom"/>
          </w:tcPr>
          <w:p>
            <w:pPr>
              <w:jc w:val="right"/>
              <w:ind w:right="5172"/>
              <w:spacing w:after="0" w:line="202" w:lineRule="exact"/>
              <w:rPr>
                <w:sz w:val="20"/>
                <w:szCs w:val="20"/>
                <w:color w:val="auto"/>
              </w:rPr>
            </w:pPr>
            <w:r>
              <w:rPr>
                <w:rFonts w:ascii="Arial" w:cs="Arial" w:eastAsia="Arial" w:hAnsi="Arial"/>
                <w:sz w:val="18"/>
                <w:szCs w:val="18"/>
                <w:color w:val="auto"/>
                <w:w w:val="94"/>
              </w:rPr>
              <w:t>2015</w:t>
            </w:r>
          </w:p>
        </w:tc>
        <w:tc>
          <w:tcPr>
            <w:tcW w:w="5760" w:type="dxa"/>
            <w:vAlign w:val="bottom"/>
          </w:tcPr>
          <w:p>
            <w:pPr>
              <w:jc w:val="right"/>
              <w:spacing w:after="0" w:line="202" w:lineRule="exact"/>
              <w:rPr>
                <w:sz w:val="20"/>
                <w:szCs w:val="20"/>
                <w:color w:val="auto"/>
              </w:rPr>
            </w:pPr>
            <w:r>
              <w:rPr>
                <w:rFonts w:ascii="Arial" w:cs="Arial" w:eastAsia="Arial" w:hAnsi="Arial"/>
                <w:sz w:val="18"/>
                <w:szCs w:val="18"/>
                <w:color w:val="auto"/>
              </w:rPr>
              <w:t>$ 762</w:t>
            </w:r>
          </w:p>
        </w:tc>
      </w:tr>
      <w:tr>
        <w:trPr>
          <w:trHeight w:val="203"/>
        </w:trPr>
        <w:tc>
          <w:tcPr>
            <w:tcW w:w="5660" w:type="dxa"/>
            <w:vAlign w:val="bottom"/>
          </w:tcPr>
          <w:p>
            <w:pPr>
              <w:jc w:val="right"/>
              <w:ind w:right="5172"/>
              <w:spacing w:after="0" w:line="202" w:lineRule="exact"/>
              <w:rPr>
                <w:sz w:val="20"/>
                <w:szCs w:val="20"/>
                <w:color w:val="auto"/>
              </w:rPr>
            </w:pPr>
            <w:r>
              <w:rPr>
                <w:rFonts w:ascii="Arial" w:cs="Arial" w:eastAsia="Arial" w:hAnsi="Arial"/>
                <w:sz w:val="18"/>
                <w:szCs w:val="18"/>
                <w:color w:val="auto"/>
                <w:w w:val="94"/>
              </w:rPr>
              <w:t>2016</w:t>
            </w:r>
          </w:p>
        </w:tc>
        <w:tc>
          <w:tcPr>
            <w:tcW w:w="5760" w:type="dxa"/>
            <w:vAlign w:val="bottom"/>
          </w:tcPr>
          <w:p>
            <w:pPr>
              <w:jc w:val="right"/>
              <w:spacing w:after="0" w:line="202" w:lineRule="exact"/>
              <w:rPr>
                <w:sz w:val="20"/>
                <w:szCs w:val="20"/>
                <w:color w:val="auto"/>
              </w:rPr>
            </w:pPr>
            <w:r>
              <w:rPr>
                <w:rFonts w:ascii="Arial" w:cs="Arial" w:eastAsia="Arial" w:hAnsi="Arial"/>
                <w:sz w:val="18"/>
                <w:szCs w:val="18"/>
                <w:color w:val="auto"/>
              </w:rPr>
              <w:t>$ 739</w:t>
            </w:r>
          </w:p>
        </w:tc>
      </w:tr>
      <w:tr>
        <w:trPr>
          <w:trHeight w:val="203"/>
        </w:trPr>
        <w:tc>
          <w:tcPr>
            <w:tcW w:w="5660" w:type="dxa"/>
            <w:vAlign w:val="bottom"/>
          </w:tcPr>
          <w:p>
            <w:pPr>
              <w:jc w:val="right"/>
              <w:ind w:right="5172"/>
              <w:spacing w:after="0" w:line="202" w:lineRule="exact"/>
              <w:rPr>
                <w:sz w:val="20"/>
                <w:szCs w:val="20"/>
                <w:color w:val="auto"/>
              </w:rPr>
            </w:pPr>
            <w:r>
              <w:rPr>
                <w:rFonts w:ascii="Arial" w:cs="Arial" w:eastAsia="Arial" w:hAnsi="Arial"/>
                <w:sz w:val="18"/>
                <w:szCs w:val="18"/>
                <w:color w:val="auto"/>
                <w:w w:val="94"/>
              </w:rPr>
              <w:t>2017</w:t>
            </w:r>
          </w:p>
        </w:tc>
        <w:tc>
          <w:tcPr>
            <w:tcW w:w="5760" w:type="dxa"/>
            <w:vAlign w:val="bottom"/>
          </w:tcPr>
          <w:p>
            <w:pPr>
              <w:jc w:val="right"/>
              <w:spacing w:after="0" w:line="202" w:lineRule="exact"/>
              <w:rPr>
                <w:sz w:val="20"/>
                <w:szCs w:val="20"/>
                <w:color w:val="auto"/>
              </w:rPr>
            </w:pPr>
            <w:r>
              <w:rPr>
                <w:rFonts w:ascii="Arial" w:cs="Arial" w:eastAsia="Arial" w:hAnsi="Arial"/>
                <w:sz w:val="18"/>
                <w:szCs w:val="18"/>
                <w:color w:val="auto"/>
              </w:rPr>
              <w:t>$ 740</w:t>
            </w:r>
          </w:p>
        </w:tc>
      </w:tr>
      <w:tr>
        <w:trPr>
          <w:trHeight w:val="199"/>
        </w:trPr>
        <w:tc>
          <w:tcPr>
            <w:tcW w:w="5660" w:type="dxa"/>
            <w:vAlign w:val="bottom"/>
            <w:tcBorders>
              <w:bottom w:val="single" w:sz="8" w:color="auto"/>
            </w:tcBorders>
          </w:tcPr>
          <w:p>
            <w:pPr>
              <w:jc w:val="right"/>
              <w:ind w:right="5172"/>
              <w:spacing w:after="0" w:line="200" w:lineRule="exact"/>
              <w:rPr>
                <w:sz w:val="20"/>
                <w:szCs w:val="20"/>
                <w:color w:val="auto"/>
              </w:rPr>
            </w:pPr>
            <w:r>
              <w:rPr>
                <w:rFonts w:ascii="Arial" w:cs="Arial" w:eastAsia="Arial" w:hAnsi="Arial"/>
                <w:sz w:val="18"/>
                <w:szCs w:val="18"/>
                <w:color w:val="auto"/>
                <w:w w:val="94"/>
              </w:rPr>
              <w:t>2018</w:t>
            </w:r>
          </w:p>
        </w:tc>
        <w:tc>
          <w:tcPr>
            <w:tcW w:w="5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$ 734</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Finite-lived intangible assets are subject to amortization and consist primarily of customer relationships acquired in business combinations, intellectual property rights and software. Our finite-lived intangible assets are amortized primarily on a straight-line basis over their estimated useful life or the term of the respective agreement.</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capitalize direct development costs associated with internal-use software, including external direct costs of material and services and payroll costs for employees devoting time to these software projects. We also capitalize costs associated with the purchase of software licenses. We include these costs in intangible assets and amortize them on a straight-line basis over a period not to exceed five years. We expense maintenance and training costs, as well as costs incurred during the preliminary stage of a project, as they are incurred. We capitalize initial operating system software costs and amortize them over the life of the associated hardware.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evaluate the recoverability of our intangible assets subject to amortization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162</w:t>
            </w:r>
          </w:p>
        </w:tc>
      </w:tr>
    </w:tbl>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9: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Long-Term Debt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Weighted-Average</w:t>
            </w:r>
          </w:p>
        </w:tc>
        <w:tc>
          <w:tcPr>
            <w:tcW w:w="9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35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Interest Rate as of</w:t>
            </w:r>
          </w:p>
        </w:tc>
        <w:tc>
          <w:tcPr>
            <w:tcW w:w="1620" w:type="dxa"/>
            <w:vAlign w:val="bottom"/>
            <w:gridSpan w:val="2"/>
            <w:vMerge w:val="restart"/>
          </w:tcPr>
          <w:p>
            <w:pPr>
              <w:jc w:val="right"/>
              <w:ind w:right="375"/>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60"/>
        </w:trPr>
        <w:tc>
          <w:tcPr>
            <w:tcW w:w="6220" w:type="dxa"/>
            <w:vAlign w:val="bottom"/>
          </w:tcPr>
          <w:p>
            <w:pPr>
              <w:spacing w:after="0"/>
              <w:rPr>
                <w:sz w:val="4"/>
                <w:szCs w:val="4"/>
                <w:color w:val="auto"/>
              </w:rPr>
            </w:pPr>
          </w:p>
        </w:tc>
        <w:tc>
          <w:tcPr>
            <w:tcW w:w="358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color w:val="auto"/>
              </w:rPr>
              <w:t>December 31,</w:t>
            </w:r>
          </w:p>
        </w:tc>
        <w:tc>
          <w:tcPr>
            <w:tcW w:w="1620" w:type="dxa"/>
            <w:vAlign w:val="bottom"/>
            <w:tcBorders>
              <w:bottom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220" w:type="dxa"/>
            <w:vAlign w:val="bottom"/>
          </w:tcPr>
          <w:p>
            <w:pPr>
              <w:spacing w:after="0"/>
              <w:rPr>
                <w:sz w:val="6"/>
                <w:szCs w:val="6"/>
                <w:color w:val="auto"/>
              </w:rPr>
            </w:pPr>
          </w:p>
        </w:tc>
        <w:tc>
          <w:tcPr>
            <w:tcW w:w="3580" w:type="dxa"/>
            <w:vAlign w:val="bottom"/>
            <w:gridSpan w:val="2"/>
            <w:vMerge w:val="continue"/>
          </w:tcPr>
          <w:p>
            <w:pPr>
              <w:spacing w:after="0"/>
              <w:rPr>
                <w:sz w:val="6"/>
                <w:szCs w:val="6"/>
                <w:color w:val="auto"/>
              </w:rPr>
            </w:pPr>
          </w:p>
        </w:tc>
        <w:tc>
          <w:tcPr>
            <w:tcW w:w="9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December 31 (in millions)</w:t>
            </w:r>
          </w:p>
        </w:tc>
        <w:tc>
          <w:tcPr>
            <w:tcW w:w="35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2013</w:t>
            </w:r>
          </w:p>
        </w:tc>
        <w:tc>
          <w:tcPr>
            <w:tcW w:w="920" w:type="dxa"/>
            <w:vAlign w:val="bottom"/>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0"/>
        </w:trPr>
        <w:tc>
          <w:tcPr>
            <w:tcW w:w="622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line="177" w:lineRule="exact"/>
              <w:rPr>
                <w:sz w:val="20"/>
                <w:szCs w:val="20"/>
                <w:color w:val="auto"/>
              </w:rPr>
            </w:pPr>
            <w:r>
              <w:rPr>
                <w:rFonts w:ascii="Arial" w:cs="Arial" w:eastAsia="Arial" w:hAnsi="Arial"/>
                <w:sz w:val="18"/>
                <w:szCs w:val="18"/>
                <w:color w:val="auto"/>
              </w:rPr>
              <w:t>Senior notes with maturities of 5 years or less</w:t>
            </w:r>
          </w:p>
        </w:tc>
        <w:tc>
          <w:tcPr>
            <w:tcW w:w="3580" w:type="dxa"/>
            <w:vAlign w:val="bottom"/>
            <w:gridSpan w:val="2"/>
          </w:tcPr>
          <w:p>
            <w:pPr>
              <w:jc w:val="right"/>
              <w:ind w:right="200"/>
              <w:spacing w:after="0" w:line="177" w:lineRule="exact"/>
              <w:rPr>
                <w:sz w:val="20"/>
                <w:szCs w:val="20"/>
                <w:color w:val="auto"/>
              </w:rPr>
            </w:pPr>
            <w:r>
              <w:rPr>
                <w:rFonts w:ascii="Arial" w:cs="Arial" w:eastAsia="Arial" w:hAnsi="Arial"/>
                <w:sz w:val="18"/>
                <w:szCs w:val="18"/>
                <w:color w:val="auto"/>
              </w:rPr>
              <w:t>2.884%</w:t>
            </w:r>
          </w:p>
        </w:tc>
        <w:tc>
          <w:tcPr>
            <w:tcW w:w="92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2,917</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between 6 and 10 years</w:t>
            </w:r>
          </w:p>
        </w:tc>
        <w:tc>
          <w:tcPr>
            <w:tcW w:w="3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4.388%</w:t>
            </w: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4,996</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Senior notes with maturities greater than 10 years</w:t>
            </w:r>
          </w:p>
        </w:tc>
        <w:tc>
          <w:tcPr>
            <w:tcW w:w="3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5.614%</w:t>
            </w: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3,205</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21"/>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including capital lease obligations</w:t>
            </w:r>
          </w:p>
        </w:tc>
        <w:tc>
          <w:tcPr>
            <w:tcW w:w="3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77"/>
        </w:trPr>
        <w:tc>
          <w:tcPr>
            <w:tcW w:w="6220" w:type="dxa"/>
            <w:vAlign w:val="bottom"/>
          </w:tcPr>
          <w:p>
            <w:pPr>
              <w:spacing w:after="0" w:line="177" w:lineRule="exact"/>
              <w:rPr>
                <w:sz w:val="20"/>
                <w:szCs w:val="20"/>
                <w:color w:val="auto"/>
              </w:rPr>
            </w:pPr>
            <w:r>
              <w:rPr>
                <w:rFonts w:ascii="Arial" w:cs="Arial" w:eastAsia="Arial" w:hAnsi="Arial"/>
                <w:sz w:val="18"/>
                <w:szCs w:val="18"/>
                <w:color w:val="auto"/>
              </w:rPr>
              <w:t>Total debt</w:t>
            </w:r>
          </w:p>
        </w:tc>
        <w:tc>
          <w:tcPr>
            <w:tcW w:w="358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4.22%</w:t>
            </w:r>
            <w:r>
              <w:rPr>
                <w:rFonts w:ascii="Arial" w:cs="Arial" w:eastAsia="Arial" w:hAnsi="Arial"/>
                <w:sz w:val="20"/>
                <w:szCs w:val="20"/>
                <w:color w:val="auto"/>
                <w:vertAlign w:val="superscript"/>
              </w:rPr>
              <w:t>(a)</w:t>
            </w:r>
          </w:p>
        </w:tc>
        <w:tc>
          <w:tcPr>
            <w:tcW w:w="920" w:type="dxa"/>
            <w:vAlign w:val="bottom"/>
          </w:tcPr>
          <w:p>
            <w:pPr>
              <w:jc w:val="right"/>
              <w:ind w:right="37"/>
              <w:spacing w:after="0" w:line="177" w:lineRule="exact"/>
              <w:rPr>
                <w:sz w:val="20"/>
                <w:szCs w:val="20"/>
                <w:color w:val="auto"/>
              </w:rPr>
            </w:pPr>
            <w:r>
              <w:rPr>
                <w:rFonts w:ascii="Arial" w:cs="Arial" w:eastAsia="Arial" w:hAnsi="Arial"/>
                <w:sz w:val="18"/>
                <w:szCs w:val="18"/>
                <w:b w:val="1"/>
                <w:bCs w:val="1"/>
                <w:color w:val="auto"/>
              </w:rPr>
              <w:t>11,165</w:t>
            </w: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21"/>
        </w:trPr>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3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906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Long-term debt</w:t>
            </w:r>
          </w:p>
        </w:tc>
        <w:tc>
          <w:tcPr>
            <w:tcW w:w="3220" w:type="dxa"/>
            <w:vAlign w:val="bottom"/>
            <w:tcBorders>
              <w:bottom w:val="single" w:sz="8" w:color="0C6DFF"/>
            </w:tcBorders>
          </w:tcPr>
          <w:p>
            <w:pPr>
              <w:spacing w:after="0"/>
              <w:rPr>
                <w:sz w:val="17"/>
                <w:szCs w:val="17"/>
                <w:color w:val="auto"/>
              </w:rPr>
            </w:pPr>
          </w:p>
        </w:tc>
        <w:tc>
          <w:tcPr>
            <w:tcW w:w="360" w:type="dxa"/>
            <w:vAlign w:val="bottom"/>
            <w:tcBorders>
              <w:bottom w:val="single" w:sz="8" w:color="0C6DFF"/>
            </w:tcBorders>
          </w:tcPr>
          <w:p>
            <w:pPr>
              <w:spacing w:after="0"/>
              <w:rPr>
                <w:sz w:val="17"/>
                <w:szCs w:val="17"/>
                <w:color w:val="auto"/>
              </w:rPr>
            </w:pPr>
          </w:p>
        </w:tc>
        <w:tc>
          <w:tcPr>
            <w:tcW w:w="92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b w:val="1"/>
                <w:bCs w:val="1"/>
                <w:color w:val="auto"/>
              </w:rPr>
              <w:t>$ 10,259</w:t>
            </w:r>
          </w:p>
        </w:tc>
        <w:tc>
          <w:tcPr>
            <w:tcW w:w="7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11,231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Includes the effects of our derivative financial instruments.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and 2012, our debt had an estimated fair value of $11.7 billion and $12.6 billion, respectively.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0C6DFF"/>
        </w:rPr>
        <w:t>Debt Maturities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top w:val="single" w:sz="8" w:color="auto"/>
            </w:tcBorders>
          </w:tcPr>
          <w:p>
            <w:pPr>
              <w:spacing w:after="0"/>
              <w:rPr>
                <w:sz w:val="14"/>
                <w:szCs w:val="14"/>
                <w:color w:val="auto"/>
              </w:rPr>
            </w:pPr>
          </w:p>
        </w:tc>
        <w:tc>
          <w:tcPr>
            <w:tcW w:w="5600" w:type="dxa"/>
            <w:vAlign w:val="bottom"/>
            <w:tcBorders>
              <w:top w:val="single" w:sz="8" w:color="auto"/>
            </w:tcBorders>
          </w:tcPr>
          <w:p>
            <w:pPr>
              <w:jc w:val="right"/>
              <w:ind w:right="197"/>
              <w:spacing w:after="0"/>
              <w:rPr>
                <w:sz w:val="20"/>
                <w:szCs w:val="20"/>
                <w:color w:val="auto"/>
              </w:rPr>
            </w:pPr>
            <w:r>
              <w:rPr>
                <w:rFonts w:ascii="Arial" w:cs="Arial" w:eastAsia="Arial" w:hAnsi="Arial"/>
                <w:sz w:val="14"/>
                <w:szCs w:val="14"/>
                <w:color w:val="auto"/>
              </w:rPr>
              <w:t>Weighted-Average</w:t>
            </w: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r>
      <w:tr>
        <w:trPr>
          <w:trHeight w:val="149"/>
        </w:trPr>
        <w:tc>
          <w:tcPr>
            <w:tcW w:w="50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5600" w:type="dxa"/>
            <w:vAlign w:val="bottom"/>
            <w:tcBorders>
              <w:bottom w:val="single" w:sz="8" w:color="auto"/>
            </w:tcBorders>
          </w:tcPr>
          <w:p>
            <w:pPr>
              <w:jc w:val="right"/>
              <w:ind w:right="197"/>
              <w:spacing w:after="0" w:line="149" w:lineRule="exact"/>
              <w:rPr>
                <w:sz w:val="20"/>
                <w:szCs w:val="20"/>
                <w:color w:val="auto"/>
              </w:rPr>
            </w:pPr>
            <w:r>
              <w:rPr>
                <w:rFonts w:ascii="Arial" w:cs="Arial" w:eastAsia="Arial" w:hAnsi="Arial"/>
                <w:sz w:val="14"/>
                <w:szCs w:val="14"/>
                <w:color w:val="auto"/>
              </w:rPr>
              <w:t>Interest Rate</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r>
      <w:tr>
        <w:trPr>
          <w:trHeight w:val="199"/>
        </w:trPr>
        <w:tc>
          <w:tcPr>
            <w:tcW w:w="5020" w:type="dxa"/>
            <w:vAlign w:val="bottom"/>
          </w:tcPr>
          <w:p>
            <w:pPr>
              <w:spacing w:after="0" w:line="200" w:lineRule="exact"/>
              <w:rPr>
                <w:sz w:val="20"/>
                <w:szCs w:val="20"/>
                <w:color w:val="auto"/>
              </w:rPr>
            </w:pPr>
            <w:r>
              <w:rPr>
                <w:rFonts w:ascii="Arial" w:cs="Arial" w:eastAsia="Arial" w:hAnsi="Arial"/>
                <w:sz w:val="18"/>
                <w:szCs w:val="18"/>
                <w:color w:val="auto"/>
              </w:rPr>
              <w:t>2014</w:t>
            </w:r>
          </w:p>
        </w:tc>
        <w:tc>
          <w:tcPr>
            <w:tcW w:w="5600" w:type="dxa"/>
            <w:vAlign w:val="bottom"/>
          </w:tcPr>
          <w:p>
            <w:pPr>
              <w:jc w:val="right"/>
              <w:ind w:right="37"/>
              <w:spacing w:after="0" w:line="200" w:lineRule="exact"/>
              <w:rPr>
                <w:sz w:val="20"/>
                <w:szCs w:val="20"/>
                <w:color w:val="auto"/>
              </w:rPr>
            </w:pPr>
            <w:r>
              <w:rPr>
                <w:rFonts w:ascii="Arial" w:cs="Arial" w:eastAsia="Arial" w:hAnsi="Arial"/>
                <w:sz w:val="18"/>
                <w:szCs w:val="18"/>
                <w:color w:val="auto"/>
              </w:rPr>
              <w:t>2.121%</w:t>
            </w:r>
          </w:p>
        </w:tc>
        <w:tc>
          <w:tcPr>
            <w:tcW w:w="2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906</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56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3.597%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1,032</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56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2.876%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1,008</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56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6.287%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56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6.299%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9"/>
        </w:trPr>
        <w:tc>
          <w:tcPr>
            <w:tcW w:w="502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5600" w:type="dxa"/>
            <w:vAlign w:val="bottom"/>
            <w:tcBorders>
              <w:bottom w:val="single" w:sz="8" w:color="auto"/>
            </w:tcBorders>
          </w:tcPr>
          <w:p>
            <w:pPr>
              <w:jc w:val="right"/>
              <w:ind w:right="37"/>
              <w:spacing w:after="0" w:line="200" w:lineRule="exact"/>
              <w:rPr>
                <w:sz w:val="20"/>
                <w:szCs w:val="20"/>
                <w:color w:val="auto"/>
              </w:rPr>
            </w:pPr>
            <w:r>
              <w:rPr>
                <w:rFonts w:ascii="Arial" w:cs="Arial" w:eastAsia="Arial" w:hAnsi="Arial"/>
                <w:sz w:val="18"/>
                <w:szCs w:val="18"/>
                <w:color w:val="auto"/>
              </w:rPr>
              <w:t>4.871%</w:t>
            </w:r>
          </w:p>
        </w:tc>
        <w:tc>
          <w:tcPr>
            <w:tcW w:w="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w w:val="97"/>
              </w:rPr>
              <w:t>8,215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Revolving Credit Facility</w:t>
      </w:r>
    </w:p>
    <w:p>
      <w:pPr>
        <w:jc w:val="both"/>
        <w:spacing w:after="0" w:line="236" w:lineRule="auto"/>
        <w:rPr>
          <w:sz w:val="20"/>
          <w:szCs w:val="20"/>
          <w:color w:val="auto"/>
        </w:rPr>
      </w:pPr>
      <w:r>
        <w:rPr>
          <w:rFonts w:ascii="Arial" w:cs="Arial" w:eastAsia="Arial" w:hAnsi="Arial"/>
          <w:sz w:val="18"/>
          <w:szCs w:val="18"/>
          <w:color w:val="auto"/>
        </w:rPr>
        <w:t>In connection with the Redemption Transaction, on March 19, 2013, NBCUniversal Enterprise amended and restated our existing credit agreement to, among other things, substitute NBCUniversal Enterprise for us as the sole borrower to the revolving credit facility. As a result, we no longer have a revolving credit facility with third-party banks. Following the amendments to our credit agreement, our commercial paper program was terminated and we entered into a revolving credit agreement with Comcast. See Note 4 for additional information on the revolving credit agreement with Comcast.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0C6DFF"/>
        </w:rPr>
        <w:t>Cross-Guarantee Structure</w:t>
      </w:r>
    </w:p>
    <w:p>
      <w:pPr>
        <w:jc w:val="both"/>
        <w:spacing w:after="0" w:line="236" w:lineRule="auto"/>
        <w:rPr>
          <w:sz w:val="20"/>
          <w:szCs w:val="20"/>
          <w:color w:val="auto"/>
        </w:rPr>
      </w:pPr>
      <w:r>
        <w:rPr>
          <w:rFonts w:ascii="Arial" w:cs="Arial" w:eastAsia="Arial" w:hAnsi="Arial"/>
          <w:sz w:val="18"/>
          <w:szCs w:val="18"/>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December 31, 2013, we guaranteed $31 billion of outstanding debt securities of Comcast and the cable guarantors. We also fully and unconditionally guarantee the $6.25 billion Comcast revolving credit facility due 2017, of which no amounts were outstanding as of December 31, 2013.</w:t>
      </w:r>
    </w:p>
    <w:p>
      <w:pPr>
        <w:spacing w:after="0" w:line="326"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163</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revolving credit facility or $725 million liquidation preference of Series A cumulative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10: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Our assessment of the significance of a particular input to the fair value measurement requires judgment and may affect the valuation of financial instruments and their classification within the fair value hierarchy.</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financial instruments that are accounted for at fair value on a recurring basis were not material for all periods presented, except for liabilities associated with our contractual obligations. The fair values of the contractual obligations in the table below are primarily based on certain expected future discounted cash flows, the determination of which involves the use of significant unobservable inputs. As the inputs used are not quoted market prices or observable inputs, we classify these contractual obligations as Level 3 financial instruments.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most significant unobservable inputs we use are our estimates of the future revenue we expect to generate from certain of our entities. The discount rates used in the measurements of fair value as of December 31, 2013 were between 12% and 13% and are based on the underlying risk associated with our estimate of future revenue, as well as the terms of the respective contracts. The fair value adjustments to contractual obligations are sensitive to the assumptions related to future revenue, as well as to current interest rates, and therefore, the adjustments are recorded to other income (expense), net in our consolidated statement of income.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October 2013, Comcast closed its transaction with Liberty Media Corporation (“Liberty Media”), which included, among other things, the delivery of Liberty Media shares held by Comcast in exchange for Liberty Media’s interests in one of our contractual obligations. The liability associated with this contractual obligation is now considered a related party transaction and as a result we no longer remeasure this liability to its fair value on a recurring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Changes in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Successor (in millions)</w:t>
      </w:r>
    </w:p>
    <w:tbl>
      <w:tblPr>
        <w:tblLayout w:type="fixed"/>
        <w:tblInd w:w="0" w:type="dxa"/>
        <w:tblCellMar>
          <w:top w:w="0" w:type="dxa"/>
          <w:left w:w="0" w:type="dxa"/>
          <w:bottom w:w="0" w:type="dxa"/>
          <w:right w:w="0" w:type="dxa"/>
        </w:tblCellMar>
      </w:tblPr>
      <w:tr>
        <w:trPr>
          <w:trHeight w:val="199"/>
        </w:trPr>
        <w:tc>
          <w:tcPr>
            <w:tcW w:w="65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Balance, December 31, 2012</w:t>
            </w:r>
          </w:p>
        </w:tc>
        <w:tc>
          <w:tcPr>
            <w:tcW w:w="43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1,055</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Fair value adjustments</w:t>
            </w:r>
          </w:p>
        </w:tc>
        <w:tc>
          <w:tcPr>
            <w:tcW w:w="430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158</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43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199"/>
        </w:trPr>
        <w:tc>
          <w:tcPr>
            <w:tcW w:w="654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Liberty Media transaction</w:t>
            </w:r>
          </w:p>
        </w:tc>
        <w:tc>
          <w:tcPr>
            <w:tcW w:w="4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(383)</w:t>
            </w:r>
          </w:p>
        </w:tc>
      </w:tr>
      <w:tr>
        <w:trPr>
          <w:trHeight w:val="196"/>
        </w:trPr>
        <w:tc>
          <w:tcPr>
            <w:tcW w:w="6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Balance, December 31, 2013</w:t>
            </w:r>
          </w:p>
        </w:tc>
        <w:tc>
          <w:tcPr>
            <w:tcW w:w="43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0C6DFF"/>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747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assets and liabilities that are required to be recorded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fair value of a production is determined using Level 3 inputs, primarily an analysis of future expected cash flows. Adjustments to capitalized film and stage play production costs of $167 million and $161 million were recorded in 2013 and 2012, respectively.</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164</w:t>
            </w: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11: Postretirement, Pension and Other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condensed information on our postretirement and pension benefit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ind w:right="297"/>
              <w:spacing w:after="0"/>
              <w:rPr>
                <w:sz w:val="20"/>
                <w:szCs w:val="20"/>
                <w:color w:val="auto"/>
              </w:rPr>
            </w:pPr>
            <w:r>
              <w:rPr>
                <w:rFonts w:ascii="Arial" w:cs="Arial" w:eastAsia="Arial" w:hAnsi="Arial"/>
                <w:sz w:val="14"/>
                <w:szCs w:val="14"/>
                <w:color w:val="auto"/>
                <w:w w:val="97"/>
              </w:rPr>
              <w:t>Successor</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3"/>
            <w:vMerge w:val="restart"/>
          </w:tcPr>
          <w:p>
            <w:pPr>
              <w:jc w:val="right"/>
              <w:ind w:right="317"/>
              <w:spacing w:after="0"/>
              <w:rPr>
                <w:sz w:val="20"/>
                <w:szCs w:val="20"/>
                <w:color w:val="auto"/>
              </w:rPr>
            </w:pPr>
            <w:r>
              <w:rPr>
                <w:rFonts w:ascii="Arial" w:cs="Arial" w:eastAsia="Arial" w:hAnsi="Arial"/>
                <w:sz w:val="14"/>
                <w:szCs w:val="14"/>
                <w:b w:val="1"/>
                <w:bCs w:val="1"/>
                <w:color w:val="auto"/>
                <w:w w:val="97"/>
              </w:rPr>
              <w:t>Year Ended December 31,</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3"/>
          </w:tcPr>
          <w:p>
            <w:pPr>
              <w:jc w:val="center"/>
              <w:ind w:right="297"/>
              <w:spacing w:after="0" w:line="141" w:lineRule="exact"/>
              <w:rPr>
                <w:sz w:val="20"/>
                <w:szCs w:val="20"/>
                <w:color w:val="auto"/>
              </w:rPr>
            </w:pPr>
            <w:r>
              <w:rPr>
                <w:rFonts w:ascii="Arial" w:cs="Arial" w:eastAsia="Arial" w:hAnsi="Arial"/>
                <w:sz w:val="14"/>
                <w:szCs w:val="14"/>
                <w:color w:val="auto"/>
                <w:w w:val="96"/>
              </w:rPr>
              <w:t>For the Period January 29,</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gridSpan w:val="3"/>
          </w:tcPr>
          <w:p>
            <w:pPr>
              <w:jc w:val="center"/>
              <w:ind w:right="317"/>
              <w:spacing w:after="0" w:line="133" w:lineRule="exact"/>
              <w:rPr>
                <w:sz w:val="20"/>
                <w:szCs w:val="20"/>
                <w:color w:val="auto"/>
              </w:rPr>
            </w:pPr>
            <w:r>
              <w:rPr>
                <w:rFonts w:ascii="Arial" w:cs="Arial" w:eastAsia="Arial" w:hAnsi="Arial"/>
                <w:sz w:val="14"/>
                <w:szCs w:val="14"/>
                <w:color w:val="auto"/>
                <w:w w:val="95"/>
              </w:rPr>
              <w:t>Year Ended December 31,</w:t>
            </w:r>
          </w:p>
        </w:tc>
        <w:tc>
          <w:tcPr>
            <w:tcW w:w="220" w:type="dxa"/>
            <w:vAlign w:val="bottom"/>
          </w:tcPr>
          <w:p>
            <w:pPr>
              <w:spacing w:after="0"/>
              <w:rPr>
                <w:sz w:val="11"/>
                <w:szCs w:val="11"/>
                <w:color w:val="auto"/>
              </w:rPr>
            </w:pPr>
          </w:p>
        </w:tc>
        <w:tc>
          <w:tcPr>
            <w:tcW w:w="2100" w:type="dxa"/>
            <w:vAlign w:val="bottom"/>
            <w:gridSpan w:val="3"/>
          </w:tcPr>
          <w:p>
            <w:pPr>
              <w:jc w:val="center"/>
              <w:ind w:right="277"/>
              <w:spacing w:after="0" w:line="133" w:lineRule="exact"/>
              <w:rPr>
                <w:sz w:val="20"/>
                <w:szCs w:val="20"/>
                <w:color w:val="auto"/>
              </w:rPr>
            </w:pPr>
            <w:r>
              <w:rPr>
                <w:rFonts w:ascii="Arial" w:cs="Arial" w:eastAsia="Arial" w:hAnsi="Arial"/>
                <w:sz w:val="14"/>
                <w:szCs w:val="14"/>
                <w:color w:val="auto"/>
                <w:w w:val="96"/>
              </w:rPr>
              <w:t>2011 to December 31,</w:t>
            </w:r>
          </w:p>
        </w:tc>
        <w:tc>
          <w:tcPr>
            <w:tcW w:w="0" w:type="dxa"/>
            <w:vAlign w:val="bottom"/>
          </w:tcPr>
          <w:p>
            <w:pPr>
              <w:spacing w:after="0"/>
              <w:rPr>
                <w:sz w:val="1"/>
                <w:szCs w:val="1"/>
                <w:color w:val="auto"/>
              </w:rPr>
            </w:pPr>
          </w:p>
        </w:tc>
      </w:tr>
      <w:tr>
        <w:trPr>
          <w:trHeight w:val="178"/>
        </w:trPr>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left="620"/>
              <w:spacing w:after="0"/>
              <w:rPr>
                <w:sz w:val="20"/>
                <w:szCs w:val="20"/>
                <w:color w:val="auto"/>
              </w:rPr>
            </w:pPr>
            <w:r>
              <w:rPr>
                <w:rFonts w:ascii="Arial" w:cs="Arial" w:eastAsia="Arial" w:hAnsi="Arial"/>
                <w:sz w:val="14"/>
                <w:szCs w:val="14"/>
                <w:color w:val="auto"/>
                <w:w w:val="96"/>
              </w:rPr>
              <w:t>2012</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40"/>
              <w:spacing w:after="0"/>
              <w:rPr>
                <w:sz w:val="20"/>
                <w:szCs w:val="20"/>
                <w:color w:val="auto"/>
              </w:rPr>
            </w:pPr>
            <w:r>
              <w:rPr>
                <w:rFonts w:ascii="Arial" w:cs="Arial" w:eastAsia="Arial" w:hAnsi="Arial"/>
                <w:sz w:val="14"/>
                <w:szCs w:val="14"/>
                <w:color w:val="auto"/>
                <w:w w:val="96"/>
              </w:rPr>
              <w:t>2011</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280" w:type="dxa"/>
            <w:vAlign w:val="bottom"/>
            <w:gridSpan w:val="2"/>
          </w:tcPr>
          <w:p>
            <w:pPr>
              <w:jc w:val="right"/>
              <w:ind w:right="158"/>
              <w:spacing w:after="0" w:line="129" w:lineRule="exact"/>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1"/>
                <w:szCs w:val="11"/>
                <w:color w:val="auto"/>
              </w:rPr>
            </w:pPr>
          </w:p>
        </w:tc>
        <w:tc>
          <w:tcPr>
            <w:tcW w:w="88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Pension</w:t>
            </w:r>
          </w:p>
        </w:tc>
        <w:tc>
          <w:tcPr>
            <w:tcW w:w="124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rPr>
              <w:t>Postretirement</w:t>
            </w:r>
          </w:p>
        </w:tc>
        <w:tc>
          <w:tcPr>
            <w:tcW w:w="120" w:type="dxa"/>
            <w:vAlign w:val="bottom"/>
          </w:tcPr>
          <w:p>
            <w:pPr>
              <w:spacing w:after="0"/>
              <w:rPr>
                <w:sz w:val="11"/>
                <w:szCs w:val="11"/>
                <w:color w:val="auto"/>
              </w:rPr>
            </w:pPr>
          </w:p>
        </w:tc>
        <w:tc>
          <w:tcPr>
            <w:tcW w:w="980" w:type="dxa"/>
            <w:vAlign w:val="bottom"/>
          </w:tcPr>
          <w:p>
            <w:pPr>
              <w:jc w:val="right"/>
              <w:ind w:right="157"/>
              <w:spacing w:after="0" w:line="129" w:lineRule="exact"/>
              <w:rPr>
                <w:sz w:val="20"/>
                <w:szCs w:val="20"/>
                <w:color w:val="auto"/>
              </w:rPr>
            </w:pPr>
            <w:r>
              <w:rPr>
                <w:rFonts w:ascii="Arial" w:cs="Arial" w:eastAsia="Arial" w:hAnsi="Arial"/>
                <w:sz w:val="14"/>
                <w:szCs w:val="14"/>
                <w:color w:val="auto"/>
              </w:rPr>
              <w:t>Pension</w:t>
            </w:r>
          </w:p>
        </w:tc>
        <w:tc>
          <w:tcPr>
            <w:tcW w:w="124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rPr>
              <w:t>Postretirement</w:t>
            </w:r>
          </w:p>
        </w:tc>
        <w:tc>
          <w:tcPr>
            <w:tcW w:w="120" w:type="dxa"/>
            <w:vAlign w:val="bottom"/>
          </w:tcPr>
          <w:p>
            <w:pPr>
              <w:spacing w:after="0"/>
              <w:rPr>
                <w:sz w:val="11"/>
                <w:szCs w:val="11"/>
                <w:color w:val="auto"/>
              </w:rPr>
            </w:pPr>
          </w:p>
        </w:tc>
        <w:tc>
          <w:tcPr>
            <w:tcW w:w="960" w:type="dxa"/>
            <w:vAlign w:val="bottom"/>
          </w:tcPr>
          <w:p>
            <w:pPr>
              <w:jc w:val="right"/>
              <w:ind w:right="137"/>
              <w:spacing w:after="0" w:line="129" w:lineRule="exact"/>
              <w:rPr>
                <w:sz w:val="20"/>
                <w:szCs w:val="20"/>
                <w:color w:val="auto"/>
              </w:rPr>
            </w:pPr>
            <w:r>
              <w:rPr>
                <w:rFonts w:ascii="Arial" w:cs="Arial" w:eastAsia="Arial" w:hAnsi="Arial"/>
                <w:sz w:val="14"/>
                <w:szCs w:val="14"/>
                <w:color w:val="auto"/>
              </w:rPr>
              <w:t>Pension</w:t>
            </w:r>
          </w:p>
        </w:tc>
        <w:tc>
          <w:tcPr>
            <w:tcW w:w="0" w:type="dxa"/>
            <w:vAlign w:val="bottom"/>
          </w:tcPr>
          <w:p>
            <w:pPr>
              <w:spacing w:after="0"/>
              <w:rPr>
                <w:sz w:val="1"/>
                <w:szCs w:val="1"/>
                <w:color w:val="auto"/>
              </w:rPr>
            </w:pPr>
          </w:p>
        </w:tc>
      </w:tr>
      <w:tr>
        <w:trPr>
          <w:trHeight w:val="176"/>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Benefits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Benefits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Benefits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Benefits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Benefits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Benefits</w:t>
            </w:r>
          </w:p>
        </w:tc>
        <w:tc>
          <w:tcPr>
            <w:tcW w:w="0" w:type="dxa"/>
            <w:vAlign w:val="bottom"/>
          </w:tcPr>
          <w:p>
            <w:pPr>
              <w:spacing w:after="0"/>
              <w:rPr>
                <w:sz w:val="1"/>
                <w:szCs w:val="1"/>
                <w:color w:val="auto"/>
              </w:rPr>
            </w:pPr>
          </w:p>
        </w:tc>
      </w:tr>
      <w:tr>
        <w:trPr>
          <w:trHeight w:val="177"/>
        </w:trPr>
        <w:tc>
          <w:tcPr>
            <w:tcW w:w="444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8"/>
              <w:spacing w:after="0" w:line="177" w:lineRule="exact"/>
              <w:rPr>
                <w:sz w:val="20"/>
                <w:szCs w:val="20"/>
                <w:color w:val="auto"/>
              </w:rPr>
            </w:pPr>
            <w:r>
              <w:rPr>
                <w:rFonts w:ascii="Arial" w:cs="Arial" w:eastAsia="Arial" w:hAnsi="Arial"/>
                <w:sz w:val="18"/>
                <w:szCs w:val="18"/>
                <w:b w:val="1"/>
                <w:bCs w:val="1"/>
                <w:color w:val="auto"/>
              </w:rPr>
              <w:t>158</w:t>
            </w:r>
          </w:p>
        </w:tc>
        <w:tc>
          <w:tcPr>
            <w:tcW w:w="1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37"/>
              <w:spacing w:after="0" w:line="177" w:lineRule="exact"/>
              <w:rPr>
                <w:sz w:val="20"/>
                <w:szCs w:val="20"/>
                <w:color w:val="auto"/>
              </w:rPr>
            </w:pPr>
            <w:r>
              <w:rPr>
                <w:rFonts w:ascii="Arial" w:cs="Arial" w:eastAsia="Arial" w:hAnsi="Arial"/>
                <w:sz w:val="18"/>
                <w:szCs w:val="18"/>
                <w:b w:val="1"/>
                <w:bCs w:val="1"/>
                <w:color w:val="auto"/>
              </w:rPr>
              <w:t>498</w:t>
            </w:r>
          </w:p>
        </w:tc>
        <w:tc>
          <w:tcPr>
            <w:tcW w:w="240" w:type="dxa"/>
            <w:vAlign w:val="bottom"/>
          </w:tcPr>
          <w:p>
            <w:pPr>
              <w:jc w:val="right"/>
              <w:ind w:right="2"/>
              <w:spacing w:after="0" w:line="177"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00"/>
              <w:spacing w:after="0" w:line="177" w:lineRule="exact"/>
              <w:rPr>
                <w:sz w:val="20"/>
                <w:szCs w:val="20"/>
                <w:color w:val="auto"/>
              </w:rPr>
            </w:pPr>
            <w:r>
              <w:rPr>
                <w:rFonts w:ascii="Arial" w:cs="Arial" w:eastAsia="Arial" w:hAnsi="Arial"/>
                <w:sz w:val="18"/>
                <w:szCs w:val="18"/>
                <w:color w:val="auto"/>
              </w:rPr>
              <w:t>177</w:t>
            </w:r>
          </w:p>
        </w:tc>
        <w:tc>
          <w:tcPr>
            <w:tcW w:w="120" w:type="dxa"/>
            <w:vAlign w:val="bottom"/>
          </w:tcPr>
          <w:p>
            <w:pPr>
              <w:jc w:val="right"/>
              <w:spacing w:after="0" w:line="177"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7"/>
              <w:spacing w:after="0" w:line="177" w:lineRule="exact"/>
              <w:rPr>
                <w:sz w:val="20"/>
                <w:szCs w:val="20"/>
                <w:color w:val="auto"/>
              </w:rPr>
            </w:pPr>
            <w:r>
              <w:rPr>
                <w:rFonts w:ascii="Arial" w:cs="Arial" w:eastAsia="Arial" w:hAnsi="Arial"/>
                <w:sz w:val="18"/>
                <w:szCs w:val="18"/>
                <w:color w:val="auto"/>
              </w:rPr>
              <w:t>546</w:t>
            </w:r>
          </w:p>
        </w:tc>
        <w:tc>
          <w:tcPr>
            <w:tcW w:w="22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200"/>
              <w:spacing w:after="0" w:line="177" w:lineRule="exact"/>
              <w:rPr>
                <w:sz w:val="20"/>
                <w:szCs w:val="20"/>
                <w:color w:val="auto"/>
              </w:rPr>
            </w:pPr>
            <w:r>
              <w:rPr>
                <w:rFonts w:ascii="Arial" w:cs="Arial" w:eastAsia="Arial" w:hAnsi="Arial"/>
                <w:sz w:val="18"/>
                <w:szCs w:val="18"/>
                <w:color w:val="auto"/>
              </w:rPr>
              <w:t>161</w:t>
            </w:r>
          </w:p>
        </w:tc>
        <w:tc>
          <w:tcPr>
            <w:tcW w:w="120" w:type="dxa"/>
            <w:vAlign w:val="bottom"/>
          </w:tcPr>
          <w:p>
            <w:pPr>
              <w:jc w:val="right"/>
              <w:spacing w:after="0" w:line="177"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Arial" w:cs="Arial" w:eastAsia="Arial" w:hAnsi="Arial"/>
                <w:sz w:val="18"/>
                <w:szCs w:val="18"/>
                <w:color w:val="auto"/>
              </w:rPr>
              <w:t>Fair value of plan assets</w:t>
            </w:r>
            <w:r>
              <w:rPr>
                <w:rFonts w:ascii="Arial" w:cs="Arial" w:eastAsia="Arial" w:hAnsi="Arial"/>
                <w:sz w:val="22"/>
                <w:szCs w:val="22"/>
                <w:color w:val="auto"/>
                <w:vertAlign w:val="superscript"/>
              </w:rPr>
              <w:t>(a)</w:t>
            </w:r>
          </w:p>
        </w:tc>
        <w:tc>
          <w:tcPr>
            <w:tcW w:w="220" w:type="dxa"/>
            <w:vAlign w:val="bottom"/>
          </w:tcPr>
          <w:p>
            <w:pPr>
              <w:spacing w:after="0"/>
              <w:rPr>
                <w:sz w:val="17"/>
                <w:szCs w:val="17"/>
                <w:color w:val="auto"/>
              </w:rPr>
            </w:pPr>
          </w:p>
        </w:tc>
        <w:tc>
          <w:tcPr>
            <w:tcW w:w="1060" w:type="dxa"/>
            <w:vAlign w:val="bottom"/>
          </w:tcPr>
          <w:p>
            <w:pPr>
              <w:jc w:val="right"/>
              <w:ind w:right="158"/>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80" w:type="dxa"/>
            <w:vAlign w:val="bottom"/>
          </w:tcPr>
          <w:p>
            <w:pPr>
              <w:jc w:val="right"/>
              <w:ind w:right="137"/>
              <w:spacing w:after="0" w:line="202" w:lineRule="exact"/>
              <w:rPr>
                <w:sz w:val="20"/>
                <w:szCs w:val="20"/>
                <w:color w:val="auto"/>
              </w:rPr>
            </w:pPr>
            <w:r>
              <w:rPr>
                <w:rFonts w:ascii="Arial" w:cs="Arial" w:eastAsia="Arial" w:hAnsi="Arial"/>
                <w:sz w:val="18"/>
                <w:szCs w:val="18"/>
                <w:b w:val="1"/>
                <w:bCs w:val="1"/>
                <w:color w:val="auto"/>
              </w:rPr>
              <w:t>220</w:t>
            </w:r>
          </w:p>
        </w:tc>
        <w:tc>
          <w:tcPr>
            <w:tcW w:w="240" w:type="dxa"/>
            <w:vAlign w:val="bottom"/>
          </w:tcPr>
          <w:p>
            <w:pPr>
              <w:spacing w:after="0"/>
              <w:rPr>
                <w:sz w:val="17"/>
                <w:szCs w:val="17"/>
                <w:color w:val="auto"/>
              </w:rPr>
            </w:pPr>
          </w:p>
        </w:tc>
        <w:tc>
          <w:tcPr>
            <w:tcW w:w="1000" w:type="dxa"/>
            <w:vAlign w:val="bottom"/>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8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217</w:t>
            </w:r>
          </w:p>
        </w:tc>
        <w:tc>
          <w:tcPr>
            <w:tcW w:w="220" w:type="dxa"/>
            <w:vAlign w:val="bottom"/>
          </w:tcPr>
          <w:p>
            <w:pPr>
              <w:spacing w:after="0"/>
              <w:rPr>
                <w:sz w:val="17"/>
                <w:szCs w:val="17"/>
                <w:color w:val="auto"/>
              </w:rPr>
            </w:pPr>
          </w:p>
        </w:tc>
        <w:tc>
          <w:tcPr>
            <w:tcW w:w="1020" w:type="dxa"/>
            <w:vAlign w:val="bottom"/>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tcPr>
          <w:p>
            <w:pPr>
              <w:jc w:val="right"/>
              <w:ind w:right="137"/>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440" w:type="dxa"/>
            <w:vAlign w:val="bottom"/>
          </w:tcPr>
          <w:p>
            <w:pPr>
              <w:spacing w:after="0"/>
              <w:rPr>
                <w:sz w:val="20"/>
                <w:szCs w:val="20"/>
                <w:color w:val="auto"/>
              </w:rPr>
            </w:pPr>
            <w:r>
              <w:rPr>
                <w:rFonts w:ascii="Arial" w:cs="Arial" w:eastAsia="Arial" w:hAnsi="Arial"/>
                <w:sz w:val="18"/>
                <w:szCs w:val="18"/>
                <w:color w:val="auto"/>
              </w:rPr>
              <w:t>Plan funded status and recorded benefit obligation</w:t>
            </w:r>
          </w:p>
        </w:tc>
        <w:tc>
          <w:tcPr>
            <w:tcW w:w="220" w:type="dxa"/>
            <w:vAlign w:val="bottom"/>
          </w:tcPr>
          <w:p>
            <w:pPr>
              <w:spacing w:after="0"/>
              <w:rPr>
                <w:sz w:val="19"/>
                <w:szCs w:val="19"/>
                <w:color w:val="auto"/>
              </w:rPr>
            </w:pPr>
          </w:p>
        </w:tc>
        <w:tc>
          <w:tcPr>
            <w:tcW w:w="1060" w:type="dxa"/>
            <w:vAlign w:val="bottom"/>
          </w:tcPr>
          <w:p>
            <w:pPr>
              <w:jc w:val="right"/>
              <w:ind w:right="98"/>
              <w:spacing w:after="0"/>
              <w:rPr>
                <w:sz w:val="20"/>
                <w:szCs w:val="20"/>
                <w:color w:val="auto"/>
              </w:rPr>
            </w:pPr>
            <w:r>
              <w:rPr>
                <w:rFonts w:ascii="Arial" w:cs="Arial" w:eastAsia="Arial" w:hAnsi="Arial"/>
                <w:sz w:val="18"/>
                <w:szCs w:val="18"/>
                <w:b w:val="1"/>
                <w:bCs w:val="1"/>
                <w:color w:val="auto"/>
              </w:rPr>
              <w:t>(158)</w:t>
            </w:r>
          </w:p>
        </w:tc>
        <w:tc>
          <w:tcPr>
            <w:tcW w:w="160" w:type="dxa"/>
            <w:vAlign w:val="bottom"/>
          </w:tcPr>
          <w:p>
            <w:pPr>
              <w:spacing w:after="0"/>
              <w:rPr>
                <w:sz w:val="19"/>
                <w:szCs w:val="19"/>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b w:val="1"/>
                <w:bCs w:val="1"/>
                <w:color w:val="auto"/>
              </w:rPr>
              <w:t>(278)</w:t>
            </w:r>
          </w:p>
        </w:tc>
        <w:tc>
          <w:tcPr>
            <w:tcW w:w="240" w:type="dxa"/>
            <w:vAlign w:val="bottom"/>
          </w:tcPr>
          <w:p>
            <w:pPr>
              <w:spacing w:after="0"/>
              <w:rPr>
                <w:sz w:val="19"/>
                <w:szCs w:val="19"/>
                <w:color w:val="auto"/>
              </w:rPr>
            </w:pPr>
          </w:p>
        </w:tc>
        <w:tc>
          <w:tcPr>
            <w:tcW w:w="1000" w:type="dxa"/>
            <w:vAlign w:val="bottom"/>
          </w:tcPr>
          <w:p>
            <w:pPr>
              <w:jc w:val="right"/>
              <w:ind w:right="14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1020" w:type="dxa"/>
            <w:vAlign w:val="bottom"/>
          </w:tcPr>
          <w:p>
            <w:pPr>
              <w:jc w:val="right"/>
              <w:ind w:right="14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w w:val="98"/>
              </w:rPr>
              <w:t>Portion of benefit obligation not yet recognized in benefit</w:t>
            </w:r>
          </w:p>
        </w:tc>
        <w:tc>
          <w:tcPr>
            <w:tcW w:w="220" w:type="dxa"/>
            <w:vAlign w:val="bottom"/>
          </w:tcPr>
          <w:p>
            <w:pPr>
              <w:spacing w:after="0"/>
              <w:rPr>
                <w:sz w:val="17"/>
                <w:szCs w:val="17"/>
                <w:color w:val="auto"/>
              </w:rPr>
            </w:pPr>
          </w:p>
        </w:tc>
        <w:tc>
          <w:tcPr>
            <w:tcW w:w="1060" w:type="dxa"/>
            <w:vAlign w:val="bottom"/>
            <w:vMerge w:val="restart"/>
          </w:tcPr>
          <w:p>
            <w:pPr>
              <w:jc w:val="right"/>
              <w:ind w:right="98"/>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17"/>
                <w:szCs w:val="17"/>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40" w:type="dxa"/>
            <w:vAlign w:val="bottom"/>
          </w:tcPr>
          <w:p>
            <w:pPr>
              <w:ind w:left="220"/>
              <w:spacing w:after="0" w:line="181" w:lineRule="exact"/>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140"/>
              <w:spacing w:after="0" w:line="181"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980" w:type="dxa"/>
            <w:vAlign w:val="bottom"/>
          </w:tcPr>
          <w:p>
            <w:pPr>
              <w:jc w:val="right"/>
              <w:ind w:right="157"/>
              <w:spacing w:after="0" w:line="181"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5"/>
                <w:szCs w:val="15"/>
                <w:color w:val="auto"/>
              </w:rPr>
            </w:pPr>
          </w:p>
        </w:tc>
        <w:tc>
          <w:tcPr>
            <w:tcW w:w="1020" w:type="dxa"/>
            <w:vAlign w:val="bottom"/>
          </w:tcPr>
          <w:p>
            <w:pPr>
              <w:jc w:val="right"/>
              <w:ind w:right="140"/>
              <w:spacing w:after="0" w:line="181"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960" w:type="dxa"/>
            <w:vAlign w:val="bottom"/>
          </w:tcPr>
          <w:p>
            <w:pPr>
              <w:jc w:val="right"/>
              <w:ind w:right="137"/>
              <w:spacing w:after="0" w:line="181"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auto"/>
            </w:tcBorders>
          </w:tcPr>
          <w:p>
            <w:pPr>
              <w:spacing w:after="0" w:line="222" w:lineRule="exact"/>
              <w:rPr>
                <w:sz w:val="20"/>
                <w:szCs w:val="20"/>
                <w:color w:val="auto"/>
              </w:rPr>
            </w:pPr>
            <w:r>
              <w:rPr>
                <w:rFonts w:ascii="Arial" w:cs="Arial" w:eastAsia="Arial" w:hAnsi="Arial"/>
                <w:sz w:val="18"/>
                <w:szCs w:val="18"/>
                <w:color w:val="auto"/>
              </w:rPr>
              <w:t>Benefits expense</w:t>
            </w:r>
            <w:r>
              <w:rPr>
                <w:rFonts w:ascii="Arial" w:cs="Arial" w:eastAsia="Arial" w:hAnsi="Arial"/>
                <w:sz w:val="22"/>
                <w:szCs w:val="22"/>
                <w:color w:val="auto"/>
                <w:vertAlign w:val="superscript"/>
              </w:rPr>
              <w:t>(b)</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77"/>
        </w:trPr>
        <w:tc>
          <w:tcPr>
            <w:tcW w:w="4440" w:type="dxa"/>
            <w:vAlign w:val="bottom"/>
          </w:tcPr>
          <w:p>
            <w:pPr>
              <w:spacing w:after="0" w:line="177" w:lineRule="exact"/>
              <w:rPr>
                <w:sz w:val="20"/>
                <w:szCs w:val="20"/>
                <w:color w:val="auto"/>
              </w:rPr>
            </w:pPr>
            <w:r>
              <w:rPr>
                <w:rFonts w:ascii="Arial" w:cs="Arial" w:eastAsia="Arial" w:hAnsi="Arial"/>
                <w:sz w:val="18"/>
                <w:szCs w:val="18"/>
                <w:color w:val="auto"/>
              </w:rPr>
              <w:t>Discount rate</w:t>
            </w:r>
          </w:p>
        </w:tc>
        <w:tc>
          <w:tcPr>
            <w:tcW w:w="22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5.25%</w:t>
            </w:r>
          </w:p>
        </w:tc>
        <w:tc>
          <w:tcPr>
            <w:tcW w:w="16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5"/>
              </w:rPr>
              <w:t>4.5-5.25%</w:t>
            </w:r>
          </w:p>
        </w:tc>
        <w:tc>
          <w:tcPr>
            <w:tcW w:w="240" w:type="dxa"/>
            <w:vAlign w:val="bottom"/>
          </w:tcPr>
          <w:p>
            <w:pPr>
              <w:spacing w:after="0"/>
              <w:rPr>
                <w:sz w:val="15"/>
                <w:szCs w:val="15"/>
                <w:color w:val="auto"/>
              </w:rPr>
            </w:pPr>
          </w:p>
        </w:tc>
        <w:tc>
          <w:tcPr>
            <w:tcW w:w="1000" w:type="dxa"/>
            <w:vAlign w:val="bottom"/>
          </w:tcPr>
          <w:p>
            <w:pPr>
              <w:jc w:val="right"/>
              <w:ind w:right="40"/>
              <w:spacing w:after="0" w:line="177" w:lineRule="exact"/>
              <w:rPr>
                <w:sz w:val="20"/>
                <w:szCs w:val="20"/>
                <w:color w:val="auto"/>
              </w:rPr>
            </w:pPr>
            <w:r>
              <w:rPr>
                <w:rFonts w:ascii="Arial" w:cs="Arial" w:eastAsia="Arial" w:hAnsi="Arial"/>
                <w:sz w:val="18"/>
                <w:szCs w:val="18"/>
                <w:color w:val="auto"/>
              </w:rPr>
              <w:t>4.25%</w:t>
            </w:r>
          </w:p>
        </w:tc>
        <w:tc>
          <w:tcPr>
            <w:tcW w:w="12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8"/>
                <w:szCs w:val="18"/>
                <w:color w:val="auto"/>
                <w:w w:val="95"/>
              </w:rPr>
              <w:t>3.75-4.25%</w:t>
            </w:r>
          </w:p>
        </w:tc>
        <w:tc>
          <w:tcPr>
            <w:tcW w:w="220" w:type="dxa"/>
            <w:vAlign w:val="bottom"/>
          </w:tcPr>
          <w:p>
            <w:pPr>
              <w:spacing w:after="0"/>
              <w:rPr>
                <w:sz w:val="15"/>
                <w:szCs w:val="15"/>
                <w:color w:val="auto"/>
              </w:rPr>
            </w:pPr>
          </w:p>
        </w:tc>
        <w:tc>
          <w:tcPr>
            <w:tcW w:w="1020" w:type="dxa"/>
            <w:vAlign w:val="bottom"/>
          </w:tcPr>
          <w:p>
            <w:pPr>
              <w:jc w:val="right"/>
              <w:ind w:right="40"/>
              <w:spacing w:after="0" w:line="177" w:lineRule="exact"/>
              <w:rPr>
                <w:sz w:val="20"/>
                <w:szCs w:val="20"/>
                <w:color w:val="auto"/>
              </w:rPr>
            </w:pPr>
            <w:r>
              <w:rPr>
                <w:rFonts w:ascii="Arial" w:cs="Arial" w:eastAsia="Arial" w:hAnsi="Arial"/>
                <w:sz w:val="18"/>
                <w:szCs w:val="18"/>
                <w:color w:val="auto"/>
              </w:rPr>
              <w:t>4.75%</w:t>
            </w:r>
          </w:p>
        </w:tc>
        <w:tc>
          <w:tcPr>
            <w:tcW w:w="12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8"/>
                <w:szCs w:val="18"/>
                <w:color w:val="auto"/>
                <w:w w:val="95"/>
              </w:rPr>
              <w:t>4.75-5.25%</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N/A</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fair value of the plan assets are primarily based on Level 1 inputs using quoted market prices for identical financial instruments in an active market.</w:t>
      </w:r>
    </w:p>
    <w:p>
      <w:pPr>
        <w:spacing w:after="0" w:line="55"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We did not recognize service cost in 2013 as our pension plans were frozen. The 2012 and 2011 amounts included service costs related to our pension benefits of $134 million and $99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postretirement medical and life insurance plans that provide continuous coverage to employees eligible to receive such benefits and give credit for length of service provided before the close of the Joint Venture transaction.</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Substantially all of the employees that joined NBCUniversal from the Comcast Content Business at the close of the Joint Venture transaction participate in a postretirement healthcare stipend program (the “stipend plan”). The stipend plan provides an annual stipend for reimbursement of healthcare costs to each eligible employee based on years of service. Under the stipend plan, we are not exposed to the increasing costs of healthcare because the benefits are fixed at a predetermined amount.</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of our postretirement benefit plans are unfunded and substantially all of our postretirement benefit obligations are recorded to noncurrent liabilities. The expense we recognize related to our postretirement benefit plans is determined using certain assumptions, including the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sponsor various domestic qualified and nonqualified defined benefit plans for which future benefits were frozen effective December 31, 2012. We ceased to recognize service costs associated with these defined benefit plans following the date on which future benefits were frozen. The expense we recognize related to our defined benefit plans is determined using certain assumptions, including the discount rate and the expected long-term rate of return on plan assets. We recognize the funded or unfunded status of our defined benefit plans as an asset or liability in our consolidated balance sheet and recognize changes in the funded status in the year in which the changes occur through accumulated other comprehensive income (loss). In the</w:t>
      </w:r>
    </w:p>
    <w:p>
      <w:pPr>
        <w:spacing w:after="0" w:line="326"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165</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event of a defined benefit plan termination, we expect to fully fund and settle the plan within 180 days of approval by the Internal Revenue Service (“IRS”) and the Pension Benefit Guaranty Corporation (“PBGC”). In addition to the defined benefit plans we sponsor, we are also obligated to reimburse GE for future benefit payments to those participants who were vested in the supplemental pension plan sponsored by GE at the time of the close of the Joint Venture transaction.</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2013, we provided notice to the plan participants of our qualified pension plan of our intent to terminate our plan effective December 31, 2013. Our qualified pension plan was unfunded by $8 million as of December 31, 2013, and we will seek approval for this termination from the IRS and PBGC in 2014.</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consolidated balance sheet also includes the assets and liabilities of certain legacy pension plans, as well as the assets and liabilities for pension plans of certain foreign subsidiaries. As of December 31, 2013 and 2012, the benefit obligations associated with these plans exceeded the value of their plan assets by $43 million and $50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C6DFF"/>
        </w:rPr>
        <w:t>Deferred Compensation Plans</w:t>
      </w:r>
    </w:p>
    <w:p>
      <w:pPr>
        <w:jc w:val="both"/>
        <w:spacing w:after="0" w:line="237" w:lineRule="auto"/>
        <w:rPr>
          <w:sz w:val="20"/>
          <w:szCs w:val="20"/>
          <w:color w:val="auto"/>
        </w:rPr>
      </w:pPr>
      <w:r>
        <w:rPr>
          <w:rFonts w:ascii="Arial" w:cs="Arial" w:eastAsia="Arial" w:hAnsi="Arial"/>
          <w:sz w:val="18"/>
          <w:szCs w:val="18"/>
          <w:color w:val="auto"/>
        </w:rPr>
        <w:t>We maintain unfunded, nonqualified deferred compensation plans for certain members of management and nonemployee directors (each, a “participant”). The amount of compensation deferred by each participant is based on participant elections. Participants in the plan designate one or more valuation funds, independently established funds or indices that are used to determine the amount of earnings to be credited or debited to the participant’s account.</w:t>
      </w:r>
    </w:p>
    <w:p>
      <w:pPr>
        <w:spacing w:after="0" w:line="15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certain of our employees participate in Comcast’s unfunded, nonqualified deferred compensation plan. The amount of compensation deferred by each participant is based on participant elections. Participant accounts are credited with income primarily based on a fixed annual rate.</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case of both deferred compensation plans, participants are eligible to receive distributions of the amounts credited to their account based on elected deferral periods that are consistent with the plans and applicable tax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benefit obligation and interest expense for our deferred compensation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Successor</w:t>
            </w:r>
          </w:p>
        </w:tc>
        <w:tc>
          <w:tcPr>
            <w:tcW w:w="1480" w:type="dxa"/>
            <w:vAlign w:val="bottom"/>
            <w:tcBorders>
              <w:bottom w:val="single" w:sz="8" w:color="auto"/>
            </w:tcBorders>
          </w:tcPr>
          <w:p>
            <w:pPr>
              <w:spacing w:after="0"/>
              <w:rPr>
                <w:sz w:val="14"/>
                <w:szCs w:val="14"/>
                <w:color w:val="auto"/>
              </w:rPr>
            </w:pPr>
          </w:p>
        </w:tc>
      </w:tr>
      <w:tr>
        <w:trPr>
          <w:trHeight w:val="129"/>
        </w:trPr>
        <w:tc>
          <w:tcPr>
            <w:tcW w:w="7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1"/>
                <w:szCs w:val="11"/>
                <w:color w:val="auto"/>
              </w:rPr>
            </w:pPr>
          </w:p>
        </w:tc>
        <w:tc>
          <w:tcPr>
            <w:tcW w:w="820" w:type="dxa"/>
            <w:vAlign w:val="bottom"/>
          </w:tcPr>
          <w:p>
            <w:pPr>
              <w:jc w:val="right"/>
              <w:ind w:right="4"/>
              <w:spacing w:after="0" w:line="129" w:lineRule="exact"/>
              <w:rPr>
                <w:sz w:val="20"/>
                <w:szCs w:val="20"/>
                <w:color w:val="auto"/>
              </w:rPr>
            </w:pPr>
            <w:r>
              <w:rPr>
                <w:rFonts w:ascii="Arial" w:cs="Arial" w:eastAsia="Arial" w:hAnsi="Arial"/>
                <w:sz w:val="14"/>
                <w:szCs w:val="14"/>
                <w:color w:val="auto"/>
                <w:w w:val="97"/>
              </w:rPr>
              <w:t>Year Ended</w:t>
            </w:r>
          </w:p>
        </w:tc>
        <w:tc>
          <w:tcPr>
            <w:tcW w:w="1740" w:type="dxa"/>
            <w:vAlign w:val="bottom"/>
            <w:gridSpan w:val="2"/>
          </w:tcPr>
          <w:p>
            <w:pPr>
              <w:ind w:left="80"/>
              <w:spacing w:after="0" w:line="129" w:lineRule="exact"/>
              <w:rPr>
                <w:sz w:val="20"/>
                <w:szCs w:val="20"/>
                <w:color w:val="auto"/>
              </w:rPr>
            </w:pPr>
            <w:r>
              <w:rPr>
                <w:rFonts w:ascii="Arial" w:cs="Arial" w:eastAsia="Arial" w:hAnsi="Arial"/>
                <w:sz w:val="14"/>
                <w:szCs w:val="14"/>
                <w:color w:val="auto"/>
                <w:w w:val="98"/>
              </w:rPr>
              <w:t>For the Period January 29,</w:t>
            </w:r>
          </w:p>
        </w:tc>
      </w:tr>
      <w:tr>
        <w:trPr>
          <w:trHeight w:val="149"/>
        </w:trPr>
        <w:tc>
          <w:tcPr>
            <w:tcW w:w="76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2011 to December 31,</w:t>
            </w:r>
          </w:p>
        </w:tc>
      </w:tr>
      <w:tr>
        <w:trPr>
          <w:trHeight w:val="176"/>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7600" w:type="dxa"/>
            <w:vAlign w:val="bottom"/>
          </w:tcPr>
          <w:p>
            <w:pPr>
              <w:spacing w:after="0" w:line="177" w:lineRule="exact"/>
              <w:rPr>
                <w:sz w:val="20"/>
                <w:szCs w:val="20"/>
                <w:color w:val="auto"/>
              </w:rPr>
            </w:pPr>
            <w:r>
              <w:rPr>
                <w:rFonts w:ascii="Arial" w:cs="Arial" w:eastAsia="Arial" w:hAnsi="Arial"/>
                <w:sz w:val="18"/>
                <w:szCs w:val="18"/>
                <w:color w:val="auto"/>
              </w:rPr>
              <w:t>Benefit obligation</w:t>
            </w:r>
          </w:p>
        </w:tc>
        <w:tc>
          <w:tcPr>
            <w:tcW w:w="220" w:type="dxa"/>
            <w:vAlign w:val="bottom"/>
          </w:tcPr>
          <w:p>
            <w:pPr>
              <w:ind w:left="100"/>
              <w:spacing w:after="0" w:line="177" w:lineRule="exact"/>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2"/>
              <w:spacing w:after="0" w:line="177" w:lineRule="exact"/>
              <w:rPr>
                <w:sz w:val="20"/>
                <w:szCs w:val="20"/>
                <w:color w:val="auto"/>
              </w:rPr>
            </w:pPr>
            <w:r>
              <w:rPr>
                <w:rFonts w:ascii="Arial" w:cs="Arial" w:eastAsia="Arial" w:hAnsi="Arial"/>
                <w:sz w:val="18"/>
                <w:szCs w:val="18"/>
                <w:b w:val="1"/>
                <w:bCs w:val="1"/>
                <w:color w:val="auto"/>
              </w:rPr>
              <w:t>250</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4"/>
              <w:spacing w:after="0" w:line="177" w:lineRule="exact"/>
              <w:rPr>
                <w:sz w:val="20"/>
                <w:szCs w:val="20"/>
                <w:color w:val="auto"/>
              </w:rPr>
            </w:pPr>
            <w:r>
              <w:rPr>
                <w:rFonts w:ascii="Arial" w:cs="Arial" w:eastAsia="Arial" w:hAnsi="Arial"/>
                <w:sz w:val="18"/>
                <w:szCs w:val="18"/>
                <w:color w:val="auto"/>
              </w:rPr>
              <w:t>163</w:t>
            </w:r>
          </w:p>
        </w:tc>
        <w:tc>
          <w:tcPr>
            <w:tcW w:w="26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77" w:lineRule="exact"/>
              <w:rPr>
                <w:sz w:val="20"/>
                <w:szCs w:val="20"/>
                <w:color w:val="auto"/>
              </w:rPr>
            </w:pPr>
            <w:r>
              <w:rPr>
                <w:rFonts w:ascii="Arial" w:cs="Arial" w:eastAsia="Arial" w:hAnsi="Arial"/>
                <w:sz w:val="18"/>
                <w:szCs w:val="18"/>
                <w:color w:val="auto"/>
              </w:rPr>
              <w:t>114</w:t>
            </w:r>
          </w:p>
        </w:tc>
      </w:tr>
      <w:tr>
        <w:trPr>
          <w:trHeight w:val="221"/>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18</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0C6DFF"/>
        </w:rPr>
        <w:t>Retirement Investment Plans</w:t>
      </w:r>
    </w:p>
    <w:p>
      <w:pPr>
        <w:jc w:val="both"/>
        <w:spacing w:after="0" w:line="237" w:lineRule="auto"/>
        <w:rPr>
          <w:sz w:val="20"/>
          <w:szCs w:val="20"/>
          <w:color w:val="auto"/>
        </w:rPr>
      </w:pPr>
      <w:r>
        <w:rPr>
          <w:rFonts w:ascii="Arial" w:cs="Arial" w:eastAsia="Arial" w:hAnsi="Arial"/>
          <w:sz w:val="18"/>
          <w:szCs w:val="18"/>
          <w:color w:val="auto"/>
        </w:rPr>
        <w:t>We sponsor several 401(k) defined contribution retirement plans that allow eligible employees to contribute a portion of their compensation through payroll deductions in accordance with specified plan guidelines. We make contributions to the plans that include matching a percentage of the employees’ contributions up to certain limits. In 2013, 2012 and for the period January 29, 2011 to December 31, 2011, expenses related to these plans totaled $152 million, $85 million and $70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0C6DFF"/>
        </w:rPr>
        <w:t>Multiemployer Benefit Plans</w:t>
      </w:r>
    </w:p>
    <w:p>
      <w:pPr>
        <w:jc w:val="both"/>
        <w:spacing w:after="0" w:line="238" w:lineRule="auto"/>
        <w:rPr>
          <w:sz w:val="20"/>
          <w:szCs w:val="20"/>
          <w:color w:val="auto"/>
        </w:rPr>
      </w:pPr>
      <w:r>
        <w:rPr>
          <w:rFonts w:ascii="Arial" w:cs="Arial" w:eastAsia="Arial" w:hAnsi="Arial"/>
          <w:sz w:val="18"/>
          <w:szCs w:val="18"/>
          <w:color w:val="auto"/>
        </w:rPr>
        <w:t>We also participate in various multiemployer pension and other postretirement benefit plans that cover some of our employees and temporary employees who are represented by labor unions. We make periodic contributions to these plans in accordance with the terms of applicable collective bargaining agreements and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166</w:t>
            </w: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laws but do not sponsor or administer these plans. We do not participate in any multiemployer benefit plans for which we consider our contributions to be individually significant, and the largest plans in which we participate are funded at a level of 80% or greater. In 2013, 2012 and for the period January 29, 2011 to December 31, 2011, the total contributions we made to multiemployer pension and other postretirement benefit plans were $66 million, $53 million and $42 million, respectively.</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cease to be obligated to make contributions or otherwise withdraw from participation in any of these plans, applicable law requires us to fund our allocable share of the unfunded vested benefits, which is known as a withdrawal liability. In addition, actions taken by other participating employers may lead to adverse changes in the financial condition of one of these plans, which could result in an increase in our withdrawal liability.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0C6DFF"/>
        </w:rPr>
        <w:t>Severance Benefits</w:t>
      </w:r>
    </w:p>
    <w:p>
      <w:pPr>
        <w:jc w:val="both"/>
        <w:spacing w:after="0" w:line="238" w:lineRule="auto"/>
        <w:rPr>
          <w:sz w:val="20"/>
          <w:szCs w:val="20"/>
          <w:color w:val="auto"/>
        </w:rPr>
      </w:pPr>
      <w:r>
        <w:rPr>
          <w:rFonts w:ascii="Arial" w:cs="Arial" w:eastAsia="Arial" w:hAnsi="Arial"/>
          <w:sz w:val="18"/>
          <w:szCs w:val="18"/>
          <w:color w:val="auto"/>
        </w:rPr>
        <w:t>We provide severance benefits to certain former employees. A liability is recorded for benefits provided when payment is probable, the amount is reasonably estimable, and the obligation relates to rights that have vested or accumulated. During 2013, 2012 and for the period January 29, 2011 to December 31, 2011, we recorded $116 million, $90 million and $89 million, respectively, of severance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12: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NBCUniversal Holdings has caused us and will continue to cause us to make distributions or loans to NBCUniversal Holdings to meet its cash requirements. These requirements include an obligation to make distributions on a quarterly basis to enable Comcast to meet its obligations to pay taxes on taxable income generated by our businesses and quarterly payments from NBCUniversal Holdings to NBCUniversal Enterprise on the liquidation preference of its preferred units. During 2013, 2012 and the period January 29, 2011 through December 31, 2011, we made distributions to NBCUniversal Holdings of $1.4 billion, $964 million and $244 million, respectively. In addition, we also made a distribution of $3.2 billion to NBCUniversal Holdings to fund a portion of the Redemption Transaction. This distribution is presented separately on our consolidated statement of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In the Predecessor period ended January 28, 2011, we distributed $7.4 billion to GE prior to the close of the Joint Venture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2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vMerge w:val="continue"/>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177"/>
        </w:trPr>
        <w:tc>
          <w:tcPr>
            <w:tcW w:w="7300" w:type="dxa"/>
            <w:vAlign w:val="bottom"/>
          </w:tcPr>
          <w:p>
            <w:pPr>
              <w:spacing w:after="0" w:line="177" w:lineRule="exact"/>
              <w:rPr>
                <w:sz w:val="20"/>
                <w:szCs w:val="20"/>
                <w:color w:val="auto"/>
              </w:rPr>
            </w:pPr>
            <w:r>
              <w:rPr>
                <w:rFonts w:ascii="Arial" w:cs="Arial" w:eastAsia="Arial" w:hAnsi="Arial"/>
                <w:sz w:val="18"/>
                <w:szCs w:val="18"/>
                <w:color w:val="auto"/>
              </w:rPr>
              <w:t>Deferred gains (losses) on cash flow hedges</w:t>
            </w:r>
          </w:p>
        </w:tc>
        <w:tc>
          <w:tcPr>
            <w:tcW w:w="306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(5)</w:t>
            </w:r>
          </w:p>
        </w:tc>
        <w:tc>
          <w:tcPr>
            <w:tcW w:w="180" w:type="dxa"/>
            <w:vAlign w:val="bottom"/>
          </w:tcPr>
          <w:p>
            <w:pPr>
              <w:jc w:val="right"/>
              <w:spacing w:after="0" w:line="177"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6"/>
              <w:spacing w:after="0" w:line="17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Unrecognized gains (losses) on employee benefit obligations</w:t>
            </w: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1"/>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2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Accumulated other comprehensive income (loss), net of deferred taxes</w:t>
            </w:r>
          </w:p>
        </w:tc>
        <w:tc>
          <w:tcPr>
            <w:tcW w:w="306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(16)</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506"/>
        </w:trPr>
        <w:tc>
          <w:tcPr>
            <w:tcW w:w="7300" w:type="dxa"/>
            <w:vAlign w:val="bottom"/>
          </w:tcPr>
          <w:p>
            <w:pPr>
              <w:ind w:left="5600"/>
              <w:spacing w:after="0"/>
              <w:rPr>
                <w:sz w:val="20"/>
                <w:szCs w:val="20"/>
                <w:color w:val="auto"/>
              </w:rPr>
            </w:pPr>
            <w:r>
              <w:rPr>
                <w:rFonts w:ascii="Arial" w:cs="Arial" w:eastAsia="Arial" w:hAnsi="Arial"/>
                <w:sz w:val="14"/>
                <w:szCs w:val="14"/>
                <w:b w:val="1"/>
                <w:bCs w:val="1"/>
                <w:color w:val="auto"/>
              </w:rPr>
              <w:t>167</w:t>
            </w:r>
          </w:p>
        </w:tc>
        <w:tc>
          <w:tcPr>
            <w:tcW w:w="4120" w:type="dxa"/>
            <w:vAlign w:val="bottom"/>
            <w:gridSpan w:val="5"/>
          </w:tcPr>
          <w:p>
            <w:pPr>
              <w:jc w:val="right"/>
              <w:spacing w:after="0"/>
              <w:rPr>
                <w:sz w:val="20"/>
                <w:szCs w:val="20"/>
                <w:color w:val="auto"/>
              </w:rPr>
            </w:pPr>
            <w:r>
              <w:rPr>
                <w:rFonts w:ascii="Arial" w:cs="Arial" w:eastAsia="Arial" w:hAnsi="Arial"/>
                <w:sz w:val="14"/>
                <w:szCs w:val="14"/>
                <w:color w:val="auto"/>
              </w:rPr>
              <w:t>Comcast 2013 Annual Report on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13: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condensed information on our share-based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C6DFF"/>
        </w:rPr>
        <w:t>Recognized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rPr>
              <w:t>Successor</w:t>
            </w:r>
          </w:p>
        </w:tc>
        <w:tc>
          <w:tcPr>
            <w:tcW w:w="1480" w:type="dxa"/>
            <w:vAlign w:val="bottom"/>
            <w:tcBorders>
              <w:bottom w:val="single" w:sz="8" w:color="auto"/>
            </w:tcBorders>
          </w:tcPr>
          <w:p>
            <w:pPr>
              <w:spacing w:after="0"/>
              <w:rPr>
                <w:sz w:val="14"/>
                <w:szCs w:val="14"/>
                <w:color w:val="auto"/>
              </w:rPr>
            </w:pPr>
          </w:p>
        </w:tc>
      </w:tr>
      <w:tr>
        <w:trPr>
          <w:trHeight w:val="129"/>
        </w:trPr>
        <w:tc>
          <w:tcPr>
            <w:tcW w:w="7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1"/>
                <w:szCs w:val="11"/>
                <w:color w:val="auto"/>
              </w:rPr>
            </w:pPr>
          </w:p>
        </w:tc>
        <w:tc>
          <w:tcPr>
            <w:tcW w:w="820" w:type="dxa"/>
            <w:vAlign w:val="bottom"/>
          </w:tcPr>
          <w:p>
            <w:pPr>
              <w:jc w:val="right"/>
              <w:ind w:right="1"/>
              <w:spacing w:after="0" w:line="129" w:lineRule="exact"/>
              <w:rPr>
                <w:sz w:val="20"/>
                <w:szCs w:val="20"/>
                <w:color w:val="auto"/>
              </w:rPr>
            </w:pPr>
            <w:r>
              <w:rPr>
                <w:rFonts w:ascii="Arial" w:cs="Arial" w:eastAsia="Arial" w:hAnsi="Arial"/>
                <w:sz w:val="14"/>
                <w:szCs w:val="14"/>
                <w:color w:val="auto"/>
                <w:w w:val="97"/>
              </w:rPr>
              <w:t>Year Ended</w:t>
            </w:r>
          </w:p>
        </w:tc>
        <w:tc>
          <w:tcPr>
            <w:tcW w:w="1740" w:type="dxa"/>
            <w:vAlign w:val="bottom"/>
            <w:gridSpan w:val="2"/>
          </w:tcPr>
          <w:p>
            <w:pPr>
              <w:ind w:left="80"/>
              <w:spacing w:after="0" w:line="129" w:lineRule="exact"/>
              <w:rPr>
                <w:sz w:val="20"/>
                <w:szCs w:val="20"/>
                <w:color w:val="auto"/>
              </w:rPr>
            </w:pPr>
            <w:r>
              <w:rPr>
                <w:rFonts w:ascii="Arial" w:cs="Arial" w:eastAsia="Arial" w:hAnsi="Arial"/>
                <w:sz w:val="14"/>
                <w:szCs w:val="14"/>
                <w:color w:val="auto"/>
                <w:w w:val="98"/>
              </w:rPr>
              <w:t>For the Period January 29,</w:t>
            </w:r>
          </w:p>
        </w:tc>
      </w:tr>
      <w:tr>
        <w:trPr>
          <w:trHeight w:val="149"/>
        </w:trPr>
        <w:tc>
          <w:tcPr>
            <w:tcW w:w="76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2011 to December 31,</w:t>
            </w:r>
          </w:p>
        </w:tc>
      </w:tr>
      <w:tr>
        <w:trPr>
          <w:trHeight w:val="176"/>
        </w:trPr>
        <w:tc>
          <w:tcPr>
            <w:tcW w:w="7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r>
      <w:tr>
        <w:trPr>
          <w:trHeight w:val="177"/>
        </w:trPr>
        <w:tc>
          <w:tcPr>
            <w:tcW w:w="7600" w:type="dxa"/>
            <w:vAlign w:val="bottom"/>
          </w:tcPr>
          <w:p>
            <w:pPr>
              <w:spacing w:after="0" w:line="177" w:lineRule="exact"/>
              <w:rPr>
                <w:sz w:val="20"/>
                <w:szCs w:val="20"/>
                <w:color w:val="auto"/>
              </w:rPr>
            </w:pPr>
            <w:r>
              <w:rPr>
                <w:rFonts w:ascii="Arial" w:cs="Arial" w:eastAsia="Arial" w:hAnsi="Arial"/>
                <w:sz w:val="18"/>
                <w:szCs w:val="18"/>
                <w:color w:val="auto"/>
              </w:rPr>
              <w:t>Stock options</w:t>
            </w:r>
          </w:p>
        </w:tc>
        <w:tc>
          <w:tcPr>
            <w:tcW w:w="220" w:type="dxa"/>
            <w:vAlign w:val="bottom"/>
          </w:tcPr>
          <w:p>
            <w:pPr>
              <w:ind w:left="100"/>
              <w:spacing w:after="0" w:line="177" w:lineRule="exact"/>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15</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
              <w:spacing w:after="0" w:line="177" w:lineRule="exact"/>
              <w:rPr>
                <w:sz w:val="20"/>
                <w:szCs w:val="20"/>
                <w:color w:val="auto"/>
              </w:rPr>
            </w:pPr>
            <w:r>
              <w:rPr>
                <w:rFonts w:ascii="Arial" w:cs="Arial" w:eastAsia="Arial" w:hAnsi="Arial"/>
                <w:sz w:val="18"/>
                <w:szCs w:val="18"/>
                <w:color w:val="auto"/>
              </w:rPr>
              <w:t>15</w:t>
            </w:r>
          </w:p>
        </w:tc>
        <w:tc>
          <w:tcPr>
            <w:tcW w:w="260" w:type="dxa"/>
            <w:vAlign w:val="bottom"/>
          </w:tcPr>
          <w:p>
            <w:pPr>
              <w:ind w:left="80"/>
              <w:spacing w:after="0" w:line="177"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77" w:lineRule="exact"/>
              <w:rPr>
                <w:sz w:val="20"/>
                <w:szCs w:val="20"/>
                <w:color w:val="auto"/>
              </w:rPr>
            </w:pPr>
            <w:r>
              <w:rPr>
                <w:rFonts w:ascii="Arial" w:cs="Arial" w:eastAsia="Arial" w:hAnsi="Arial"/>
                <w:sz w:val="18"/>
                <w:szCs w:val="18"/>
                <w:color w:val="auto"/>
              </w:rPr>
              <w:t>13</w:t>
            </w: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Restricted share units</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w:t>
            </w:r>
          </w:p>
        </w:tc>
        <w:tc>
          <w:tcPr>
            <w:tcW w:w="200" w:type="dxa"/>
            <w:vAlign w:val="bottom"/>
          </w:tcPr>
          <w:p>
            <w:pPr>
              <w:spacing w:after="0"/>
              <w:rPr>
                <w:sz w:val="17"/>
                <w:szCs w:val="17"/>
                <w:color w:val="auto"/>
              </w:rPr>
            </w:pPr>
          </w:p>
        </w:tc>
        <w:tc>
          <w:tcPr>
            <w:tcW w:w="820" w:type="dxa"/>
            <w:vAlign w:val="bottom"/>
          </w:tcPr>
          <w:p>
            <w:pPr>
              <w:jc w:val="right"/>
              <w:ind w:right="1"/>
              <w:spacing w:after="0" w:line="202" w:lineRule="exact"/>
              <w:rPr>
                <w:sz w:val="20"/>
                <w:szCs w:val="20"/>
                <w:color w:val="auto"/>
              </w:rPr>
            </w:pPr>
            <w:r>
              <w:rPr>
                <w:rFonts w:ascii="Arial" w:cs="Arial" w:eastAsia="Arial" w:hAnsi="Arial"/>
                <w:sz w:val="18"/>
                <w:szCs w:val="18"/>
                <w:color w:val="auto"/>
              </w:rPr>
              <w:t>28</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21"/>
        </w:trPr>
        <w:tc>
          <w:tcPr>
            <w:tcW w:w="7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stock purchase plans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76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62</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0C6DFF"/>
            </w:tcBorders>
          </w:tcPr>
          <w:p>
            <w:pPr>
              <w:jc w:val="right"/>
              <w:ind w:right="1"/>
              <w:spacing w:after="0" w:line="196" w:lineRule="exact"/>
              <w:rPr>
                <w:sz w:val="20"/>
                <w:szCs w:val="20"/>
                <w:color w:val="auto"/>
              </w:rPr>
            </w:pPr>
            <w:r>
              <w:rPr>
                <w:rFonts w:ascii="Arial" w:cs="Arial" w:eastAsia="Arial" w:hAnsi="Arial"/>
                <w:sz w:val="18"/>
                <w:szCs w:val="18"/>
                <w:color w:val="auto"/>
              </w:rPr>
              <w:t>47</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2013, we had unrecognized pretax compensation expense of $35 million related to nonvested Comcast stock options and unrecognized pretax compensation expense of $98 million related to nonvested Comcast restricted share units (“RSUs”) that will be recognized over a weighted-average period of approximately 2.2 years and 1.7 years, respectively.</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RSUs to certain employees and directors as part of its approach to long-term incentive compensation. Awards generally vest over a period of 5 years and in the case of stock options, have a 10 year term. Additionally, through the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cost associated with Comcast’s share-based compensation is based on an award’s estimated fair value at the date of grant and is recognized over the period in which any related services are provided. Comcast uses the Black-Scholes option pricing model to estimate the fair value of stock option awards. RSUs are valued based on the closing price of Comcast Class A common stock on the date of grant and are discounted for the lack of dividends, if any, during the vesting period. The table below presents the weighted-average fair value on the date of grant of RSUs and Class A common stock options awarded under Comcast’s various plans to employees of NBCUniversal and the related weighted-average valuation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jc w:val="right"/>
              <w:ind w:right="157"/>
              <w:spacing w:after="0" w:line="125"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0"/>
                <w:szCs w:val="10"/>
                <w:color w:val="auto"/>
              </w:rPr>
            </w:pPr>
          </w:p>
        </w:tc>
        <w:tc>
          <w:tcPr>
            <w:tcW w:w="1000" w:type="dxa"/>
            <w:vAlign w:val="bottom"/>
          </w:tcPr>
          <w:p>
            <w:pPr>
              <w:jc w:val="right"/>
              <w:ind w:right="199"/>
              <w:spacing w:after="0" w:line="125" w:lineRule="exact"/>
              <w:rPr>
                <w:sz w:val="20"/>
                <w:szCs w:val="20"/>
                <w:color w:val="auto"/>
              </w:rPr>
            </w:pPr>
            <w:r>
              <w:rPr>
                <w:rFonts w:ascii="Arial" w:cs="Arial" w:eastAsia="Arial" w:hAnsi="Arial"/>
                <w:sz w:val="14"/>
                <w:szCs w:val="14"/>
                <w:color w:val="auto"/>
                <w:w w:val="94"/>
              </w:rPr>
              <w:t>Year Ended</w:t>
            </w:r>
          </w:p>
        </w:tc>
        <w:tc>
          <w:tcPr>
            <w:tcW w:w="1860" w:type="dxa"/>
            <w:vAlign w:val="bottom"/>
            <w:gridSpan w:val="2"/>
          </w:tcPr>
          <w:p>
            <w:pPr>
              <w:ind w:left="40"/>
              <w:spacing w:after="0" w:line="125" w:lineRule="exact"/>
              <w:rPr>
                <w:sz w:val="20"/>
                <w:szCs w:val="20"/>
                <w:color w:val="auto"/>
              </w:rPr>
            </w:pPr>
            <w:r>
              <w:rPr>
                <w:rFonts w:ascii="Arial" w:cs="Arial" w:eastAsia="Arial" w:hAnsi="Arial"/>
                <w:sz w:val="14"/>
                <w:szCs w:val="14"/>
                <w:color w:val="auto"/>
              </w:rPr>
              <w:t>For the Period January 29,</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2"/>
                <w:szCs w:val="12"/>
                <w:color w:val="auto"/>
              </w:rPr>
            </w:pPr>
          </w:p>
        </w:tc>
        <w:tc>
          <w:tcPr>
            <w:tcW w:w="1640" w:type="dxa"/>
            <w:vAlign w:val="bottom"/>
          </w:tcPr>
          <w:p>
            <w:pPr>
              <w:jc w:val="right"/>
              <w:ind w:right="137"/>
              <w:spacing w:after="0" w:line="149" w:lineRule="exact"/>
              <w:rPr>
                <w:sz w:val="20"/>
                <w:szCs w:val="20"/>
                <w:color w:val="auto"/>
              </w:rPr>
            </w:pPr>
            <w:r>
              <w:rPr>
                <w:rFonts w:ascii="Arial" w:cs="Arial" w:eastAsia="Arial" w:hAnsi="Arial"/>
                <w:sz w:val="14"/>
                <w:szCs w:val="14"/>
                <w:color w:val="auto"/>
              </w:rPr>
              <w:t>2011 to December 31,</w:t>
            </w:r>
          </w:p>
        </w:tc>
        <w:tc>
          <w:tcPr>
            <w:tcW w:w="0" w:type="dxa"/>
            <w:vAlign w:val="bottom"/>
          </w:tcPr>
          <w:p>
            <w:pPr>
              <w:spacing w:after="0"/>
              <w:rPr>
                <w:sz w:val="1"/>
                <w:szCs w:val="1"/>
                <w:color w:val="auto"/>
              </w:rPr>
            </w:pPr>
          </w:p>
        </w:tc>
      </w:tr>
      <w:tr>
        <w:trPr>
          <w:trHeight w:val="165"/>
        </w:trPr>
        <w:tc>
          <w:tcPr>
            <w:tcW w:w="4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77"/>
        </w:trPr>
        <w:tc>
          <w:tcPr>
            <w:tcW w:w="4240" w:type="dxa"/>
            <w:vAlign w:val="bottom"/>
          </w:tcPr>
          <w:p>
            <w:pPr>
              <w:spacing w:after="0" w:line="177" w:lineRule="exact"/>
              <w:rPr>
                <w:sz w:val="20"/>
                <w:szCs w:val="20"/>
                <w:color w:val="auto"/>
              </w:rPr>
            </w:pPr>
            <w:r>
              <w:rPr>
                <w:rFonts w:ascii="Arial" w:cs="Arial" w:eastAsia="Arial" w:hAnsi="Arial"/>
                <w:sz w:val="18"/>
                <w:szCs w:val="18"/>
                <w:color w:val="auto"/>
              </w:rPr>
              <w:t>RSUs fair value</w:t>
            </w:r>
          </w:p>
        </w:tc>
        <w:tc>
          <w:tcPr>
            <w:tcW w:w="3120" w:type="dxa"/>
            <w:vAlign w:val="bottom"/>
            <w:gridSpan w:val="2"/>
          </w:tcPr>
          <w:p>
            <w:pPr>
              <w:ind w:left="3000"/>
              <w:spacing w:after="0" w:line="177" w:lineRule="exact"/>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7"/>
              <w:spacing w:after="0" w:line="177" w:lineRule="exact"/>
              <w:rPr>
                <w:sz w:val="20"/>
                <w:szCs w:val="20"/>
                <w:color w:val="auto"/>
              </w:rPr>
            </w:pPr>
            <w:r>
              <w:rPr>
                <w:rFonts w:ascii="Arial" w:cs="Arial" w:eastAsia="Arial" w:hAnsi="Arial"/>
                <w:sz w:val="18"/>
                <w:szCs w:val="18"/>
                <w:b w:val="1"/>
                <w:bCs w:val="1"/>
                <w:color w:val="auto"/>
              </w:rPr>
              <w:t>37.79</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9"/>
              <w:spacing w:after="0" w:line="177" w:lineRule="exact"/>
              <w:rPr>
                <w:sz w:val="20"/>
                <w:szCs w:val="20"/>
                <w:color w:val="auto"/>
              </w:rPr>
            </w:pPr>
            <w:r>
              <w:rPr>
                <w:rFonts w:ascii="Arial" w:cs="Arial" w:eastAsia="Arial" w:hAnsi="Arial"/>
                <w:sz w:val="18"/>
                <w:szCs w:val="18"/>
                <w:color w:val="auto"/>
              </w:rPr>
              <w:t>27.51</w:t>
            </w:r>
          </w:p>
        </w:tc>
        <w:tc>
          <w:tcPr>
            <w:tcW w:w="220" w:type="dxa"/>
            <w:vAlign w:val="bottom"/>
          </w:tcPr>
          <w:p>
            <w:pPr>
              <w:ind w:left="40"/>
              <w:spacing w:after="0" w:line="177"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137"/>
              <w:spacing w:after="0" w:line="177" w:lineRule="exact"/>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20"/>
                <w:szCs w:val="20"/>
                <w:color w:val="auto"/>
              </w:rPr>
            </w:pPr>
            <w:r>
              <w:rPr>
                <w:rFonts w:ascii="Arial" w:cs="Arial" w:eastAsia="Arial" w:hAnsi="Arial"/>
                <w:sz w:val="18"/>
                <w:szCs w:val="18"/>
                <w:color w:val="auto"/>
              </w:rPr>
              <w:t>Stock options fair value</w:t>
            </w:r>
          </w:p>
        </w:tc>
        <w:tc>
          <w:tcPr>
            <w:tcW w:w="3120" w:type="dxa"/>
            <w:vAlign w:val="bottom"/>
            <w:gridSpan w:val="2"/>
          </w:tcPr>
          <w:p>
            <w:pPr>
              <w:ind w:left="30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57"/>
              <w:spacing w:after="0"/>
              <w:rPr>
                <w:sz w:val="20"/>
                <w:szCs w:val="20"/>
                <w:color w:val="auto"/>
              </w:rPr>
            </w:pPr>
            <w:r>
              <w:rPr>
                <w:rFonts w:ascii="Arial" w:cs="Arial" w:eastAsia="Arial" w:hAnsi="Arial"/>
                <w:sz w:val="18"/>
                <w:szCs w:val="18"/>
                <w:b w:val="1"/>
                <w:bCs w:val="1"/>
                <w:color w:val="auto"/>
              </w:rPr>
              <w:t>8.86</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7.42</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7"/>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Stock Option Valuation Assumptions:</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40" w:type="dxa"/>
            <w:vAlign w:val="bottom"/>
          </w:tcPr>
          <w:p>
            <w:pPr>
              <w:ind w:left="220"/>
              <w:spacing w:after="0" w:line="181" w:lineRule="exact"/>
              <w:rPr>
                <w:sz w:val="20"/>
                <w:szCs w:val="20"/>
                <w:color w:val="auto"/>
              </w:rPr>
            </w:pPr>
            <w:r>
              <w:rPr>
                <w:rFonts w:ascii="Arial" w:cs="Arial" w:eastAsia="Arial" w:hAnsi="Arial"/>
                <w:sz w:val="18"/>
                <w:szCs w:val="18"/>
                <w:color w:val="auto"/>
              </w:rPr>
              <w:t>Dividend yield</w:t>
            </w: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9"/>
              <w:spacing w:after="0" w:line="181"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5"/>
                <w:szCs w:val="15"/>
                <w:color w:val="auto"/>
              </w:rPr>
            </w:pPr>
          </w:p>
        </w:tc>
        <w:tc>
          <w:tcPr>
            <w:tcW w:w="1640" w:type="dxa"/>
            <w:vAlign w:val="bottom"/>
          </w:tcPr>
          <w:p>
            <w:pPr>
              <w:jc w:val="right"/>
              <w:spacing w:after="0" w:line="18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Expected volatility</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25.2%</w:t>
            </w:r>
          </w:p>
        </w:tc>
        <w:tc>
          <w:tcPr>
            <w:tcW w:w="200" w:type="dxa"/>
            <w:vAlign w:val="bottom"/>
          </w:tcPr>
          <w:p>
            <w:pPr>
              <w:spacing w:after="0"/>
              <w:rPr>
                <w:sz w:val="17"/>
                <w:szCs w:val="17"/>
                <w:color w:val="auto"/>
              </w:rPr>
            </w:pPr>
          </w:p>
        </w:tc>
        <w:tc>
          <w:tcPr>
            <w:tcW w:w="10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29.0%</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4240" w:type="dxa"/>
            <w:vAlign w:val="bottom"/>
          </w:tcPr>
          <w:p>
            <w:pPr>
              <w:ind w:left="220"/>
              <w:spacing w:after="0" w:line="202" w:lineRule="exact"/>
              <w:rPr>
                <w:sz w:val="20"/>
                <w:szCs w:val="20"/>
                <w:color w:val="auto"/>
              </w:rPr>
            </w:pPr>
            <w:r>
              <w:rPr>
                <w:rFonts w:ascii="Arial" w:cs="Arial" w:eastAsia="Arial" w:hAnsi="Arial"/>
                <w:sz w:val="18"/>
                <w:szCs w:val="18"/>
                <w:color w:val="auto"/>
              </w:rPr>
              <w:t>Risk-free interest rate</w:t>
            </w:r>
          </w:p>
        </w:tc>
        <w:tc>
          <w:tcPr>
            <w:tcW w:w="2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7"/>
                <w:szCs w:val="17"/>
                <w:color w:val="auto"/>
              </w:rPr>
            </w:pPr>
          </w:p>
        </w:tc>
        <w:tc>
          <w:tcPr>
            <w:tcW w:w="10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Expected option life (in years)</w:t>
            </w:r>
          </w:p>
        </w:tc>
        <w:tc>
          <w:tcPr>
            <w:tcW w:w="2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06"/>
        </w:trPr>
        <w:tc>
          <w:tcPr>
            <w:tcW w:w="424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2900" w:type="dxa"/>
            <w:vAlign w:val="bottom"/>
          </w:tcPr>
          <w:p>
            <w:pPr>
              <w:jc w:val="right"/>
              <w:ind w:right="1239"/>
              <w:spacing w:after="0"/>
              <w:rPr>
                <w:sz w:val="20"/>
                <w:szCs w:val="20"/>
                <w:color w:val="auto"/>
              </w:rPr>
            </w:pPr>
            <w:r>
              <w:rPr>
                <w:rFonts w:ascii="Arial" w:cs="Arial" w:eastAsia="Arial" w:hAnsi="Arial"/>
                <w:sz w:val="14"/>
                <w:szCs w:val="14"/>
                <w:b w:val="1"/>
                <w:bCs w:val="1"/>
                <w:color w:val="auto"/>
              </w:rPr>
              <w:t>168</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Components of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Successor</w:t>
            </w: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8"/>
              <w:spacing w:after="0" w:line="139" w:lineRule="exact"/>
              <w:rPr>
                <w:sz w:val="20"/>
                <w:szCs w:val="20"/>
                <w:color w:val="auto"/>
              </w:rPr>
            </w:pPr>
            <w:r>
              <w:rPr>
                <w:rFonts w:ascii="Arial" w:cs="Arial" w:eastAsia="Arial" w:hAnsi="Arial"/>
                <w:sz w:val="14"/>
                <w:szCs w:val="14"/>
                <w:b w:val="1"/>
                <w:bCs w:val="1"/>
                <w:color w:val="auto"/>
                <w:w w:val="98"/>
              </w:rPr>
              <w:t>Year Ended</w:t>
            </w:r>
          </w:p>
        </w:tc>
        <w:tc>
          <w:tcPr>
            <w:tcW w:w="20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w w:val="97"/>
              </w:rPr>
              <w:t>Year Ended</w:t>
            </w:r>
          </w:p>
        </w:tc>
        <w:tc>
          <w:tcPr>
            <w:tcW w:w="1740" w:type="dxa"/>
            <w:vAlign w:val="bottom"/>
            <w:gridSpan w:val="2"/>
          </w:tcPr>
          <w:p>
            <w:pPr>
              <w:ind w:left="80"/>
              <w:spacing w:after="0" w:line="139" w:lineRule="exact"/>
              <w:rPr>
                <w:sz w:val="20"/>
                <w:szCs w:val="20"/>
                <w:color w:val="auto"/>
              </w:rPr>
            </w:pPr>
            <w:r>
              <w:rPr>
                <w:rFonts w:ascii="Arial" w:cs="Arial" w:eastAsia="Arial" w:hAnsi="Arial"/>
                <w:sz w:val="14"/>
                <w:szCs w:val="14"/>
                <w:color w:val="auto"/>
                <w:w w:val="98"/>
              </w:rPr>
              <w:t>For the Period January 29,</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2011 to December 31,</w:t>
            </w:r>
          </w:p>
        </w:tc>
        <w:tc>
          <w:tcPr>
            <w:tcW w:w="0" w:type="dxa"/>
            <w:vAlign w:val="bottom"/>
          </w:tcPr>
          <w:p>
            <w:pPr>
              <w:spacing w:after="0"/>
              <w:rPr>
                <w:sz w:val="1"/>
                <w:szCs w:val="1"/>
                <w:color w:val="auto"/>
              </w:rPr>
            </w:pPr>
          </w:p>
        </w:tc>
      </w:tr>
      <w:tr>
        <w:trPr>
          <w:trHeight w:val="165"/>
        </w:trPr>
        <w:tc>
          <w:tcPr>
            <w:tcW w:w="7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9"/>
        </w:trPr>
        <w:tc>
          <w:tcPr>
            <w:tcW w:w="7540" w:type="dxa"/>
            <w:vAlign w:val="bottom"/>
          </w:tcPr>
          <w:p>
            <w:pPr>
              <w:spacing w:after="0" w:line="200" w:lineRule="exact"/>
              <w:rPr>
                <w:sz w:val="20"/>
                <w:szCs w:val="20"/>
                <w:color w:val="auto"/>
              </w:rPr>
            </w:pPr>
            <w:r>
              <w:rPr>
                <w:rFonts w:ascii="Arial" w:cs="Arial" w:eastAsia="Arial" w:hAnsi="Arial"/>
                <w:sz w:val="18"/>
                <w:szCs w:val="18"/>
                <w:color w:val="auto"/>
              </w:rPr>
              <w:t>Foreign</w:t>
            </w:r>
          </w:p>
        </w:tc>
        <w:tc>
          <w:tcPr>
            <w:tcW w:w="22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540" w:type="dxa"/>
            <w:vAlign w:val="bottom"/>
          </w:tcPr>
          <w:p>
            <w:pPr>
              <w:ind w:left="220"/>
              <w:spacing w:after="0" w:line="181" w:lineRule="exact"/>
              <w:rPr>
                <w:sz w:val="20"/>
                <w:szCs w:val="20"/>
                <w:color w:val="auto"/>
              </w:rPr>
            </w:pPr>
            <w:r>
              <w:rPr>
                <w:rFonts w:ascii="Arial" w:cs="Arial" w:eastAsia="Arial" w:hAnsi="Arial"/>
                <w:sz w:val="18"/>
                <w:szCs w:val="18"/>
                <w:color w:val="auto"/>
              </w:rPr>
              <w:t>Current income tax expense</w:t>
            </w:r>
          </w:p>
        </w:tc>
        <w:tc>
          <w:tcPr>
            <w:tcW w:w="2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ind w:left="80"/>
              <w:spacing w:after="0" w:line="181"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81" w:lineRule="exact"/>
              <w:rPr>
                <w:sz w:val="20"/>
                <w:szCs w:val="20"/>
                <w:color w:val="auto"/>
              </w:rPr>
            </w:pPr>
            <w:r>
              <w:rPr>
                <w:rFonts w:ascii="Arial" w:cs="Arial" w:eastAsia="Arial" w:hAnsi="Arial"/>
                <w:sz w:val="18"/>
                <w:szCs w:val="18"/>
                <w:color w:val="auto"/>
              </w:rPr>
              <w:t>69</w:t>
            </w:r>
          </w:p>
        </w:tc>
        <w:tc>
          <w:tcPr>
            <w:tcW w:w="260" w:type="dxa"/>
            <w:vAlign w:val="bottom"/>
          </w:tcPr>
          <w:p>
            <w:pPr>
              <w:ind w:left="80"/>
              <w:spacing w:after="0" w:line="181"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7540" w:type="dxa"/>
            <w:vAlign w:val="bottom"/>
          </w:tcPr>
          <w:p>
            <w:pPr>
              <w:ind w:left="220"/>
              <w:spacing w:after="0" w:line="202" w:lineRule="exact"/>
              <w:rPr>
                <w:sz w:val="20"/>
                <w:szCs w:val="20"/>
                <w:color w:val="auto"/>
              </w:rPr>
            </w:pPr>
            <w:r>
              <w:rPr>
                <w:rFonts w:ascii="Arial" w:cs="Arial" w:eastAsia="Arial" w:hAnsi="Arial"/>
                <w:sz w:val="18"/>
                <w:szCs w:val="18"/>
                <w:color w:val="auto"/>
              </w:rPr>
              <w:t>Deferred income tax expense</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7540" w:type="dxa"/>
            <w:vAlign w:val="bottom"/>
          </w:tcPr>
          <w:p>
            <w:pPr>
              <w:ind w:left="220"/>
              <w:spacing w:after="0" w:line="202" w:lineRule="exact"/>
              <w:rPr>
                <w:sz w:val="20"/>
                <w:szCs w:val="20"/>
                <w:color w:val="auto"/>
              </w:rPr>
            </w:pPr>
            <w:r>
              <w:rPr>
                <w:rFonts w:ascii="Arial" w:cs="Arial" w:eastAsia="Arial" w:hAnsi="Arial"/>
                <w:sz w:val="18"/>
                <w:szCs w:val="18"/>
                <w:color w:val="auto"/>
              </w:rPr>
              <w:t>Withholding tax expense</w:t>
            </w:r>
          </w:p>
        </w:tc>
        <w:tc>
          <w:tcPr>
            <w:tcW w:w="220" w:type="dxa"/>
            <w:vAlign w:val="bottom"/>
          </w:tcPr>
          <w:p>
            <w:pPr>
              <w:spacing w:after="0"/>
              <w:rPr>
                <w:sz w:val="17"/>
                <w:szCs w:val="17"/>
                <w:color w:val="auto"/>
              </w:rPr>
            </w:pPr>
          </w:p>
        </w:tc>
        <w:tc>
          <w:tcPr>
            <w:tcW w:w="90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123</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2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domestic tax expense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0C6DFF"/>
            </w:tcBorders>
          </w:tcPr>
          <w:p>
            <w:pPr>
              <w:ind w:left="100"/>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0C6DFF"/>
            </w:tcBorders>
          </w:tcPr>
          <w:p>
            <w:pPr>
              <w:jc w:val="right"/>
              <w:ind w:right="58"/>
              <w:spacing w:after="0" w:line="196" w:lineRule="exact"/>
              <w:rPr>
                <w:sz w:val="20"/>
                <w:szCs w:val="20"/>
                <w:color w:val="auto"/>
              </w:rPr>
            </w:pPr>
            <w:r>
              <w:rPr>
                <w:rFonts w:ascii="Arial" w:cs="Arial" w:eastAsia="Arial" w:hAnsi="Arial"/>
                <w:sz w:val="18"/>
                <w:szCs w:val="18"/>
                <w:b w:val="1"/>
                <w:bCs w:val="1"/>
                <w:color w:val="auto"/>
              </w:rPr>
              <w:t>206</w:t>
            </w:r>
          </w:p>
        </w:tc>
        <w:tc>
          <w:tcPr>
            <w:tcW w:w="2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197</w:t>
            </w:r>
          </w:p>
        </w:tc>
        <w:tc>
          <w:tcPr>
            <w:tcW w:w="26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a limited liability company, and our company is disregarded for U.S. federal income tax purposes as an entity separate from NBCUniversal Holdings, a tax partnership. NBCUniversal and our subsidiaries are not expected to incur any significant current or deferred U.S. domestic income taxes. Our tax liability is comprised primarily of withholding tax on foreign licensing activity and income taxes on foreign earnings. As a result of our tax status, the deferred tax assets and liabilities included in our consolidated balance sheet at December 31, 2013 and 2012 were not material.</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jurisdictions in which we are subject to income taxes, we base our provision for income taxes on our current period income, changes in our deferred income tax assets and liabilities, income tax rates, changes in estimates of our uncertain tax positions, and tax planning opportunities available in the jurisdictions in which we operate. We recognize deferred tax assets and liabilities when there are temporary differences between the financial reporting basis and tax basis of our assets and liabilities and for the expected benefits of using net operating loss carryforwards. When a change in the tax rate or tax law has an impact on deferred taxes, we apply the change based on the years in which the temporary differences are expected to reverse. We record the change in our consolidated financial statements in the period of enactment.</w:t>
      </w:r>
    </w:p>
    <w:p>
      <w:pPr>
        <w:spacing w:after="0" w:line="156" w:lineRule="exact"/>
        <w:rPr>
          <w:sz w:val="20"/>
          <w:szCs w:val="20"/>
          <w:color w:val="auto"/>
        </w:rPr>
      </w:pPr>
    </w:p>
    <w:p>
      <w:pPr>
        <w:ind w:right="1760"/>
        <w:spacing w:after="0" w:line="328" w:lineRule="auto"/>
        <w:rPr>
          <w:sz w:val="20"/>
          <w:szCs w:val="20"/>
          <w:color w:val="auto"/>
        </w:rPr>
      </w:pPr>
      <w:r>
        <w:rPr>
          <w:rFonts w:ascii="Arial" w:cs="Arial" w:eastAsia="Arial" w:hAnsi="Arial"/>
          <w:sz w:val="18"/>
          <w:szCs w:val="18"/>
          <w:color w:val="auto"/>
        </w:rPr>
        <w:t xml:space="preserve">We classify interest and penalties, if any, associated with our uncertain tax positions as a component of income tax expense. </w:t>
      </w:r>
      <w:r>
        <w:rPr>
          <w:rFonts w:ascii="Arial" w:cs="Arial" w:eastAsia="Arial" w:hAnsi="Arial"/>
          <w:sz w:val="18"/>
          <w:szCs w:val="18"/>
          <w:b w:val="1"/>
          <w:bCs w:val="1"/>
          <w:color w:val="auto"/>
        </w:rPr>
        <w:t>Uncertain Tax Positions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retain liabilities for uncertain tax positions where we are the tax filer of record. GE and Comcast have indemnified NBCUniversal Holdings and us with respect to our income tax obligations attributable to periods prior to the close of the Joint Venture transaction, including indemnification of uncertain tax positions relating to filings made prior to the close of the Joint Venture transaction. The liabilities for uncertain tax positions included in our consolidated balance sheet were not material as of December 31, 2013 and 2012.</w:t>
      </w:r>
    </w:p>
    <w:p>
      <w:pPr>
        <w:spacing w:after="0" w:line="15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Various domestic and foreign taxing authorities are examining our tax returns through 2012. The majority of the periods under examination relate to tax years 2004 and forward. All periods prior to January 28, 2011 that are subject to audit are covered by the indemnification from GE or Comcast.</w:t>
      </w:r>
    </w:p>
    <w:p>
      <w:pPr>
        <w:spacing w:after="0" w:line="278"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169</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15: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C6DFF"/>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64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978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7"/>
        </w:trPr>
        <w:tc>
          <w:tcPr>
            <w:tcW w:w="9780" w:type="dxa"/>
            <w:vAlign w:val="bottom"/>
          </w:tcPr>
          <w:p>
            <w:pPr>
              <w:spacing w:after="0" w:line="177" w:lineRule="exact"/>
              <w:rPr>
                <w:sz w:val="20"/>
                <w:szCs w:val="20"/>
                <w:color w:val="auto"/>
              </w:rPr>
            </w:pPr>
            <w:r>
              <w:rPr>
                <w:rFonts w:ascii="Arial" w:cs="Arial" w:eastAsia="Arial" w:hAnsi="Arial"/>
                <w:sz w:val="18"/>
                <w:szCs w:val="18"/>
                <w:color w:val="auto"/>
              </w:rPr>
              <w:t>Receivables, gross</w:t>
            </w:r>
          </w:p>
        </w:tc>
        <w:tc>
          <w:tcPr>
            <w:tcW w:w="840" w:type="dxa"/>
            <w:vAlign w:val="bottom"/>
          </w:tcPr>
          <w:p>
            <w:pPr>
              <w:jc w:val="right"/>
              <w:ind w:right="59"/>
              <w:spacing w:after="0" w:line="177" w:lineRule="exact"/>
              <w:rPr>
                <w:sz w:val="20"/>
                <w:szCs w:val="20"/>
                <w:color w:val="auto"/>
              </w:rPr>
            </w:pPr>
            <w:r>
              <w:rPr>
                <w:rFonts w:ascii="Arial" w:cs="Arial" w:eastAsia="Arial" w:hAnsi="Arial"/>
                <w:sz w:val="18"/>
                <w:szCs w:val="18"/>
                <w:b w:val="1"/>
                <w:bCs w:val="1"/>
                <w:color w:val="auto"/>
              </w:rPr>
              <w:t>$ 5,348</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$ 4,381</w:t>
            </w:r>
          </w:p>
        </w:tc>
        <w:tc>
          <w:tcPr>
            <w:tcW w:w="0" w:type="dxa"/>
            <w:vAlign w:val="bottom"/>
          </w:tcPr>
          <w:p>
            <w:pPr>
              <w:spacing w:after="0"/>
              <w:rPr>
                <w:sz w:val="1"/>
                <w:szCs w:val="1"/>
                <w:color w:val="auto"/>
              </w:rPr>
            </w:pP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Less: Allowance for returns and customer incentives</w:t>
            </w:r>
          </w:p>
        </w:tc>
        <w:tc>
          <w:tcPr>
            <w:tcW w:w="840" w:type="dxa"/>
            <w:vAlign w:val="bottom"/>
          </w:tcPr>
          <w:p>
            <w:pPr>
              <w:jc w:val="right"/>
              <w:ind w:right="59"/>
              <w:spacing w:after="0" w:line="202" w:lineRule="exact"/>
              <w:rPr>
                <w:sz w:val="20"/>
                <w:szCs w:val="20"/>
                <w:color w:val="auto"/>
              </w:rPr>
            </w:pPr>
            <w:r>
              <w:rPr>
                <w:rFonts w:ascii="Arial" w:cs="Arial" w:eastAsia="Arial" w:hAnsi="Arial"/>
                <w:sz w:val="18"/>
                <w:szCs w:val="18"/>
                <w:b w:val="1"/>
                <w:bCs w:val="1"/>
                <w:color w:val="auto"/>
              </w:rPr>
              <w:t>372</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1"/>
        </w:trPr>
        <w:tc>
          <w:tcPr>
            <w:tcW w:w="9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Allowance for doubtful accounts</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65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978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Receivables, net</w:t>
            </w:r>
          </w:p>
        </w:tc>
        <w:tc>
          <w:tcPr>
            <w:tcW w:w="840" w:type="dxa"/>
            <w:vAlign w:val="bottom"/>
            <w:tcBorders>
              <w:bottom w:val="single" w:sz="8" w:color="0C6DFF"/>
            </w:tcBorders>
          </w:tcPr>
          <w:p>
            <w:pPr>
              <w:jc w:val="right"/>
              <w:ind w:right="59"/>
              <w:spacing w:after="0" w:line="196" w:lineRule="exact"/>
              <w:rPr>
                <w:sz w:val="20"/>
                <w:szCs w:val="20"/>
                <w:color w:val="auto"/>
              </w:rPr>
            </w:pPr>
            <w:r>
              <w:rPr>
                <w:rFonts w:ascii="Arial" w:cs="Arial" w:eastAsia="Arial" w:hAnsi="Arial"/>
                <w:sz w:val="18"/>
                <w:szCs w:val="18"/>
                <w:b w:val="1"/>
                <w:bCs w:val="1"/>
                <w:color w:val="auto"/>
              </w:rPr>
              <w:t>$ 4,911</w:t>
            </w:r>
          </w:p>
        </w:tc>
        <w:tc>
          <w:tcPr>
            <w:tcW w:w="8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$ 4,028</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addition to the amounts in the table above, noncurrent receivables of $488 million and $641 million, as of December 31, 2013 and 2012, respectively, are included in other noncurrent assets, net that primarily relate to the licensing of our television and film productions to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0C6DFF"/>
        </w:rPr>
        <w:t>Cash Payments for Interest and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41"/>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Borders>
              <w:right w:val="single" w:sz="8" w:color="auto"/>
            </w:tcBorders>
            <w:gridSpan w:val="2"/>
          </w:tcPr>
          <w:p>
            <w:pPr>
              <w:jc w:val="right"/>
              <w:ind w:right="280"/>
              <w:spacing w:after="0" w:line="141" w:lineRule="exact"/>
              <w:rPr>
                <w:sz w:val="20"/>
                <w:szCs w:val="20"/>
                <w:color w:val="auto"/>
              </w:rPr>
            </w:pPr>
            <w:r>
              <w:rPr>
                <w:rFonts w:ascii="Arial" w:cs="Arial" w:eastAsia="Arial" w:hAnsi="Arial"/>
                <w:sz w:val="14"/>
                <w:szCs w:val="14"/>
                <w:color w:val="auto"/>
              </w:rPr>
              <w:t>For the Period</w:t>
            </w:r>
          </w:p>
        </w:tc>
        <w:tc>
          <w:tcPr>
            <w:tcW w:w="180" w:type="dxa"/>
            <w:vAlign w:val="bottom"/>
          </w:tcPr>
          <w:p>
            <w:pPr>
              <w:spacing w:after="0"/>
              <w:rPr>
                <w:sz w:val="12"/>
                <w:szCs w:val="12"/>
                <w:color w:val="auto"/>
              </w:rPr>
            </w:pPr>
          </w:p>
        </w:tc>
        <w:tc>
          <w:tcPr>
            <w:tcW w:w="12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0" w:type="dxa"/>
            <w:vAlign w:val="bottom"/>
          </w:tcPr>
          <w:p>
            <w:pPr>
              <w:spacing w:after="0"/>
              <w:rPr>
                <w:sz w:val="1"/>
                <w:szCs w:val="1"/>
                <w:color w:val="auto"/>
              </w:rPr>
            </w:pPr>
          </w:p>
        </w:tc>
      </w:tr>
      <w:tr>
        <w:trPr>
          <w:trHeight w:val="146"/>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4"/>
              <w:spacing w:after="0" w:line="146" w:lineRule="exact"/>
              <w:rPr>
                <w:sz w:val="20"/>
                <w:szCs w:val="20"/>
                <w:color w:val="auto"/>
              </w:rPr>
            </w:pPr>
            <w:r>
              <w:rPr>
                <w:rFonts w:ascii="Arial" w:cs="Arial" w:eastAsia="Arial" w:hAnsi="Arial"/>
                <w:sz w:val="14"/>
                <w:szCs w:val="14"/>
                <w:color w:val="auto"/>
                <w:w w:val="97"/>
              </w:rPr>
              <w:t>Year Ended</w:t>
            </w:r>
          </w:p>
        </w:tc>
        <w:tc>
          <w:tcPr>
            <w:tcW w:w="1520" w:type="dxa"/>
            <w:vAlign w:val="bottom"/>
            <w:tcBorders>
              <w:right w:val="single" w:sz="8" w:color="auto"/>
            </w:tcBorders>
            <w:gridSpan w:val="3"/>
          </w:tcPr>
          <w:p>
            <w:pPr>
              <w:jc w:val="right"/>
              <w:ind w:right="280"/>
              <w:spacing w:after="0" w:line="146" w:lineRule="exact"/>
              <w:rPr>
                <w:sz w:val="20"/>
                <w:szCs w:val="20"/>
                <w:color w:val="auto"/>
              </w:rPr>
            </w:pPr>
            <w:r>
              <w:rPr>
                <w:rFonts w:ascii="Arial" w:cs="Arial" w:eastAsia="Arial" w:hAnsi="Arial"/>
                <w:sz w:val="14"/>
                <w:szCs w:val="14"/>
                <w:color w:val="auto"/>
                <w:w w:val="98"/>
              </w:rPr>
              <w:t>January 29, 2011 to</w:t>
            </w:r>
          </w:p>
        </w:tc>
        <w:tc>
          <w:tcPr>
            <w:tcW w:w="180" w:type="dxa"/>
            <w:vAlign w:val="bottom"/>
          </w:tcPr>
          <w:p>
            <w:pPr>
              <w:spacing w:after="0"/>
              <w:rPr>
                <w:sz w:val="12"/>
                <w:szCs w:val="12"/>
                <w:color w:val="auto"/>
              </w:rPr>
            </w:pPr>
          </w:p>
        </w:tc>
        <w:tc>
          <w:tcPr>
            <w:tcW w:w="12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January 1, 2011 to</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0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2"/>
                <w:szCs w:val="12"/>
                <w:color w:val="auto"/>
              </w:rPr>
            </w:pPr>
          </w:p>
        </w:tc>
        <w:tc>
          <w:tcPr>
            <w:tcW w:w="1260" w:type="dxa"/>
            <w:vAlign w:val="bottom"/>
            <w:tcBorders>
              <w:right w:val="single" w:sz="8" w:color="auto"/>
            </w:tcBorders>
            <w:gridSpan w:val="2"/>
          </w:tcPr>
          <w:p>
            <w:pPr>
              <w:jc w:val="right"/>
              <w:ind w:right="280"/>
              <w:spacing w:after="0" w:line="149"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January 28,</w:t>
            </w:r>
          </w:p>
        </w:tc>
        <w:tc>
          <w:tcPr>
            <w:tcW w:w="0" w:type="dxa"/>
            <w:vAlign w:val="bottom"/>
          </w:tcPr>
          <w:p>
            <w:pPr>
              <w:spacing w:after="0"/>
              <w:rPr>
                <w:sz w:val="1"/>
                <w:szCs w:val="1"/>
                <w:color w:val="auto"/>
              </w:rPr>
            </w:pPr>
          </w:p>
        </w:tc>
      </w:tr>
      <w:tr>
        <w:trPr>
          <w:trHeight w:val="16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177"/>
        </w:trPr>
        <w:tc>
          <w:tcPr>
            <w:tcW w:w="6360" w:type="dxa"/>
            <w:vAlign w:val="bottom"/>
          </w:tcPr>
          <w:p>
            <w:pPr>
              <w:spacing w:after="0" w:line="177" w:lineRule="exact"/>
              <w:rPr>
                <w:sz w:val="20"/>
                <w:szCs w:val="20"/>
                <w:color w:val="auto"/>
              </w:rPr>
            </w:pPr>
            <w:r>
              <w:rPr>
                <w:rFonts w:ascii="Arial" w:cs="Arial" w:eastAsia="Arial" w:hAnsi="Arial"/>
                <w:sz w:val="18"/>
                <w:szCs w:val="18"/>
                <w:color w:val="auto"/>
              </w:rPr>
              <w:t>Interest</w:t>
            </w:r>
          </w:p>
        </w:tc>
        <w:tc>
          <w:tcPr>
            <w:tcW w:w="24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462</w:t>
            </w:r>
          </w:p>
        </w:tc>
        <w:tc>
          <w:tcPr>
            <w:tcW w:w="200" w:type="dxa"/>
            <w:vAlign w:val="bottom"/>
          </w:tcPr>
          <w:p>
            <w:pPr>
              <w:ind w:left="80"/>
              <w:spacing w:after="0" w:line="177"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24"/>
              <w:spacing w:after="0" w:line="177" w:lineRule="exact"/>
              <w:rPr>
                <w:sz w:val="20"/>
                <w:szCs w:val="20"/>
                <w:color w:val="auto"/>
              </w:rPr>
            </w:pPr>
            <w:r>
              <w:rPr>
                <w:rFonts w:ascii="Arial" w:cs="Arial" w:eastAsia="Arial" w:hAnsi="Arial"/>
                <w:sz w:val="18"/>
                <w:szCs w:val="18"/>
                <w:color w:val="auto"/>
              </w:rPr>
              <w:t>461</w:t>
            </w:r>
          </w:p>
        </w:tc>
        <w:tc>
          <w:tcPr>
            <w:tcW w:w="260" w:type="dxa"/>
            <w:vAlign w:val="bottom"/>
          </w:tcPr>
          <w:p>
            <w:pPr>
              <w:jc w:val="right"/>
              <w:ind w:right="39"/>
              <w:spacing w:after="0" w:line="177"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7" w:lineRule="exact"/>
              <w:rPr>
                <w:sz w:val="20"/>
                <w:szCs w:val="20"/>
                <w:color w:val="auto"/>
              </w:rPr>
            </w:pPr>
            <w:r>
              <w:rPr>
                <w:rFonts w:ascii="Arial" w:cs="Arial" w:eastAsia="Arial" w:hAnsi="Arial"/>
                <w:sz w:val="18"/>
                <w:szCs w:val="18"/>
                <w:color w:val="auto"/>
              </w:rPr>
              <w:t>444</w:t>
            </w:r>
          </w:p>
        </w:tc>
        <w:tc>
          <w:tcPr>
            <w:tcW w:w="220" w:type="dxa"/>
            <w:vAlign w:val="bottom"/>
            <w:tcBorders>
              <w:right w:val="single" w:sz="8" w:color="auto"/>
            </w:tcBorders>
          </w:tcPr>
          <w:p>
            <w:pPr>
              <w:spacing w:after="0"/>
              <w:rPr>
                <w:sz w:val="15"/>
                <w:szCs w:val="15"/>
                <w:color w:val="auto"/>
              </w:rPr>
            </w:pPr>
          </w:p>
        </w:tc>
        <w:tc>
          <w:tcPr>
            <w:tcW w:w="1060" w:type="dxa"/>
            <w:vAlign w:val="bottom"/>
            <w:gridSpan w:val="2"/>
          </w:tcPr>
          <w:p>
            <w:pPr>
              <w:jc w:val="right"/>
              <w:ind w:right="632"/>
              <w:spacing w:after="0" w:line="177"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77"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493</w:t>
            </w:r>
          </w:p>
        </w:tc>
        <w:tc>
          <w:tcPr>
            <w:tcW w:w="0" w:type="dxa"/>
            <w:vAlign w:val="bottom"/>
          </w:tcPr>
          <w:p>
            <w:pPr>
              <w:spacing w:after="0"/>
              <w:rPr>
                <w:sz w:val="1"/>
                <w:szCs w:val="1"/>
                <w:color w:val="auto"/>
              </w:rPr>
            </w:pPr>
          </w:p>
        </w:tc>
      </w:tr>
      <w:tr>
        <w:trPr>
          <w:trHeight w:val="370"/>
        </w:trPr>
        <w:tc>
          <w:tcPr>
            <w:tcW w:w="6360" w:type="dxa"/>
            <w:vAlign w:val="bottom"/>
          </w:tcPr>
          <w:p>
            <w:pPr>
              <w:spacing w:after="0"/>
              <w:rPr>
                <w:sz w:val="20"/>
                <w:szCs w:val="20"/>
                <w:color w:val="auto"/>
              </w:rPr>
            </w:pPr>
            <w:r>
              <w:rPr>
                <w:rFonts w:ascii="Arial" w:cs="Arial" w:eastAsia="Arial" w:hAnsi="Arial"/>
                <w:sz w:val="18"/>
                <w:szCs w:val="18"/>
                <w:color w:val="0C6DFF"/>
              </w:rPr>
              <w:t>Other Cash Flow Information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January 28, 2011 (in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6360" w:type="dxa"/>
            <w:vAlign w:val="bottom"/>
          </w:tcPr>
          <w:p>
            <w:pPr>
              <w:spacing w:after="0" w:line="200" w:lineRule="exact"/>
              <w:rPr>
                <w:sz w:val="20"/>
                <w:szCs w:val="20"/>
                <w:color w:val="auto"/>
              </w:rPr>
            </w:pPr>
            <w:r>
              <w:rPr>
                <w:rFonts w:ascii="Arial" w:cs="Arial" w:eastAsia="Arial" w:hAnsi="Arial"/>
                <w:sz w:val="18"/>
                <w:szCs w:val="18"/>
                <w:color w:val="auto"/>
              </w:rPr>
              <w:t>Cash and cash equivalents at end of Predecessor period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0" w:lineRule="exact"/>
              <w:rPr>
                <w:sz w:val="20"/>
                <w:szCs w:val="20"/>
                <w:color w:val="auto"/>
              </w:rPr>
            </w:pPr>
            <w:r>
              <w:rPr>
                <w:rFonts w:ascii="Arial" w:cs="Arial" w:eastAsia="Arial" w:hAnsi="Arial"/>
                <w:sz w:val="18"/>
                <w:szCs w:val="18"/>
                <w:color w:val="auto"/>
                <w:w w:val="99"/>
              </w:rPr>
              <w:t>470</w:t>
            </w:r>
          </w:p>
        </w:tc>
        <w:tc>
          <w:tcPr>
            <w:tcW w:w="0" w:type="dxa"/>
            <w:vAlign w:val="bottom"/>
          </w:tcPr>
          <w:p>
            <w:pPr>
              <w:spacing w:after="0"/>
              <w:rPr>
                <w:sz w:val="1"/>
                <w:szCs w:val="1"/>
                <w:color w:val="auto"/>
              </w:rPr>
            </w:pPr>
          </w:p>
        </w:tc>
      </w:tr>
      <w:tr>
        <w:trPr>
          <w:trHeight w:val="199"/>
        </w:trPr>
        <w:tc>
          <w:tcPr>
            <w:tcW w:w="63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Comcast Content Business contributed cash balances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Cash and cash equivalents at beginning of Successor period</w:t>
            </w:r>
          </w:p>
        </w:tc>
        <w:tc>
          <w:tcPr>
            <w:tcW w:w="240" w:type="dxa"/>
            <w:vAlign w:val="bottom"/>
            <w:tcBorders>
              <w:bottom w:val="single" w:sz="8" w:color="0C6DFF"/>
            </w:tcBorders>
          </w:tcPr>
          <w:p>
            <w:pPr>
              <w:spacing w:after="0"/>
              <w:rPr>
                <w:sz w:val="17"/>
                <w:szCs w:val="17"/>
                <w:color w:val="auto"/>
              </w:rPr>
            </w:pPr>
          </w:p>
        </w:tc>
        <w:tc>
          <w:tcPr>
            <w:tcW w:w="820" w:type="dxa"/>
            <w:vAlign w:val="bottom"/>
            <w:tcBorders>
              <w:bottom w:val="single" w:sz="8" w:color="0C6DFF"/>
            </w:tcBorders>
          </w:tcPr>
          <w:p>
            <w:pPr>
              <w:spacing w:after="0"/>
              <w:rPr>
                <w:sz w:val="17"/>
                <w:szCs w:val="17"/>
                <w:color w:val="auto"/>
              </w:rPr>
            </w:pPr>
          </w:p>
        </w:tc>
        <w:tc>
          <w:tcPr>
            <w:tcW w:w="200" w:type="dxa"/>
            <w:vAlign w:val="bottom"/>
            <w:tcBorders>
              <w:bottom w:val="single" w:sz="8" w:color="0C6DFF"/>
            </w:tcBorders>
          </w:tcPr>
          <w:p>
            <w:pPr>
              <w:spacing w:after="0"/>
              <w:rPr>
                <w:sz w:val="17"/>
                <w:szCs w:val="17"/>
                <w:color w:val="auto"/>
              </w:rPr>
            </w:pPr>
          </w:p>
        </w:tc>
        <w:tc>
          <w:tcPr>
            <w:tcW w:w="840" w:type="dxa"/>
            <w:vAlign w:val="bottom"/>
            <w:tcBorders>
              <w:bottom w:val="single" w:sz="8" w:color="0C6DFF"/>
            </w:tcBorders>
          </w:tcPr>
          <w:p>
            <w:pPr>
              <w:spacing w:after="0"/>
              <w:rPr>
                <w:sz w:val="17"/>
                <w:szCs w:val="17"/>
                <w:color w:val="auto"/>
              </w:rPr>
            </w:pPr>
          </w:p>
        </w:tc>
        <w:tc>
          <w:tcPr>
            <w:tcW w:w="260" w:type="dxa"/>
            <w:vAlign w:val="bottom"/>
            <w:tcBorders>
              <w:bottom w:val="single" w:sz="8" w:color="0C6DFF"/>
            </w:tcBorders>
          </w:tcPr>
          <w:p>
            <w:pPr>
              <w:spacing w:after="0"/>
              <w:rPr>
                <w:sz w:val="17"/>
                <w:szCs w:val="17"/>
                <w:color w:val="auto"/>
              </w:rPr>
            </w:pPr>
          </w:p>
        </w:tc>
        <w:tc>
          <w:tcPr>
            <w:tcW w:w="1040" w:type="dxa"/>
            <w:vAlign w:val="bottom"/>
            <w:tcBorders>
              <w:bottom w:val="single" w:sz="8" w:color="0C6DFF"/>
            </w:tcBorders>
          </w:tcPr>
          <w:p>
            <w:pPr>
              <w:spacing w:after="0"/>
              <w:rPr>
                <w:sz w:val="17"/>
                <w:szCs w:val="17"/>
                <w:color w:val="auto"/>
              </w:rPr>
            </w:pPr>
          </w:p>
        </w:tc>
        <w:tc>
          <w:tcPr>
            <w:tcW w:w="220" w:type="dxa"/>
            <w:vAlign w:val="bottom"/>
            <w:tcBorders>
              <w:bottom w:val="single" w:sz="8" w:color="0C6DFF"/>
            </w:tcBorders>
          </w:tcPr>
          <w:p>
            <w:pPr>
              <w:spacing w:after="0"/>
              <w:rPr>
                <w:sz w:val="17"/>
                <w:szCs w:val="17"/>
                <w:color w:val="auto"/>
              </w:rPr>
            </w:pPr>
          </w:p>
        </w:tc>
        <w:tc>
          <w:tcPr>
            <w:tcW w:w="1060" w:type="dxa"/>
            <w:vAlign w:val="bottom"/>
            <w:tcBorders>
              <w:bottom w:val="single" w:sz="8" w:color="0C6D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99"/>
              </w:rPr>
              <w:t>508</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During 2013:</w:t>
      </w:r>
    </w:p>
    <w:p>
      <w:pPr>
        <w:spacing w:after="0" w:line="117"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acquired $306 million of property and equipment and intangible assets that were accrued but unpaid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2012:</w:t>
      </w:r>
    </w:p>
    <w:p>
      <w:pPr>
        <w:spacing w:after="0" w:line="117" w:lineRule="exact"/>
        <w:rPr>
          <w:sz w:val="20"/>
          <w:szCs w:val="20"/>
          <w:color w:val="auto"/>
        </w:rPr>
      </w:pPr>
    </w:p>
    <w:p>
      <w:pPr>
        <w:ind w:left="1020" w:right="1260" w:hanging="215"/>
        <w:spacing w:after="0" w:line="239"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entered into a capital lease transaction that resulted in an increase in property and equipment and debt of $85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January 28, 2011 through December 31, 2011:</w:t>
      </w:r>
    </w:p>
    <w:p>
      <w:pPr>
        <w:spacing w:after="0" w:line="117" w:lineRule="exact"/>
        <w:rPr>
          <w:sz w:val="20"/>
          <w:szCs w:val="20"/>
          <w:color w:val="auto"/>
        </w:rPr>
      </w:pPr>
    </w:p>
    <w:p>
      <w:pPr>
        <w:ind w:left="1020" w:right="1260" w:hanging="215"/>
        <w:spacing w:after="0" w:line="239"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 contributed the Comcast Content Business to NBCUniversal as part of the Joint Venture transaction (see Note 3 for additional information on the Joint Venture transaction)</w:t>
      </w:r>
    </w:p>
    <w:p>
      <w:pPr>
        <w:spacing w:after="0" w:line="114" w:lineRule="exact"/>
        <w:rPr>
          <w:rFonts w:ascii="Arial" w:cs="Arial" w:eastAsia="Arial" w:hAnsi="Arial"/>
          <w:sz w:val="18"/>
          <w:szCs w:val="18"/>
          <w:color w:val="auto"/>
        </w:rPr>
      </w:pPr>
    </w:p>
    <w:p>
      <w:pPr>
        <w:jc w:val="both"/>
        <w:ind w:left="1020" w:right="1240" w:hanging="215"/>
        <w:spacing w:after="0" w:line="23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fair value of our previously held equity interest in Universal Orlando was accounted for as noncash consideration in the application of acquisition accounting for the Universal Orlando transaction (see Note 3 for additional information on the Universal Orlando transaction)</w:t>
      </w:r>
    </w:p>
    <w:p>
      <w:pPr>
        <w:spacing w:after="0" w:line="113" w:lineRule="exact"/>
        <w:rPr>
          <w:rFonts w:ascii="Arial" w:cs="Arial" w:eastAsia="Arial" w:hAnsi="Arial"/>
          <w:sz w:val="18"/>
          <w:szCs w:val="18"/>
          <w:color w:val="auto"/>
        </w:rPr>
      </w:pPr>
    </w:p>
    <w:p>
      <w:pPr>
        <w:ind w:left="1020" w:hanging="215"/>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acquired $339 million of intellectual property rights that were accrued and unpaid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170</w:t>
            </w: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16: Receivables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December 2013, we terminated the programs under which we monetized certain of our accounts receivable with a syndicate of banks. In connection with these terminations, we remitted final payments to the third-party banks that totaled $1.442 billion (the “termination payments”) in order to acquire $1.078 billion of accounts receivables that had been monetized and remained uncollected as of the date of the terminations and settle $364 million of cash receipts that we had collected and had not yet remitted to the banks. The termination payments are included within net cash provided by operating activities in our consolidated statement of cash flows.</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Prior to the terminations, we accounted for receivables monetized through these programs as sales in accordance with the appropriate accounting guidance. We received deferred consideration from the assets sold in the form of a receivable, which was funded by residual cash flows after the senior interests had been fully paid. As of December 31, 2012, the deferred consideration was included in receivables, net at its initial fair value, which reflects the net cash flows we expected to receive related to those interests.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0C6DFF"/>
        </w:rPr>
        <w:t>Receivables Monetized and Deferred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80" w:type="dxa"/>
            <w:vAlign w:val="bottom"/>
            <w:vMerge w:val="restart"/>
          </w:tcPr>
          <w:p>
            <w:pPr>
              <w:spacing w:after="0"/>
              <w:rPr>
                <w:sz w:val="20"/>
                <w:szCs w:val="20"/>
                <w:color w:val="auto"/>
              </w:rPr>
            </w:pPr>
            <w:r>
              <w:rPr>
                <w:rFonts w:ascii="Arial" w:cs="Arial" w:eastAsia="Arial" w:hAnsi="Arial"/>
                <w:sz w:val="14"/>
                <w:szCs w:val="14"/>
                <w:color w:val="auto"/>
              </w:rPr>
              <w:t>December 31 (in millions)</w:t>
            </w:r>
          </w:p>
        </w:tc>
        <w:tc>
          <w:tcPr>
            <w:tcW w:w="12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Successor</w:t>
            </w:r>
          </w:p>
        </w:tc>
        <w:tc>
          <w:tcPr>
            <w:tcW w:w="0" w:type="dxa"/>
            <w:vAlign w:val="bottom"/>
          </w:tcPr>
          <w:p>
            <w:pPr>
              <w:spacing w:after="0"/>
              <w:rPr>
                <w:sz w:val="1"/>
                <w:szCs w:val="1"/>
                <w:color w:val="auto"/>
              </w:rPr>
            </w:pPr>
          </w:p>
        </w:tc>
      </w:tr>
      <w:tr>
        <w:trPr>
          <w:trHeight w:val="142"/>
        </w:trPr>
        <w:tc>
          <w:tcPr>
            <w:tcW w:w="101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9"/>
        </w:trPr>
        <w:tc>
          <w:tcPr>
            <w:tcW w:w="10180" w:type="dxa"/>
            <w:vAlign w:val="bottom"/>
          </w:tcPr>
          <w:p>
            <w:pPr>
              <w:spacing w:after="0" w:line="200" w:lineRule="exact"/>
              <w:rPr>
                <w:sz w:val="20"/>
                <w:szCs w:val="20"/>
                <w:color w:val="auto"/>
              </w:rPr>
            </w:pPr>
            <w:r>
              <w:rPr>
                <w:rFonts w:ascii="Arial" w:cs="Arial" w:eastAsia="Arial" w:hAnsi="Arial"/>
                <w:sz w:val="18"/>
                <w:szCs w:val="18"/>
                <w:color w:val="auto"/>
              </w:rPr>
              <w:t>Monetized receivables sold</w:t>
            </w:r>
          </w:p>
        </w:tc>
        <w:tc>
          <w:tcPr>
            <w:tcW w:w="760" w:type="dxa"/>
            <w:vAlign w:val="bottom"/>
          </w:tcPr>
          <w:p>
            <w:pPr>
              <w:ind w:left="560"/>
              <w:spacing w:after="0" w:line="200"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0"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99"/>
        </w:trPr>
        <w:tc>
          <w:tcPr>
            <w:tcW w:w="1018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Deferred consideration</w:t>
            </w:r>
          </w:p>
        </w:tc>
        <w:tc>
          <w:tcPr>
            <w:tcW w:w="760" w:type="dxa"/>
            <w:vAlign w:val="bottom"/>
            <w:tcBorders>
              <w:bottom w:val="single" w:sz="8" w:color="auto"/>
            </w:tcBorders>
          </w:tcPr>
          <w:p>
            <w:pPr>
              <w:ind w:left="560"/>
              <w:spacing w:after="0" w:line="200" w:lineRule="exact"/>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the amounts presented above, we had $882 million payable to our monetization programs as of December 31, 2012. These amounts represented cash receipts that were not yet remitted to the monetization programs and were recorded to accounts payable and accrued expenses related to trade creditors.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net cash payments on transfers that are included within net cash provided by operating activities in our consolidated statement of cash flows were $86 million and $237 million in 2012 and 2011, respectively. The receivables monetization programs did not have a material effect on our consolidated statement of income for the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17: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enter into long-term commitments with third parties in the ordinary course of our business, including commitments to acquire film and television programming, creative talent and employment agreements, and various other television-related commitments. Many of our employees, including writers, directors, actors, technical and production personnel, and others, as well as some of our on-air and creative talent, are covered by collective bargaining agreements or works councils. As of December 31, 2013, the total number of full-time, part-time and hourly employees on our payroll covered by collective bargaining agreements was 7,200 full-time equivalent employees. Of this total, approximately 19% of these full-time equivalent employees were covered by collective bargaining agreements that have expired or are scheduled to expire during 2014.</w:t>
      </w:r>
    </w:p>
    <w:p>
      <w:pPr>
        <w:spacing w:after="0" w:line="300"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171</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table below summarizes our minimum annual programming and talent commitments and our minimum annual rental commitments for office space and equipment under operating leases. Programming and talent commitments include acquired film and television programming, including U.S. television rights to the future Olympic Games through 2020, </w:t>
      </w:r>
      <w:r>
        <w:rPr>
          <w:rFonts w:ascii="Arial" w:cs="Arial" w:eastAsia="Arial" w:hAnsi="Arial"/>
          <w:sz w:val="18"/>
          <w:szCs w:val="18"/>
          <w:i w:val="1"/>
          <w:iCs w:val="1"/>
          <w:color w:val="auto"/>
        </w:rPr>
        <w:t>Sunday Night Football</w:t>
      </w:r>
      <w:r>
        <w:rPr>
          <w:rFonts w:ascii="Arial" w:cs="Arial" w:eastAsia="Arial" w:hAnsi="Arial"/>
          <w:sz w:val="18"/>
          <w:szCs w:val="18"/>
          <w:color w:val="auto"/>
        </w:rPr>
        <w:t xml:space="preserve"> on NBC through the 2022-23 season, and other programming commitments, as well as our various contracts with creative talent and employment agreements.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40" w:type="dxa"/>
            <w:vAlign w:val="bottom"/>
          </w:tcPr>
          <w:p>
            <w:pPr>
              <w:jc w:val="right"/>
              <w:ind w:right="35"/>
              <w:spacing w:after="0"/>
              <w:rPr>
                <w:sz w:val="20"/>
                <w:szCs w:val="20"/>
                <w:color w:val="auto"/>
              </w:rPr>
            </w:pPr>
            <w:r>
              <w:rPr>
                <w:rFonts w:ascii="Arial" w:cs="Arial" w:eastAsia="Arial" w:hAnsi="Arial"/>
                <w:sz w:val="14"/>
                <w:szCs w:val="14"/>
                <w:color w:val="auto"/>
                <w:w w:val="98"/>
              </w:rPr>
              <w:t>Programming and</w:t>
            </w: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Operating</w:t>
            </w:r>
          </w:p>
        </w:tc>
      </w:tr>
      <w:tr>
        <w:trPr>
          <w:trHeight w:val="149"/>
        </w:trPr>
        <w:tc>
          <w:tcPr>
            <w:tcW w:w="57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As of December 31, 2013 (in millions)</w:t>
            </w:r>
          </w:p>
        </w:tc>
        <w:tc>
          <w:tcPr>
            <w:tcW w:w="4880" w:type="dxa"/>
            <w:vAlign w:val="bottom"/>
            <w:tcBorders>
              <w:bottom w:val="single" w:sz="8" w:color="auto"/>
            </w:tcBorders>
            <w:gridSpan w:val="2"/>
          </w:tcPr>
          <w:p>
            <w:pPr>
              <w:ind w:left="3520"/>
              <w:spacing w:after="0" w:line="149" w:lineRule="exact"/>
              <w:rPr>
                <w:sz w:val="20"/>
                <w:szCs w:val="20"/>
                <w:color w:val="auto"/>
              </w:rPr>
            </w:pPr>
            <w:r>
              <w:rPr>
                <w:rFonts w:ascii="Arial" w:cs="Arial" w:eastAsia="Arial" w:hAnsi="Arial"/>
                <w:sz w:val="14"/>
                <w:szCs w:val="14"/>
                <w:color w:val="auto"/>
              </w:rPr>
              <w:t>Talent Commitments</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Leases</w:t>
            </w:r>
          </w:p>
        </w:tc>
      </w:tr>
      <w:tr>
        <w:trPr>
          <w:trHeight w:val="199"/>
        </w:trPr>
        <w:tc>
          <w:tcPr>
            <w:tcW w:w="5760" w:type="dxa"/>
            <w:vAlign w:val="bottom"/>
          </w:tcPr>
          <w:p>
            <w:pPr>
              <w:spacing w:after="0" w:line="200" w:lineRule="exact"/>
              <w:rPr>
                <w:sz w:val="20"/>
                <w:szCs w:val="20"/>
                <w:color w:val="auto"/>
              </w:rPr>
            </w:pPr>
            <w:r>
              <w:rPr>
                <w:rFonts w:ascii="Arial" w:cs="Arial" w:eastAsia="Arial" w:hAnsi="Arial"/>
                <w:sz w:val="18"/>
                <w:szCs w:val="18"/>
                <w:color w:val="auto"/>
              </w:rPr>
              <w:t>2014</w:t>
            </w:r>
          </w:p>
        </w:tc>
        <w:tc>
          <w:tcPr>
            <w:tcW w:w="3640" w:type="dxa"/>
            <w:vAlign w:val="bottom"/>
          </w:tcPr>
          <w:p>
            <w:pPr>
              <w:ind w:left="3520"/>
              <w:spacing w:after="0" w:line="200"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0" w:lineRule="exact"/>
              <w:rPr>
                <w:sz w:val="20"/>
                <w:szCs w:val="20"/>
                <w:color w:val="auto"/>
              </w:rPr>
            </w:pPr>
            <w:r>
              <w:rPr>
                <w:rFonts w:ascii="Arial" w:cs="Arial" w:eastAsia="Arial" w:hAnsi="Arial"/>
                <w:sz w:val="18"/>
                <w:szCs w:val="18"/>
                <w:color w:val="auto"/>
              </w:rPr>
              <w:t>4,876</w:t>
            </w:r>
          </w:p>
        </w:tc>
        <w:tc>
          <w:tcPr>
            <w:tcW w:w="260" w:type="dxa"/>
            <w:vAlign w:val="bottom"/>
          </w:tcPr>
          <w:p>
            <w:pPr>
              <w:ind w:left="140"/>
              <w:spacing w:after="0" w:line="200"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0" w:lineRule="exact"/>
              <w:rPr>
                <w:sz w:val="20"/>
                <w:szCs w:val="20"/>
                <w:color w:val="auto"/>
              </w:rPr>
            </w:pPr>
            <w:r>
              <w:rPr>
                <w:rFonts w:ascii="Arial" w:cs="Arial" w:eastAsia="Arial" w:hAnsi="Arial"/>
                <w:sz w:val="18"/>
                <w:szCs w:val="18"/>
                <w:color w:val="auto"/>
              </w:rPr>
              <w:t>164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3,182</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4,035</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2,755</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3640" w:type="dxa"/>
            <w:vAlign w:val="bottom"/>
          </w:tcPr>
          <w:p>
            <w:pPr>
              <w:ind w:left="352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3,672</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r>
      <w:tr>
        <w:trPr>
          <w:trHeight w:val="199"/>
        </w:trPr>
        <w:tc>
          <w:tcPr>
            <w:tcW w:w="5760" w:type="dxa"/>
            <w:vAlign w:val="bottom"/>
            <w:tcBorders>
              <w:bottom w:val="single" w:sz="8" w:color="auto"/>
            </w:tcBorders>
          </w:tcPr>
          <w:p>
            <w:pPr>
              <w:spacing w:after="0" w:line="200" w:lineRule="exact"/>
              <w:rPr>
                <w:sz w:val="20"/>
                <w:szCs w:val="20"/>
                <w:color w:val="auto"/>
              </w:rPr>
            </w:pPr>
            <w:r>
              <w:rPr>
                <w:rFonts w:ascii="Arial" w:cs="Arial" w:eastAsia="Arial" w:hAnsi="Arial"/>
                <w:sz w:val="18"/>
                <w:szCs w:val="18"/>
                <w:color w:val="auto"/>
              </w:rPr>
              <w:t>Thereafter</w:t>
            </w:r>
          </w:p>
        </w:tc>
        <w:tc>
          <w:tcPr>
            <w:tcW w:w="3640" w:type="dxa"/>
            <w:vAlign w:val="bottom"/>
            <w:tcBorders>
              <w:bottom w:val="single" w:sz="8" w:color="auto"/>
            </w:tcBorders>
          </w:tcPr>
          <w:p>
            <w:pPr>
              <w:ind w:left="3520"/>
              <w:spacing w:after="0" w:line="200"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20,522</w:t>
            </w:r>
          </w:p>
        </w:tc>
        <w:tc>
          <w:tcPr>
            <w:tcW w:w="260" w:type="dxa"/>
            <w:vAlign w:val="bottom"/>
            <w:tcBorders>
              <w:bottom w:val="single" w:sz="8" w:color="auto"/>
            </w:tcBorders>
          </w:tcPr>
          <w:p>
            <w:pPr>
              <w:ind w:left="140"/>
              <w:spacing w:after="0" w:line="200"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365</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rent expense charged to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color w:val="auto"/>
                <w:w w:val="99"/>
              </w:rPr>
              <w:t>Predecessor</w:t>
            </w:r>
          </w:p>
        </w:tc>
      </w:tr>
      <w:tr>
        <w:trPr>
          <w:trHeight w:val="125"/>
        </w:trPr>
        <w:tc>
          <w:tcPr>
            <w:tcW w:w="6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line="125"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0"/>
                <w:szCs w:val="10"/>
                <w:color w:val="auto"/>
              </w:rPr>
            </w:pPr>
          </w:p>
        </w:tc>
        <w:tc>
          <w:tcPr>
            <w:tcW w:w="840" w:type="dxa"/>
            <w:vAlign w:val="bottom"/>
          </w:tcPr>
          <w:p>
            <w:pPr>
              <w:jc w:val="right"/>
              <w:ind w:right="27"/>
              <w:spacing w:after="0" w:line="125" w:lineRule="exact"/>
              <w:rPr>
                <w:sz w:val="20"/>
                <w:szCs w:val="20"/>
                <w:color w:val="auto"/>
              </w:rPr>
            </w:pPr>
            <w:r>
              <w:rPr>
                <w:rFonts w:ascii="Arial" w:cs="Arial" w:eastAsia="Arial" w:hAnsi="Arial"/>
                <w:sz w:val="14"/>
                <w:szCs w:val="14"/>
                <w:color w:val="auto"/>
                <w:w w:val="97"/>
              </w:rPr>
              <w:t>Year Ended</w:t>
            </w:r>
          </w:p>
        </w:tc>
        <w:tc>
          <w:tcPr>
            <w:tcW w:w="26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right"/>
              <w:spacing w:after="0" w:line="125" w:lineRule="exact"/>
              <w:rPr>
                <w:sz w:val="20"/>
                <w:szCs w:val="20"/>
                <w:color w:val="auto"/>
              </w:rPr>
            </w:pPr>
            <w:r>
              <w:rPr>
                <w:rFonts w:ascii="Arial" w:cs="Arial" w:eastAsia="Arial" w:hAnsi="Arial"/>
                <w:sz w:val="14"/>
                <w:szCs w:val="14"/>
                <w:color w:val="auto"/>
              </w:rPr>
              <w:t>For the Period</w:t>
            </w:r>
          </w:p>
        </w:tc>
      </w:tr>
      <w:tr>
        <w:trPr>
          <w:trHeight w:val="149"/>
        </w:trPr>
        <w:tc>
          <w:tcPr>
            <w:tcW w:w="63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2560" w:type="dxa"/>
            <w:vAlign w:val="bottom"/>
            <w:tcBorders>
              <w:right w:val="single" w:sz="8" w:color="auto"/>
            </w:tcBorders>
            <w:gridSpan w:val="5"/>
          </w:tcPr>
          <w:p>
            <w:pPr>
              <w:jc w:val="right"/>
              <w:ind w:right="280"/>
              <w:spacing w:after="0" w:line="149" w:lineRule="exact"/>
              <w:rPr>
                <w:sz w:val="20"/>
                <w:szCs w:val="20"/>
                <w:color w:val="auto"/>
              </w:rPr>
            </w:pPr>
            <w:r>
              <w:rPr>
                <w:rFonts w:ascii="Arial" w:cs="Arial" w:eastAsia="Arial" w:hAnsi="Arial"/>
                <w:sz w:val="14"/>
                <w:szCs w:val="14"/>
                <w:color w:val="auto"/>
              </w:rPr>
              <w:t>December 31,  January 29, 2011 to</w:t>
            </w:r>
          </w:p>
        </w:tc>
        <w:tc>
          <w:tcPr>
            <w:tcW w:w="18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January 1, 2011 to</w:t>
            </w:r>
          </w:p>
        </w:tc>
      </w:tr>
      <w:tr>
        <w:trPr>
          <w:trHeight w:val="165"/>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2012</w:t>
            </w:r>
          </w:p>
        </w:tc>
        <w:tc>
          <w:tcPr>
            <w:tcW w:w="1520" w:type="dxa"/>
            <w:vAlign w:val="bottom"/>
            <w:tcBorders>
              <w:bottom w:val="single" w:sz="8" w:color="auto"/>
              <w:right w:val="single" w:sz="8" w:color="auto"/>
            </w:tcBorders>
            <w:gridSpan w:val="3"/>
          </w:tcPr>
          <w:p>
            <w:pPr>
              <w:jc w:val="right"/>
              <w:ind w:right="280"/>
              <w:spacing w:after="0"/>
              <w:rPr>
                <w:sz w:val="20"/>
                <w:szCs w:val="20"/>
                <w:color w:val="auto"/>
              </w:rPr>
            </w:pPr>
            <w:r>
              <w:rPr>
                <w:rFonts w:ascii="Arial" w:cs="Arial" w:eastAsia="Arial" w:hAnsi="Arial"/>
                <w:sz w:val="14"/>
                <w:szCs w:val="14"/>
                <w:color w:val="auto"/>
                <w:w w:val="99"/>
              </w:rPr>
              <w:t>December 31, 2011</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January 28, 2011</w:t>
            </w:r>
          </w:p>
        </w:tc>
      </w:tr>
      <w:tr>
        <w:trPr>
          <w:trHeight w:val="196"/>
        </w:trPr>
        <w:tc>
          <w:tcPr>
            <w:tcW w:w="63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Rent expense</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250</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
              <w:spacing w:after="0" w:line="196" w:lineRule="exact"/>
              <w:rPr>
                <w:sz w:val="20"/>
                <w:szCs w:val="20"/>
                <w:color w:val="auto"/>
              </w:rPr>
            </w:pPr>
            <w:r>
              <w:rPr>
                <w:rFonts w:ascii="Arial" w:cs="Arial" w:eastAsia="Arial" w:hAnsi="Arial"/>
                <w:sz w:val="18"/>
                <w:szCs w:val="18"/>
                <w:color w:val="auto"/>
              </w:rPr>
              <w:t>317</w:t>
            </w:r>
          </w:p>
        </w:tc>
        <w:tc>
          <w:tcPr>
            <w:tcW w:w="260" w:type="dxa"/>
            <w:vAlign w:val="bottom"/>
            <w:tcBorders>
              <w:bottom w:val="single" w:sz="8" w:color="auto"/>
            </w:tcBorders>
          </w:tcPr>
          <w:p>
            <w:pPr>
              <w:jc w:val="right"/>
              <w:ind w:right="42"/>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220" w:type="dxa"/>
            <w:vAlign w:val="bottom"/>
            <w:tcBorders>
              <w:bottom w:val="single" w:sz="8" w:color="auto"/>
              <w:right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C6DFF"/>
        </w:rPr>
        <w:t>Note 18: Financial Data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present our operations in four reportable business segments: Cable Networks, Broadcast Television, Filmed Entertainment and Theme Parks.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data by reportable business segment is presented in the tables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Income (Loss)</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rPr>
              <w:t>Before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60"/>
              <w:spacing w:after="0" w:line="149" w:lineRule="exact"/>
              <w:rPr>
                <w:sz w:val="20"/>
                <w:szCs w:val="20"/>
                <w:color w:val="auto"/>
              </w:rPr>
            </w:pPr>
            <w:r>
              <w:rPr>
                <w:rFonts w:ascii="Arial" w:cs="Arial" w:eastAsia="Arial" w:hAnsi="Arial"/>
                <w:sz w:val="14"/>
                <w:szCs w:val="14"/>
                <w:color w:val="auto"/>
                <w:w w:val="94"/>
              </w:rPr>
              <w:t>Depreciation</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840" w:type="dxa"/>
            <w:vAlign w:val="bottom"/>
          </w:tcPr>
          <w:p>
            <w:pPr>
              <w:jc w:val="right"/>
              <w:ind w:right="58"/>
              <w:spacing w:after="0" w:line="149"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560" w:type="dxa"/>
            <w:vAlign w:val="bottom"/>
            <w:gridSpan w:val="2"/>
            <w:vMerge w:val="restart"/>
          </w:tcPr>
          <w:p>
            <w:pPr>
              <w:jc w:val="right"/>
              <w:ind w:right="3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(e)(g)</w:t>
            </w:r>
          </w:p>
        </w:tc>
        <w:tc>
          <w:tcPr>
            <w:tcW w:w="180" w:type="dxa"/>
            <w:vAlign w:val="bottom"/>
          </w:tcPr>
          <w:p>
            <w:pPr>
              <w:spacing w:after="0"/>
              <w:rPr>
                <w:sz w:val="10"/>
                <w:szCs w:val="10"/>
                <w:color w:val="auto"/>
              </w:rPr>
            </w:pPr>
          </w:p>
        </w:tc>
        <w:tc>
          <w:tcPr>
            <w:tcW w:w="900" w:type="dxa"/>
            <w:vAlign w:val="bottom"/>
          </w:tcPr>
          <w:p>
            <w:pPr>
              <w:jc w:val="right"/>
              <w:ind w:right="60"/>
              <w:spacing w:after="0" w:line="123"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0"/>
                <w:szCs w:val="10"/>
                <w:color w:val="auto"/>
              </w:rPr>
            </w:pPr>
          </w:p>
        </w:tc>
        <w:tc>
          <w:tcPr>
            <w:tcW w:w="660" w:type="dxa"/>
            <w:vAlign w:val="bottom"/>
          </w:tcPr>
          <w:p>
            <w:pPr>
              <w:jc w:val="right"/>
              <w:ind w:right="15"/>
              <w:spacing w:after="0" w:line="123" w:lineRule="exact"/>
              <w:rPr>
                <w:sz w:val="20"/>
                <w:szCs w:val="20"/>
                <w:color w:val="auto"/>
              </w:rPr>
            </w:pPr>
            <w:r>
              <w:rPr>
                <w:rFonts w:ascii="Arial" w:cs="Arial" w:eastAsia="Arial" w:hAnsi="Arial"/>
                <w:sz w:val="14"/>
                <w:szCs w:val="14"/>
                <w:color w:val="auto"/>
              </w:rPr>
              <w:t>and</w:t>
            </w:r>
          </w:p>
        </w:tc>
        <w:tc>
          <w:tcPr>
            <w:tcW w:w="840" w:type="dxa"/>
            <w:vAlign w:val="bottom"/>
          </w:tcPr>
          <w:p>
            <w:pPr>
              <w:jc w:val="right"/>
              <w:ind w:right="58"/>
              <w:spacing w:after="0" w:line="123" w:lineRule="exact"/>
              <w:rPr>
                <w:sz w:val="20"/>
                <w:szCs w:val="20"/>
                <w:color w:val="auto"/>
              </w:rPr>
            </w:pPr>
            <w:r>
              <w:rPr>
                <w:rFonts w:ascii="Arial" w:cs="Arial" w:eastAsia="Arial" w:hAnsi="Arial"/>
                <w:sz w:val="14"/>
                <w:szCs w:val="14"/>
                <w:color w:val="auto"/>
              </w:rPr>
              <w:t>Income</w:t>
            </w:r>
          </w:p>
        </w:tc>
        <w:tc>
          <w:tcPr>
            <w:tcW w:w="300" w:type="dxa"/>
            <w:vAlign w:val="bottom"/>
          </w:tcPr>
          <w:p>
            <w:pPr>
              <w:spacing w:after="0"/>
              <w:rPr>
                <w:sz w:val="10"/>
                <w:szCs w:val="10"/>
                <w:color w:val="auto"/>
              </w:rPr>
            </w:pPr>
          </w:p>
        </w:tc>
        <w:tc>
          <w:tcPr>
            <w:tcW w:w="660" w:type="dxa"/>
            <w:vAlign w:val="bottom"/>
          </w:tcPr>
          <w:p>
            <w:pPr>
              <w:jc w:val="right"/>
              <w:ind w:right="15"/>
              <w:spacing w:after="0" w:line="123" w:lineRule="exact"/>
              <w:rPr>
                <w:sz w:val="20"/>
                <w:szCs w:val="20"/>
                <w:color w:val="auto"/>
              </w:rPr>
            </w:pPr>
            <w:r>
              <w:rPr>
                <w:rFonts w:ascii="Arial" w:cs="Arial" w:eastAsia="Arial" w:hAnsi="Arial"/>
                <w:sz w:val="14"/>
                <w:szCs w:val="14"/>
                <w:color w:val="auto"/>
              </w:rPr>
              <w:t>Capital</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Successor (in millions)</w:t>
            </w:r>
          </w:p>
        </w:tc>
        <w:tc>
          <w:tcPr>
            <w:tcW w:w="2560" w:type="dxa"/>
            <w:vAlign w:val="bottom"/>
            <w:tcBorders>
              <w:bottom w:val="single" w:sz="8" w:color="auto"/>
            </w:tcBorders>
            <w:gridSpan w:val="2"/>
            <w:vMerge w:val="continue"/>
          </w:tcPr>
          <w:p>
            <w:pPr>
              <w:spacing w:after="0"/>
              <w:rPr>
                <w:sz w:val="15"/>
                <w:szCs w:val="15"/>
                <w:color w:val="auto"/>
              </w:rPr>
            </w:pPr>
          </w:p>
        </w:tc>
        <w:tc>
          <w:tcPr>
            <w:tcW w:w="1080" w:type="dxa"/>
            <w:vAlign w:val="bottom"/>
            <w:tcBorders>
              <w:bottom w:val="single" w:sz="8" w:color="auto"/>
            </w:tcBorders>
            <w:gridSpan w:val="2"/>
          </w:tcPr>
          <w:p>
            <w:pPr>
              <w:jc w:val="right"/>
              <w:ind w:right="6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Expenditures</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c>
          <w:tcPr>
            <w:tcW w:w="0" w:type="dxa"/>
            <w:vAlign w:val="bottom"/>
          </w:tcPr>
          <w:p>
            <w:pPr>
              <w:spacing w:after="0"/>
              <w:rPr>
                <w:sz w:val="1"/>
                <w:szCs w:val="1"/>
                <w:color w:val="auto"/>
              </w:rPr>
            </w:pPr>
          </w:p>
        </w:tc>
      </w:tr>
      <w:tr>
        <w:trPr>
          <w:trHeight w:val="199"/>
        </w:trPr>
        <w:tc>
          <w:tcPr>
            <w:tcW w:w="412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2013</w:t>
            </w: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Cable Networks</w:t>
            </w:r>
          </w:p>
        </w:tc>
        <w:tc>
          <w:tcPr>
            <w:tcW w:w="1800" w:type="dxa"/>
            <w:vAlign w:val="bottom"/>
          </w:tcPr>
          <w:p>
            <w:pPr>
              <w:jc w:val="right"/>
              <w:ind w:right="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9,201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3,501</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734</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$ 2,767</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$ 29,413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Broadcast Television</w:t>
            </w:r>
          </w:p>
        </w:tc>
        <w:tc>
          <w:tcPr>
            <w:tcW w:w="18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7,120</w:t>
            </w:r>
          </w:p>
        </w:tc>
        <w:tc>
          <w:tcPr>
            <w:tcW w:w="180" w:type="dxa"/>
            <w:vAlign w:val="bottom"/>
          </w:tcPr>
          <w:p>
            <w:pPr>
              <w:spacing w:after="0"/>
              <w:rPr>
                <w:sz w:val="17"/>
                <w:szCs w:val="17"/>
                <w:color w:val="auto"/>
              </w:rPr>
            </w:pP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345</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98</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247</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65</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Filmed Entertainment</w:t>
            </w:r>
          </w:p>
        </w:tc>
        <w:tc>
          <w:tcPr>
            <w:tcW w:w="18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5,452</w:t>
            </w:r>
          </w:p>
        </w:tc>
        <w:tc>
          <w:tcPr>
            <w:tcW w:w="180" w:type="dxa"/>
            <w:vAlign w:val="bottom"/>
          </w:tcPr>
          <w:p>
            <w:pPr>
              <w:spacing w:after="0"/>
              <w:rPr>
                <w:sz w:val="17"/>
                <w:szCs w:val="17"/>
                <w:color w:val="auto"/>
              </w:rPr>
            </w:pP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483</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468</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200"/>
              <w:spacing w:after="0" w:line="202" w:lineRule="exact"/>
              <w:rPr>
                <w:sz w:val="20"/>
                <w:szCs w:val="20"/>
                <w:color w:val="auto"/>
              </w:rPr>
            </w:pPr>
            <w:r>
              <w:rPr>
                <w:rFonts w:ascii="Arial" w:cs="Arial" w:eastAsia="Arial" w:hAnsi="Arial"/>
                <w:sz w:val="18"/>
                <w:szCs w:val="18"/>
                <w:color w:val="auto"/>
              </w:rPr>
              <w:t>Theme Parks</w:t>
            </w:r>
          </w:p>
        </w:tc>
        <w:tc>
          <w:tcPr>
            <w:tcW w:w="18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2,235</w:t>
            </w:r>
          </w:p>
        </w:tc>
        <w:tc>
          <w:tcPr>
            <w:tcW w:w="180" w:type="dxa"/>
            <w:vAlign w:val="bottom"/>
          </w:tcPr>
          <w:p>
            <w:pPr>
              <w:spacing w:after="0"/>
              <w:rPr>
                <w:sz w:val="17"/>
                <w:szCs w:val="17"/>
                <w:color w:val="auto"/>
              </w:rPr>
            </w:pPr>
          </w:p>
        </w:tc>
        <w:tc>
          <w:tcPr>
            <w:tcW w:w="9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1,004</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300</w:t>
            </w:r>
          </w:p>
        </w:tc>
        <w:tc>
          <w:tcPr>
            <w:tcW w:w="840" w:type="dxa"/>
            <w:vAlign w:val="bottom"/>
          </w:tcPr>
          <w:p>
            <w:pPr>
              <w:jc w:val="right"/>
              <w:ind w:right="58"/>
              <w:spacing w:after="0" w:line="202" w:lineRule="exact"/>
              <w:rPr>
                <w:sz w:val="20"/>
                <w:szCs w:val="20"/>
                <w:color w:val="auto"/>
              </w:rPr>
            </w:pPr>
            <w:r>
              <w:rPr>
                <w:rFonts w:ascii="Arial" w:cs="Arial" w:eastAsia="Arial" w:hAnsi="Arial"/>
                <w:sz w:val="18"/>
                <w:szCs w:val="18"/>
                <w:color w:val="auto"/>
              </w:rPr>
              <w:t>704</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580</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200"/>
              <w:spacing w:after="0" w:line="203"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22"/>
                <w:szCs w:val="22"/>
                <w:color w:val="auto"/>
                <w:vertAlign w:val="superscript"/>
              </w:rPr>
              <w:t>(c)</w:t>
            </w:r>
          </w:p>
        </w:tc>
        <w:tc>
          <w:tcPr>
            <w:tcW w:w="180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(588)</w:t>
            </w:r>
          </w:p>
        </w:tc>
        <w:tc>
          <w:tcPr>
            <w:tcW w:w="28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264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300" w:type="dxa"/>
            <w:vAlign w:val="bottom"/>
          </w:tcPr>
          <w:p>
            <w:pPr>
              <w:spacing w:after="0"/>
              <w:rPr>
                <w:sz w:val="17"/>
                <w:szCs w:val="17"/>
                <w:color w:val="auto"/>
              </w:rPr>
            </w:pPr>
          </w:p>
        </w:tc>
        <w:tc>
          <w:tcPr>
            <w:tcW w:w="6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439</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Borders>
              <w:bottom w:val="single" w:sz="8" w:color="auto"/>
            </w:tcBorders>
          </w:tcPr>
          <w:p>
            <w:pPr>
              <w:ind w:left="20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22"/>
                <w:szCs w:val="22"/>
                <w:color w:val="auto"/>
                <w:vertAlign w:val="superscript"/>
              </w:rPr>
              <w:t>(d)</w:t>
            </w:r>
          </w:p>
        </w:tc>
        <w:tc>
          <w:tcPr>
            <w:tcW w:w="1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(389)</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96"/>
        </w:trPr>
        <w:tc>
          <w:tcPr>
            <w:tcW w:w="20" w:type="dxa"/>
            <w:vAlign w:val="bottom"/>
            <w:tcBorders>
              <w:bottom w:val="single" w:sz="8" w:color="0C6DFF"/>
            </w:tcBorders>
          </w:tcPr>
          <w:p>
            <w:pPr>
              <w:spacing w:after="0"/>
              <w:rPr>
                <w:sz w:val="17"/>
                <w:szCs w:val="17"/>
                <w:color w:val="auto"/>
              </w:rPr>
            </w:pPr>
          </w:p>
        </w:tc>
        <w:tc>
          <w:tcPr>
            <w:tcW w:w="410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1800" w:type="dxa"/>
            <w:vAlign w:val="bottom"/>
            <w:tcBorders>
              <w:bottom w:val="single" w:sz="8" w:color="0C6DFF"/>
            </w:tcBorders>
          </w:tcPr>
          <w:p>
            <w:pPr>
              <w:jc w:val="right"/>
              <w:ind w:right="2"/>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0C6DFF"/>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23,650</w:t>
            </w:r>
          </w:p>
        </w:tc>
        <w:tc>
          <w:tcPr>
            <w:tcW w:w="1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0C6DFF"/>
            </w:tcBorders>
          </w:tcPr>
          <w:p>
            <w:pPr>
              <w:jc w:val="right"/>
              <w:ind w:right="60"/>
              <w:spacing w:after="0" w:line="196" w:lineRule="exact"/>
              <w:rPr>
                <w:sz w:val="20"/>
                <w:szCs w:val="20"/>
                <w:color w:val="auto"/>
              </w:rPr>
            </w:pPr>
            <w:r>
              <w:rPr>
                <w:rFonts w:ascii="Arial" w:cs="Arial" w:eastAsia="Arial" w:hAnsi="Arial"/>
                <w:sz w:val="18"/>
                <w:szCs w:val="18"/>
                <w:b w:val="1"/>
                <w:bCs w:val="1"/>
                <w:color w:val="auto"/>
              </w:rPr>
              <w:t>4,732</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1,411</w:t>
            </w:r>
          </w:p>
        </w:tc>
        <w:tc>
          <w:tcPr>
            <w:tcW w:w="840" w:type="dxa"/>
            <w:vAlign w:val="bottom"/>
            <w:tcBorders>
              <w:bottom w:val="single" w:sz="8" w:color="0C6DFF"/>
            </w:tcBorders>
          </w:tcPr>
          <w:p>
            <w:pPr>
              <w:jc w:val="right"/>
              <w:ind w:right="58"/>
              <w:spacing w:after="0" w:line="196" w:lineRule="exact"/>
              <w:rPr>
                <w:sz w:val="20"/>
                <w:szCs w:val="20"/>
                <w:color w:val="auto"/>
              </w:rPr>
            </w:pPr>
            <w:r>
              <w:rPr>
                <w:rFonts w:ascii="Arial" w:cs="Arial" w:eastAsia="Arial" w:hAnsi="Arial"/>
                <w:sz w:val="18"/>
                <w:szCs w:val="18"/>
                <w:b w:val="1"/>
                <w:bCs w:val="1"/>
                <w:color w:val="auto"/>
              </w:rPr>
              <w:t>$ 3,321</w:t>
            </w:r>
          </w:p>
        </w:tc>
        <w:tc>
          <w:tcPr>
            <w:tcW w:w="30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1,160</w:t>
            </w:r>
          </w:p>
        </w:tc>
        <w:tc>
          <w:tcPr>
            <w:tcW w:w="92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b w:val="1"/>
                <w:bCs w:val="1"/>
                <w:color w:val="auto"/>
              </w:rPr>
              <w:t>$ 51,739</w:t>
            </w:r>
          </w:p>
        </w:tc>
        <w:tc>
          <w:tcPr>
            <w:tcW w:w="0" w:type="dxa"/>
            <w:vAlign w:val="bottom"/>
          </w:tcPr>
          <w:p>
            <w:pPr>
              <w:spacing w:after="0"/>
              <w:rPr>
                <w:sz w:val="1"/>
                <w:szCs w:val="1"/>
                <w:color w:val="auto"/>
              </w:rPr>
            </w:pPr>
          </w:p>
        </w:tc>
      </w:tr>
      <w:tr>
        <w:trPr>
          <w:trHeight w:val="506"/>
        </w:trPr>
        <w:tc>
          <w:tcPr>
            <w:tcW w:w="4120" w:type="dxa"/>
            <w:vAlign w:val="bottom"/>
            <w:gridSpan w:val="2"/>
          </w:tcPr>
          <w:p>
            <w:pPr>
              <w:spacing w:after="0"/>
              <w:rPr>
                <w:sz w:val="20"/>
                <w:szCs w:val="20"/>
                <w:color w:val="auto"/>
              </w:rPr>
            </w:pPr>
            <w:r>
              <w:rPr>
                <w:rFonts w:ascii="Arial" w:cs="Arial" w:eastAsia="Arial" w:hAnsi="Arial"/>
                <w:sz w:val="14"/>
                <w:szCs w:val="14"/>
                <w:color w:val="auto"/>
              </w:rPr>
              <w:t>Comcast 2013 Annual Report on Form 10-K</w:t>
            </w:r>
          </w:p>
        </w:tc>
        <w:tc>
          <w:tcPr>
            <w:tcW w:w="1800" w:type="dxa"/>
            <w:vAlign w:val="bottom"/>
          </w:tcPr>
          <w:p>
            <w:pPr>
              <w:jc w:val="right"/>
              <w:ind w:right="22"/>
              <w:spacing w:after="0"/>
              <w:rPr>
                <w:sz w:val="20"/>
                <w:szCs w:val="20"/>
                <w:color w:val="auto"/>
              </w:rPr>
            </w:pPr>
            <w:r>
              <w:rPr>
                <w:rFonts w:ascii="Arial" w:cs="Arial" w:eastAsia="Arial" w:hAnsi="Arial"/>
                <w:sz w:val="14"/>
                <w:szCs w:val="14"/>
                <w:b w:val="1"/>
                <w:bCs w:val="1"/>
                <w:color w:val="auto"/>
              </w:rPr>
              <w:t>172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Income (Loss)</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Before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4"/>
              </w:rPr>
              <w:t>Depreciation</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jc w:val="right"/>
              <w:ind w:right="76"/>
              <w:spacing w:after="0" w:line="149" w:lineRule="exact"/>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8"/>
        </w:trPr>
        <w:tc>
          <w:tcPr>
            <w:tcW w:w="5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3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1"/>
                <w:szCs w:val="11"/>
                <w:color w:val="auto"/>
              </w:rPr>
            </w:pPr>
          </w:p>
        </w:tc>
        <w:tc>
          <w:tcPr>
            <w:tcW w:w="660" w:type="dxa"/>
            <w:vAlign w:val="bottom"/>
          </w:tcPr>
          <w:p>
            <w:pPr>
              <w:jc w:val="right"/>
              <w:ind w:right="76"/>
              <w:spacing w:after="0" w:line="129" w:lineRule="exact"/>
              <w:rPr>
                <w:sz w:val="20"/>
                <w:szCs w:val="20"/>
                <w:color w:val="auto"/>
              </w:rPr>
            </w:pPr>
            <w:r>
              <w:rPr>
                <w:rFonts w:ascii="Arial" w:cs="Arial" w:eastAsia="Arial" w:hAnsi="Arial"/>
                <w:sz w:val="14"/>
                <w:szCs w:val="14"/>
                <w:color w:val="auto"/>
              </w:rPr>
              <w:t>Income</w:t>
            </w:r>
          </w:p>
        </w:tc>
        <w:tc>
          <w:tcPr>
            <w:tcW w:w="2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Capital</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9"/>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Successor (in millions)</w:t>
            </w:r>
          </w:p>
        </w:tc>
        <w:tc>
          <w:tcPr>
            <w:tcW w:w="1640" w:type="dxa"/>
            <w:vAlign w:val="bottom"/>
            <w:tcBorders>
              <w:bottom w:val="single" w:sz="8" w:color="auto"/>
            </w:tcBorders>
            <w:gridSpan w:val="2"/>
          </w:tcPr>
          <w:p>
            <w:pPr>
              <w:ind w:left="620"/>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(e)(g)</w:t>
            </w:r>
          </w:p>
        </w:tc>
        <w:tc>
          <w:tcPr>
            <w:tcW w:w="88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(f)</w:t>
            </w:r>
          </w:p>
        </w:tc>
        <w:tc>
          <w:tcPr>
            <w:tcW w:w="10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(Loss)</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Expenditures</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Assets</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b w:val="1"/>
                <w:bCs w:val="1"/>
                <w:color w:val="auto"/>
              </w:rPr>
              <w:t>2012</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800" w:type="dxa"/>
            <w:vAlign w:val="bottom"/>
          </w:tcPr>
          <w:p>
            <w:pPr>
              <w:ind w:left="6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8,727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3,303</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735</w:t>
            </w:r>
          </w:p>
        </w:tc>
        <w:tc>
          <w:tcPr>
            <w:tcW w:w="900" w:type="dxa"/>
            <w:vAlign w:val="bottom"/>
            <w:gridSpan w:val="2"/>
          </w:tcPr>
          <w:p>
            <w:pPr>
              <w:jc w:val="right"/>
              <w:ind w:right="76"/>
              <w:spacing w:after="0" w:line="202" w:lineRule="exact"/>
              <w:rPr>
                <w:sz w:val="20"/>
                <w:szCs w:val="20"/>
                <w:color w:val="auto"/>
              </w:rPr>
            </w:pPr>
            <w:r>
              <w:rPr>
                <w:rFonts w:ascii="Arial" w:cs="Arial" w:eastAsia="Arial" w:hAnsi="Arial"/>
                <w:sz w:val="18"/>
                <w:szCs w:val="18"/>
                <w:color w:val="auto"/>
              </w:rPr>
              <w:t>$ 2,568</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960" w:type="dxa"/>
            <w:vAlign w:val="bottom"/>
            <w:gridSpan w:val="2"/>
          </w:tcPr>
          <w:p>
            <w:pPr>
              <w:jc w:val="right"/>
              <w:ind w:right="15"/>
              <w:spacing w:after="0" w:line="202" w:lineRule="exact"/>
              <w:rPr>
                <w:sz w:val="20"/>
                <w:szCs w:val="20"/>
                <w:color w:val="auto"/>
              </w:rPr>
            </w:pPr>
            <w:r>
              <w:rPr>
                <w:rFonts w:ascii="Arial" w:cs="Arial" w:eastAsia="Arial" w:hAnsi="Arial"/>
                <w:sz w:val="18"/>
                <w:szCs w:val="18"/>
                <w:color w:val="auto"/>
              </w:rPr>
              <w:t>$ 29,636</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(a)</w:t>
            </w:r>
          </w:p>
        </w:tc>
        <w:tc>
          <w:tcPr>
            <w:tcW w:w="800" w:type="dxa"/>
            <w:vAlign w:val="bottom"/>
          </w:tcPr>
          <w:p>
            <w:pPr>
              <w:spacing w:after="0"/>
              <w:rPr>
                <w:sz w:val="17"/>
                <w:szCs w:val="17"/>
                <w:color w:val="auto"/>
              </w:rPr>
            </w:pPr>
          </w:p>
        </w:tc>
        <w:tc>
          <w:tcPr>
            <w:tcW w:w="8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8,200</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240" w:type="dxa"/>
            <w:vAlign w:val="bottom"/>
          </w:tcPr>
          <w:p>
            <w:pPr>
              <w:spacing w:after="0"/>
              <w:rPr>
                <w:sz w:val="17"/>
                <w:szCs w:val="17"/>
                <w:color w:val="auto"/>
              </w:rPr>
            </w:pPr>
          </w:p>
        </w:tc>
        <w:tc>
          <w:tcPr>
            <w:tcW w:w="6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261</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6,414</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800" w:type="dxa"/>
            <w:vAlign w:val="bottom"/>
          </w:tcPr>
          <w:p>
            <w:pPr>
              <w:spacing w:after="0"/>
              <w:rPr>
                <w:sz w:val="17"/>
                <w:szCs w:val="17"/>
                <w:color w:val="auto"/>
              </w:rPr>
            </w:pPr>
          </w:p>
        </w:tc>
        <w:tc>
          <w:tcPr>
            <w:tcW w:w="8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5,159</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6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3,769</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800" w:type="dxa"/>
            <w:vAlign w:val="bottom"/>
          </w:tcPr>
          <w:p>
            <w:pPr>
              <w:spacing w:after="0"/>
              <w:rPr>
                <w:sz w:val="17"/>
                <w:szCs w:val="17"/>
                <w:color w:val="auto"/>
              </w:rPr>
            </w:pPr>
          </w:p>
        </w:tc>
        <w:tc>
          <w:tcPr>
            <w:tcW w:w="8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2,085</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953</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240" w:type="dxa"/>
            <w:vAlign w:val="bottom"/>
          </w:tcPr>
          <w:p>
            <w:pPr>
              <w:spacing w:after="0"/>
              <w:rPr>
                <w:sz w:val="17"/>
                <w:szCs w:val="17"/>
                <w:color w:val="auto"/>
              </w:rPr>
            </w:pPr>
          </w:p>
        </w:tc>
        <w:tc>
          <w:tcPr>
            <w:tcW w:w="6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685</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6,266</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00" w:type="dxa"/>
            <w:vAlign w:val="bottom"/>
          </w:tcPr>
          <w:p>
            <w:pPr>
              <w:spacing w:after="0"/>
              <w:rPr>
                <w:sz w:val="17"/>
                <w:szCs w:val="17"/>
                <w:color w:val="auto"/>
              </w:rPr>
            </w:pPr>
          </w:p>
        </w:tc>
        <w:tc>
          <w:tcPr>
            <w:tcW w:w="8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1080" w:type="dxa"/>
            <w:vAlign w:val="bottom"/>
            <w:gridSpan w:val="2"/>
          </w:tcPr>
          <w:p>
            <w:pPr>
              <w:jc w:val="right"/>
              <w:ind w:right="185"/>
              <w:spacing w:after="0" w:line="202" w:lineRule="exact"/>
              <w:rPr>
                <w:sz w:val="20"/>
                <w:szCs w:val="20"/>
                <w:color w:val="auto"/>
              </w:rPr>
            </w:pPr>
            <w:r>
              <w:rPr>
                <w:rFonts w:ascii="Arial" w:cs="Arial" w:eastAsia="Arial" w:hAnsi="Arial"/>
                <w:sz w:val="18"/>
                <w:szCs w:val="18"/>
                <w:color w:val="auto"/>
              </w:rPr>
              <w:t>(603)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40" w:type="dxa"/>
            <w:vAlign w:val="bottom"/>
          </w:tcPr>
          <w:p>
            <w:pPr>
              <w:spacing w:after="0"/>
              <w:rPr>
                <w:sz w:val="17"/>
                <w:szCs w:val="17"/>
                <w:color w:val="auto"/>
              </w:rPr>
            </w:pPr>
          </w:p>
        </w:tc>
        <w:tc>
          <w:tcPr>
            <w:tcW w:w="6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(813)</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8,938</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6"/>
              <w:spacing w:after="0" w:line="200" w:lineRule="exact"/>
              <w:rPr>
                <w:sz w:val="20"/>
                <w:szCs w:val="20"/>
                <w:color w:val="auto"/>
              </w:rPr>
            </w:pPr>
            <w:r>
              <w:rPr>
                <w:rFonts w:ascii="Arial" w:cs="Arial" w:eastAsia="Arial" w:hAnsi="Arial"/>
                <w:sz w:val="18"/>
                <w:szCs w:val="18"/>
                <w:color w:val="auto"/>
              </w:rPr>
              <w:t>(402)</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6"/>
              <w:spacing w:after="0" w:line="200" w:lineRule="exact"/>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(561)</w:t>
            </w:r>
          </w:p>
        </w:tc>
      </w:tr>
      <w:tr>
        <w:trPr>
          <w:trHeight w:val="196"/>
        </w:trPr>
        <w:tc>
          <w:tcPr>
            <w:tcW w:w="5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0C6DFF"/>
            </w:tcBorders>
          </w:tcPr>
          <w:p>
            <w:pPr>
              <w:ind w:left="62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0C6DFF"/>
            </w:tcBorders>
          </w:tcPr>
          <w:p>
            <w:pPr>
              <w:jc w:val="right"/>
              <w:ind w:right="116"/>
              <w:spacing w:after="0" w:line="196" w:lineRule="exact"/>
              <w:rPr>
                <w:sz w:val="20"/>
                <w:szCs w:val="20"/>
                <w:color w:val="auto"/>
              </w:rPr>
            </w:pPr>
            <w:r>
              <w:rPr>
                <w:rFonts w:ascii="Arial" w:cs="Arial" w:eastAsia="Arial" w:hAnsi="Arial"/>
                <w:sz w:val="18"/>
                <w:szCs w:val="18"/>
                <w:color w:val="auto"/>
              </w:rPr>
              <w:t>23,812</w:t>
            </w:r>
          </w:p>
        </w:tc>
        <w:tc>
          <w:tcPr>
            <w:tcW w:w="10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4,107</w:t>
            </w:r>
          </w:p>
        </w:tc>
        <w:tc>
          <w:tcPr>
            <w:tcW w:w="300" w:type="dxa"/>
            <w:vAlign w:val="bottom"/>
            <w:tcBorders>
              <w:bottom w:val="single" w:sz="8" w:color="0C6DFF"/>
            </w:tcBorders>
          </w:tcPr>
          <w:p>
            <w:pPr>
              <w:ind w:left="18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1,326</w:t>
            </w:r>
          </w:p>
        </w:tc>
        <w:tc>
          <w:tcPr>
            <w:tcW w:w="900" w:type="dxa"/>
            <w:vAlign w:val="bottom"/>
            <w:tcBorders>
              <w:bottom w:val="single" w:sz="8" w:color="0C6DFF"/>
            </w:tcBorders>
            <w:gridSpan w:val="2"/>
          </w:tcPr>
          <w:p>
            <w:pPr>
              <w:jc w:val="right"/>
              <w:ind w:right="76"/>
              <w:spacing w:after="0" w:line="196" w:lineRule="exact"/>
              <w:rPr>
                <w:sz w:val="20"/>
                <w:szCs w:val="20"/>
                <w:color w:val="auto"/>
              </w:rPr>
            </w:pPr>
            <w:r>
              <w:rPr>
                <w:rFonts w:ascii="Arial" w:cs="Arial" w:eastAsia="Arial" w:hAnsi="Arial"/>
                <w:sz w:val="18"/>
                <w:szCs w:val="18"/>
                <w:color w:val="auto"/>
              </w:rPr>
              <w:t>$ 2,781</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763</w:t>
            </w:r>
          </w:p>
        </w:tc>
        <w:tc>
          <w:tcPr>
            <w:tcW w:w="960" w:type="dxa"/>
            <w:vAlign w:val="bottom"/>
            <w:tcBorders>
              <w:bottom w:val="single" w:sz="8" w:color="0C6DFF"/>
            </w:tcBorders>
            <w:gridSpan w:val="2"/>
          </w:tcPr>
          <w:p>
            <w:pPr>
              <w:jc w:val="right"/>
              <w:ind w:right="15"/>
              <w:spacing w:after="0" w:line="196" w:lineRule="exact"/>
              <w:rPr>
                <w:sz w:val="20"/>
                <w:szCs w:val="20"/>
                <w:color w:val="auto"/>
              </w:rPr>
            </w:pPr>
            <w:r>
              <w:rPr>
                <w:rFonts w:ascii="Arial" w:cs="Arial" w:eastAsia="Arial" w:hAnsi="Arial"/>
                <w:sz w:val="18"/>
                <w:szCs w:val="18"/>
                <w:color w:val="auto"/>
              </w:rPr>
              <w:t>$ 54,462</w:t>
            </w:r>
          </w:p>
        </w:tc>
      </w:tr>
      <w:tr>
        <w:trPr>
          <w:trHeight w:val="344"/>
        </w:trPr>
        <w:tc>
          <w:tcPr>
            <w:tcW w:w="5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4"/>
                <w:szCs w:val="14"/>
                <w:color w:val="auto"/>
                <w:w w:val="91"/>
              </w:rPr>
              <w:t>Operating</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Income (Loss)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jc w:val="right"/>
              <w:ind w:right="57"/>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jc w:val="right"/>
              <w:ind w:right="56"/>
              <w:spacing w:after="0" w:line="149" w:lineRule="exact"/>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8"/>
        </w:trPr>
        <w:tc>
          <w:tcPr>
            <w:tcW w:w="5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37"/>
              <w:spacing w:after="0" w:line="12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1"/>
                <w:szCs w:val="11"/>
                <w:color w:val="auto"/>
              </w:rPr>
            </w:pPr>
          </w:p>
        </w:tc>
        <w:tc>
          <w:tcPr>
            <w:tcW w:w="620" w:type="dxa"/>
            <w:vAlign w:val="bottom"/>
          </w:tcPr>
          <w:p>
            <w:pPr>
              <w:jc w:val="right"/>
              <w:ind w:right="56"/>
              <w:spacing w:after="0" w:line="129" w:lineRule="exact"/>
              <w:rPr>
                <w:sz w:val="20"/>
                <w:szCs w:val="20"/>
                <w:color w:val="auto"/>
              </w:rPr>
            </w:pPr>
            <w:r>
              <w:rPr>
                <w:rFonts w:ascii="Arial" w:cs="Arial" w:eastAsia="Arial" w:hAnsi="Arial"/>
                <w:sz w:val="14"/>
                <w:szCs w:val="14"/>
                <w:color w:val="auto"/>
              </w:rPr>
              <w:t>Income</w:t>
            </w:r>
          </w:p>
        </w:tc>
        <w:tc>
          <w:tcPr>
            <w:tcW w:w="280" w:type="dxa"/>
            <w:vAlign w:val="bottom"/>
          </w:tcPr>
          <w:p>
            <w:pPr>
              <w:spacing w:after="0"/>
              <w:rPr>
                <w:sz w:val="11"/>
                <w:szCs w:val="11"/>
                <w:color w:val="auto"/>
              </w:rPr>
            </w:pPr>
          </w:p>
        </w:tc>
        <w:tc>
          <w:tcPr>
            <w:tcW w:w="680" w:type="dxa"/>
            <w:vAlign w:val="bottom"/>
          </w:tcPr>
          <w:p>
            <w:pPr>
              <w:jc w:val="right"/>
              <w:ind w:right="15"/>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Successor (in millions)</w:t>
            </w:r>
          </w:p>
        </w:tc>
        <w:tc>
          <w:tcPr>
            <w:tcW w:w="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720"/>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(e)(g)</w:t>
            </w:r>
          </w:p>
        </w:tc>
        <w:tc>
          <w:tcPr>
            <w:tcW w:w="1020" w:type="dxa"/>
            <w:vAlign w:val="bottom"/>
            <w:tcBorders>
              <w:bottom w:val="single" w:sz="8" w:color="auto"/>
            </w:tcBorders>
            <w:gridSpan w:val="2"/>
          </w:tcPr>
          <w:p>
            <w:pPr>
              <w:ind w:left="40"/>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(f)</w:t>
            </w: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Expenditures</w:t>
            </w:r>
          </w:p>
        </w:tc>
      </w:tr>
      <w:tr>
        <w:trPr>
          <w:trHeight w:val="199"/>
        </w:trPr>
        <w:tc>
          <w:tcPr>
            <w:tcW w:w="5120" w:type="dxa"/>
            <w:vAlign w:val="bottom"/>
          </w:tcPr>
          <w:p>
            <w:pPr>
              <w:spacing w:after="0" w:line="200" w:lineRule="exact"/>
              <w:rPr>
                <w:sz w:val="20"/>
                <w:szCs w:val="20"/>
                <w:color w:val="auto"/>
              </w:rPr>
            </w:pPr>
            <w:r>
              <w:rPr>
                <w:rFonts w:ascii="Arial" w:cs="Arial" w:eastAsia="Arial" w:hAnsi="Arial"/>
                <w:sz w:val="18"/>
                <w:szCs w:val="18"/>
                <w:b w:val="1"/>
                <w:bCs w:val="1"/>
                <w:color w:val="auto"/>
              </w:rPr>
              <w:t>For the Period January 29, 2011 to December 31, 2011</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800" w:type="dxa"/>
            <w:vAlign w:val="bottom"/>
          </w:tcPr>
          <w:p>
            <w:pPr>
              <w:spacing w:after="0"/>
              <w:rPr>
                <w:sz w:val="17"/>
                <w:szCs w:val="17"/>
                <w:color w:val="auto"/>
              </w:rPr>
            </w:pPr>
          </w:p>
        </w:tc>
        <w:tc>
          <w:tcPr>
            <w:tcW w:w="840" w:type="dxa"/>
            <w:vAlign w:val="bottom"/>
          </w:tcPr>
          <w:p>
            <w:pPr>
              <w:ind w:left="72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7,829</w:t>
            </w:r>
          </w:p>
        </w:tc>
        <w:tc>
          <w:tcPr>
            <w:tcW w:w="30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3,133</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694</w:t>
            </w:r>
          </w:p>
        </w:tc>
        <w:tc>
          <w:tcPr>
            <w:tcW w:w="900" w:type="dxa"/>
            <w:vAlign w:val="bottom"/>
            <w:gridSpan w:val="2"/>
          </w:tcPr>
          <w:p>
            <w:pPr>
              <w:jc w:val="right"/>
              <w:ind w:right="56"/>
              <w:spacing w:after="0" w:line="202" w:lineRule="exact"/>
              <w:rPr>
                <w:sz w:val="20"/>
                <w:szCs w:val="20"/>
                <w:color w:val="auto"/>
              </w:rPr>
            </w:pPr>
            <w:r>
              <w:rPr>
                <w:rFonts w:ascii="Arial" w:cs="Arial" w:eastAsia="Arial" w:hAnsi="Arial"/>
                <w:sz w:val="18"/>
                <w:szCs w:val="18"/>
                <w:color w:val="auto"/>
              </w:rPr>
              <w:t>$ 2,439</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46</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5,982</w:t>
            </w:r>
          </w:p>
        </w:tc>
        <w:tc>
          <w:tcPr>
            <w:tcW w:w="300" w:type="dxa"/>
            <w:vAlign w:val="bottom"/>
          </w:tcPr>
          <w:p>
            <w:pPr>
              <w:spacing w:after="0"/>
              <w:rPr>
                <w:sz w:val="17"/>
                <w:szCs w:val="17"/>
                <w:color w:val="auto"/>
              </w:rPr>
            </w:pPr>
          </w:p>
        </w:tc>
        <w:tc>
          <w:tcPr>
            <w:tcW w:w="7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124</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8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61</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4,239</w:t>
            </w:r>
          </w:p>
        </w:tc>
        <w:tc>
          <w:tcPr>
            <w:tcW w:w="300" w:type="dxa"/>
            <w:vAlign w:val="bottom"/>
          </w:tcPr>
          <w:p>
            <w:pPr>
              <w:spacing w:after="0"/>
              <w:rPr>
                <w:sz w:val="17"/>
                <w:szCs w:val="17"/>
                <w:color w:val="auto"/>
              </w:rPr>
            </w:pPr>
          </w:p>
        </w:tc>
        <w:tc>
          <w:tcPr>
            <w:tcW w:w="7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27</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8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1,874</w:t>
            </w:r>
          </w:p>
        </w:tc>
        <w:tc>
          <w:tcPr>
            <w:tcW w:w="300" w:type="dxa"/>
            <w:vAlign w:val="bottom"/>
          </w:tcPr>
          <w:p>
            <w:pPr>
              <w:spacing w:after="0"/>
              <w:rPr>
                <w:sz w:val="17"/>
                <w:szCs w:val="17"/>
                <w:color w:val="auto"/>
              </w:rPr>
            </w:pPr>
          </w:p>
        </w:tc>
        <w:tc>
          <w:tcPr>
            <w:tcW w:w="720" w:type="dxa"/>
            <w:vAlign w:val="bottom"/>
          </w:tcPr>
          <w:p>
            <w:pPr>
              <w:jc w:val="right"/>
              <w:ind w:right="57"/>
              <w:spacing w:after="0" w:line="202" w:lineRule="exact"/>
              <w:rPr>
                <w:sz w:val="20"/>
                <w:szCs w:val="20"/>
                <w:color w:val="auto"/>
              </w:rPr>
            </w:pPr>
            <w:r>
              <w:rPr>
                <w:rFonts w:ascii="Arial" w:cs="Arial" w:eastAsia="Arial" w:hAnsi="Arial"/>
                <w:sz w:val="18"/>
                <w:szCs w:val="18"/>
                <w:color w:val="auto"/>
              </w:rPr>
              <w:t>830</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c>
          <w:tcPr>
            <w:tcW w:w="28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629</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154</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45</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165</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
              <w:spacing w:after="0" w:line="200" w:lineRule="exact"/>
              <w:rPr>
                <w:sz w:val="20"/>
                <w:szCs w:val="20"/>
                <w:color w:val="auto"/>
              </w:rPr>
            </w:pPr>
            <w:r>
              <w:rPr>
                <w:rFonts w:ascii="Arial" w:cs="Arial" w:eastAsia="Arial" w:hAnsi="Arial"/>
                <w:sz w:val="18"/>
                <w:szCs w:val="18"/>
                <w:color w:val="auto"/>
              </w:rPr>
              <w:t>(941)</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(234)</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(234)</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r>
      <w:tr>
        <w:trPr>
          <w:trHeight w:val="196"/>
        </w:trPr>
        <w:tc>
          <w:tcPr>
            <w:tcW w:w="5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0C6DFF"/>
            </w:tcBorders>
          </w:tcPr>
          <w:p>
            <w:pPr>
              <w:spacing w:after="0"/>
              <w:rPr>
                <w:sz w:val="17"/>
                <w:szCs w:val="17"/>
                <w:color w:val="auto"/>
              </w:rPr>
            </w:pPr>
          </w:p>
        </w:tc>
        <w:tc>
          <w:tcPr>
            <w:tcW w:w="840" w:type="dxa"/>
            <w:vAlign w:val="bottom"/>
            <w:tcBorders>
              <w:bottom w:val="single" w:sz="8" w:color="0C6DFF"/>
            </w:tcBorders>
          </w:tcPr>
          <w:p>
            <w:pPr>
              <w:ind w:left="72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0C6DFF"/>
            </w:tcBorders>
          </w:tcPr>
          <w:p>
            <w:pPr>
              <w:spacing w:after="0"/>
              <w:rPr>
                <w:sz w:val="17"/>
                <w:szCs w:val="17"/>
                <w:color w:val="auto"/>
              </w:rPr>
            </w:pPr>
          </w:p>
        </w:tc>
        <w:tc>
          <w:tcPr>
            <w:tcW w:w="780" w:type="dxa"/>
            <w:vAlign w:val="bottom"/>
            <w:tcBorders>
              <w:bottom w:val="single" w:sz="8" w:color="0C6DFF"/>
            </w:tcBorders>
          </w:tcPr>
          <w:p>
            <w:pPr>
              <w:jc w:val="right"/>
              <w:ind w:right="95"/>
              <w:spacing w:after="0" w:line="196" w:lineRule="exact"/>
              <w:rPr>
                <w:sz w:val="20"/>
                <w:szCs w:val="20"/>
                <w:color w:val="auto"/>
              </w:rPr>
            </w:pPr>
            <w:r>
              <w:rPr>
                <w:rFonts w:ascii="Arial" w:cs="Arial" w:eastAsia="Arial" w:hAnsi="Arial"/>
                <w:sz w:val="18"/>
                <w:szCs w:val="18"/>
                <w:color w:val="auto"/>
              </w:rPr>
              <w:t>19,028</w:t>
            </w:r>
          </w:p>
        </w:tc>
        <w:tc>
          <w:tcPr>
            <w:tcW w:w="300" w:type="dxa"/>
            <w:vAlign w:val="bottom"/>
            <w:tcBorders>
              <w:bottom w:val="single" w:sz="8" w:color="0C6DFF"/>
            </w:tcBorders>
          </w:tcPr>
          <w:p>
            <w:pPr>
              <w:ind w:left="2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57"/>
              <w:spacing w:after="0" w:line="196" w:lineRule="exact"/>
              <w:rPr>
                <w:sz w:val="20"/>
                <w:szCs w:val="20"/>
                <w:color w:val="auto"/>
              </w:rPr>
            </w:pPr>
            <w:r>
              <w:rPr>
                <w:rFonts w:ascii="Arial" w:cs="Arial" w:eastAsia="Arial" w:hAnsi="Arial"/>
                <w:sz w:val="18"/>
                <w:szCs w:val="18"/>
                <w:color w:val="auto"/>
              </w:rPr>
              <w:t>3,396</w:t>
            </w:r>
          </w:p>
        </w:tc>
        <w:tc>
          <w:tcPr>
            <w:tcW w:w="24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1,113</w:t>
            </w:r>
          </w:p>
        </w:tc>
        <w:tc>
          <w:tcPr>
            <w:tcW w:w="900" w:type="dxa"/>
            <w:vAlign w:val="bottom"/>
            <w:tcBorders>
              <w:bottom w:val="single" w:sz="8" w:color="0C6DFF"/>
            </w:tcBorders>
            <w:gridSpan w:val="2"/>
          </w:tcPr>
          <w:p>
            <w:pPr>
              <w:jc w:val="right"/>
              <w:ind w:right="56"/>
              <w:spacing w:after="0" w:line="196" w:lineRule="exact"/>
              <w:rPr>
                <w:sz w:val="20"/>
                <w:szCs w:val="20"/>
                <w:color w:val="auto"/>
              </w:rPr>
            </w:pPr>
            <w:r>
              <w:rPr>
                <w:rFonts w:ascii="Arial" w:cs="Arial" w:eastAsia="Arial" w:hAnsi="Arial"/>
                <w:sz w:val="18"/>
                <w:szCs w:val="18"/>
                <w:color w:val="auto"/>
              </w:rPr>
              <w:t>$ 2,283</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432</w:t>
            </w:r>
          </w:p>
        </w:tc>
      </w:tr>
      <w:tr>
        <w:trPr>
          <w:trHeight w:val="560"/>
        </w:trPr>
        <w:tc>
          <w:tcPr>
            <w:tcW w:w="5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4"/>
                <w:szCs w:val="14"/>
                <w:color w:val="auto"/>
                <w:w w:val="94"/>
              </w:rPr>
              <w:t>Operating</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Income (Loss)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7"/>
              <w:spacing w:after="0" w:line="149" w:lineRule="exact"/>
              <w:rPr>
                <w:sz w:val="20"/>
                <w:szCs w:val="20"/>
                <w:color w:val="auto"/>
              </w:rPr>
            </w:pPr>
            <w:r>
              <w:rPr>
                <w:rFonts w:ascii="Arial" w:cs="Arial" w:eastAsia="Arial" w:hAnsi="Arial"/>
                <w:sz w:val="14"/>
                <w:szCs w:val="14"/>
                <w:color w:val="auto"/>
              </w:rPr>
              <w:t>Before</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5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jc w:val="right"/>
              <w:ind w:right="37"/>
              <w:spacing w:after="0" w:line="149" w:lineRule="exact"/>
              <w:rPr>
                <w:sz w:val="20"/>
                <w:szCs w:val="20"/>
                <w:color w:val="auto"/>
              </w:rPr>
            </w:pPr>
            <w:r>
              <w:rPr>
                <w:rFonts w:ascii="Arial" w:cs="Arial" w:eastAsia="Arial" w:hAnsi="Arial"/>
                <w:sz w:val="14"/>
                <w:szCs w:val="14"/>
                <w:color w:val="auto"/>
              </w:rPr>
              <w:t>Depreciation</w:t>
            </w: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Depreciation</w:t>
            </w:r>
          </w:p>
        </w:tc>
        <w:tc>
          <w:tcPr>
            <w:tcW w:w="900" w:type="dxa"/>
            <w:vAlign w:val="bottom"/>
            <w:gridSpan w:val="2"/>
          </w:tcPr>
          <w:p>
            <w:pPr>
              <w:jc w:val="right"/>
              <w:ind w:right="56"/>
              <w:spacing w:after="0" w:line="149" w:lineRule="exact"/>
              <w:rPr>
                <w:sz w:val="20"/>
                <w:szCs w:val="20"/>
                <w:color w:val="auto"/>
              </w:rPr>
            </w:pPr>
            <w:r>
              <w:rPr>
                <w:rFonts w:ascii="Arial" w:cs="Arial" w:eastAsia="Arial" w:hAnsi="Arial"/>
                <w:sz w:val="14"/>
                <w:szCs w:val="14"/>
                <w:color w:val="auto"/>
              </w:rPr>
              <w:t>Operating</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28"/>
        </w:trPr>
        <w:tc>
          <w:tcPr>
            <w:tcW w:w="5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jc w:val="right"/>
              <w:ind w:right="37"/>
              <w:spacing w:after="0" w:line="129" w:lineRule="exact"/>
              <w:rPr>
                <w:sz w:val="20"/>
                <w:szCs w:val="20"/>
                <w:color w:val="auto"/>
              </w:rPr>
            </w:pPr>
            <w:r>
              <w:rPr>
                <w:rFonts w:ascii="Arial" w:cs="Arial" w:eastAsia="Arial" w:hAnsi="Arial"/>
                <w:sz w:val="14"/>
                <w:szCs w:val="14"/>
                <w:color w:val="auto"/>
              </w:rPr>
              <w:t>and</w:t>
            </w:r>
          </w:p>
        </w:tc>
        <w:tc>
          <w:tcPr>
            <w:tcW w:w="2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and</w:t>
            </w:r>
          </w:p>
        </w:tc>
        <w:tc>
          <w:tcPr>
            <w:tcW w:w="280" w:type="dxa"/>
            <w:vAlign w:val="bottom"/>
          </w:tcPr>
          <w:p>
            <w:pPr>
              <w:spacing w:after="0"/>
              <w:rPr>
                <w:sz w:val="11"/>
                <w:szCs w:val="11"/>
                <w:color w:val="auto"/>
              </w:rPr>
            </w:pPr>
          </w:p>
        </w:tc>
        <w:tc>
          <w:tcPr>
            <w:tcW w:w="620" w:type="dxa"/>
            <w:vAlign w:val="bottom"/>
          </w:tcPr>
          <w:p>
            <w:pPr>
              <w:jc w:val="right"/>
              <w:ind w:right="56"/>
              <w:spacing w:after="0" w:line="129" w:lineRule="exact"/>
              <w:rPr>
                <w:sz w:val="20"/>
                <w:szCs w:val="20"/>
                <w:color w:val="auto"/>
              </w:rPr>
            </w:pPr>
            <w:r>
              <w:rPr>
                <w:rFonts w:ascii="Arial" w:cs="Arial" w:eastAsia="Arial" w:hAnsi="Arial"/>
                <w:sz w:val="14"/>
                <w:szCs w:val="14"/>
                <w:color w:val="auto"/>
              </w:rPr>
              <w:t>Income</w:t>
            </w:r>
          </w:p>
        </w:tc>
        <w:tc>
          <w:tcPr>
            <w:tcW w:w="280" w:type="dxa"/>
            <w:vAlign w:val="bottom"/>
          </w:tcPr>
          <w:p>
            <w:pPr>
              <w:spacing w:after="0"/>
              <w:rPr>
                <w:sz w:val="11"/>
                <w:szCs w:val="11"/>
                <w:color w:val="auto"/>
              </w:rPr>
            </w:pPr>
          </w:p>
        </w:tc>
        <w:tc>
          <w:tcPr>
            <w:tcW w:w="680" w:type="dxa"/>
            <w:vAlign w:val="bottom"/>
          </w:tcPr>
          <w:p>
            <w:pPr>
              <w:jc w:val="right"/>
              <w:ind w:right="15"/>
              <w:spacing w:after="0" w:line="129" w:lineRule="exact"/>
              <w:rPr>
                <w:sz w:val="20"/>
                <w:szCs w:val="20"/>
                <w:color w:val="auto"/>
              </w:rPr>
            </w:pPr>
            <w:r>
              <w:rPr>
                <w:rFonts w:ascii="Arial" w:cs="Arial" w:eastAsia="Arial" w:hAnsi="Arial"/>
                <w:sz w:val="14"/>
                <w:szCs w:val="14"/>
                <w:color w:val="auto"/>
              </w:rPr>
              <w:t>Capital</w:t>
            </w:r>
          </w:p>
        </w:tc>
      </w:tr>
      <w:tr>
        <w:trPr>
          <w:trHeight w:val="169"/>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Predecessor (in millions)</w:t>
            </w:r>
          </w:p>
        </w:tc>
        <w:tc>
          <w:tcPr>
            <w:tcW w:w="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740"/>
              <w:spacing w:after="0" w:line="170" w:lineRule="exact"/>
              <w:rPr>
                <w:sz w:val="20"/>
                <w:szCs w:val="20"/>
                <w:color w:val="auto"/>
              </w:rPr>
            </w:pPr>
            <w:r>
              <w:rPr>
                <w:rFonts w:ascii="Arial" w:cs="Arial" w:eastAsia="Arial" w:hAnsi="Arial"/>
                <w:sz w:val="12"/>
                <w:szCs w:val="12"/>
                <w:color w:val="auto"/>
              </w:rPr>
              <w:t>Revenue</w:t>
            </w:r>
            <w:r>
              <w:rPr>
                <w:rFonts w:ascii="Arial" w:cs="Arial" w:eastAsia="Arial" w:hAnsi="Arial"/>
                <w:sz w:val="19"/>
                <w:szCs w:val="19"/>
                <w:color w:val="auto"/>
                <w:vertAlign w:val="superscript"/>
              </w:rPr>
              <w:t>(e)(g)</w:t>
            </w:r>
          </w:p>
        </w:tc>
        <w:tc>
          <w:tcPr>
            <w:tcW w:w="1020" w:type="dxa"/>
            <w:vAlign w:val="bottom"/>
            <w:tcBorders>
              <w:bottom w:val="single" w:sz="8" w:color="auto"/>
            </w:tcBorders>
            <w:gridSpan w:val="2"/>
          </w:tcPr>
          <w:p>
            <w:pPr>
              <w:ind w:left="40"/>
              <w:spacing w:after="0" w:line="170" w:lineRule="exact"/>
              <w:rPr>
                <w:sz w:val="20"/>
                <w:szCs w:val="20"/>
                <w:color w:val="auto"/>
              </w:rPr>
            </w:pPr>
            <w:r>
              <w:rPr>
                <w:rFonts w:ascii="Arial" w:cs="Arial" w:eastAsia="Arial" w:hAnsi="Arial"/>
                <w:sz w:val="12"/>
                <w:szCs w:val="12"/>
                <w:color w:val="auto"/>
              </w:rPr>
              <w:t>Amortization</w:t>
            </w:r>
            <w:r>
              <w:rPr>
                <w:rFonts w:ascii="Arial" w:cs="Arial" w:eastAsia="Arial" w:hAnsi="Arial"/>
                <w:sz w:val="19"/>
                <w:szCs w:val="19"/>
                <w:color w:val="auto"/>
                <w:vertAlign w:val="superscript"/>
              </w:rPr>
              <w:t>(f)</w:t>
            </w: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(Loss)</w:t>
            </w: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Expenditures</w:t>
            </w:r>
          </w:p>
        </w:tc>
      </w:tr>
      <w:tr>
        <w:trPr>
          <w:trHeight w:val="177"/>
        </w:trPr>
        <w:tc>
          <w:tcPr>
            <w:tcW w:w="5120" w:type="dxa"/>
            <w:vAlign w:val="bottom"/>
          </w:tcPr>
          <w:p>
            <w:pPr>
              <w:spacing w:after="0" w:line="177" w:lineRule="exact"/>
              <w:rPr>
                <w:sz w:val="20"/>
                <w:szCs w:val="20"/>
                <w:color w:val="auto"/>
              </w:rPr>
            </w:pPr>
            <w:r>
              <w:rPr>
                <w:rFonts w:ascii="Arial" w:cs="Arial" w:eastAsia="Arial" w:hAnsi="Arial"/>
                <w:sz w:val="18"/>
                <w:szCs w:val="18"/>
                <w:b w:val="1"/>
                <w:bCs w:val="1"/>
                <w:color w:val="auto"/>
              </w:rPr>
              <w:t>For the Period January 1, 2011 to</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3"/>
        </w:trPr>
        <w:tc>
          <w:tcPr>
            <w:tcW w:w="5120" w:type="dxa"/>
            <w:vAlign w:val="bottom"/>
          </w:tcPr>
          <w:p>
            <w:pPr>
              <w:ind w:left="220"/>
              <w:spacing w:after="0"/>
              <w:rPr>
                <w:sz w:val="20"/>
                <w:szCs w:val="20"/>
                <w:color w:val="auto"/>
              </w:rPr>
            </w:pPr>
            <w:r>
              <w:rPr>
                <w:rFonts w:ascii="Arial" w:cs="Arial" w:eastAsia="Arial" w:hAnsi="Arial"/>
                <w:sz w:val="18"/>
                <w:szCs w:val="18"/>
                <w:b w:val="1"/>
                <w:bCs w:val="1"/>
                <w:color w:val="auto"/>
              </w:rPr>
              <w:t>January 28, 2011</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8"/>
        </w:trPr>
        <w:tc>
          <w:tcPr>
            <w:tcW w:w="512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800" w:type="dxa"/>
            <w:vAlign w:val="bottom"/>
          </w:tcPr>
          <w:p>
            <w:pPr>
              <w:spacing w:after="0"/>
              <w:rPr>
                <w:sz w:val="18"/>
                <w:szCs w:val="18"/>
                <w:color w:val="auto"/>
              </w:rPr>
            </w:pPr>
          </w:p>
        </w:tc>
        <w:tc>
          <w:tcPr>
            <w:tcW w:w="840" w:type="dxa"/>
            <w:vAlign w:val="bottom"/>
          </w:tcPr>
          <w:p>
            <w:pPr>
              <w:ind w:left="7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385</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145</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142</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468</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353</w:t>
            </w:r>
          </w:p>
        </w:tc>
        <w:tc>
          <w:tcPr>
            <w:tcW w:w="30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115</w:t>
            </w:r>
          </w:p>
        </w:tc>
        <w:tc>
          <w:tcPr>
            <w:tcW w:w="300" w:type="dxa"/>
            <w:vAlign w:val="bottom"/>
          </w:tcPr>
          <w:p>
            <w:pPr>
              <w:spacing w:after="0"/>
              <w:rPr>
                <w:sz w:val="17"/>
                <w:szCs w:val="17"/>
                <w:color w:val="auto"/>
              </w:rPr>
            </w:pPr>
          </w:p>
        </w:tc>
        <w:tc>
          <w:tcPr>
            <w:tcW w:w="7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37</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620" w:type="dxa"/>
            <w:vAlign w:val="bottom"/>
          </w:tcPr>
          <w:p>
            <w:pPr>
              <w:jc w:val="right"/>
              <w:ind w:right="56"/>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9</w:t>
            </w:r>
          </w:p>
        </w:tc>
      </w:tr>
      <w:tr>
        <w:trPr>
          <w:trHeight w:val="203"/>
        </w:trPr>
        <w:tc>
          <w:tcPr>
            <w:tcW w:w="5120" w:type="dxa"/>
            <w:vAlign w:val="bottom"/>
          </w:tcPr>
          <w:p>
            <w:pPr>
              <w:ind w:left="220"/>
              <w:spacing w:after="0" w:line="202" w:lineRule="exact"/>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6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w:t>
            </w:r>
          </w:p>
        </w:tc>
      </w:tr>
      <w:tr>
        <w:trPr>
          <w:trHeight w:val="199"/>
        </w:trPr>
        <w:tc>
          <w:tcPr>
            <w:tcW w:w="512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(31)</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
              <w:spacing w:after="0" w:line="200" w:lineRule="exact"/>
              <w:rPr>
                <w:sz w:val="20"/>
                <w:szCs w:val="20"/>
                <w:color w:val="auto"/>
              </w:rPr>
            </w:pPr>
            <w:r>
              <w:rPr>
                <w:rFonts w:ascii="Arial" w:cs="Arial" w:eastAsia="Arial" w:hAnsi="Arial"/>
                <w:sz w:val="18"/>
                <w:szCs w:val="18"/>
                <w:color w:val="auto"/>
              </w:rPr>
              <w:t>—</w:t>
            </w:r>
          </w:p>
        </w:tc>
      </w:tr>
      <w:tr>
        <w:trPr>
          <w:trHeight w:val="196"/>
        </w:trPr>
        <w:tc>
          <w:tcPr>
            <w:tcW w:w="5120" w:type="dxa"/>
            <w:vAlign w:val="bottom"/>
            <w:tcBorders>
              <w:bottom w:val="single" w:sz="8" w:color="0C6DFF"/>
            </w:tcBorders>
          </w:tcPr>
          <w:p>
            <w:pPr>
              <w:spacing w:after="0" w:line="196" w:lineRule="exact"/>
              <w:rPr>
                <w:sz w:val="20"/>
                <w:szCs w:val="20"/>
                <w:color w:val="auto"/>
              </w:rPr>
            </w:pPr>
            <w:r>
              <w:rPr>
                <w:rFonts w:ascii="Arial" w:cs="Arial" w:eastAsia="Arial" w:hAnsi="Arial"/>
                <w:sz w:val="18"/>
                <w:szCs w:val="18"/>
                <w:color w:val="auto"/>
              </w:rPr>
              <w:t>Total</w:t>
            </w:r>
          </w:p>
        </w:tc>
        <w:tc>
          <w:tcPr>
            <w:tcW w:w="800" w:type="dxa"/>
            <w:vAlign w:val="bottom"/>
            <w:tcBorders>
              <w:bottom w:val="single" w:sz="8" w:color="0C6DFF"/>
            </w:tcBorders>
          </w:tcPr>
          <w:p>
            <w:pPr>
              <w:spacing w:after="0"/>
              <w:rPr>
                <w:sz w:val="17"/>
                <w:szCs w:val="17"/>
                <w:color w:val="auto"/>
              </w:rPr>
            </w:pPr>
          </w:p>
        </w:tc>
        <w:tc>
          <w:tcPr>
            <w:tcW w:w="840" w:type="dxa"/>
            <w:vAlign w:val="bottom"/>
            <w:tcBorders>
              <w:bottom w:val="single" w:sz="8" w:color="0C6DFF"/>
            </w:tcBorders>
          </w:tcPr>
          <w:p>
            <w:pPr>
              <w:ind w:left="74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0C6DFF"/>
            </w:tcBorders>
          </w:tcPr>
          <w:p>
            <w:pPr>
              <w:spacing w:after="0"/>
              <w:rPr>
                <w:sz w:val="17"/>
                <w:szCs w:val="17"/>
                <w:color w:val="auto"/>
              </w:rPr>
            </w:pPr>
          </w:p>
        </w:tc>
        <w:tc>
          <w:tcPr>
            <w:tcW w:w="780" w:type="dxa"/>
            <w:vAlign w:val="bottom"/>
            <w:tcBorders>
              <w:bottom w:val="single" w:sz="8" w:color="0C6DFF"/>
            </w:tcBorders>
          </w:tcPr>
          <w:p>
            <w:pPr>
              <w:jc w:val="right"/>
              <w:ind w:right="75"/>
              <w:spacing w:after="0" w:line="196" w:lineRule="exact"/>
              <w:rPr>
                <w:sz w:val="20"/>
                <w:szCs w:val="20"/>
                <w:color w:val="auto"/>
              </w:rPr>
            </w:pPr>
            <w:r>
              <w:rPr>
                <w:rFonts w:ascii="Arial" w:cs="Arial" w:eastAsia="Arial" w:hAnsi="Arial"/>
                <w:sz w:val="18"/>
                <w:szCs w:val="18"/>
                <w:color w:val="auto"/>
              </w:rPr>
              <w:t>1,206</w:t>
            </w:r>
          </w:p>
        </w:tc>
        <w:tc>
          <w:tcPr>
            <w:tcW w:w="300" w:type="dxa"/>
            <w:vAlign w:val="bottom"/>
            <w:tcBorders>
              <w:bottom w:val="single" w:sz="8" w:color="0C6DFF"/>
            </w:tcBorders>
          </w:tcPr>
          <w:p>
            <w:pPr>
              <w:ind w:left="4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0C6DFF"/>
            </w:tcBorders>
          </w:tcPr>
          <w:p>
            <w:pPr>
              <w:jc w:val="right"/>
              <w:ind w:right="37"/>
              <w:spacing w:after="0" w:line="196" w:lineRule="exact"/>
              <w:rPr>
                <w:sz w:val="20"/>
                <w:szCs w:val="20"/>
                <w:color w:val="auto"/>
              </w:rPr>
            </w:pPr>
            <w:r>
              <w:rPr>
                <w:rFonts w:ascii="Arial" w:cs="Arial" w:eastAsia="Arial" w:hAnsi="Arial"/>
                <w:sz w:val="18"/>
                <w:szCs w:val="18"/>
                <w:color w:val="auto"/>
              </w:rPr>
              <w:t>35</w:t>
            </w:r>
          </w:p>
        </w:tc>
        <w:tc>
          <w:tcPr>
            <w:tcW w:w="240" w:type="dxa"/>
            <w:vAlign w:val="bottom"/>
            <w:tcBorders>
              <w:bottom w:val="single" w:sz="8" w:color="0C6DFF"/>
            </w:tcBorders>
          </w:tcPr>
          <w:p>
            <w:pPr>
              <w:ind w:left="8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27</w:t>
            </w:r>
          </w:p>
        </w:tc>
        <w:tc>
          <w:tcPr>
            <w:tcW w:w="28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0C6DFF"/>
            </w:tcBorders>
          </w:tcPr>
          <w:p>
            <w:pPr>
              <w:jc w:val="right"/>
              <w:ind w:right="56"/>
              <w:spacing w:after="0" w:line="196" w:lineRule="exact"/>
              <w:rPr>
                <w:sz w:val="20"/>
                <w:szCs w:val="20"/>
                <w:color w:val="auto"/>
              </w:rPr>
            </w:pPr>
            <w:r>
              <w:rPr>
                <w:rFonts w:ascii="Arial" w:cs="Arial" w:eastAsia="Arial" w:hAnsi="Arial"/>
                <w:sz w:val="18"/>
                <w:szCs w:val="18"/>
                <w:color w:val="auto"/>
              </w:rPr>
              <w:t>8</w:t>
            </w:r>
          </w:p>
        </w:tc>
        <w:tc>
          <w:tcPr>
            <w:tcW w:w="280" w:type="dxa"/>
            <w:vAlign w:val="bottom"/>
            <w:tcBorders>
              <w:bottom w:val="single" w:sz="8" w:color="0C6DFF"/>
            </w:tcBorders>
          </w:tcPr>
          <w:p>
            <w:pPr>
              <w:ind w:left="6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0C6DFF"/>
            </w:tcBorders>
          </w:tcPr>
          <w:p>
            <w:pPr>
              <w:jc w:val="right"/>
              <w:ind w:right="15"/>
              <w:spacing w:after="0" w:line="196" w:lineRule="exact"/>
              <w:rPr>
                <w:sz w:val="20"/>
                <w:szCs w:val="20"/>
                <w:color w:val="auto"/>
              </w:rPr>
            </w:pPr>
            <w:r>
              <w:rPr>
                <w:rFonts w:ascii="Arial" w:cs="Arial" w:eastAsia="Arial" w:hAnsi="Arial"/>
                <w:sz w:val="18"/>
                <w:szCs w:val="18"/>
                <w:color w:val="auto"/>
              </w:rPr>
              <w:t>16</w:t>
            </w:r>
          </w:p>
        </w:tc>
      </w:tr>
    </w:tbl>
    <w:p>
      <w:pPr>
        <w:spacing w:after="0" w:line="67" w:lineRule="exact"/>
        <w:rPr>
          <w:sz w:val="20"/>
          <w:szCs w:val="20"/>
          <w:color w:val="auto"/>
        </w:rPr>
      </w:pPr>
    </w:p>
    <w:p>
      <w:pPr>
        <w:jc w:val="both"/>
        <w:ind w:left="300" w:hanging="292"/>
        <w:spacing w:after="0" w:line="228"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2012, our Broadcast Television segment included all revenue and costs and expenses associated with our broadcast of the 2012 London Olympics, which generated $120 million of operating income before depreciation and amortization. This amount reflects the settlement of a $237 million liability associated with the unfavorable Olympics contract that had been recorded through the application of acquisition accounting in 2011.</w:t>
      </w:r>
    </w:p>
    <w:p>
      <w:pPr>
        <w:spacing w:after="0" w:line="54" w:lineRule="exact"/>
        <w:rPr>
          <w:rFonts w:ascii="Arial" w:cs="Arial" w:eastAsia="Arial" w:hAnsi="Arial"/>
          <w:sz w:val="14"/>
          <w:szCs w:val="14"/>
          <w:color w:val="auto"/>
        </w:rPr>
      </w:pPr>
    </w:p>
    <w:p>
      <w:pPr>
        <w:ind w:left="300" w:hanging="292"/>
        <w:spacing w:after="0" w:line="231" w:lineRule="auto"/>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the periods January 1, 2011 through January 28, 2011 and January 29, 2011 through June 30, 2011, our Theme Parks segment included the results of operations for Universal Orlando to reflect our measure of operating performance for our Theme Parks segment.</w:t>
      </w:r>
    </w:p>
    <w:p>
      <w:pPr>
        <w:spacing w:after="0" w:line="322" w:lineRule="exact"/>
        <w:rPr>
          <w:sz w:val="20"/>
          <w:szCs w:val="20"/>
          <w:color w:val="auto"/>
        </w:rPr>
      </w:pPr>
    </w:p>
    <w:p>
      <w:pPr>
        <w:ind w:left="5600"/>
        <w:spacing w:after="0"/>
        <w:tabs>
          <w:tab w:leader="none" w:pos="8760" w:val="left"/>
        </w:tabs>
        <w:rPr>
          <w:sz w:val="20"/>
          <w:szCs w:val="20"/>
          <w:color w:val="auto"/>
        </w:rPr>
      </w:pPr>
      <w:r>
        <w:rPr>
          <w:rFonts w:ascii="Arial" w:cs="Arial" w:eastAsia="Arial" w:hAnsi="Arial"/>
          <w:sz w:val="12"/>
          <w:szCs w:val="12"/>
          <w:b w:val="1"/>
          <w:bCs w:val="1"/>
          <w:color w:val="auto"/>
        </w:rPr>
        <w:t>173</w:t>
      </w:r>
      <w:r>
        <w:rPr>
          <w:sz w:val="20"/>
          <w:szCs w:val="20"/>
          <w:color w:val="auto"/>
        </w:rPr>
        <w:tab/>
      </w:r>
      <w:r>
        <w:rPr>
          <w:rFonts w:ascii="Arial" w:cs="Arial" w:eastAsia="Arial" w:hAnsi="Arial"/>
          <w:sz w:val="12"/>
          <w:szCs w:val="12"/>
          <w:color w:val="auto"/>
        </w:rPr>
        <w:t>Comcast 2013 Annual Report on Form 10-K</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230"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Headquarters and Other activities includes costs associated with overhead, allocations, personnel costs and corporate initiatives.</w:t>
      </w:r>
    </w:p>
    <w:p>
      <w:pPr>
        <w:spacing w:after="0" w:line="55" w:lineRule="exact"/>
        <w:rPr>
          <w:rFonts w:ascii="Arial" w:cs="Arial" w:eastAsia="Arial" w:hAnsi="Arial"/>
          <w:sz w:val="14"/>
          <w:szCs w:val="14"/>
          <w:color w:val="auto"/>
        </w:rPr>
      </w:pPr>
    </w:p>
    <w:p>
      <w:pPr>
        <w:jc w:val="both"/>
        <w:ind w:left="300" w:right="20" w:hanging="292"/>
        <w:spacing w:after="0" w:line="228" w:lineRule="auto"/>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Eliminations for the periods January 1, 2011 through January 28, 2011 and January 29, 2011 through June 30, 2011 included the eliminations of the results of operations for Universal Orlando for these periods. These results were not included in our consolidated results of operations because we recorded Universal Orlando as an equity method investment during those periods.</w:t>
      </w:r>
    </w:p>
    <w:p>
      <w:pPr>
        <w:spacing w:after="0" w:line="54" w:lineRule="exact"/>
        <w:rPr>
          <w:rFonts w:ascii="Arial" w:cs="Arial" w:eastAsia="Arial" w:hAnsi="Arial"/>
          <w:sz w:val="14"/>
          <w:szCs w:val="14"/>
          <w:color w:val="auto"/>
        </w:rPr>
      </w:pPr>
    </w:p>
    <w:p>
      <w:pPr>
        <w:ind w:left="280" w:right="20"/>
        <w:spacing w:after="0" w:line="231" w:lineRule="auto"/>
        <w:rPr>
          <w:rFonts w:ascii="Arial" w:cs="Arial" w:eastAsia="Arial" w:hAnsi="Arial"/>
          <w:sz w:val="14"/>
          <w:szCs w:val="14"/>
          <w:color w:val="auto"/>
        </w:rPr>
      </w:pPr>
      <w:r>
        <w:rPr>
          <w:rFonts w:ascii="Arial" w:cs="Arial" w:eastAsia="Arial" w:hAnsi="Arial"/>
          <w:sz w:val="14"/>
          <w:szCs w:val="14"/>
          <w:color w:val="auto"/>
        </w:rPr>
        <w:t>Also 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54" w:lineRule="exact"/>
        <w:rPr>
          <w:rFonts w:ascii="Arial" w:cs="Arial" w:eastAsia="Arial" w:hAnsi="Arial"/>
          <w:sz w:val="14"/>
          <w:szCs w:val="14"/>
          <w:color w:val="auto"/>
        </w:rPr>
      </w:pPr>
    </w:p>
    <w:p>
      <w:pPr>
        <w:ind w:left="300" w:hanging="292"/>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260" w:hanging="252"/>
        <w:spacing w:after="0" w:line="224"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53" w:lineRule="exact"/>
        <w:rPr>
          <w:rFonts w:ascii="Arial" w:cs="Arial" w:eastAsia="Arial" w:hAnsi="Arial"/>
          <w:sz w:val="14"/>
          <w:szCs w:val="14"/>
          <w:color w:val="auto"/>
        </w:rPr>
      </w:pPr>
    </w:p>
    <w:p>
      <w:pPr>
        <w:ind w:left="300" w:hanging="292"/>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operate primarily in the United States, but also in select international markets primarily in Europe and Asia. The table below summarizes revenue by geographic location.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Predecessor</w:t>
            </w:r>
          </w:p>
        </w:tc>
      </w:tr>
      <w:tr>
        <w:trPr>
          <w:trHeight w:val="141"/>
        </w:trPr>
        <w:tc>
          <w:tcPr>
            <w:tcW w:w="4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12"/>
              <w:spacing w:after="0" w:line="141" w:lineRule="exact"/>
              <w:rPr>
                <w:sz w:val="20"/>
                <w:szCs w:val="20"/>
                <w:color w:val="auto"/>
              </w:rPr>
            </w:pPr>
            <w:r>
              <w:rPr>
                <w:rFonts w:ascii="Arial" w:cs="Arial" w:eastAsia="Arial" w:hAnsi="Arial"/>
                <w:sz w:val="14"/>
                <w:szCs w:val="14"/>
                <w:color w:val="auto"/>
                <w:w w:val="94"/>
              </w:rPr>
              <w:t>Year Ended</w:t>
            </w:r>
          </w:p>
        </w:tc>
        <w:tc>
          <w:tcPr>
            <w:tcW w:w="180" w:type="dxa"/>
            <w:vAlign w:val="bottom"/>
          </w:tcPr>
          <w:p>
            <w:pPr>
              <w:spacing w:after="0"/>
              <w:rPr>
                <w:sz w:val="12"/>
                <w:szCs w:val="12"/>
                <w:color w:val="auto"/>
              </w:rPr>
            </w:pPr>
          </w:p>
        </w:tc>
        <w:tc>
          <w:tcPr>
            <w:tcW w:w="840" w:type="dxa"/>
            <w:vAlign w:val="bottom"/>
          </w:tcPr>
          <w:p>
            <w:pPr>
              <w:jc w:val="right"/>
              <w:ind w:right="32"/>
              <w:spacing w:after="0" w:line="141" w:lineRule="exact"/>
              <w:rPr>
                <w:sz w:val="20"/>
                <w:szCs w:val="20"/>
                <w:color w:val="auto"/>
              </w:rPr>
            </w:pPr>
            <w:r>
              <w:rPr>
                <w:rFonts w:ascii="Arial" w:cs="Arial" w:eastAsia="Arial" w:hAnsi="Arial"/>
                <w:sz w:val="14"/>
                <w:szCs w:val="14"/>
                <w:color w:val="auto"/>
                <w:w w:val="97"/>
              </w:rPr>
              <w:t>Year Ended</w:t>
            </w:r>
          </w:p>
        </w:tc>
        <w:tc>
          <w:tcPr>
            <w:tcW w:w="24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Arial" w:cs="Arial" w:eastAsia="Arial" w:hAnsi="Arial"/>
                <w:sz w:val="14"/>
                <w:szCs w:val="14"/>
                <w:color w:val="auto"/>
              </w:rPr>
              <w:t>For the Period</w:t>
            </w: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spacing w:after="0" w:line="141" w:lineRule="exact"/>
              <w:rPr>
                <w:sz w:val="20"/>
                <w:szCs w:val="20"/>
                <w:color w:val="auto"/>
              </w:rPr>
            </w:pPr>
            <w:r>
              <w:rPr>
                <w:rFonts w:ascii="Arial" w:cs="Arial" w:eastAsia="Arial" w:hAnsi="Arial"/>
                <w:sz w:val="14"/>
                <w:szCs w:val="14"/>
                <w:color w:val="auto"/>
              </w:rPr>
              <w:t>For the Period</w:t>
            </w:r>
          </w:p>
        </w:tc>
      </w:tr>
      <w:tr>
        <w:trPr>
          <w:trHeight w:val="149"/>
        </w:trPr>
        <w:tc>
          <w:tcPr>
            <w:tcW w:w="4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December 31,</w:t>
            </w:r>
          </w:p>
        </w:tc>
        <w:tc>
          <w:tcPr>
            <w:tcW w:w="2500" w:type="dxa"/>
            <w:vAlign w:val="bottom"/>
            <w:tcBorders>
              <w:right w:val="single" w:sz="8" w:color="auto"/>
            </w:tcBorders>
            <w:gridSpan w:val="5"/>
          </w:tcPr>
          <w:p>
            <w:pPr>
              <w:ind w:left="60"/>
              <w:spacing w:after="0" w:line="149" w:lineRule="exact"/>
              <w:rPr>
                <w:sz w:val="20"/>
                <w:szCs w:val="20"/>
                <w:color w:val="auto"/>
              </w:rPr>
            </w:pPr>
            <w:r>
              <w:rPr>
                <w:rFonts w:ascii="Arial" w:cs="Arial" w:eastAsia="Arial" w:hAnsi="Arial"/>
                <w:sz w:val="14"/>
                <w:szCs w:val="14"/>
                <w:color w:val="auto"/>
              </w:rPr>
              <w:t>December 31,  January 29, 2011 to</w:t>
            </w:r>
          </w:p>
        </w:tc>
        <w:tc>
          <w:tcPr>
            <w:tcW w:w="18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January 1, 2011 to</w:t>
            </w:r>
          </w:p>
        </w:tc>
      </w:tr>
      <w:tr>
        <w:trPr>
          <w:trHeight w:val="163"/>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2012</w:t>
            </w:r>
          </w:p>
        </w:tc>
        <w:tc>
          <w:tcPr>
            <w:tcW w:w="14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December 31, 2011</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January 28, 2011</w:t>
            </w:r>
          </w:p>
        </w:tc>
      </w:tr>
      <w:tr>
        <w:trPr>
          <w:trHeight w:val="141"/>
        </w:trPr>
        <w:tc>
          <w:tcPr>
            <w:tcW w:w="4120" w:type="dxa"/>
            <w:vAlign w:val="bottom"/>
          </w:tcPr>
          <w:p>
            <w:pPr>
              <w:spacing w:after="0" w:line="141" w:lineRule="exact"/>
              <w:rPr>
                <w:sz w:val="20"/>
                <w:szCs w:val="20"/>
                <w:color w:val="auto"/>
              </w:rPr>
            </w:pPr>
            <w:r>
              <w:rPr>
                <w:rFonts w:ascii="Arial" w:cs="Arial" w:eastAsia="Arial" w:hAnsi="Arial"/>
                <w:sz w:val="14"/>
                <w:szCs w:val="14"/>
                <w:color w:val="auto"/>
              </w:rPr>
              <w:t>Revenue:</w:t>
            </w: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4120" w:type="dxa"/>
            <w:vAlign w:val="bottom"/>
          </w:tcPr>
          <w:p>
            <w:pPr>
              <w:ind w:left="220"/>
              <w:spacing w:after="0" w:line="149" w:lineRule="exact"/>
              <w:rPr>
                <w:sz w:val="20"/>
                <w:szCs w:val="20"/>
                <w:color w:val="auto"/>
              </w:rPr>
            </w:pPr>
            <w:r>
              <w:rPr>
                <w:rFonts w:ascii="Arial" w:cs="Arial" w:eastAsia="Arial" w:hAnsi="Arial"/>
                <w:sz w:val="14"/>
                <w:szCs w:val="14"/>
                <w:color w:val="auto"/>
              </w:rPr>
              <w:t>United States</w:t>
            </w:r>
          </w:p>
        </w:tc>
        <w:tc>
          <w:tcPr>
            <w:tcW w:w="2560" w:type="dxa"/>
            <w:vAlign w:val="bottom"/>
            <w:gridSpan w:val="2"/>
          </w:tcPr>
          <w:p>
            <w:pPr>
              <w:ind w:left="24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18,887</w:t>
            </w:r>
          </w:p>
        </w:tc>
        <w:tc>
          <w:tcPr>
            <w:tcW w:w="18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19,348</w:t>
            </w: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14,927</w:t>
            </w:r>
          </w:p>
        </w:tc>
        <w:tc>
          <w:tcPr>
            <w:tcW w:w="200" w:type="dxa"/>
            <w:vAlign w:val="bottom"/>
            <w:tcBorders>
              <w:right w:val="single" w:sz="8" w:color="auto"/>
            </w:tcBorders>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935</w:t>
            </w:r>
          </w:p>
        </w:tc>
      </w:tr>
      <w:tr>
        <w:trPr>
          <w:trHeight w:val="149"/>
        </w:trPr>
        <w:tc>
          <w:tcPr>
            <w:tcW w:w="412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Foreign</w:t>
            </w:r>
          </w:p>
        </w:tc>
        <w:tc>
          <w:tcPr>
            <w:tcW w:w="2560" w:type="dxa"/>
            <w:vAlign w:val="bottom"/>
            <w:tcBorders>
              <w:bottom w:val="single" w:sz="8" w:color="auto"/>
            </w:tcBorders>
            <w:gridSpan w:val="2"/>
          </w:tcPr>
          <w:p>
            <w:pPr>
              <w:ind w:left="244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4,763</w:t>
            </w:r>
          </w:p>
        </w:tc>
        <w:tc>
          <w:tcPr>
            <w:tcW w:w="18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4,464</w:t>
            </w:r>
          </w:p>
        </w:tc>
        <w:tc>
          <w:tcPr>
            <w:tcW w:w="24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4,101</w:t>
            </w:r>
          </w:p>
        </w:tc>
        <w:tc>
          <w:tcPr>
            <w:tcW w:w="20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271</w:t>
            </w:r>
          </w:p>
        </w:tc>
      </w:tr>
      <w:tr>
        <w:trPr>
          <w:trHeight w:val="506"/>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2340" w:type="dxa"/>
            <w:vAlign w:val="bottom"/>
          </w:tcPr>
          <w:p>
            <w:pPr>
              <w:jc w:val="right"/>
              <w:ind w:right="572"/>
              <w:spacing w:after="0"/>
              <w:rPr>
                <w:sz w:val="20"/>
                <w:szCs w:val="20"/>
                <w:color w:val="auto"/>
              </w:rPr>
            </w:pPr>
            <w:r>
              <w:rPr>
                <w:rFonts w:ascii="Arial" w:cs="Arial" w:eastAsia="Arial" w:hAnsi="Arial"/>
                <w:sz w:val="14"/>
                <w:szCs w:val="14"/>
                <w:b w:val="1"/>
                <w:bCs w:val="1"/>
                <w:color w:val="auto"/>
              </w:rPr>
              <w:t>174</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rPr>
          <w:sz w:val="20"/>
          <w:szCs w:val="20"/>
          <w:color w:val="auto"/>
        </w:rPr>
      </w:pPr>
      <w:r>
        <w:rPr>
          <w:rFonts w:ascii="Arial" w:cs="Arial" w:eastAsia="Arial" w:hAnsi="Arial"/>
          <w:sz w:val="18"/>
          <w:szCs w:val="18"/>
          <w:b w:val="1"/>
          <w:bCs w:val="1"/>
          <w:color w:val="auto"/>
        </w:rPr>
        <w:t>Philadelphia, Pennsylvania</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consolidated financial statements of Comcast Corporation and subsidiaries (the “Company”) as of December 31, 2013 and 2012, and for each of the three years in the period ended December 31, 2013, and the Company’s internal control over financial reporting as of December 31, 2013, and have issued our report thereon dated February 12, 2014;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327" w:lineRule="exact"/>
        <w:rPr>
          <w:sz w:val="20"/>
          <w:szCs w:val="20"/>
          <w:color w:val="auto"/>
        </w:rPr>
      </w:pPr>
    </w:p>
    <w:p>
      <w:pPr>
        <w:jc w:val="both"/>
        <w:ind w:left="5600"/>
        <w:spacing w:after="0"/>
        <w:tabs>
          <w:tab w:leader="none" w:pos="8760" w:val="left"/>
        </w:tabs>
        <w:rPr>
          <w:sz w:val="20"/>
          <w:szCs w:val="20"/>
          <w:color w:val="auto"/>
        </w:rPr>
      </w:pPr>
      <w:r>
        <w:rPr>
          <w:rFonts w:ascii="Arial" w:cs="Arial" w:eastAsia="Arial" w:hAnsi="Arial"/>
          <w:sz w:val="14"/>
          <w:szCs w:val="14"/>
          <w:b w:val="1"/>
          <w:bCs w:val="1"/>
          <w:color w:val="auto"/>
        </w:rPr>
        <w:t>175</w:t>
      </w:r>
      <w:r>
        <w:rPr>
          <w:sz w:val="20"/>
          <w:szCs w:val="20"/>
          <w:color w:val="auto"/>
        </w:rPr>
        <w:tab/>
      </w:r>
      <w:r>
        <w:rPr>
          <w:rFonts w:ascii="Arial" w:cs="Arial" w:eastAsia="Arial" w:hAnsi="Arial"/>
          <w:sz w:val="14"/>
          <w:szCs w:val="14"/>
          <w:color w:val="auto"/>
        </w:rPr>
        <w:t>Comcast 2013 Annual Report on Form 10-K</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Member of NBCUniversal Media, LLC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audited the accompanying consolidated balance sheets of NBCUniversal Media, LLC and subsidiaries (the “Company”), as of December 31, 2013 and 2012, the related consolidated statements of income, comprehensive income, cash flows and changes in equity for the years ended December 31, 2013 and 2012, and for the period from January 29, 2011 to December 31, 2011 (successor), and the consolidated statements of income, comprehensive income, cash flows and changes in equity of NBC Universal, Inc. and subsidiaries (the “Predecessor Company”) for the period from January 1, 2011 to January 28, 2011 (predecessor), and have issued our report thereon dated February 12, 2014; such financial statements and report are included elsewhere in this Form 10-K. Our audits also included the financial statement schedule of the Company listed in Item 15 for the years ended December 31, 2013 and 2012, and the period ended December 31, 2011 (successor). This financial statement schedule is the responsibility of the Company’s management. Our responsibility is to express an opinion based on our audits.</w:t>
      </w:r>
    </w:p>
    <w:p>
      <w:pPr>
        <w:spacing w:after="0" w:line="13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20" w:type="dxa"/>
            <w:vAlign w:val="bottom"/>
          </w:tcPr>
          <w:p>
            <w:pPr>
              <w:spacing w:after="0"/>
              <w:rPr>
                <w:sz w:val="20"/>
                <w:szCs w:val="20"/>
                <w:color w:val="auto"/>
              </w:rPr>
            </w:pPr>
            <w:r>
              <w:rPr>
                <w:rFonts w:ascii="Arial" w:cs="Arial" w:eastAsia="Arial" w:hAnsi="Arial"/>
                <w:sz w:val="14"/>
                <w:szCs w:val="14"/>
                <w:color w:val="auto"/>
              </w:rPr>
              <w:t>Comcast 2013 Annual Report on Form 10-K</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Year ended December 31, 2013, 2012 and 2011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Borders>
              <w:top w:val="single" w:sz="8" w:color="auto"/>
            </w:tcBorders>
          </w:tcPr>
          <w:p>
            <w:pPr>
              <w:spacing w:after="0"/>
              <w:rPr>
                <w:sz w:val="14"/>
                <w:szCs w:val="14"/>
                <w:color w:val="auto"/>
              </w:rPr>
            </w:pPr>
          </w:p>
        </w:tc>
        <w:tc>
          <w:tcPr>
            <w:tcW w:w="2600" w:type="dxa"/>
            <w:vAlign w:val="bottom"/>
            <w:tcBorders>
              <w:top w:val="single" w:sz="8" w:color="auto"/>
            </w:tcBorders>
            <w:gridSpan w:val="2"/>
          </w:tcPr>
          <w:p>
            <w:pPr>
              <w:ind w:left="1220"/>
              <w:spacing w:after="0"/>
              <w:rPr>
                <w:sz w:val="20"/>
                <w:szCs w:val="20"/>
                <w:color w:val="auto"/>
              </w:rPr>
            </w:pPr>
            <w:r>
              <w:rPr>
                <w:rFonts w:ascii="Arial" w:cs="Arial" w:eastAsia="Arial" w:hAnsi="Arial"/>
                <w:sz w:val="14"/>
                <w:szCs w:val="14"/>
                <w:color w:val="auto"/>
              </w:rPr>
              <w:t>Balance at Beginning</w:t>
            </w: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12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Deductions from</w:t>
            </w: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Balance at End</w:t>
            </w:r>
          </w:p>
        </w:tc>
      </w:tr>
      <w:tr>
        <w:trPr>
          <w:trHeight w:val="149"/>
        </w:trPr>
        <w:tc>
          <w:tcPr>
            <w:tcW w:w="50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Year Ended December 31 (in millions)</w:t>
            </w:r>
          </w:p>
        </w:tc>
        <w:tc>
          <w:tcPr>
            <w:tcW w:w="16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of Year</w:t>
            </w:r>
          </w:p>
        </w:tc>
        <w:tc>
          <w:tcPr>
            <w:tcW w:w="14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Costs and Expenses</w:t>
            </w: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Reserves</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of Year</w:t>
            </w:r>
          </w:p>
        </w:tc>
      </w:tr>
      <w:tr>
        <w:trPr>
          <w:trHeight w:val="199"/>
        </w:trPr>
        <w:tc>
          <w:tcPr>
            <w:tcW w:w="5040" w:type="dxa"/>
            <w:vAlign w:val="bottom"/>
          </w:tcPr>
          <w:p>
            <w:pPr>
              <w:spacing w:after="0" w:line="200" w:lineRule="exact"/>
              <w:rPr>
                <w:sz w:val="20"/>
                <w:szCs w:val="20"/>
                <w:color w:val="auto"/>
              </w:rPr>
            </w:pPr>
            <w:r>
              <w:rPr>
                <w:rFonts w:ascii="Arial" w:cs="Arial" w:eastAsia="Arial" w:hAnsi="Arial"/>
                <w:sz w:val="18"/>
                <w:szCs w:val="18"/>
                <w:color w:val="auto"/>
              </w:rPr>
              <w:t>2013</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198</w:t>
            </w:r>
          </w:p>
        </w:tc>
        <w:tc>
          <w:tcPr>
            <w:tcW w:w="6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317</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294</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221</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64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528</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460</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375</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355</w:t>
            </w:r>
          </w:p>
        </w:tc>
        <w:tc>
          <w:tcPr>
            <w:tcW w:w="64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71</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405</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202</w:t>
            </w:r>
          </w:p>
        </w:tc>
        <w:tc>
          <w:tcPr>
            <w:tcW w:w="6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293</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297</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198</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c>
          <w:tcPr>
            <w:tcW w:w="64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599</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717</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297</w:t>
            </w:r>
          </w:p>
        </w:tc>
        <w:tc>
          <w:tcPr>
            <w:tcW w:w="64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355</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680" w:type="dxa"/>
            <w:vAlign w:val="bottom"/>
          </w:tcPr>
          <w:p>
            <w:pPr>
              <w:ind w:left="1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173</w:t>
            </w:r>
          </w:p>
        </w:tc>
        <w:tc>
          <w:tcPr>
            <w:tcW w:w="6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306</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277</w:t>
            </w:r>
          </w:p>
        </w:tc>
        <w:tc>
          <w:tcPr>
            <w:tcW w:w="4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202</w:t>
            </w:r>
          </w:p>
        </w:tc>
      </w:tr>
      <w:tr>
        <w:trPr>
          <w:trHeight w:val="203"/>
        </w:trPr>
        <w:tc>
          <w:tcPr>
            <w:tcW w:w="504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680" w:type="dxa"/>
            <w:vAlign w:val="bottom"/>
          </w:tcPr>
          <w:p>
            <w:pPr>
              <w:spacing w:after="0"/>
              <w:rPr>
                <w:sz w:val="17"/>
                <w:szCs w:val="17"/>
                <w:color w:val="auto"/>
              </w:rPr>
            </w:pPr>
          </w:p>
        </w:tc>
        <w:tc>
          <w:tcPr>
            <w:tcW w:w="9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536</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111</w:t>
            </w: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r>
      <w:tr>
        <w:trPr>
          <w:trHeight w:val="199"/>
        </w:trPr>
        <w:tc>
          <w:tcPr>
            <w:tcW w:w="504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207</w:t>
            </w: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
              <w:spacing w:after="0" w:line="200" w:lineRule="exact"/>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13</w:t>
            </w: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297</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24"/>
          <w:szCs w:val="24"/>
          <w:color w:val="auto"/>
        </w:rPr>
        <w:t>NBCUniversal Media, LLC</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Schedule II – Valuation and Qualifying Accounts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2"/>
          </w:tcPr>
          <w:p>
            <w:pPr>
              <w:ind w:left="1380"/>
              <w:spacing w:after="0"/>
              <w:rPr>
                <w:sz w:val="20"/>
                <w:szCs w:val="20"/>
                <w:color w:val="auto"/>
              </w:rPr>
            </w:pPr>
            <w:r>
              <w:rPr>
                <w:rFonts w:ascii="Arial" w:cs="Arial" w:eastAsia="Arial" w:hAnsi="Arial"/>
                <w:sz w:val="14"/>
                <w:szCs w:val="14"/>
                <w:color w:val="auto"/>
              </w:rPr>
              <w:t>Balance at Beginning</w:t>
            </w:r>
          </w:p>
        </w:tc>
        <w:tc>
          <w:tcPr>
            <w:tcW w:w="14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Additions Charged to</w:t>
            </w:r>
          </w:p>
        </w:tc>
        <w:tc>
          <w:tcPr>
            <w:tcW w:w="12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Deductions from</w:t>
            </w: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Balance at End</w:t>
            </w:r>
          </w:p>
        </w:tc>
      </w:tr>
      <w:tr>
        <w:trPr>
          <w:trHeight w:val="149"/>
        </w:trPr>
        <w:tc>
          <w:tcPr>
            <w:tcW w:w="48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of Period</w:t>
            </w:r>
          </w:p>
        </w:tc>
        <w:tc>
          <w:tcPr>
            <w:tcW w:w="1460" w:type="dxa"/>
            <w:vAlign w:val="bottom"/>
            <w:tcBorders>
              <w:bottom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Costs and Expenses</w:t>
            </w: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Reserves</w:t>
            </w: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4"/>
              <w:spacing w:after="0" w:line="149" w:lineRule="exact"/>
              <w:rPr>
                <w:sz w:val="20"/>
                <w:szCs w:val="20"/>
                <w:color w:val="auto"/>
              </w:rPr>
            </w:pPr>
            <w:r>
              <w:rPr>
                <w:rFonts w:ascii="Arial" w:cs="Arial" w:eastAsia="Arial" w:hAnsi="Arial"/>
                <w:sz w:val="14"/>
                <w:szCs w:val="14"/>
                <w:color w:val="auto"/>
              </w:rPr>
              <w:t>of Period</w:t>
            </w:r>
          </w:p>
        </w:tc>
      </w:tr>
      <w:tr>
        <w:trPr>
          <w:trHeight w:val="199"/>
        </w:trPr>
        <w:tc>
          <w:tcPr>
            <w:tcW w:w="4880" w:type="dxa"/>
            <w:vAlign w:val="bottom"/>
          </w:tcPr>
          <w:p>
            <w:pPr>
              <w:spacing w:after="0" w:line="200" w:lineRule="exact"/>
              <w:rPr>
                <w:sz w:val="20"/>
                <w:szCs w:val="20"/>
                <w:color w:val="auto"/>
              </w:rPr>
            </w:pPr>
            <w:r>
              <w:rPr>
                <w:rFonts w:ascii="Arial" w:cs="Arial" w:eastAsia="Arial" w:hAnsi="Arial"/>
                <w:sz w:val="18"/>
                <w:szCs w:val="18"/>
                <w:b w:val="1"/>
                <w:bCs w:val="1"/>
                <w:color w:val="auto"/>
              </w:rPr>
              <w:t>Successor</w:t>
            </w: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Year ended December 31, 2013</w:t>
            </w: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78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w:t>
            </w:r>
          </w:p>
        </w:tc>
        <w:tc>
          <w:tcPr>
            <w:tcW w:w="6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65</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78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c>
          <w:tcPr>
            <w:tcW w:w="64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525</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460</w:t>
            </w: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372</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78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w:t>
            </w:r>
          </w:p>
        </w:tc>
        <w:tc>
          <w:tcPr>
            <w:tcW w:w="64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21</w:t>
            </w: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60</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Year ended December 31, 2012</w:t>
            </w: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78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w:t>
            </w:r>
          </w:p>
        </w:tc>
        <w:tc>
          <w:tcPr>
            <w:tcW w:w="6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78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c>
          <w:tcPr>
            <w:tcW w:w="64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599</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717</w:t>
            </w: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307</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Valuation allowance on deferred tax assets</w:t>
            </w:r>
          </w:p>
        </w:tc>
        <w:tc>
          <w:tcPr>
            <w:tcW w:w="178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w:t>
            </w:r>
          </w:p>
        </w:tc>
        <w:tc>
          <w:tcPr>
            <w:tcW w:w="64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73</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Period January 29, 2011 through December 31, 2011</w:t>
            </w: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Allowance for doubtful accounts</w:t>
            </w:r>
          </w:p>
        </w:tc>
        <w:tc>
          <w:tcPr>
            <w:tcW w:w="1780" w:type="dxa"/>
            <w:vAlign w:val="bottom"/>
          </w:tcPr>
          <w:p>
            <w:pPr>
              <w:ind w:left="13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w:t>
            </w:r>
          </w:p>
        </w:tc>
        <w:tc>
          <w:tcPr>
            <w:tcW w:w="6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35</w:t>
            </w:r>
          </w:p>
        </w:tc>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w:t>
            </w:r>
          </w:p>
        </w:tc>
        <w:tc>
          <w:tcPr>
            <w:tcW w:w="3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w:t>
            </w:r>
          </w:p>
        </w:tc>
      </w:tr>
      <w:tr>
        <w:trPr>
          <w:trHeight w:val="203"/>
        </w:trPr>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Allowance for returns and customer incentives</w:t>
            </w:r>
          </w:p>
        </w:tc>
        <w:tc>
          <w:tcPr>
            <w:tcW w:w="1780" w:type="dxa"/>
            <w:vAlign w:val="bottom"/>
          </w:tcPr>
          <w:p>
            <w:pPr>
              <w:spacing w:after="0"/>
              <w:rPr>
                <w:sz w:val="17"/>
                <w:szCs w:val="17"/>
                <w:color w:val="auto"/>
              </w:rPr>
            </w:pPr>
          </w:p>
        </w:tc>
        <w:tc>
          <w:tcPr>
            <w:tcW w:w="9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536</w:t>
            </w:r>
          </w:p>
        </w:tc>
        <w:tc>
          <w:tcPr>
            <w:tcW w:w="36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111</w:t>
            </w: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425</w:t>
            </w:r>
          </w:p>
        </w:tc>
      </w:tr>
      <w:tr>
        <w:trPr>
          <w:trHeight w:val="199"/>
        </w:trPr>
        <w:tc>
          <w:tcPr>
            <w:tcW w:w="4880" w:type="dxa"/>
            <w:vAlign w:val="bottom"/>
            <w:tcBorders>
              <w:bottom w:val="single" w:sz="8" w:color="auto"/>
            </w:tcBorders>
          </w:tcPr>
          <w:p>
            <w:pPr>
              <w:ind w:left="220"/>
              <w:spacing w:after="0" w:line="200" w:lineRule="exact"/>
              <w:rPr>
                <w:sz w:val="20"/>
                <w:szCs w:val="20"/>
                <w:color w:val="auto"/>
              </w:rPr>
            </w:pPr>
            <w:r>
              <w:rPr>
                <w:rFonts w:ascii="Arial" w:cs="Arial" w:eastAsia="Arial" w:hAnsi="Arial"/>
                <w:sz w:val="18"/>
                <w:szCs w:val="18"/>
                <w:color w:val="auto"/>
              </w:rPr>
              <w:t>Valuation allowance on deferred tax assets</w:t>
            </w:r>
          </w:p>
        </w:tc>
        <w:tc>
          <w:tcPr>
            <w:tcW w:w="1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57</w:t>
            </w: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line="200" w:lineRule="exact"/>
              <w:rPr>
                <w:sz w:val="20"/>
                <w:szCs w:val="20"/>
                <w:color w:val="auto"/>
              </w:rPr>
            </w:pPr>
            <w:r>
              <w:rPr>
                <w:rFonts w:ascii="Arial" w:cs="Arial" w:eastAsia="Arial" w:hAnsi="Arial"/>
                <w:sz w:val="18"/>
                <w:szCs w:val="18"/>
                <w:color w:val="auto"/>
              </w:rPr>
              <w:t>53</w:t>
            </w:r>
          </w:p>
        </w:tc>
      </w:tr>
      <w:tr>
        <w:trPr>
          <w:trHeight w:val="506"/>
        </w:trPr>
        <w:tc>
          <w:tcPr>
            <w:tcW w:w="4880" w:type="dxa"/>
            <w:vAlign w:val="bottom"/>
          </w:tcPr>
          <w:p>
            <w:pPr>
              <w:spacing w:after="0"/>
              <w:rPr>
                <w:sz w:val="24"/>
                <w:szCs w:val="24"/>
                <w:color w:val="auto"/>
              </w:rPr>
            </w:pPr>
          </w:p>
        </w:tc>
        <w:tc>
          <w:tcPr>
            <w:tcW w:w="1780" w:type="dxa"/>
            <w:vAlign w:val="bottom"/>
          </w:tcPr>
          <w:p>
            <w:pPr>
              <w:ind w:left="720"/>
              <w:spacing w:after="0"/>
              <w:rPr>
                <w:sz w:val="20"/>
                <w:szCs w:val="20"/>
                <w:color w:val="auto"/>
              </w:rPr>
            </w:pPr>
            <w:r>
              <w:rPr>
                <w:rFonts w:ascii="Arial" w:cs="Arial" w:eastAsia="Arial" w:hAnsi="Arial"/>
                <w:sz w:val="14"/>
                <w:szCs w:val="14"/>
                <w:b w:val="1"/>
                <w:bCs w:val="1"/>
                <w:color w:val="auto"/>
              </w:rPr>
              <w:t>177</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gridSpan w:val="5"/>
          </w:tcPr>
          <w:p>
            <w:pPr>
              <w:jc w:val="right"/>
              <w:spacing w:after="0"/>
              <w:rPr>
                <w:sz w:val="20"/>
                <w:szCs w:val="20"/>
                <w:color w:val="auto"/>
              </w:rPr>
            </w:pPr>
            <w:r>
              <w:rPr>
                <w:rFonts w:ascii="Arial" w:cs="Arial" w:eastAsia="Arial" w:hAnsi="Arial"/>
                <w:sz w:val="14"/>
                <w:szCs w:val="14"/>
                <w:color w:val="auto"/>
              </w:rPr>
              <w:t>Comcast 2013 Annual Report on Form 10-K</w:t>
            </w:r>
          </w:p>
        </w:tc>
      </w:tr>
    </w:tbl>
    <w:p>
      <w:pPr>
        <w:sectPr>
          <w:pgSz w:w="11900" w:h="16838" w:orient="portrait"/>
          <w:cols w:equalWidth="0" w:num="1">
            <w:col w:w="11420"/>
          </w:cols>
          <w:pgMar w:left="240" w:top="459"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October 22, 2013)</w:t>
      </w:r>
    </w:p>
    <w:p>
      <w:pPr>
        <w:spacing w:after="0" w:line="25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121" w:lineRule="exact"/>
        <w:rPr>
          <w:rFonts w:ascii="Arial" w:cs="Arial" w:eastAsia="Arial" w:hAnsi="Arial"/>
          <w:sz w:val="18"/>
          <w:szCs w:val="18"/>
          <w:b w:val="1"/>
          <w:bCs w:val="1"/>
          <w:color w:val="auto"/>
        </w:rPr>
      </w:pPr>
    </w:p>
    <w:p>
      <w:pPr>
        <w:ind w:right="240" w:firstLine="464"/>
        <w:spacing w:after="0" w:line="277" w:lineRule="auto"/>
        <w:tabs>
          <w:tab w:leader="none" w:pos="70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October 22, 2013.</w:t>
      </w:r>
    </w:p>
    <w:p>
      <w:pPr>
        <w:spacing w:after="0" w:line="170" w:lineRule="exact"/>
        <w:rPr>
          <w:rFonts w:ascii="Arial" w:cs="Arial" w:eastAsia="Arial" w:hAnsi="Arial"/>
          <w:sz w:val="18"/>
          <w:szCs w:val="18"/>
          <w:color w:val="auto"/>
        </w:rPr>
      </w:pPr>
    </w:p>
    <w:p>
      <w:pPr>
        <w:ind w:right="180" w:firstLine="464"/>
        <w:spacing w:after="0" w:line="264" w:lineRule="auto"/>
        <w:tabs>
          <w:tab w:leader="none" w:pos="711"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jc w:val="both"/>
        <w:ind w:right="100" w:firstLine="464"/>
        <w:spacing w:after="0" w:line="259" w:lineRule="auto"/>
        <w:tabs>
          <w:tab w:leader="none" w:pos="701"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Arial" w:cs="Arial" w:eastAsia="Arial" w:hAnsi="Arial"/>
          <w:sz w:val="18"/>
          <w:szCs w:val="18"/>
          <w:color w:val="auto"/>
        </w:rPr>
      </w:pPr>
    </w:p>
    <w:p>
      <w:pPr>
        <w:ind w:right="60" w:firstLine="464"/>
        <w:spacing w:after="0" w:line="277" w:lineRule="auto"/>
        <w:tabs>
          <w:tab w:leader="none" w:pos="711"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(i) fraud; (ii) misappropriation; (iii) embezzlement; (iv) gross negligence in the performance of duties; (v) self-dealing;</w:t>
      </w:r>
    </w:p>
    <w:p>
      <w:pPr>
        <w:spacing w:after="0" w:line="23" w:lineRule="exact"/>
        <w:rPr>
          <w:sz w:val="20"/>
          <w:szCs w:val="20"/>
          <w:color w:val="auto"/>
        </w:rPr>
      </w:pPr>
    </w:p>
    <w:p>
      <w:pPr>
        <w:ind w:right="40" w:firstLine="8"/>
        <w:spacing w:after="0" w:line="254" w:lineRule="auto"/>
        <w:tabs>
          <w:tab w:leader="none" w:pos="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89" w:lineRule="exact"/>
        <w:rPr>
          <w:rFonts w:ascii="Arial" w:cs="Arial" w:eastAsia="Arial" w:hAnsi="Arial"/>
          <w:sz w:val="18"/>
          <w:szCs w:val="18"/>
          <w:color w:val="auto"/>
        </w:rPr>
      </w:pPr>
    </w:p>
    <w:p>
      <w:pPr>
        <w:ind w:right="60" w:firstLine="464"/>
        <w:spacing w:after="0" w:line="277" w:lineRule="auto"/>
        <w:tabs>
          <w:tab w:leader="none" w:pos="681"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Sponsor such that such</w:t>
      </w:r>
    </w:p>
    <w:p>
      <w:pPr>
        <w:sectPr>
          <w:pgSz w:w="11900" w:h="16838" w:orient="portrait"/>
          <w:cols w:equalWidth="0" w:num="1">
            <w:col w:w="11420"/>
          </w:cols>
          <w:pgMar w:left="240" w:top="121" w:right="239" w:bottom="1440" w:gutter="0" w:footer="0" w:header="0"/>
        </w:sectPr>
      </w:pPr>
    </w:p>
    <w:bookmarkStart w:id="182" w:name="page183"/>
    <w:bookmarkEnd w:id="18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47"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380" w:firstLine="464"/>
        <w:spacing w:after="0" w:line="312" w:lineRule="auto"/>
        <w:tabs>
          <w:tab w:leader="none" w:pos="7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46" w:lineRule="exact"/>
        <w:rPr>
          <w:rFonts w:ascii="Arial" w:cs="Arial" w:eastAsia="Arial" w:hAnsi="Arial"/>
          <w:sz w:val="16"/>
          <w:szCs w:val="16"/>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130" w:lineRule="exact"/>
        <w:rPr>
          <w:rFonts w:ascii="Arial" w:cs="Arial" w:eastAsia="Arial" w:hAnsi="Arial"/>
          <w:sz w:val="18"/>
          <w:szCs w:val="18"/>
          <w:color w:val="auto"/>
        </w:rPr>
      </w:pPr>
    </w:p>
    <w:p>
      <w:pPr>
        <w:ind w:left="1480" w:right="44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75"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225" w:lineRule="exact"/>
        <w:rPr>
          <w:rFonts w:ascii="Arial" w:cs="Arial" w:eastAsia="Arial" w:hAnsi="Arial"/>
          <w:sz w:val="18"/>
          <w:szCs w:val="18"/>
          <w:color w:val="auto"/>
        </w:rPr>
      </w:pPr>
    </w:p>
    <w:p>
      <w:pPr>
        <w:ind w:right="220" w:firstLine="464"/>
        <w:spacing w:after="0" w:line="277" w:lineRule="auto"/>
        <w:tabs>
          <w:tab w:leader="none" w:pos="7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130" w:lineRule="exact"/>
        <w:rPr>
          <w:rFonts w:ascii="Arial" w:cs="Arial" w:eastAsia="Arial" w:hAnsi="Arial"/>
          <w:sz w:val="18"/>
          <w:szCs w:val="18"/>
          <w:color w:val="auto"/>
        </w:rPr>
      </w:pPr>
    </w:p>
    <w:p>
      <w:pPr>
        <w:jc w:val="both"/>
        <w:ind w:left="1920" w:right="80" w:hanging="440"/>
        <w:spacing w:after="0" w:line="264" w:lineRule="auto"/>
        <w:tabs>
          <w:tab w:leader="none" w:pos="19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pacing w:after="0" w:line="86" w:lineRule="exact"/>
        <w:rPr>
          <w:rFonts w:ascii="Arial" w:cs="Arial" w:eastAsia="Arial" w:hAnsi="Arial"/>
          <w:sz w:val="18"/>
          <w:szCs w:val="18"/>
          <w:color w:val="auto"/>
        </w:rPr>
      </w:pPr>
    </w:p>
    <w:p>
      <w:pPr>
        <w:ind w:left="1920" w:right="160" w:hanging="440"/>
        <w:spacing w:after="0" w:line="277" w:lineRule="auto"/>
        <w:tabs>
          <w:tab w:leader="none" w:pos="1920" w:val="left"/>
        </w:tabs>
        <w:numPr>
          <w:ilvl w:val="2"/>
          <w:numId w:val="55"/>
        </w:numPr>
        <w:rPr>
          <w:rFonts w:ascii="Arial" w:cs="Arial" w:eastAsia="Arial" w:hAnsi="Arial"/>
          <w:sz w:val="18"/>
          <w:szCs w:val="18"/>
          <w:color w:val="auto"/>
        </w:rPr>
      </w:pPr>
      <w:r>
        <w:rPr>
          <w:rFonts w:ascii="Arial" w:cs="Arial" w:eastAsia="Arial" w:hAnsi="Arial"/>
          <w:sz w:val="18"/>
          <w:szCs w:val="18"/>
          <w:color w:val="auto"/>
        </w:rPr>
        <w:t>If different from the definition in Paragraph 2(n)(i)(A) above, “Disability” as it may be defined in such Optionee’s employment agreement between the Optionee and the Sponsor or an Affiliate, if 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183" w:name="page184"/>
    <w:bookmarkEnd w:id="183"/>
    <w:p>
      <w:pPr>
        <w:ind w:left="640" w:hanging="25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00" w:right="20" w:hanging="567"/>
        <w:spacing w:after="0" w:line="255"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98" w:lineRule="exact"/>
        <w:rPr>
          <w:rFonts w:ascii="Arial" w:cs="Arial" w:eastAsia="Arial" w:hAnsi="Arial"/>
          <w:sz w:val="18"/>
          <w:szCs w:val="18"/>
          <w:color w:val="auto"/>
        </w:rPr>
      </w:pPr>
    </w:p>
    <w:p>
      <w:pPr>
        <w:ind w:left="1400" w:hanging="567"/>
        <w:spacing w:after="0" w:line="257" w:lineRule="auto"/>
        <w:tabs>
          <w:tab w:leader="none" w:pos="140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Option Exercise and Tax Withholding</w:t>
      </w:r>
      <w:r>
        <w:rPr>
          <w:rFonts w:ascii="Arial" w:cs="Arial" w:eastAsia="Arial" w:hAnsi="Arial"/>
          <w:sz w:val="18"/>
          <w:szCs w:val="18"/>
          <w:color w:val="auto"/>
        </w:rPr>
        <w:t>. For purposes of Paragraph 7(d) and Paragraph 15 (except to the extent that the Optionee pays the full option price and all applicable withholding taxes in cash, by certified check or surrender or attestation to ownership of Shares, as described in Paragraph 7(d)(i), (ii) and (iii),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88" w:lineRule="exact"/>
        <w:rPr>
          <w:rFonts w:ascii="Arial" w:cs="Arial" w:eastAsia="Arial" w:hAnsi="Arial"/>
          <w:sz w:val="18"/>
          <w:szCs w:val="18"/>
          <w:color w:val="auto"/>
        </w:rPr>
      </w:pPr>
    </w:p>
    <w:p>
      <w:pPr>
        <w:ind w:left="-80" w:right="40" w:firstLine="464"/>
        <w:spacing w:after="0" w:line="277" w:lineRule="auto"/>
        <w:tabs>
          <w:tab w:leader="none" w:pos="6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70" w:lineRule="exact"/>
        <w:rPr>
          <w:rFonts w:ascii="Arial" w:cs="Arial" w:eastAsia="Arial" w:hAnsi="Arial"/>
          <w:sz w:val="18"/>
          <w:szCs w:val="18"/>
          <w:color w:val="auto"/>
        </w:rPr>
      </w:pPr>
    </w:p>
    <w:p>
      <w:pPr>
        <w:ind w:left="-80" w:right="160" w:firstLine="464"/>
        <w:spacing w:after="0" w:line="302" w:lineRule="auto"/>
        <w:tabs>
          <w:tab w:leader="none" w:pos="631"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20" w:top="274" w:right="299" w:bottom="1440" w:gutter="0" w:footer="0" w:header="0"/>
        </w:sectPr>
      </w:pPr>
    </w:p>
    <w:bookmarkStart w:id="184" w:name="page185"/>
    <w:bookmarkEnd w:id="184"/>
    <w:p>
      <w:pPr>
        <w:ind w:left="-80" w:right="140" w:firstLine="464"/>
        <w:spacing w:after="0" w:line="277" w:lineRule="auto"/>
        <w:tabs>
          <w:tab w:leader="none" w:pos="601"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70" w:lineRule="exact"/>
        <w:rPr>
          <w:rFonts w:ascii="Arial" w:cs="Arial" w:eastAsia="Arial" w:hAnsi="Arial"/>
          <w:sz w:val="18"/>
          <w:szCs w:val="18"/>
          <w:color w:val="auto"/>
        </w:rPr>
      </w:pPr>
    </w:p>
    <w:p>
      <w:pPr>
        <w:ind w:left="620" w:hanging="236"/>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130" w:lineRule="exact"/>
        <w:rPr>
          <w:rFonts w:ascii="Arial" w:cs="Arial" w:eastAsia="Arial" w:hAnsi="Arial"/>
          <w:sz w:val="18"/>
          <w:szCs w:val="18"/>
          <w:color w:val="auto"/>
        </w:rPr>
      </w:pPr>
    </w:p>
    <w:p>
      <w:pPr>
        <w:ind w:left="1400" w:right="180" w:hanging="567"/>
        <w:spacing w:after="0" w:line="277"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75" w:lineRule="exact"/>
        <w:rPr>
          <w:rFonts w:ascii="Arial" w:cs="Arial" w:eastAsia="Arial" w:hAnsi="Arial"/>
          <w:sz w:val="18"/>
          <w:szCs w:val="18"/>
          <w:color w:val="auto"/>
        </w:rPr>
      </w:pPr>
    </w:p>
    <w:p>
      <w:pPr>
        <w:ind w:left="1400" w:right="140" w:hanging="567"/>
        <w:spacing w:after="0" w:line="308" w:lineRule="auto"/>
        <w:tabs>
          <w:tab w:leader="none" w:pos="14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46" w:lineRule="exact"/>
        <w:rPr>
          <w:rFonts w:ascii="Arial" w:cs="Arial" w:eastAsia="Arial" w:hAnsi="Arial"/>
          <w:sz w:val="17"/>
          <w:szCs w:val="17"/>
          <w:color w:val="auto"/>
        </w:rPr>
      </w:pPr>
    </w:p>
    <w:p>
      <w:pPr>
        <w:ind w:left="600" w:hanging="216"/>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225" w:lineRule="exact"/>
        <w:rPr>
          <w:rFonts w:ascii="Arial" w:cs="Arial" w:eastAsia="Arial" w:hAnsi="Arial"/>
          <w:sz w:val="18"/>
          <w:szCs w:val="18"/>
          <w:color w:val="auto"/>
        </w:rPr>
      </w:pPr>
    </w:p>
    <w:p>
      <w:pPr>
        <w:ind w:left="640" w:hanging="25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225" w:lineRule="exact"/>
        <w:rPr>
          <w:rFonts w:ascii="Arial" w:cs="Arial" w:eastAsia="Arial" w:hAnsi="Arial"/>
          <w:sz w:val="18"/>
          <w:szCs w:val="18"/>
          <w:color w:val="auto"/>
        </w:rPr>
      </w:pPr>
    </w:p>
    <w:p>
      <w:pPr>
        <w:ind w:left="-80" w:right="20" w:firstLine="464"/>
        <w:spacing w:after="0" w:line="277" w:lineRule="auto"/>
        <w:tabs>
          <w:tab w:leader="none" w:pos="6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170" w:lineRule="exact"/>
        <w:rPr>
          <w:rFonts w:ascii="Arial" w:cs="Arial" w:eastAsia="Arial" w:hAnsi="Arial"/>
          <w:sz w:val="18"/>
          <w:szCs w:val="18"/>
          <w:color w:val="auto"/>
        </w:rPr>
      </w:pPr>
    </w:p>
    <w:p>
      <w:pPr>
        <w:ind w:left="680" w:hanging="296"/>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130" w:lineRule="exact"/>
        <w:rPr>
          <w:rFonts w:ascii="Arial" w:cs="Arial" w:eastAsia="Arial" w:hAnsi="Arial"/>
          <w:sz w:val="18"/>
          <w:szCs w:val="18"/>
          <w:color w:val="auto"/>
        </w:rPr>
      </w:pPr>
    </w:p>
    <w:p>
      <w:pPr>
        <w:ind w:left="1400" w:right="20" w:hanging="567"/>
        <w:spacing w:after="0" w:line="264" w:lineRule="auto"/>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86" w:lineRule="exact"/>
        <w:rPr>
          <w:rFonts w:ascii="Arial" w:cs="Arial" w:eastAsia="Arial" w:hAnsi="Arial"/>
          <w:sz w:val="18"/>
          <w:szCs w:val="18"/>
          <w:color w:val="auto"/>
        </w:rPr>
      </w:pPr>
    </w:p>
    <w:p>
      <w:pPr>
        <w:ind w:left="1400" w:hanging="567"/>
        <w:spacing w:after="0"/>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130" w:lineRule="exact"/>
        <w:rPr>
          <w:rFonts w:ascii="Arial" w:cs="Arial" w:eastAsia="Arial" w:hAnsi="Arial"/>
          <w:sz w:val="18"/>
          <w:szCs w:val="18"/>
          <w:color w:val="auto"/>
        </w:rPr>
      </w:pPr>
    </w:p>
    <w:p>
      <w:pPr>
        <w:ind w:left="1840" w:hanging="440"/>
        <w:spacing w:after="0" w:line="277" w:lineRule="auto"/>
        <w:tabs>
          <w:tab w:leader="none" w:pos="18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2(w)(i); over</w:t>
      </w:r>
    </w:p>
    <w:p>
      <w:pPr>
        <w:spacing w:after="0" w:line="75" w:lineRule="exact"/>
        <w:rPr>
          <w:rFonts w:ascii="Arial" w:cs="Arial" w:eastAsia="Arial" w:hAnsi="Arial"/>
          <w:sz w:val="18"/>
          <w:szCs w:val="18"/>
          <w:color w:val="auto"/>
        </w:rPr>
      </w:pPr>
    </w:p>
    <w:p>
      <w:pPr>
        <w:ind w:left="1840" w:hanging="440"/>
        <w:spacing w:after="0"/>
        <w:tabs>
          <w:tab w:leader="none" w:pos="18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2060" w:hanging="251"/>
        <w:spacing w:after="0"/>
        <w:tabs>
          <w:tab w:leader="none" w:pos="2060" w:val="left"/>
        </w:tabs>
        <w:numPr>
          <w:ilvl w:val="3"/>
          <w:numId w:val="57"/>
        </w:numPr>
        <w:rPr>
          <w:rFonts w:ascii="Arial" w:cs="Arial" w:eastAsia="Arial" w:hAnsi="Arial"/>
          <w:sz w:val="17"/>
          <w:szCs w:val="17"/>
          <w:color w:val="auto"/>
        </w:rPr>
      </w:pPr>
      <w:r>
        <w:rPr>
          <w:rFonts w:ascii="Arial" w:cs="Arial" w:eastAsia="Arial" w:hAnsi="Arial"/>
          <w:sz w:val="17"/>
          <w:szCs w:val="17"/>
          <w:color w:val="auto"/>
        </w:rPr>
        <w:t>the number of such Shares owned by such Optionee or such Optionee’s Family Member for less than six months; plus</w:t>
      </w:r>
    </w:p>
    <w:p>
      <w:pPr>
        <w:spacing w:after="0" w:line="128" w:lineRule="exact"/>
        <w:rPr>
          <w:rFonts w:ascii="Arial" w:cs="Arial" w:eastAsia="Arial" w:hAnsi="Arial"/>
          <w:sz w:val="17"/>
          <w:szCs w:val="17"/>
          <w:color w:val="auto"/>
        </w:rPr>
      </w:pPr>
    </w:p>
    <w:p>
      <w:pPr>
        <w:ind w:left="1420" w:right="240" w:firstLine="389"/>
        <w:spacing w:after="0" w:line="264" w:lineRule="auto"/>
        <w:tabs>
          <w:tab w:leader="none" w:pos="2072" w:val="left"/>
        </w:tabs>
        <w:numPr>
          <w:ilvl w:val="3"/>
          <w:numId w:val="57"/>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74" w:right="299" w:bottom="1440" w:gutter="0" w:footer="0" w:header="0"/>
        </w:sectPr>
      </w:pPr>
    </w:p>
    <w:bookmarkStart w:id="185" w:name="page186"/>
    <w:bookmarkEnd w:id="185"/>
    <w:p>
      <w:pPr>
        <w:ind w:left="1500" w:right="320" w:firstLine="389"/>
        <w:spacing w:after="0" w:line="302" w:lineRule="auto"/>
        <w:tabs>
          <w:tab w:leader="none" w:pos="2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46" w:lineRule="exact"/>
        <w:rPr>
          <w:rFonts w:ascii="Arial" w:cs="Arial" w:eastAsia="Arial" w:hAnsi="Arial"/>
          <w:sz w:val="16"/>
          <w:szCs w:val="16"/>
          <w:color w:val="auto"/>
        </w:rPr>
      </w:pPr>
    </w:p>
    <w:p>
      <w:pPr>
        <w:ind w:left="1500" w:firstLine="389"/>
        <w:spacing w:after="0" w:line="312" w:lineRule="auto"/>
        <w:tabs>
          <w:tab w:leader="none" w:pos="21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as to which evidence of ownership has, within the preceding six months, been provided to the Sponsor in connection with the crediting of “Deferred Stock Units” to such Optionee’s Account under the Comcast Corporation 2002 Deferred Stock Option Plan (as in effect from time to time).</w:t>
      </w:r>
    </w:p>
    <w:p>
      <w:pPr>
        <w:spacing w:after="0" w:line="14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purposes of this Paragraph 2(w),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2(w),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178" w:lineRule="exact"/>
        <w:rPr>
          <w:sz w:val="20"/>
          <w:szCs w:val="20"/>
          <w:color w:val="auto"/>
        </w:rPr>
      </w:pPr>
    </w:p>
    <w:p>
      <w:pPr>
        <w:ind w:right="60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w:t>
      </w:r>
    </w:p>
    <w:p>
      <w:pPr>
        <w:spacing w:after="0" w:line="225" w:lineRule="exact"/>
        <w:rPr>
          <w:sz w:val="20"/>
          <w:szCs w:val="20"/>
          <w:color w:val="auto"/>
        </w:rPr>
      </w:pPr>
    </w:p>
    <w:p>
      <w:pPr>
        <w:ind w:left="780" w:hanging="316"/>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or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5600" w:right="4120" w:hanging="4687"/>
        <w:spacing w:after="0" w:line="449" w:lineRule="auto"/>
        <w:tabs>
          <w:tab w:leader="none" w:pos="1471" w:val="left"/>
        </w:tabs>
        <w:numPr>
          <w:ilvl w:val="1"/>
          <w:numId w:val="60"/>
        </w:numPr>
        <w:rPr>
          <w:rFonts w:ascii="Arial" w:cs="Arial" w:eastAsia="Arial" w:hAnsi="Arial"/>
          <w:sz w:val="18"/>
          <w:szCs w:val="18"/>
          <w:color w:val="auto"/>
        </w:rPr>
      </w:pPr>
      <w:r>
        <w:rPr>
          <w:rFonts w:ascii="Arial" w:cs="Arial" w:eastAsia="Arial" w:hAnsi="Arial"/>
          <w:sz w:val="18"/>
          <w:szCs w:val="18"/>
          <w:color w:val="auto"/>
        </w:rPr>
        <w:t>Except as provided in this Paragraph 2(aa), a share or shares of Common Stock. -5-</w:t>
      </w:r>
    </w:p>
    <w:p>
      <w:pPr>
        <w:sectPr>
          <w:pgSz w:w="11900" w:h="16838" w:orient="portrait"/>
          <w:cols w:equalWidth="0" w:num="1">
            <w:col w:w="11360"/>
          </w:cols>
          <w:pgMar w:left="240" w:top="274" w:right="299" w:bottom="1440" w:gutter="0" w:footer="0" w:header="0"/>
        </w:sectPr>
      </w:pPr>
    </w:p>
    <w:bookmarkStart w:id="186" w:name="page187"/>
    <w:bookmarkEnd w:id="186"/>
    <w:p>
      <w:pPr>
        <w:ind w:left="1472" w:right="80" w:hanging="567"/>
        <w:spacing w:after="0" w:line="277" w:lineRule="auto"/>
        <w:tabs>
          <w:tab w:leader="none" w:pos="1472" w:val="left"/>
        </w:tabs>
        <w:numPr>
          <w:ilvl w:val="2"/>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Paragraphs 2(w), 7(d) and Paragraph 15, the term “Share” or “Shares” also means a share or shares of Special Common Stock.</w:t>
      </w:r>
    </w:p>
    <w:p>
      <w:pPr>
        <w:spacing w:after="0" w:line="75" w:lineRule="exact"/>
        <w:rPr>
          <w:rFonts w:ascii="Arial" w:cs="Arial" w:eastAsia="Arial" w:hAnsi="Arial"/>
          <w:sz w:val="18"/>
          <w:szCs w:val="18"/>
          <w:color w:val="auto"/>
        </w:rPr>
      </w:pPr>
    </w:p>
    <w:p>
      <w:pPr>
        <w:ind w:left="1472" w:right="200" w:hanging="567"/>
        <w:spacing w:after="0" w:line="312" w:lineRule="auto"/>
        <w:tabs>
          <w:tab w:leader="none" w:pos="1472" w:val="left"/>
        </w:tabs>
        <w:numPr>
          <w:ilvl w:val="2"/>
          <w:numId w:val="61"/>
        </w:numPr>
        <w:rPr>
          <w:rFonts w:ascii="Arial" w:cs="Arial" w:eastAsia="Arial" w:hAnsi="Arial"/>
          <w:sz w:val="16"/>
          <w:szCs w:val="16"/>
          <w:color w:val="auto"/>
        </w:rPr>
      </w:pPr>
      <w:r>
        <w:rPr>
          <w:rFonts w:ascii="Arial" w:cs="Arial" w:eastAsia="Arial" w:hAnsi="Arial"/>
          <w:sz w:val="16"/>
          <w:szCs w:val="16"/>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146" w:lineRule="exact"/>
        <w:rPr>
          <w:rFonts w:ascii="Arial" w:cs="Arial" w:eastAsia="Arial" w:hAnsi="Arial"/>
          <w:sz w:val="16"/>
          <w:szCs w:val="16"/>
          <w:color w:val="auto"/>
        </w:rPr>
      </w:pPr>
    </w:p>
    <w:p>
      <w:pPr>
        <w:ind w:left="792" w:hanging="336"/>
        <w:spacing w:after="0"/>
        <w:tabs>
          <w:tab w:leader="none" w:pos="7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the Sponsor’s Class A Special Common Stock, par value $0.01.</w:t>
      </w:r>
    </w:p>
    <w:p>
      <w:pPr>
        <w:spacing w:after="0" w:line="225" w:lineRule="exact"/>
        <w:rPr>
          <w:rFonts w:ascii="Arial" w:cs="Arial" w:eastAsia="Arial" w:hAnsi="Arial"/>
          <w:sz w:val="18"/>
          <w:szCs w:val="18"/>
          <w:color w:val="auto"/>
        </w:rPr>
      </w:pPr>
    </w:p>
    <w:p>
      <w:pPr>
        <w:ind w:left="-8" w:firstLine="464"/>
        <w:spacing w:after="0" w:line="277" w:lineRule="auto"/>
        <w:tabs>
          <w:tab w:leader="none" w:pos="773"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rFonts w:ascii="Arial" w:cs="Arial" w:eastAsia="Arial" w:hAnsi="Arial"/>
          <w:sz w:val="18"/>
          <w:szCs w:val="18"/>
          <w:color w:val="auto"/>
        </w:rPr>
      </w:pPr>
    </w:p>
    <w:p>
      <w:pPr>
        <w:ind w:left="-8" w:right="320" w:firstLine="464"/>
        <w:spacing w:after="0" w:line="277" w:lineRule="auto"/>
        <w:tabs>
          <w:tab w:leader="none" w:pos="7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70" w:lineRule="exact"/>
        <w:rPr>
          <w:rFonts w:ascii="Arial" w:cs="Arial" w:eastAsia="Arial" w:hAnsi="Arial"/>
          <w:sz w:val="18"/>
          <w:szCs w:val="18"/>
          <w:color w:val="auto"/>
        </w:rPr>
      </w:pPr>
    </w:p>
    <w:p>
      <w:pPr>
        <w:ind w:left="-8" w:firstLine="464"/>
        <w:spacing w:after="0" w:line="312" w:lineRule="auto"/>
        <w:tabs>
          <w:tab w:leader="none" w:pos="773"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46" w:lineRule="exact"/>
        <w:rPr>
          <w:rFonts w:ascii="Arial" w:cs="Arial" w:eastAsia="Arial" w:hAnsi="Arial"/>
          <w:sz w:val="16"/>
          <w:szCs w:val="16"/>
          <w:color w:val="auto"/>
        </w:rPr>
      </w:pPr>
    </w:p>
    <w:p>
      <w:pPr>
        <w:ind w:left="732" w:hanging="276"/>
        <w:spacing w:after="0"/>
        <w:tabs>
          <w:tab w:leader="none" w:pos="73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30" w:lineRule="exact"/>
        <w:rPr>
          <w:rFonts w:ascii="Arial" w:cs="Arial" w:eastAsia="Arial" w:hAnsi="Arial"/>
          <w:sz w:val="18"/>
          <w:szCs w:val="18"/>
          <w:color w:val="auto"/>
        </w:rPr>
      </w:pPr>
    </w:p>
    <w:p>
      <w:pPr>
        <w:ind w:left="1472" w:hanging="567"/>
        <w:spacing w:after="0"/>
        <w:tabs>
          <w:tab w:leader="none" w:pos="1472"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225" w:lineRule="exact"/>
        <w:rPr>
          <w:rFonts w:ascii="Arial" w:cs="Arial" w:eastAsia="Arial" w:hAnsi="Arial"/>
          <w:sz w:val="18"/>
          <w:szCs w:val="18"/>
          <w:color w:val="auto"/>
        </w:rPr>
      </w:pPr>
    </w:p>
    <w:p>
      <w:pPr>
        <w:ind w:left="-8" w:right="420" w:firstLine="464"/>
        <w:spacing w:after="0" w:line="277" w:lineRule="auto"/>
        <w:tabs>
          <w:tab w:leader="none" w:pos="7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70" w:lineRule="exact"/>
        <w:rPr>
          <w:rFonts w:ascii="Arial" w:cs="Arial" w:eastAsia="Arial" w:hAnsi="Arial"/>
          <w:sz w:val="18"/>
          <w:szCs w:val="18"/>
          <w:color w:val="auto"/>
        </w:rPr>
      </w:pPr>
    </w:p>
    <w:p>
      <w:pPr>
        <w:ind w:left="792" w:hanging="336"/>
        <w:spacing w:after="0"/>
        <w:tabs>
          <w:tab w:leader="none" w:pos="7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712" w:hanging="256"/>
        <w:spacing w:after="0"/>
        <w:tabs>
          <w:tab w:leader="none" w:pos="7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121" w:lineRule="exact"/>
        <w:rPr>
          <w:rFonts w:ascii="Arial" w:cs="Arial" w:eastAsia="Arial" w:hAnsi="Arial"/>
          <w:sz w:val="18"/>
          <w:szCs w:val="18"/>
          <w:b w:val="1"/>
          <w:bCs w:val="1"/>
          <w:color w:val="auto"/>
        </w:rPr>
      </w:pPr>
    </w:p>
    <w:p>
      <w:pPr>
        <w:ind w:left="692" w:hanging="236"/>
        <w:spacing w:after="0"/>
        <w:tabs>
          <w:tab w:leader="none" w:pos="692"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130" w:lineRule="exact"/>
        <w:rPr>
          <w:rFonts w:ascii="Arial" w:cs="Arial" w:eastAsia="Arial" w:hAnsi="Arial"/>
          <w:sz w:val="18"/>
          <w:szCs w:val="18"/>
          <w:color w:val="auto"/>
        </w:rPr>
      </w:pPr>
    </w:p>
    <w:p>
      <w:pPr>
        <w:ind w:left="1472" w:right="200" w:hanging="567"/>
        <w:spacing w:after="0" w:line="277" w:lineRule="auto"/>
        <w:tabs>
          <w:tab w:leader="none" w:pos="1472" w:val="left"/>
        </w:tabs>
        <w:numPr>
          <w:ilvl w:val="2"/>
          <w:numId w:val="63"/>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74" w:right="299" w:bottom="1440" w:gutter="0" w:footer="0" w:header="0"/>
        </w:sectPr>
      </w:pPr>
    </w:p>
    <w:bookmarkStart w:id="187" w:name="page188"/>
    <w:bookmarkEnd w:id="187"/>
    <w:p>
      <w:pPr>
        <w:ind w:left="1472" w:right="40" w:hanging="567"/>
        <w:spacing w:after="0" w:line="277" w:lineRule="auto"/>
        <w:tabs>
          <w:tab w:leader="none" w:pos="1472" w:val="left"/>
        </w:tabs>
        <w:numPr>
          <w:ilvl w:val="2"/>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Options, which give the Optionee the right for a specified time period to purchase a specified number of Shares for a price not less than the Fair Market Value on the Date of Grant; and</w:t>
      </w:r>
    </w:p>
    <w:p>
      <w:pPr>
        <w:spacing w:after="0" w:line="75" w:lineRule="exact"/>
        <w:rPr>
          <w:rFonts w:ascii="Arial" w:cs="Arial" w:eastAsia="Arial" w:hAnsi="Arial"/>
          <w:sz w:val="18"/>
          <w:szCs w:val="18"/>
          <w:color w:val="auto"/>
        </w:rPr>
      </w:pPr>
    </w:p>
    <w:p>
      <w:pPr>
        <w:ind w:left="1472" w:right="40" w:hanging="567"/>
        <w:spacing w:after="0" w:line="302" w:lineRule="auto"/>
        <w:tabs>
          <w:tab w:leader="none" w:pos="1472" w:val="left"/>
        </w:tabs>
        <w:numPr>
          <w:ilvl w:val="2"/>
          <w:numId w:val="64"/>
        </w:numPr>
        <w:rPr>
          <w:rFonts w:ascii="Arial" w:cs="Arial" w:eastAsia="Arial" w:hAnsi="Arial"/>
          <w:sz w:val="16"/>
          <w:szCs w:val="16"/>
          <w:color w:val="auto"/>
        </w:rPr>
      </w:pPr>
      <w:r>
        <w:rPr>
          <w:rFonts w:ascii="Arial" w:cs="Arial" w:eastAsia="Arial" w:hAnsi="Arial"/>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154" w:lineRule="exact"/>
        <w:rPr>
          <w:rFonts w:ascii="Arial" w:cs="Arial" w:eastAsia="Arial" w:hAnsi="Arial"/>
          <w:sz w:val="16"/>
          <w:szCs w:val="16"/>
          <w:color w:val="auto"/>
        </w:rPr>
      </w:pPr>
    </w:p>
    <w:p>
      <w:pPr>
        <w:ind w:left="-8" w:right="560" w:firstLine="464"/>
        <w:spacing w:after="0" w:line="277" w:lineRule="auto"/>
        <w:tabs>
          <w:tab w:leader="none" w:pos="703"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315" w:lineRule="exact"/>
        <w:rPr>
          <w:rFonts w:ascii="Arial" w:cs="Arial" w:eastAsia="Arial" w:hAnsi="Arial"/>
          <w:sz w:val="18"/>
          <w:szCs w:val="18"/>
          <w:color w:val="auto"/>
        </w:rPr>
      </w:pPr>
    </w:p>
    <w:p>
      <w:pPr>
        <w:ind w:left="452" w:hanging="452"/>
        <w:spacing w:after="0"/>
        <w:tabs>
          <w:tab w:leader="none" w:pos="452"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121" w:lineRule="exact"/>
        <w:rPr>
          <w:rFonts w:ascii="Arial" w:cs="Arial" w:eastAsia="Arial" w:hAnsi="Arial"/>
          <w:sz w:val="18"/>
          <w:szCs w:val="18"/>
          <w:b w:val="1"/>
          <w:bCs w:val="1"/>
          <w:color w:val="auto"/>
        </w:rPr>
      </w:pPr>
    </w:p>
    <w:p>
      <w:pPr>
        <w:ind w:left="-8" w:right="100" w:firstLine="464"/>
        <w:spacing w:after="0" w:line="264" w:lineRule="auto"/>
        <w:tabs>
          <w:tab w:leader="none" w:pos="693" w:val="left"/>
        </w:tabs>
        <w:numPr>
          <w:ilvl w:val="1"/>
          <w:numId w:val="66"/>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245 million Shares in the aggregate may be issued pursuant to the Plan upon exercise of Options. Shares delivered pursuant to the exercise of an Option may, at the Sponsor’s option, be either treasury Shares or Shares originally issued for such purpose.</w:t>
      </w:r>
    </w:p>
    <w:p>
      <w:pPr>
        <w:spacing w:after="0" w:line="181" w:lineRule="exact"/>
        <w:rPr>
          <w:rFonts w:ascii="Arial" w:cs="Arial" w:eastAsia="Arial" w:hAnsi="Arial"/>
          <w:sz w:val="18"/>
          <w:szCs w:val="18"/>
          <w:color w:val="auto"/>
        </w:rPr>
      </w:pPr>
    </w:p>
    <w:p>
      <w:pPr>
        <w:ind w:left="-8" w:right="280" w:firstLine="464"/>
        <w:spacing w:after="0" w:line="277" w:lineRule="auto"/>
        <w:tabs>
          <w:tab w:leader="none" w:pos="703"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an Option covering Shares terminates or expires without having been exercised in full, other Options may be granted covering the Shares as to which the Option terminated or expired.</w:t>
      </w:r>
    </w:p>
    <w:p>
      <w:pPr>
        <w:spacing w:after="0" w:line="170" w:lineRule="exact"/>
        <w:rPr>
          <w:rFonts w:ascii="Arial" w:cs="Arial" w:eastAsia="Arial" w:hAnsi="Arial"/>
          <w:sz w:val="18"/>
          <w:szCs w:val="18"/>
          <w:color w:val="auto"/>
        </w:rPr>
      </w:pPr>
    </w:p>
    <w:p>
      <w:pPr>
        <w:ind w:left="-8" w:firstLine="464"/>
        <w:spacing w:after="0" w:line="273" w:lineRule="auto"/>
        <w:tabs>
          <w:tab w:leader="none" w:pos="693" w:val="left"/>
        </w:tabs>
        <w:numPr>
          <w:ilvl w:val="1"/>
          <w:numId w:val="66"/>
        </w:numPr>
        <w:rPr>
          <w:rFonts w:ascii="Arial" w:cs="Arial" w:eastAsia="Arial" w:hAnsi="Arial"/>
          <w:sz w:val="17"/>
          <w:szCs w:val="17"/>
          <w:color w:val="auto"/>
        </w:rPr>
      </w:pPr>
      <w:r>
        <w:rPr>
          <w:rFonts w:ascii="Arial" w:cs="Arial" w:eastAsia="Arial" w:hAnsi="Arial"/>
          <w:sz w:val="17"/>
          <w:szCs w:val="17"/>
          <w:color w:val="auto"/>
        </w:rPr>
        <w:t>For Options exercised after December 31, 2008, if (i) the Sponsor withholds Shares to satisfy its minimum tax withholding requirements as provided in Paragraph 15(b) and Paragraph 15(c) or (ii) an Option covering Shares is exercised pursuant to the cashless exercise provisions of Paragraph 7(d) (iv), other Options may not be granted covering the Shares so withheld to satisfy the Sponsor’s minimum tax withholding requirements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88" w:name="page189"/>
    <w:bookmarkEnd w:id="188"/>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 OF PLAN</w:t>
      </w:r>
    </w:p>
    <w:p>
      <w:pPr>
        <w:spacing w:after="0" w:line="121" w:lineRule="exact"/>
        <w:rPr>
          <w:rFonts w:ascii="Arial" w:cs="Arial" w:eastAsia="Arial" w:hAnsi="Arial"/>
          <w:sz w:val="18"/>
          <w:szCs w:val="18"/>
          <w:b w:val="1"/>
          <w:bCs w:val="1"/>
          <w:color w:val="auto"/>
        </w:rPr>
      </w:pPr>
    </w:p>
    <w:p>
      <w:pPr>
        <w:ind w:right="40" w:firstLine="464"/>
        <w:spacing w:after="0" w:line="264" w:lineRule="auto"/>
        <w:tabs>
          <w:tab w:leader="none" w:pos="70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81" w:lineRule="exact"/>
        <w:rPr>
          <w:rFonts w:ascii="Arial" w:cs="Arial" w:eastAsia="Arial" w:hAnsi="Arial"/>
          <w:sz w:val="18"/>
          <w:szCs w:val="18"/>
          <w:color w:val="auto"/>
        </w:rPr>
      </w:pPr>
    </w:p>
    <w:p>
      <w:pPr>
        <w:ind w:right="60" w:firstLine="464"/>
        <w:spacing w:after="0" w:line="312" w:lineRule="auto"/>
        <w:tabs>
          <w:tab w:leader="none" w:pos="71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130" w:lineRule="exact"/>
        <w:rPr>
          <w:rFonts w:ascii="Arial" w:cs="Arial" w:eastAsia="Arial" w:hAnsi="Arial"/>
          <w:sz w:val="18"/>
          <w:szCs w:val="18"/>
          <w:color w:val="auto"/>
        </w:rPr>
      </w:pPr>
    </w:p>
    <w:p>
      <w:pPr>
        <w:ind w:left="1480" w:right="560" w:hanging="567"/>
        <w:spacing w:after="0" w:line="308" w:lineRule="auto"/>
        <w:tabs>
          <w:tab w:leader="none" w:pos="1480" w:val="left"/>
        </w:tabs>
        <w:numPr>
          <w:ilvl w:val="2"/>
          <w:numId w:val="67"/>
        </w:numPr>
        <w:rPr>
          <w:rFonts w:ascii="Arial" w:cs="Arial" w:eastAsia="Arial" w:hAnsi="Arial"/>
          <w:sz w:val="17"/>
          <w:szCs w:val="17"/>
          <w:color w:val="auto"/>
        </w:rPr>
      </w:pPr>
      <w:r>
        <w:rPr>
          <w:rFonts w:ascii="Arial" w:cs="Arial" w:eastAsia="Arial" w:hAnsi="Arial"/>
          <w:sz w:val="17"/>
          <w:szCs w:val="17"/>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25" w:lineRule="exact"/>
        <w:rPr>
          <w:rFonts w:ascii="Arial" w:cs="Arial" w:eastAsia="Arial" w:hAnsi="Arial"/>
          <w:sz w:val="18"/>
          <w:szCs w:val="18"/>
          <w:color w:val="auto"/>
        </w:rPr>
      </w:pPr>
    </w:p>
    <w:p>
      <w:pPr>
        <w:ind w:right="620" w:firstLine="464"/>
        <w:spacing w:after="0" w:line="342" w:lineRule="auto"/>
        <w:tabs>
          <w:tab w:leader="none" w:pos="70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123" w:lineRule="exact"/>
        <w:rPr>
          <w:rFonts w:ascii="Arial" w:cs="Arial" w:eastAsia="Arial" w:hAnsi="Arial"/>
          <w:sz w:val="16"/>
          <w:szCs w:val="16"/>
          <w:color w:val="auto"/>
        </w:rPr>
      </w:pPr>
    </w:p>
    <w:p>
      <w:pPr>
        <w:ind w:firstLine="464"/>
        <w:spacing w:after="0" w:line="302" w:lineRule="auto"/>
        <w:tabs>
          <w:tab w:leader="none" w:pos="711"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154" w:lineRule="exact"/>
        <w:rPr>
          <w:rFonts w:ascii="Arial" w:cs="Arial" w:eastAsia="Arial" w:hAnsi="Arial"/>
          <w:sz w:val="16"/>
          <w:szCs w:val="16"/>
          <w:color w:val="auto"/>
        </w:rPr>
      </w:pPr>
    </w:p>
    <w:p>
      <w:pPr>
        <w:ind w:right="20" w:firstLine="464"/>
        <w:spacing w:after="0" w:line="257" w:lineRule="auto"/>
        <w:tabs>
          <w:tab w:leader="none" w:pos="701"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89" w:name="page190"/>
    <w:bookmarkEnd w:id="189"/>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ELIGIBILITY</w:t>
      </w:r>
    </w:p>
    <w:p>
      <w:pPr>
        <w:spacing w:after="0" w:line="121" w:lineRule="exact"/>
        <w:rPr>
          <w:rFonts w:ascii="Arial" w:cs="Arial" w:eastAsia="Arial" w:hAnsi="Arial"/>
          <w:sz w:val="18"/>
          <w:szCs w:val="18"/>
          <w:b w:val="1"/>
          <w:bCs w:val="1"/>
          <w:color w:val="auto"/>
        </w:rPr>
      </w:pPr>
    </w:p>
    <w:p>
      <w:pPr>
        <w:ind w:firstLine="464"/>
        <w:spacing w:after="0" w:line="276" w:lineRule="auto"/>
        <w:tabs>
          <w:tab w:leader="none" w:pos="701" w:val="left"/>
        </w:tabs>
        <w:numPr>
          <w:ilvl w:val="1"/>
          <w:numId w:val="68"/>
        </w:numPr>
        <w:rPr>
          <w:rFonts w:ascii="Arial" w:cs="Arial" w:eastAsia="Arial" w:hAnsi="Arial"/>
          <w:sz w:val="17"/>
          <w:szCs w:val="17"/>
          <w:color w:val="auto"/>
        </w:rPr>
      </w:pPr>
      <w:r>
        <w:rPr>
          <w:rFonts w:ascii="Arial" w:cs="Arial" w:eastAsia="Arial" w:hAnsi="Arial"/>
          <w:sz w:val="17"/>
          <w:szCs w:val="17"/>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72" w:lineRule="exact"/>
        <w:rPr>
          <w:rFonts w:ascii="Arial" w:cs="Arial" w:eastAsia="Arial" w:hAnsi="Arial"/>
          <w:sz w:val="17"/>
          <w:szCs w:val="17"/>
          <w:color w:val="auto"/>
        </w:rPr>
      </w:pPr>
    </w:p>
    <w:p>
      <w:pPr>
        <w:ind w:right="100" w:firstLine="464"/>
        <w:spacing w:after="0" w:line="302" w:lineRule="auto"/>
        <w:tabs>
          <w:tab w:leader="none" w:pos="711"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298" w:lineRule="exact"/>
        <w:rPr>
          <w:rFonts w:ascii="Arial" w:cs="Arial" w:eastAsia="Arial" w:hAnsi="Arial"/>
          <w:sz w:val="16"/>
          <w:szCs w:val="16"/>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121"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66" w:lineRule="exact"/>
        <w:rPr>
          <w:sz w:val="20"/>
          <w:szCs w:val="20"/>
          <w:color w:val="auto"/>
        </w:rPr>
      </w:pPr>
    </w:p>
    <w:p>
      <w:pPr>
        <w:ind w:left="700" w:hanging="23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11, 2021.</w:t>
      </w:r>
    </w:p>
    <w:p>
      <w:pPr>
        <w:spacing w:after="0" w:line="225" w:lineRule="exact"/>
        <w:rPr>
          <w:rFonts w:ascii="Arial" w:cs="Arial" w:eastAsia="Arial" w:hAnsi="Arial"/>
          <w:sz w:val="18"/>
          <w:szCs w:val="18"/>
          <w:color w:val="auto"/>
        </w:rPr>
      </w:pPr>
    </w:p>
    <w:p>
      <w:pPr>
        <w:ind w:firstLine="464"/>
        <w:spacing w:after="0" w:line="259"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with respect to any Options, the option price per share shall not be less than 100% of the Fair Market Value of such Share on the Date of Grant,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86"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w:t>
      </w:r>
      <w:r>
        <w:rPr>
          <w:rFonts w:ascii="Arial" w:cs="Arial" w:eastAsia="Arial" w:hAnsi="Arial"/>
          <w:sz w:val="18"/>
          <w:szCs w:val="18"/>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Committee may, in its discretion, at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90" w:name="page191"/>
    <w:bookmarkEnd w:id="19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 that</w:t>
      </w:r>
      <w:r>
        <w:rPr>
          <w:rFonts w:ascii="Arial" w:cs="Arial" w:eastAsia="Arial" w:hAnsi="Arial"/>
          <w:sz w:val="17"/>
          <w:szCs w:val="17"/>
          <w:color w:val="auto"/>
        </w:rPr>
        <w:t xml:space="preserve"> (i) any such transfer is without consideration and (ii) each transferee is a Family Member with respect to the Optionee; and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79" w:lineRule="exact"/>
        <w:rPr>
          <w:sz w:val="20"/>
          <w:szCs w:val="20"/>
          <w:color w:val="auto"/>
        </w:rPr>
      </w:pPr>
    </w:p>
    <w:p>
      <w:pPr>
        <w:ind w:right="20" w:firstLine="464"/>
        <w:spacing w:after="0" w:line="264"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Payment Upon Exercise of Options</w:t>
      </w:r>
      <w:r>
        <w:rPr>
          <w:rFonts w:ascii="Arial" w:cs="Arial" w:eastAsia="Arial" w:hAnsi="Arial"/>
          <w:sz w:val="18"/>
          <w:szCs w:val="18"/>
          <w:color w:val="auto"/>
        </w:rPr>
        <w:t>. With respect to Options granted on and after February 28, 2007 (other than Options subject to the automatic exercise rules described in Paragraph 7(h)(ii)), full payment for Shares purchased upon the exercise of an Option shall be made pursuant to one or more of the following methods as determined by the Committee and set forth in the Option document:</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cash;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130" w:lineRule="exact"/>
        <w:rPr>
          <w:rFonts w:ascii="Arial" w:cs="Arial" w:eastAsia="Arial" w:hAnsi="Arial"/>
          <w:sz w:val="18"/>
          <w:szCs w:val="18"/>
          <w:color w:val="auto"/>
        </w:rPr>
      </w:pPr>
    </w:p>
    <w:p>
      <w:pPr>
        <w:ind w:left="1480" w:hanging="567"/>
        <w:spacing w:after="0" w:line="287"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1" w:name="page192"/>
    <w:bookmarkEnd w:id="191"/>
    <w:p>
      <w:pPr>
        <w:ind w:left="1480"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64" w:lineRule="exact"/>
        <w:rPr>
          <w:sz w:val="20"/>
          <w:szCs w:val="20"/>
          <w:color w:val="auto"/>
        </w:rPr>
      </w:pPr>
    </w:p>
    <w:p>
      <w:pPr>
        <w:ind w:left="1480" w:hanging="567"/>
        <w:spacing w:after="0" w:line="271" w:lineRule="auto"/>
        <w:tabs>
          <w:tab w:leader="none" w:pos="14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Via cashless exercise, such that subject to the other terms and conditions of the Plan, following the date of exercise, the Company shall deliver to the Optionee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79"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Except (x) as authorized by the Committee and agreed to by an Optionee, or (y) for Options subject to the automatic exercise rules described in Paragraph 7(h)(ii),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58" w:lineRule="exact"/>
        <w:rPr>
          <w:sz w:val="20"/>
          <w:szCs w:val="20"/>
          <w:color w:val="auto"/>
        </w:rPr>
      </w:pPr>
    </w:p>
    <w:p>
      <w:pPr>
        <w:ind w:right="120" w:firstLine="464"/>
        <w:spacing w:after="0" w:line="302" w:lineRule="auto"/>
        <w:tabs>
          <w:tab w:leader="none" w:pos="70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92" w:name="page193"/>
    <w:bookmarkEnd w:id="192"/>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81" w:lineRule="exact"/>
        <w:rPr>
          <w:sz w:val="20"/>
          <w:szCs w:val="20"/>
          <w:color w:val="auto"/>
        </w:rPr>
      </w:pPr>
    </w:p>
    <w:p>
      <w:pPr>
        <w:ind w:right="20" w:firstLine="464"/>
        <w:spacing w:after="0" w:line="288" w:lineRule="auto"/>
        <w:tabs>
          <w:tab w:leader="none" w:pos="68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 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spacing w:after="0" w:line="169" w:lineRule="exact"/>
        <w:rPr>
          <w:rFonts w:ascii="Arial" w:cs="Arial" w:eastAsia="Arial" w:hAnsi="Arial"/>
          <w:sz w:val="16"/>
          <w:szCs w:val="16"/>
          <w:color w:val="auto"/>
        </w:rPr>
      </w:pPr>
    </w:p>
    <w:p>
      <w:pPr>
        <w:ind w:firstLine="464"/>
        <w:spacing w:after="0" w:line="255"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Periods of Exercise of Options</w:t>
      </w:r>
      <w:r>
        <w:rPr>
          <w:rFonts w:ascii="Arial" w:cs="Arial" w:eastAsia="Arial" w:hAnsi="Arial"/>
          <w:sz w:val="18"/>
          <w:szCs w:val="18"/>
          <w:color w:val="auto"/>
        </w:rPr>
        <w:t>. An Option shall be exercisable in whole or in part at such time or times as may be determined by the Committee and stated in the option document, or as described in Paragraph 7(h)(ii),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98" w:lineRule="exact"/>
        <w:rPr>
          <w:rFonts w:ascii="Arial" w:cs="Arial" w:eastAsia="Arial" w:hAnsi="Arial"/>
          <w:sz w:val="18"/>
          <w:szCs w:val="18"/>
          <w:color w:val="auto"/>
        </w:rPr>
      </w:pPr>
    </w:p>
    <w:p>
      <w:pPr>
        <w:ind w:left="1480" w:right="80" w:hanging="567"/>
        <w:spacing w:after="0" w:line="255"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93" w:name="page194"/>
    <w:bookmarkEnd w:id="193"/>
    <w:p>
      <w:pPr>
        <w:ind w:left="1020"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event shall an Incentive Stock Option be exercisable after five years from the Date of Grant in the case of a grant to a Ten Percent Shareholder, nor shall any other Option be exercisable after ten years from the Date of Grant.</w:t>
      </w:r>
    </w:p>
    <w:p>
      <w:pPr>
        <w:spacing w:after="0" w:line="76" w:lineRule="exact"/>
        <w:rPr>
          <w:sz w:val="20"/>
          <w:szCs w:val="20"/>
          <w:color w:val="auto"/>
        </w:rPr>
      </w:pPr>
    </w:p>
    <w:p>
      <w:pPr>
        <w:ind w:left="1020" w:right="60" w:hanging="567"/>
        <w:spacing w:after="0" w:line="297" w:lineRule="auto"/>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63" w:lineRule="exact"/>
        <w:rPr>
          <w:rFonts w:ascii="Arial" w:cs="Arial" w:eastAsia="Arial" w:hAnsi="Arial"/>
          <w:sz w:val="16"/>
          <w:szCs w:val="16"/>
          <w:color w:val="auto"/>
        </w:rPr>
      </w:pPr>
    </w:p>
    <w:p>
      <w:pPr>
        <w:ind w:left="1020" w:right="80" w:hanging="567"/>
        <w:spacing w:after="0" w:line="302" w:lineRule="auto"/>
        <w:tabs>
          <w:tab w:leader="none" w:pos="10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54" w:lineRule="exact"/>
        <w:rPr>
          <w:rFonts w:ascii="Arial" w:cs="Arial" w:eastAsia="Arial" w:hAnsi="Arial"/>
          <w:sz w:val="16"/>
          <w:szCs w:val="16"/>
          <w:color w:val="auto"/>
        </w:rPr>
      </w:pPr>
    </w:p>
    <w:p>
      <w:pPr>
        <w:ind w:left="260" w:hanging="256"/>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0" w:hanging="567"/>
        <w:spacing w:after="0" w:line="291" w:lineRule="auto"/>
        <w:tabs>
          <w:tab w:leader="none" w:pos="1020"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94" w:name="page195"/>
    <w:bookmarkEnd w:id="194"/>
    <w:p>
      <w:pPr>
        <w:ind w:left="1460" w:hanging="567"/>
        <w:spacing w:after="0" w:line="259" w:lineRule="auto"/>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Automatic Exercise</w:t>
      </w:r>
      <w:r>
        <w:rPr>
          <w:rFonts w:ascii="Arial" w:cs="Arial" w:eastAsia="Arial" w:hAnsi="Arial"/>
          <w:sz w:val="18"/>
          <w:szCs w:val="18"/>
          <w:color w:val="auto"/>
        </w:rPr>
        <w:t>. The provisions of this Paragraph 7(h)(ii) shall apply to any Option that is unexercised, in whole or in part, on or after October 28, 2013. Immediately before the time at which any such Option is scheduled to expire in accordance with the terms and conditions of the Plan and the applicable option document, such Option shall be deemed automatically exercised, if such Option satisfies the following conditions:</w:t>
      </w:r>
    </w:p>
    <w:p>
      <w:pPr>
        <w:spacing w:after="0" w:line="92" w:lineRule="exact"/>
        <w:rPr>
          <w:rFonts w:ascii="Arial" w:cs="Arial" w:eastAsia="Arial" w:hAnsi="Arial"/>
          <w:sz w:val="18"/>
          <w:szCs w:val="18"/>
          <w:color w:val="auto"/>
        </w:rPr>
      </w:pPr>
    </w:p>
    <w:p>
      <w:pPr>
        <w:ind w:left="1900" w:hanging="440"/>
        <w:spacing w:after="0"/>
        <w:tabs>
          <w:tab w:leader="none" w:pos="19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Such Option is covered by a then current registration statement or a Notification under Regulation A under the 1933 Act.</w:t>
      </w:r>
    </w:p>
    <w:p>
      <w:pPr>
        <w:spacing w:after="0" w:line="142" w:lineRule="exact"/>
        <w:rPr>
          <w:rFonts w:ascii="Arial" w:cs="Arial" w:eastAsia="Arial" w:hAnsi="Arial"/>
          <w:sz w:val="17"/>
          <w:szCs w:val="17"/>
          <w:color w:val="auto"/>
        </w:rPr>
      </w:pPr>
    </w:p>
    <w:p>
      <w:pPr>
        <w:ind w:left="1900" w:right="100" w:hanging="440"/>
        <w:spacing w:after="0" w:line="312" w:lineRule="auto"/>
        <w:tabs>
          <w:tab w:leader="none" w:pos="1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39" w:lineRule="exact"/>
        <w:rPr>
          <w:sz w:val="20"/>
          <w:szCs w:val="20"/>
          <w:color w:val="auto"/>
        </w:rPr>
      </w:pPr>
    </w:p>
    <w:p>
      <w:pPr>
        <w:jc w:val="both"/>
        <w:ind w:left="1480" w:right="20"/>
        <w:spacing w:after="0" w:line="286" w:lineRule="auto"/>
        <w:rPr>
          <w:sz w:val="20"/>
          <w:szCs w:val="20"/>
          <w:color w:val="auto"/>
        </w:rPr>
      </w:pPr>
      <w:r>
        <w:rPr>
          <w:rFonts w:ascii="Arial" w:cs="Arial" w:eastAsia="Arial" w:hAnsi="Arial"/>
          <w:sz w:val="16"/>
          <w:szCs w:val="16"/>
          <w:color w:val="auto"/>
        </w:rPr>
        <w:t>An Option subject to this Paragraph 7(h)(ii) shall be exercised via cashless exercise, such that subject to the other terms and conditions of the Plan, following the date of exercise, the Company shall deliver to the Optionee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w:t>
      </w:r>
    </w:p>
    <w:p>
      <w:pPr>
        <w:spacing w:after="0" w:line="2" w:lineRule="exact"/>
        <w:rPr>
          <w:sz w:val="20"/>
          <w:szCs w:val="20"/>
          <w:color w:val="auto"/>
        </w:rPr>
      </w:pPr>
    </w:p>
    <w:p>
      <w:pPr>
        <w:ind w:left="1480" w:right="100" w:hanging="8"/>
        <w:spacing w:after="0" w:line="255" w:lineRule="auto"/>
        <w:tabs>
          <w:tab w:leader="none" w:pos="1735"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pay cash in lieu of any fractional Share.</w:t>
      </w:r>
    </w:p>
    <w:p>
      <w:pPr>
        <w:spacing w:after="0" w:line="190" w:lineRule="exact"/>
        <w:rPr>
          <w:rFonts w:ascii="Arial" w:cs="Arial" w:eastAsia="Arial" w:hAnsi="Arial"/>
          <w:sz w:val="18"/>
          <w:szCs w:val="18"/>
          <w:color w:val="auto"/>
        </w:rPr>
      </w:pPr>
    </w:p>
    <w:p>
      <w:pPr>
        <w:ind w:left="-20" w:right="40" w:firstLine="464"/>
        <w:spacing w:after="0" w:line="342" w:lineRule="auto"/>
        <w:tabs>
          <w:tab w:leader="none" w:pos="65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29" w:lineRule="exact"/>
        <w:rPr>
          <w:rFonts w:ascii="Arial" w:cs="Arial" w:eastAsia="Arial" w:hAnsi="Arial"/>
          <w:sz w:val="16"/>
          <w:szCs w:val="16"/>
          <w:color w:val="auto"/>
        </w:rPr>
      </w:pPr>
    </w:p>
    <w:p>
      <w:pPr>
        <w:ind w:left="1460" w:hanging="567"/>
        <w:spacing w:after="0"/>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30" w:lineRule="exact"/>
        <w:rPr>
          <w:rFonts w:ascii="Arial" w:cs="Arial" w:eastAsia="Arial" w:hAnsi="Arial"/>
          <w:sz w:val="18"/>
          <w:szCs w:val="18"/>
          <w:color w:val="auto"/>
        </w:rPr>
      </w:pPr>
    </w:p>
    <w:p>
      <w:pPr>
        <w:ind w:left="1460" w:right="120" w:hanging="567"/>
        <w:spacing w:after="0" w:line="277" w:lineRule="auto"/>
        <w:tabs>
          <w:tab w:leader="none" w:pos="14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195" w:name="page196"/>
    <w:bookmarkEnd w:id="195"/>
    <w:p>
      <w:pPr>
        <w:ind w:left="1480" w:hanging="567"/>
        <w:spacing w:after="0"/>
        <w:tabs>
          <w:tab w:leader="none" w:pos="1480" w:val="left"/>
        </w:tabs>
        <w:numPr>
          <w:ilvl w:val="1"/>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Cash Right shall be subject to the same restrictions on transferability as the Non-Qualified Option to which it is attached.</w:t>
      </w:r>
    </w:p>
    <w:p>
      <w:pPr>
        <w:spacing w:after="0" w:line="142" w:lineRule="exact"/>
        <w:rPr>
          <w:rFonts w:ascii="Arial" w:cs="Arial" w:eastAsia="Arial" w:hAnsi="Arial"/>
          <w:sz w:val="17"/>
          <w:szCs w:val="17"/>
          <w:color w:val="auto"/>
        </w:rPr>
      </w:pPr>
    </w:p>
    <w:p>
      <w:pPr>
        <w:ind w:left="1480" w:right="260" w:hanging="567"/>
        <w:spacing w:after="0" w:line="277" w:lineRule="auto"/>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392" w:lineRule="exact"/>
        <w:rPr>
          <w:rFonts w:ascii="Arial" w:cs="Arial" w:eastAsia="Arial" w:hAnsi="Arial"/>
          <w:sz w:val="16"/>
          <w:szCs w:val="16"/>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33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33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96" w:name="page197"/>
    <w:bookmarkEnd w:id="19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316"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121" w:lineRule="exact"/>
        <w:rPr>
          <w:rFonts w:ascii="Arial" w:cs="Arial" w:eastAsia="Arial" w:hAnsi="Arial"/>
          <w:sz w:val="18"/>
          <w:szCs w:val="18"/>
          <w:b w:val="1"/>
          <w:bCs w:val="1"/>
          <w:color w:val="auto"/>
        </w:rPr>
      </w:pPr>
    </w:p>
    <w:p>
      <w:pPr>
        <w:ind w:right="20" w:firstLine="464"/>
        <w:spacing w:after="0" w:line="293" w:lineRule="auto"/>
        <w:tabs>
          <w:tab w:leader="none" w:pos="701"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64" w:lineRule="exact"/>
        <w:rPr>
          <w:rFonts w:ascii="Arial" w:cs="Arial" w:eastAsia="Arial" w:hAnsi="Arial"/>
          <w:sz w:val="16"/>
          <w:szCs w:val="16"/>
          <w:color w:val="auto"/>
        </w:rPr>
      </w:pPr>
    </w:p>
    <w:p>
      <w:pPr>
        <w:ind w:right="200" w:firstLine="464"/>
        <w:spacing w:after="0" w:line="277" w:lineRule="auto"/>
        <w:tabs>
          <w:tab w:leader="none" w:pos="711"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315"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31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21" w:lineRule="exact"/>
        <w:rPr>
          <w:rFonts w:ascii="Arial" w:cs="Arial" w:eastAsia="Arial" w:hAnsi="Arial"/>
          <w:sz w:val="18"/>
          <w:szCs w:val="18"/>
          <w:b w:val="1"/>
          <w:bCs w:val="1"/>
          <w:color w:val="auto"/>
        </w:rPr>
      </w:pPr>
    </w:p>
    <w:p>
      <w:pPr>
        <w:ind w:right="80" w:firstLine="464"/>
        <w:spacing w:after="0" w:line="302" w:lineRule="auto"/>
        <w:tabs>
          <w:tab w:leader="none" w:pos="701"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97" w:name="page198"/>
    <w:bookmarkEnd w:id="197"/>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81" w:lineRule="exact"/>
        <w:rPr>
          <w:sz w:val="20"/>
          <w:szCs w:val="20"/>
          <w:color w:val="auto"/>
        </w:rPr>
      </w:pPr>
    </w:p>
    <w:p>
      <w:pPr>
        <w:ind w:firstLine="464"/>
        <w:spacing w:after="0" w:line="259" w:lineRule="auto"/>
        <w:tabs>
          <w:tab w:leader="none" w:pos="711"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331"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121" w:lineRule="exact"/>
        <w:rPr>
          <w:rFonts w:ascii="Arial" w:cs="Arial" w:eastAsia="Arial" w:hAnsi="Arial"/>
          <w:sz w:val="18"/>
          <w:szCs w:val="18"/>
          <w:b w:val="1"/>
          <w:bCs w:val="1"/>
          <w:color w:val="auto"/>
        </w:rPr>
      </w:pPr>
    </w:p>
    <w:p>
      <w:pPr>
        <w:ind w:right="100" w:firstLine="464"/>
        <w:spacing w:after="0" w:line="264" w:lineRule="auto"/>
        <w:tabs>
          <w:tab w:leader="none" w:pos="701"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1" w:lineRule="exact"/>
        <w:rPr>
          <w:rFonts w:ascii="Arial" w:cs="Arial" w:eastAsia="Arial" w:hAnsi="Arial"/>
          <w:sz w:val="18"/>
          <w:szCs w:val="18"/>
          <w:color w:val="auto"/>
        </w:rPr>
      </w:pPr>
    </w:p>
    <w:p>
      <w:pPr>
        <w:jc w:val="both"/>
        <w:ind w:right="120" w:firstLine="464"/>
        <w:spacing w:after="0" w:line="264" w:lineRule="auto"/>
        <w:tabs>
          <w:tab w:leader="none" w:pos="711"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86" w:lineRule="exact"/>
        <w:rPr>
          <w:rFonts w:ascii="Arial" w:cs="Arial" w:eastAsia="Arial" w:hAnsi="Arial"/>
          <w:sz w:val="18"/>
          <w:szCs w:val="18"/>
          <w:color w:val="auto"/>
        </w:rPr>
      </w:pPr>
    </w:p>
    <w:p>
      <w:pPr>
        <w:ind w:left="1480" w:right="180" w:hanging="567"/>
        <w:spacing w:after="0" w:line="342" w:lineRule="auto"/>
        <w:tabs>
          <w:tab w:leader="none" w:pos="1480"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29" w:lineRule="exact"/>
        <w:rPr>
          <w:rFonts w:ascii="Arial" w:cs="Arial" w:eastAsia="Arial" w:hAnsi="Arial"/>
          <w:sz w:val="16"/>
          <w:szCs w:val="16"/>
          <w:color w:val="auto"/>
        </w:rPr>
      </w:pPr>
    </w:p>
    <w:p>
      <w:pPr>
        <w:ind w:left="1480" w:right="20" w:hanging="567"/>
        <w:spacing w:after="0" w:line="259" w:lineRule="auto"/>
        <w:tabs>
          <w:tab w:leader="none" w:pos="14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86"/>
        </w:numPr>
        <w:rPr>
          <w:rFonts w:ascii="Arial" w:cs="Arial" w:eastAsia="Arial" w:hAnsi="Arial"/>
          <w:sz w:val="17"/>
          <w:szCs w:val="17"/>
          <w:color w:val="auto"/>
        </w:rPr>
      </w:pPr>
      <w:r>
        <w:rPr>
          <w:rFonts w:ascii="Arial" w:cs="Arial" w:eastAsia="Arial" w:hAnsi="Arial"/>
          <w:sz w:val="17"/>
          <w:szCs w:val="17"/>
          <w:color w:val="auto"/>
        </w:rPr>
        <w:t>the Shares subject to the Option may not be transferred without compliance with all applicable federal and state securities laws.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98" w:name="page199"/>
    <w:bookmarkEnd w:id="198"/>
    <w:p>
      <w:pPr>
        <w:ind w:left="-8" w:right="40" w:firstLine="464"/>
        <w:spacing w:after="0" w:line="257" w:lineRule="auto"/>
        <w:tabs>
          <w:tab w:leader="none" w:pos="693"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332" w:lineRule="exact"/>
        <w:rPr>
          <w:rFonts w:ascii="Arial" w:cs="Arial" w:eastAsia="Arial" w:hAnsi="Arial"/>
          <w:sz w:val="18"/>
          <w:szCs w:val="18"/>
          <w:color w:val="auto"/>
        </w:rPr>
      </w:pPr>
    </w:p>
    <w:p>
      <w:pPr>
        <w:ind w:left="452" w:hanging="452"/>
        <w:spacing w:after="0"/>
        <w:tabs>
          <w:tab w:leader="none" w:pos="4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121" w:lineRule="exact"/>
        <w:rPr>
          <w:rFonts w:ascii="Arial" w:cs="Arial" w:eastAsia="Arial" w:hAnsi="Arial"/>
          <w:sz w:val="18"/>
          <w:szCs w:val="18"/>
          <w:b w:val="1"/>
          <w:bCs w:val="1"/>
          <w:color w:val="auto"/>
        </w:rPr>
      </w:pPr>
    </w:p>
    <w:p>
      <w:pPr>
        <w:ind w:left="-8" w:right="20" w:firstLine="464"/>
        <w:spacing w:after="0" w:line="254" w:lineRule="auto"/>
        <w:tabs>
          <w:tab w:leader="none" w:pos="6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92" w:lineRule="exact"/>
        <w:rPr>
          <w:rFonts w:ascii="Arial" w:cs="Arial" w:eastAsia="Arial" w:hAnsi="Arial"/>
          <w:sz w:val="18"/>
          <w:szCs w:val="18"/>
          <w:color w:val="auto"/>
        </w:rPr>
      </w:pPr>
    </w:p>
    <w:p>
      <w:pPr>
        <w:ind w:left="-8" w:firstLine="464"/>
        <w:spacing w:after="0" w:line="269" w:lineRule="auto"/>
        <w:tabs>
          <w:tab w:leader="none" w:pos="703" w:val="left"/>
        </w:tabs>
        <w:numPr>
          <w:ilvl w:val="1"/>
          <w:numId w:val="88"/>
        </w:numPr>
        <w:rPr>
          <w:rFonts w:ascii="Arial" w:cs="Arial" w:eastAsia="Arial" w:hAnsi="Arial"/>
          <w:sz w:val="17"/>
          <w:szCs w:val="17"/>
          <w:color w:val="auto"/>
        </w:rPr>
      </w:pPr>
      <w:r>
        <w:rPr>
          <w:rFonts w:ascii="Arial" w:cs="Arial" w:eastAsia="Arial" w:hAnsi="Arial"/>
          <w:sz w:val="17"/>
          <w:szCs w:val="17"/>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except with respect to Options subject to the automatic exercise provisions described in Paragraph 7(h)(ii),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199" w:name="page200"/>
    <w:bookmarkEnd w:id="199"/>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65" w:lineRule="exact"/>
        <w:rPr>
          <w:sz w:val="20"/>
          <w:szCs w:val="20"/>
          <w:color w:val="auto"/>
        </w:rPr>
      </w:pPr>
    </w:p>
    <w:p>
      <w:pPr>
        <w:ind w:right="60" w:firstLine="464"/>
        <w:spacing w:after="0" w:line="268" w:lineRule="auto"/>
        <w:tabs>
          <w:tab w:leader="none" w:pos="701" w:val="left"/>
        </w:tabs>
        <w:numPr>
          <w:ilvl w:val="1"/>
          <w:numId w:val="89"/>
        </w:numPr>
        <w:rPr>
          <w:rFonts w:ascii="Arial" w:cs="Arial" w:eastAsia="Arial" w:hAnsi="Arial"/>
          <w:sz w:val="17"/>
          <w:szCs w:val="17"/>
          <w:color w:val="auto"/>
        </w:rPr>
      </w:pPr>
      <w:r>
        <w:rPr>
          <w:rFonts w:ascii="Arial" w:cs="Arial" w:eastAsia="Arial" w:hAnsi="Arial"/>
          <w:sz w:val="17"/>
          <w:szCs w:val="17"/>
          <w:color w:val="auto"/>
        </w:rPr>
        <w:t>Except as otherwise provided in this Paragraph 15(c), any tax liabilities incurred in connection with the exercise of an Incentive Stock Option under the Plan (other than an Incentive Stock Option that is subject to the automatic exercise provisions described in Paragraph 7(h)(ii)),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tax liabilities incurred in connection with the automatic exercise of an Incentive Stock Option that is subject to the automatic exercise provisions described in Paragraph 7(h)(ii) shall be satisfied by the Sponsor’s withholding of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327" w:lineRule="exact"/>
        <w:rPr>
          <w:rFonts w:ascii="Arial" w:cs="Arial" w:eastAsia="Arial" w:hAnsi="Arial"/>
          <w:sz w:val="17"/>
          <w:szCs w:val="17"/>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This amendment and restatement of the Plan shall be effective October 22, 2013, except as otherwise specifically provided herein. The Plan shall expire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May 11, 2021, unless sooner terminated by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0" w:name="page201"/>
    <w:bookmarkEnd w:id="200"/>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Executed as of the 22nd day of October,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14605</wp:posOffset>
            </wp:positionV>
            <wp:extent cx="24269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270" w:right="4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Amendment and Restatement of the Plan</w:t>
      </w:r>
      <w:r>
        <w:rPr>
          <w:rFonts w:ascii="Arial" w:cs="Arial" w:eastAsia="Arial" w:hAnsi="Arial"/>
          <w:sz w:val="17"/>
          <w:szCs w:val="17"/>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78"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Prior Plan</w:t>
      </w:r>
      <w:r>
        <w:rPr>
          <w:rFonts w:ascii="Arial" w:cs="Arial" w:eastAsia="Arial" w:hAnsi="Arial"/>
          <w:sz w:val="18"/>
          <w:szCs w:val="18"/>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8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Plan Unfunded and Limited to Outside Directors, Directors Emeriti and Select Group of Management or Highly Compensated Employees</w:t>
      </w:r>
      <w:r>
        <w:rPr>
          <w:rFonts w:ascii="Arial" w:cs="Arial" w:eastAsia="Arial" w:hAnsi="Arial"/>
          <w:sz w:val="18"/>
          <w:szCs w:val="18"/>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References to Written Forms, Elections and Notices</w:t>
      </w:r>
      <w:r>
        <w:rPr>
          <w:rFonts w:ascii="Arial" w:cs="Arial" w:eastAsia="Arial" w:hAnsi="Arial"/>
          <w:sz w:val="18"/>
          <w:szCs w:val="18"/>
          <w:color w:val="auto"/>
        </w:rPr>
        <w:t>. Any action under the Plan that requires a written form, election, notice or other action shall be treated as completed if taken via electronic or other means, to the extent authorized by the Administrator.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ectPr>
          <w:pgSz w:w="11900" w:h="16838" w:orient="portrait"/>
          <w:cols w:equalWidth="0" w:num="1">
            <w:col w:w="11420"/>
          </w:cols>
          <w:pgMar w:left="240" w:top="121" w:right="239" w:bottom="1440" w:gutter="0" w:footer="0" w:header="0"/>
        </w:sectPr>
      </w:pPr>
    </w:p>
    <w:bookmarkStart w:id="202" w:name="page203"/>
    <w:bookmarkEnd w:id="2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or a Director Emeritus; and</w:t>
      </w:r>
    </w:p>
    <w:p>
      <w:pPr>
        <w:spacing w:after="0" w:line="225" w:lineRule="exact"/>
        <w:rPr>
          <w:rFonts w:ascii="Arial" w:cs="Arial" w:eastAsia="Arial" w:hAnsi="Arial"/>
          <w:sz w:val="18"/>
          <w:szCs w:val="18"/>
          <w:color w:val="auto"/>
        </w:rPr>
      </w:pPr>
    </w:p>
    <w:p>
      <w:pPr>
        <w:ind w:left="460" w:right="3200" w:firstLine="461"/>
        <w:spacing w:after="0" w:line="501" w:lineRule="auto"/>
        <w:tabs>
          <w:tab w:leader="none" w:pos="1171"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 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 or its delegate.</w:t>
      </w:r>
    </w:p>
    <w:p>
      <w:pPr>
        <w:ind w:right="40" w:firstLine="456"/>
        <w:spacing w:after="0" w:line="259"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Annual Rate of Pay</w:t>
      </w:r>
      <w:r>
        <w:rPr>
          <w:rFonts w:ascii="Arial" w:cs="Arial" w:eastAsia="Arial" w:hAnsi="Arial"/>
          <w:sz w:val="16"/>
          <w:szCs w:val="16"/>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492"/>
        <w:spacing w:after="0" w:line="264" w:lineRule="auto"/>
        <w:tabs>
          <w:tab w:leader="none" w:pos="1698"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Protected Account Balances</w:t>
      </w:r>
      <w:r>
        <w:rPr>
          <w:rFonts w:ascii="Arial" w:cs="Arial" w:eastAsia="Arial" w:hAnsi="Arial"/>
          <w:sz w:val="18"/>
          <w:szCs w:val="18"/>
          <w:color w:val="auto"/>
        </w:rPr>
        <w:t>. Except as otherwise provided in Sections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81" w:lineRule="exact"/>
        <w:rPr>
          <w:rFonts w:ascii="Arial" w:cs="Arial" w:eastAsia="Arial" w:hAnsi="Arial"/>
          <w:sz w:val="18"/>
          <w:szCs w:val="18"/>
          <w:color w:val="auto"/>
        </w:rPr>
      </w:pPr>
    </w:p>
    <w:p>
      <w:pPr>
        <w:ind w:right="20" w:firstLine="1492"/>
        <w:spacing w:after="0" w:line="277" w:lineRule="auto"/>
        <w:tabs>
          <w:tab w:leader="none" w:pos="1748"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Contributions Credited on and after January 1, 2014 (on and after January 1, 2013 for Eligible NBCUniversal Employees)</w:t>
      </w:r>
      <w:r>
        <w:rPr>
          <w:rFonts w:ascii="Arial" w:cs="Arial" w:eastAsia="Arial" w:hAnsi="Arial"/>
          <w:sz w:val="18"/>
          <w:szCs w:val="18"/>
          <w:color w:val="auto"/>
        </w:rPr>
        <w:t>. Except as otherwise provided in Sections 2.6(b):</w:t>
      </w:r>
    </w:p>
    <w:p>
      <w:pPr>
        <w:spacing w:after="0" w:line="170" w:lineRule="exact"/>
        <w:rPr>
          <w:rFonts w:ascii="Arial" w:cs="Arial" w:eastAsia="Arial" w:hAnsi="Arial"/>
          <w:sz w:val="18"/>
          <w:szCs w:val="18"/>
          <w:color w:val="auto"/>
        </w:rPr>
      </w:pPr>
    </w:p>
    <w:p>
      <w:pPr>
        <w:ind w:firstLine="2404"/>
        <w:spacing w:after="0" w:line="257" w:lineRule="auto"/>
        <w:tabs>
          <w:tab w:leader="none" w:pos="2691" w:val="left"/>
        </w:tabs>
        <w:numPr>
          <w:ilvl w:val="2"/>
          <w:numId w:val="93"/>
        </w:numPr>
        <w:rPr>
          <w:rFonts w:ascii="Arial" w:cs="Arial" w:eastAsia="Arial" w:hAnsi="Arial"/>
          <w:sz w:val="18"/>
          <w:szCs w:val="18"/>
          <w:color w:val="auto"/>
        </w:rPr>
      </w:pPr>
      <w:r>
        <w:rPr>
          <w:rFonts w:ascii="Arial" w:cs="Arial" w:eastAsia="Arial" w:hAnsi="Arial"/>
          <w:sz w:val="18"/>
          <w:szCs w:val="18"/>
          <w:color w:val="auto"/>
        </w:rPr>
        <w:t>For amounts (other than Protected Account Balances) credited to Accounts of Eligible Comcast Employees, Outside Directors and Directors Emeriti with respect to Compensation earned on and after January 1, 2014 or pursuant to Section 3.8, and for amounts credited pursuant to Subsequent Elections filed on and after January 1, 2014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03" w:name="page204"/>
    <w:bookmarkEnd w:id="203"/>
    <w:p>
      <w:pPr>
        <w:ind w:firstLine="2404"/>
        <w:spacing w:after="0" w:line="302" w:lineRule="auto"/>
        <w:tabs>
          <w:tab w:leader="none" w:pos="2681" w:val="left"/>
        </w:tabs>
        <w:numPr>
          <w:ilvl w:val="1"/>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amounts credited to Accounts of Eligible NBCUniversal Employees on and after January 1, 2013 and for amounts credited pursuant to Subsequent Elections filed after December 31, 2012 that are attributable to amounts credited to Accounts pursuant to Initial Elections filed with respect to Compensation earned after December 31, 2012, the term “Applicable Interest Rate,” means the interest rate that, when compounded daily pursuant to rules established by the Administrator from time to time, is mathematically equivalent to 9% (0.09) per annum, compounded annually.</w:t>
      </w:r>
    </w:p>
    <w:p>
      <w:pPr>
        <w:spacing w:after="0" w:line="154" w:lineRule="exact"/>
        <w:rPr>
          <w:rFonts w:ascii="Arial" w:cs="Arial" w:eastAsia="Arial" w:hAnsi="Arial"/>
          <w:sz w:val="16"/>
          <w:szCs w:val="16"/>
          <w:color w:val="auto"/>
        </w:rPr>
      </w:pPr>
    </w:p>
    <w:p>
      <w:pPr>
        <w:ind w:right="20" w:firstLine="1492"/>
        <w:spacing w:after="0" w:line="272" w:lineRule="auto"/>
        <w:tabs>
          <w:tab w:leader="none" w:pos="17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Beneficiary</w:t>
      </w:r>
      <w:r>
        <w:rPr>
          <w:rFonts w:ascii="Arial" w:cs="Arial" w:eastAsia="Arial" w:hAnsi="Arial"/>
          <w:sz w:val="18"/>
          <w:szCs w:val="18"/>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Company Stock</w:t>
      </w:r>
      <w:r>
        <w:rPr>
          <w:rFonts w:ascii="Arial" w:cs="Arial" w:eastAsia="Arial" w:hAnsi="Arial"/>
          <w:sz w:val="18"/>
          <w:szCs w:val="18"/>
          <w:color w:val="auto"/>
        </w:rPr>
        <w:t>” means with respect to amounts credited to the Company Stock Fund pursuant to deferral elections by Outside Directors or Directors Emeriti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04" w:name="page205"/>
    <w:bookmarkEnd w:id="20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 provided that dividends and other distributions paid with respect to Company Stock after December 31, 2007 shall be deemed to be reinvested in additional hypothetical shares of Company Stock as of the payment date for such dividends and other distributions, based on the Fair Market Value of Company Stock as of such payment date, and provided further that dividends and other distributions paid with respect to Company Stock after May 30, 2012 shall be credited to the Income Fund.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225" w:lineRule="exact"/>
        <w:rPr>
          <w:sz w:val="20"/>
          <w:szCs w:val="20"/>
          <w:color w:val="auto"/>
        </w:rPr>
      </w:pPr>
    </w:p>
    <w:p>
      <w:pPr>
        <w:ind w:right="300" w:firstLine="921"/>
        <w:spacing w:after="0" w:line="286" w:lineRule="auto"/>
        <w:tabs>
          <w:tab w:leader="none" w:pos="1158"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65" w:lineRule="exact"/>
        <w:rPr>
          <w:rFonts w:ascii="Arial" w:cs="Arial" w:eastAsia="Arial" w:hAnsi="Arial"/>
          <w:sz w:val="17"/>
          <w:szCs w:val="17"/>
          <w:color w:val="auto"/>
        </w:rPr>
      </w:pPr>
    </w:p>
    <w:p>
      <w:pPr>
        <w:ind w:right="160" w:firstLine="921"/>
        <w:spacing w:after="0" w:line="259"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(i) Severance Pay, (ii) sales commissions or other similar payments or awards other than cash bonus arrangements described in Section 2.15(c), (iii) bonuses earned under any program designated by the Company’s Programming Division as a “long-term incentive plan” and (iv) cash bonuses earned under any long-term incentive plan for employees of NBCUniversal.</w:t>
      </w:r>
    </w:p>
    <w:p>
      <w:pPr>
        <w:spacing w:after="0" w:line="186" w:lineRule="exact"/>
        <w:rPr>
          <w:rFonts w:ascii="Arial" w:cs="Arial" w:eastAsia="Arial" w:hAnsi="Arial"/>
          <w:sz w:val="18"/>
          <w:szCs w:val="18"/>
          <w:color w:val="auto"/>
        </w:rPr>
      </w:pPr>
    </w:p>
    <w:p>
      <w:pPr>
        <w:ind w:right="60" w:firstLine="921"/>
        <w:spacing w:after="0" w:line="257" w:lineRule="auto"/>
        <w:tabs>
          <w:tab w:leader="none" w:pos="11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2.16. “</w:t>
      </w:r>
      <w:r>
        <w:rPr>
          <w:rFonts w:ascii="Arial" w:cs="Arial" w:eastAsia="Arial" w:hAnsi="Arial"/>
          <w:sz w:val="18"/>
          <w:szCs w:val="18"/>
          <w:u w:val="single" w:color="auto"/>
          <w:color w:val="auto"/>
        </w:rPr>
        <w:t>Contribution Limit</w:t>
      </w:r>
      <w:r>
        <w:rPr>
          <w:rFonts w:ascii="Arial" w:cs="Arial" w:eastAsia="Arial" w:hAnsi="Arial"/>
          <w:sz w:val="18"/>
          <w:szCs w:val="18"/>
          <w:color w:val="auto"/>
        </w:rPr>
        <w:t>” means the product of (a) seven (7) times (b) Total Compensation.</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54"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or Director Emeritus, a Participant whose service as an Outside Director or Director Emeritus, is terminated by death.</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25" w:lineRule="exact"/>
        <w:rPr>
          <w:sz w:val="20"/>
          <w:szCs w:val="20"/>
          <w:color w:val="auto"/>
        </w:rPr>
      </w:pPr>
    </w:p>
    <w:p>
      <w:pPr>
        <w:ind w:right="120" w:firstLine="921"/>
        <w:spacing w:after="0" w:line="277" w:lineRule="auto"/>
        <w:tabs>
          <w:tab w:leader="none" w:pos="11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70"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225" w:lineRule="exact"/>
        <w:rPr>
          <w:sz w:val="20"/>
          <w:szCs w:val="20"/>
          <w:color w:val="auto"/>
        </w:rPr>
      </w:pPr>
    </w:p>
    <w:p>
      <w:pPr>
        <w:ind w:right="80" w:firstLine="921"/>
        <w:spacing w:after="0" w:line="277" w:lineRule="auto"/>
        <w:tabs>
          <w:tab w:leader="none" w:pos="11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2.22(a) acting on behalf of such individual.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06" w:name="page207"/>
    <w:bookmarkEnd w:id="2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means any judgment, decree or order (including approval of a property settlement agreement) which:</w:t>
      </w:r>
    </w:p>
    <w:p>
      <w:pPr>
        <w:spacing w:after="0" w:line="225" w:lineRule="exact"/>
        <w:rPr>
          <w:sz w:val="20"/>
          <w:szCs w:val="20"/>
          <w:color w:val="auto"/>
        </w:rPr>
      </w:pPr>
    </w:p>
    <w:p>
      <w:pPr>
        <w:ind w:left="1160" w:hanging="239"/>
        <w:spacing w:after="0"/>
        <w:tabs>
          <w:tab w:leader="none" w:pos="11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Relates to the provision of child support, alimony payments or marital property rights to a spouse or former spouse of a Participant; and</w:t>
      </w:r>
    </w:p>
    <w:p>
      <w:pPr>
        <w:spacing w:after="0" w:line="236" w:lineRule="exact"/>
        <w:rPr>
          <w:rFonts w:ascii="Arial" w:cs="Arial" w:eastAsia="Arial" w:hAnsi="Arial"/>
          <w:sz w:val="17"/>
          <w:szCs w:val="17"/>
          <w:color w:val="auto"/>
        </w:rPr>
      </w:pPr>
    </w:p>
    <w:p>
      <w:pPr>
        <w:ind w:left="1180" w:hanging="259"/>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 made pursuant to a State domestic relations law (including a community property law).</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Eligible Comcast Employee</w:t>
      </w:r>
      <w:r>
        <w:rPr>
          <w:rFonts w:ascii="Arial" w:cs="Arial" w:eastAsia="Arial" w:hAnsi="Arial"/>
          <w:sz w:val="18"/>
          <w:szCs w:val="18"/>
          <w:color w:val="auto"/>
        </w:rPr>
        <w:t>” means an employee of a Participating Company described in Section 2.24(a) through 2.24(e) below,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187" w:lineRule="exact"/>
        <w:rPr>
          <w:sz w:val="20"/>
          <w:szCs w:val="20"/>
          <w:color w:val="auto"/>
        </w:rPr>
      </w:pPr>
    </w:p>
    <w:p>
      <w:pPr>
        <w:ind w:right="40" w:firstLine="921"/>
        <w:spacing w:after="0" w:line="277" w:lineRule="auto"/>
        <w:tabs>
          <w:tab w:leader="none" w:pos="11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70"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2013 Plan Year, (i) each employee of a Participating Company other than NBCUniversal and (ii) each employee of NBCUniversal described in Section 2.24(a), provided that in each case, such employee has an Annual Rate of Pay of $200,000 or more as of both (iii) the date on which an Initial Election is filed with the Administrator for the 2013 Plan Year and (iv) January 1, 2013.</w:t>
      </w:r>
    </w:p>
    <w:p>
      <w:pPr>
        <w:spacing w:after="0" w:line="181" w:lineRule="exact"/>
        <w:rPr>
          <w:rFonts w:ascii="Arial" w:cs="Arial" w:eastAsia="Arial" w:hAnsi="Arial"/>
          <w:sz w:val="18"/>
          <w:szCs w:val="18"/>
          <w:color w:val="auto"/>
        </w:rPr>
      </w:pPr>
    </w:p>
    <w:p>
      <w:pPr>
        <w:ind w:right="20" w:firstLine="921"/>
        <w:spacing w:after="0" w:line="279" w:lineRule="auto"/>
        <w:tabs>
          <w:tab w:leader="none" w:pos="115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For Plan Years beginning on and after January 1, 2014, (i) each employee of a Participating Company other than NBCUniversal and (ii) each employee of NBCUniversal described in Section 2.24(a) whose Compensation was administered under NBCUniversal’s common payroll system as of December 31, 2013, provided that in each case, such employee has an Annual Rate of Pay of $250,000 or more as of both (iii) the date on which an Initial Election is filed with the Administrator and (iv) the first day of the calendar year in which such Initial Election is filed.</w:t>
      </w:r>
    </w:p>
    <w:p>
      <w:pPr>
        <w:spacing w:after="0" w:line="171" w:lineRule="exact"/>
        <w:rPr>
          <w:rFonts w:ascii="Arial" w:cs="Arial" w:eastAsia="Arial" w:hAnsi="Arial"/>
          <w:sz w:val="17"/>
          <w:szCs w:val="17"/>
          <w:color w:val="auto"/>
        </w:rPr>
      </w:pPr>
    </w:p>
    <w:p>
      <w:pPr>
        <w:ind w:left="1180" w:hanging="259"/>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Grandfathered Employee who is an employee of a Participating Company other than NBCUniversal.</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New Key Employee who is an employee of a Participating Company other than NBCUniversal.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Eligible Comcast Employee;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Eligible NBCU Employee; and</w:t>
      </w:r>
    </w:p>
    <w:p>
      <w:pPr>
        <w:spacing w:after="0" w:line="225" w:lineRule="exact"/>
        <w:rPr>
          <w:rFonts w:ascii="Arial" w:cs="Arial" w:eastAsia="Arial" w:hAnsi="Arial"/>
          <w:sz w:val="18"/>
          <w:szCs w:val="18"/>
          <w:color w:val="auto"/>
        </w:rPr>
      </w:pPr>
    </w:p>
    <w:p>
      <w:pPr>
        <w:jc w:val="center"/>
        <w:ind w:left="5600" w:right="660" w:hanging="4679"/>
        <w:spacing w:after="0" w:line="449" w:lineRule="auto"/>
        <w:tabs>
          <w:tab w:leader="none" w:pos="115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Administrator, in its discretion, as an Eligible Employee. -6-</w:t>
      </w:r>
    </w:p>
    <w:p>
      <w:pPr>
        <w:sectPr>
          <w:pgSz w:w="11900" w:h="16838" w:orient="portrait"/>
          <w:cols w:equalWidth="0" w:num="1">
            <w:col w:w="11340"/>
          </w:cols>
          <w:pgMar w:left="240" w:top="274" w:right="319" w:bottom="1440" w:gutter="0" w:footer="0" w:header="0"/>
        </w:sectPr>
      </w:pPr>
    </w:p>
    <w:bookmarkStart w:id="207" w:name="page208"/>
    <w:bookmarkEnd w:id="207"/>
    <w:p>
      <w:pPr>
        <w:ind w:right="14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2.26. “</w:t>
      </w:r>
      <w:r>
        <w:rPr>
          <w:rFonts w:ascii="Arial" w:cs="Arial" w:eastAsia="Arial" w:hAnsi="Arial"/>
          <w:sz w:val="16"/>
          <w:szCs w:val="16"/>
          <w:u w:val="single" w:color="auto"/>
          <w:color w:val="auto"/>
        </w:rPr>
        <w:t>Eligible NBCU Employee</w:t>
      </w:r>
      <w:r>
        <w:rPr>
          <w:rFonts w:ascii="Arial" w:cs="Arial" w:eastAsia="Arial" w:hAnsi="Arial"/>
          <w:sz w:val="16"/>
          <w:szCs w:val="16"/>
          <w:color w:val="auto"/>
        </w:rPr>
        <w:t>” means an employee of NBCUniversal described in Section 2.26(a) through 2.26(e) below, provided that, in each case, except as otherwise designated by the Administrator, such individual’s Compensation is administered under NBCUniversal’s common payroll system.</w:t>
      </w:r>
    </w:p>
    <w:p>
      <w:pPr>
        <w:spacing w:after="0" w:line="124" w:lineRule="exact"/>
        <w:rPr>
          <w:sz w:val="20"/>
          <w:szCs w:val="20"/>
          <w:color w:val="auto"/>
        </w:rPr>
      </w:pPr>
    </w:p>
    <w:p>
      <w:pPr>
        <w:ind w:right="240" w:firstLine="921"/>
        <w:spacing w:after="0" w:line="277" w:lineRule="auto"/>
        <w:tabs>
          <w:tab w:leader="none" w:pos="11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employee of NBCUniversal who has been designated as a member of NBCUniversal’s Operating Committee by the Chief Executive Officer of NBCUniversal and approved by the Administrator, other than an employee who is described in Section 2.24.</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2.24, who, for the 2013 Plan Year:</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Transferred employment directly from the Company to NBCUniversal in 2011 or 2012;</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Was an Eligible Employee under the rules of the Plan as in effect immediately before transferring employment from the Company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NBCUniversal;</w:t>
      </w:r>
    </w:p>
    <w:p>
      <w:pPr>
        <w:spacing w:after="0" w:line="210" w:lineRule="exact"/>
        <w:rPr>
          <w:rFonts w:ascii="Arial" w:cs="Arial" w:eastAsia="Arial" w:hAnsi="Arial"/>
          <w:sz w:val="16"/>
          <w:szCs w:val="16"/>
          <w:color w:val="auto"/>
        </w:rPr>
      </w:pPr>
    </w:p>
    <w:p>
      <w:pPr>
        <w:ind w:right="360" w:firstLine="1492"/>
        <w:spacing w:after="0" w:line="277" w:lineRule="auto"/>
        <w:tabs>
          <w:tab w:leader="none" w:pos="17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Elected to waive the opportunity to continue to be an Eligible Employee following the transfer of employment directly from the Company to NBCUniversal;</w:t>
      </w:r>
    </w:p>
    <w:p>
      <w:pPr>
        <w:spacing w:after="0" w:line="170" w:lineRule="exact"/>
        <w:rPr>
          <w:rFonts w:ascii="Arial" w:cs="Arial" w:eastAsia="Arial" w:hAnsi="Arial"/>
          <w:sz w:val="18"/>
          <w:szCs w:val="18"/>
          <w:color w:val="auto"/>
        </w:rPr>
      </w:pPr>
    </w:p>
    <w:p>
      <w:pPr>
        <w:ind w:right="180" w:firstLine="1492"/>
        <w:spacing w:after="0" w:line="277" w:lineRule="auto"/>
        <w:tabs>
          <w:tab w:leader="none" w:pos="173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Has an Annual Rate of Pay of $200,000 or more as of both (iii) the date on which an Initial Election is filed with the Administrator for the 2013 Plan Year and (iv) January 1, 2013; and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employee of NBCUniversal, other than an employee who is described in Section 2.24, who, for the 2013 Plan Year:</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Is not a member of NBCUniversal’s Operating Committee;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Has been a participant in the NBCUniversal Supplementary Pension Plan for the period extending from January 29, 2011 through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2012;</w:t>
      </w:r>
    </w:p>
    <w:p>
      <w:pPr>
        <w:spacing w:after="0" w:line="210" w:lineRule="exact"/>
        <w:rPr>
          <w:rFonts w:ascii="Arial" w:cs="Arial" w:eastAsia="Arial" w:hAnsi="Arial"/>
          <w:sz w:val="16"/>
          <w:szCs w:val="16"/>
          <w:color w:val="auto"/>
        </w:rPr>
      </w:pPr>
    </w:p>
    <w:p>
      <w:pPr>
        <w:ind w:right="160" w:firstLine="1492"/>
        <w:spacing w:after="0" w:line="277" w:lineRule="auto"/>
        <w:tabs>
          <w:tab w:leader="none" w:pos="17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Has an Annual Rate of Pay is $200,000 or more as of both (iii) the date on which an Initial Election is filed with the Administrator for the 2013 Plan Year and (iv) January 1, 2013; and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Files an Initial Election with the Administrator for the 2013 Plan Year.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208" w:name="page209"/>
    <w:bookmarkEnd w:id="208"/>
    <w:p>
      <w:pPr>
        <w:ind w:left="1180" w:hanging="259"/>
        <w:spacing w:after="0"/>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Grandfathered Employee who is an employee of NBCUniversal.</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New Key Employee who is an employee of NBCUniversal,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225" w:lineRule="exact"/>
        <w:rPr>
          <w:sz w:val="20"/>
          <w:szCs w:val="20"/>
          <w:color w:val="auto"/>
        </w:rPr>
      </w:pPr>
    </w:p>
    <w:p>
      <w:pPr>
        <w:ind w:right="200" w:firstLine="921"/>
        <w:spacing w:after="0" w:line="342" w:lineRule="auto"/>
        <w:tabs>
          <w:tab w:leader="none" w:pos="11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23" w:lineRule="exact"/>
        <w:rPr>
          <w:rFonts w:ascii="Arial" w:cs="Arial" w:eastAsia="Arial" w:hAnsi="Arial"/>
          <w:sz w:val="16"/>
          <w:szCs w:val="16"/>
          <w:color w:val="auto"/>
        </w:rPr>
      </w:pPr>
    </w:p>
    <w:p>
      <w:pPr>
        <w:ind w:right="80" w:firstLine="921"/>
        <w:spacing w:after="0" w:line="264"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 faith.</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Effective before January 1, 2014:</w:t>
      </w:r>
    </w:p>
    <w:p>
      <w:pPr>
        <w:spacing w:after="0" w:line="225" w:lineRule="exact"/>
        <w:rPr>
          <w:rFonts w:ascii="Arial" w:cs="Arial" w:eastAsia="Arial" w:hAnsi="Arial"/>
          <w:sz w:val="18"/>
          <w:szCs w:val="18"/>
          <w:color w:val="auto"/>
        </w:rPr>
      </w:pPr>
    </w:p>
    <w:p>
      <w:pPr>
        <w:ind w:firstLine="1492"/>
        <w:spacing w:after="0" w:line="277" w:lineRule="auto"/>
        <w:tabs>
          <w:tab w:leader="none" w:pos="16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170" w:lineRule="exact"/>
        <w:rPr>
          <w:rFonts w:ascii="Arial" w:cs="Arial" w:eastAsia="Arial" w:hAnsi="Arial"/>
          <w:sz w:val="18"/>
          <w:szCs w:val="18"/>
          <w:color w:val="auto"/>
        </w:rPr>
      </w:pPr>
    </w:p>
    <w:p>
      <w:pPr>
        <w:ind w:right="500" w:firstLine="1492"/>
        <w:spacing w:after="0" w:line="264" w:lineRule="auto"/>
        <w:tabs>
          <w:tab w:leader="none" w:pos="174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was, at any time before January 1, 1995, eligible to participate in the Prior Plan and whose Annual Rate of Pay was $90,000 or more as of both (A) the date on which an Initial Election is filed with the Administrator and (B) the first day of each calendar year beginning after December 31, 1994.</w:t>
      </w:r>
    </w:p>
    <w:p>
      <w:pPr>
        <w:spacing w:after="0" w:line="181" w:lineRule="exact"/>
        <w:rPr>
          <w:rFonts w:ascii="Arial" w:cs="Arial" w:eastAsia="Arial" w:hAnsi="Arial"/>
          <w:sz w:val="18"/>
          <w:szCs w:val="18"/>
          <w:color w:val="auto"/>
        </w:rPr>
      </w:pPr>
    </w:p>
    <w:p>
      <w:pPr>
        <w:ind w:right="300" w:firstLine="1492"/>
        <w:spacing w:after="0" w:line="286" w:lineRule="auto"/>
        <w:tabs>
          <w:tab w:leader="none" w:pos="179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65" w:lineRule="exact"/>
        <w:rPr>
          <w:rFonts w:ascii="Arial" w:cs="Arial" w:eastAsia="Arial" w:hAnsi="Arial"/>
          <w:sz w:val="17"/>
          <w:szCs w:val="17"/>
          <w:color w:val="auto"/>
        </w:rPr>
      </w:pPr>
    </w:p>
    <w:p>
      <w:pPr>
        <w:ind w:firstLine="1492"/>
        <w:spacing w:after="0" w:line="259" w:lineRule="auto"/>
        <w:tabs>
          <w:tab w:leader="none" w:pos="178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09" w:name="page210"/>
    <w:bookmarkEnd w:id="209"/>
    <w:p>
      <w:pPr>
        <w:ind w:left="1180" w:hanging="259"/>
        <w:spacing w:after="0"/>
        <w:tabs>
          <w:tab w:leader="none" w:pos="1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after December 31, 2013:</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Each employee of a Participating Company other than NBCUniversal who is described in Section 2.28(a)(i)-(iv).</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Each employee of a Participating Company other than NBCUniversal who is a Participant and who has an Annual Rate of Pay of</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$200,000 or more as of each of (A) December 31, 2013; (B) the date on which an Initial Election is filed with the Administrator and (C) the first day of each calendar year beginning after December 31, 2013.</w:t>
      </w:r>
    </w:p>
    <w:p>
      <w:pPr>
        <w:spacing w:after="0" w:line="184" w:lineRule="exact"/>
        <w:rPr>
          <w:sz w:val="20"/>
          <w:szCs w:val="20"/>
          <w:color w:val="auto"/>
        </w:rPr>
      </w:pPr>
    </w:p>
    <w:p>
      <w:pPr>
        <w:jc w:val="both"/>
        <w:ind w:firstLine="1492"/>
        <w:spacing w:after="0" w:line="264" w:lineRule="auto"/>
        <w:tabs>
          <w:tab w:leader="none" w:pos="179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employee of NBCUniversal described in Section 2.26(b) or 2.26(c)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8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u w:val="single" w:color="auto"/>
          <w:color w:val="auto"/>
        </w:rPr>
        <w:t>Hardship</w:t>
      </w:r>
      <w:r>
        <w:rPr>
          <w:rFonts w:ascii="Arial" w:cs="Arial" w:eastAsia="Arial" w:hAnsi="Arial"/>
          <w:sz w:val="17"/>
          <w:szCs w:val="17"/>
          <w:color w:val="auto"/>
        </w:rPr>
        <w:t>” means an “unforeseeable emergency,” as defined in Section 409A. The Committee shall determine whether the circumstances of the Participant constitute an unforeseeable emergency and thus a Hardship within the meaning of this Section 2.29.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2.29 for all Participants in similar circumstances.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High Water Mark</w:t>
      </w:r>
      <w:r>
        <w:rPr>
          <w:rFonts w:ascii="Arial" w:cs="Arial" w:eastAsia="Arial" w:hAnsi="Arial"/>
          <w:sz w:val="18"/>
          <w:szCs w:val="18"/>
          <w:color w:val="auto"/>
        </w:rPr>
        <w:t>” means:</w:t>
      </w:r>
    </w:p>
    <w:p>
      <w:pPr>
        <w:spacing w:after="0" w:line="225" w:lineRule="exact"/>
        <w:rPr>
          <w:sz w:val="20"/>
          <w:szCs w:val="20"/>
          <w:color w:val="auto"/>
        </w:rPr>
      </w:pPr>
    </w:p>
    <w:p>
      <w:pPr>
        <w:ind w:right="100" w:firstLine="921"/>
        <w:spacing w:after="0" w:line="264" w:lineRule="auto"/>
        <w:tabs>
          <w:tab w:leader="none" w:pos="115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amounts credited pursuant to an Eligible Comcast Employee’s Initial Elections on account of Compensation earned in 2014, the highest of the sum of the amounts described in (i), (ii) and (iii) below as of the last day of any calendar quarter beginning after December 31, 2008 and before October 1, 2013:</w:t>
      </w:r>
    </w:p>
    <w:p>
      <w:pPr>
        <w:spacing w:after="0" w:line="181" w:lineRule="exact"/>
        <w:rPr>
          <w:rFonts w:ascii="Arial" w:cs="Arial" w:eastAsia="Arial" w:hAnsi="Arial"/>
          <w:sz w:val="18"/>
          <w:szCs w:val="18"/>
          <w:color w:val="auto"/>
        </w:rPr>
      </w:pPr>
    </w:p>
    <w:p>
      <w:pPr>
        <w:ind w:left="1700" w:hanging="208"/>
        <w:spacing w:after="0"/>
        <w:tabs>
          <w:tab w:leader="none" w:pos="17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 Eligible Comcast Employee’s Account; plus</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Such Eligible Comcast Employee’s Account in the Prior Plan; plus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Such Eligible Comcast Employee’s Account in the Restricted Stock Plan to the extent such Account is credited to the “Income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Fund.”</w:t>
      </w:r>
    </w:p>
    <w:p>
      <w:pPr>
        <w:spacing w:after="0" w:line="210" w:lineRule="exact"/>
        <w:rPr>
          <w:rFonts w:ascii="Arial" w:cs="Arial" w:eastAsia="Arial" w:hAnsi="Arial"/>
          <w:sz w:val="17"/>
          <w:szCs w:val="17"/>
          <w:color w:val="auto"/>
        </w:rPr>
      </w:pPr>
    </w:p>
    <w:p>
      <w:pPr>
        <w:jc w:val="both"/>
        <w:ind w:right="340" w:firstLine="921"/>
        <w:spacing w:after="0" w:line="264" w:lineRule="auto"/>
        <w:tabs>
          <w:tab w:leader="none" w:pos="116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amounts credited pursuant to an Eligible Comcast Employee’s Initial Elections on account of Compensation earned after 2014, the sum of (x) plus (y) where (x) equals the highest of the sum of the amounts described in Section 2.30(a)(i), (ii) and (iii) as of the last day of any calendar quarter beginning after December 31, 2008 and before January 1, 2014, and (y) equals the sum of:</w:t>
      </w:r>
    </w:p>
    <w:p>
      <w:pPr>
        <w:spacing w:after="0" w:line="181" w:lineRule="exact"/>
        <w:rPr>
          <w:rFonts w:ascii="Arial" w:cs="Arial" w:eastAsia="Arial" w:hAnsi="Arial"/>
          <w:sz w:val="18"/>
          <w:szCs w:val="18"/>
          <w:color w:val="auto"/>
        </w:rPr>
      </w:pPr>
    </w:p>
    <w:p>
      <w:pPr>
        <w:ind w:right="140" w:firstLine="1492"/>
        <w:spacing w:after="0" w:line="342" w:lineRule="auto"/>
        <w:tabs>
          <w:tab w:leader="none" w:pos="169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amount credited to an Eligible Comcast Employee’s Account pursuant to Section 3.8 after December 31, 2013 and on or before September 30, 2014 that is contractually committed pursuant to an employment agreement entered into on or before December 31, 2013; plus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210" w:name="page211"/>
    <w:bookmarkEnd w:id="210"/>
    <w:p>
      <w:pPr>
        <w:ind w:right="40" w:firstLine="1492"/>
        <w:spacing w:after="0" w:line="277" w:lineRule="auto"/>
        <w:tabs>
          <w:tab w:leader="none" w:pos="17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deferred portion of an Eligible Comcast Employee’s cash bonus award earned for 2013 and payable, but for the Eligible Comcast Employee’s Initial Deferral Election, after December 31, 2013 and on or before September 30, 2014; plus</w:t>
      </w:r>
    </w:p>
    <w:p>
      <w:pPr>
        <w:spacing w:after="0" w:line="170" w:lineRule="exact"/>
        <w:rPr>
          <w:rFonts w:ascii="Arial" w:cs="Arial" w:eastAsia="Arial" w:hAnsi="Arial"/>
          <w:sz w:val="18"/>
          <w:szCs w:val="18"/>
          <w:color w:val="auto"/>
        </w:rPr>
      </w:pPr>
    </w:p>
    <w:p>
      <w:pPr>
        <w:ind w:right="120" w:firstLine="1492"/>
        <w:spacing w:after="0" w:line="264" w:lineRule="auto"/>
        <w:tabs>
          <w:tab w:leader="none" w:pos="179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or Director Emeritus and is not actively employed by a Participating Company.</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Income Fund</w:t>
      </w:r>
      <w:r>
        <w:rPr>
          <w:rFonts w:ascii="Arial" w:cs="Arial" w:eastAsia="Arial" w:hAnsi="Arial"/>
          <w:sz w:val="18"/>
          <w:szCs w:val="18"/>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225" w:lineRule="exact"/>
        <w:rPr>
          <w:sz w:val="20"/>
          <w:szCs w:val="20"/>
          <w:color w:val="auto"/>
        </w:rPr>
      </w:pPr>
    </w:p>
    <w:p>
      <w:pPr>
        <w:ind w:right="180" w:firstLine="921"/>
        <w:spacing w:after="0" w:line="264" w:lineRule="auto"/>
        <w:tabs>
          <w:tab w:leader="none" w:pos="115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Outside Directors and Directors Emeriti</w:t>
      </w:r>
      <w:r>
        <w:rPr>
          <w:rFonts w:ascii="Arial" w:cs="Arial" w:eastAsia="Arial" w:hAnsi="Arial"/>
          <w:sz w:val="18"/>
          <w:szCs w:val="18"/>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81" w:lineRule="exact"/>
        <w:rPr>
          <w:rFonts w:ascii="Arial" w:cs="Arial" w:eastAsia="Arial" w:hAnsi="Arial"/>
          <w:sz w:val="18"/>
          <w:szCs w:val="18"/>
          <w:color w:val="auto"/>
        </w:rPr>
      </w:pPr>
    </w:p>
    <w:p>
      <w:pPr>
        <w:ind w:right="60" w:firstLine="1492"/>
        <w:spacing w:after="0" w:line="277" w:lineRule="auto"/>
        <w:tabs>
          <w:tab w:leader="none" w:pos="169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225" w:lineRule="exact"/>
        <w:rPr>
          <w:rFonts w:ascii="Arial" w:cs="Arial" w:eastAsia="Arial" w:hAnsi="Arial"/>
          <w:sz w:val="18"/>
          <w:szCs w:val="18"/>
          <w:color w:val="auto"/>
        </w:rPr>
      </w:pPr>
    </w:p>
    <w:p>
      <w:pPr>
        <w:ind w:firstLine="921"/>
        <w:spacing w:after="0" w:line="291" w:lineRule="auto"/>
        <w:tabs>
          <w:tab w:leader="none" w:pos="1168"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2013 Plan Year For Eligible Comcast Employees</w:t>
      </w:r>
      <w:r>
        <w:rPr>
          <w:rFonts w:ascii="Arial" w:cs="Arial" w:eastAsia="Arial" w:hAnsi="Arial"/>
          <w:sz w:val="16"/>
          <w:szCs w:val="16"/>
          <w:color w:val="auto"/>
        </w:rPr>
        <w:t>. With respect to Eligible Comcast Employees for Compensation earned in the 2013 Plan Year, the term “Initial Election means one or more written elections provided by the Administrator and filed with the Administrator in accordance with Article</w:t>
      </w:r>
    </w:p>
    <w:p>
      <w:pPr>
        <w:spacing w:after="0"/>
        <w:rPr>
          <w:rFonts w:ascii="Arial" w:cs="Arial" w:eastAsia="Arial" w:hAnsi="Arial"/>
          <w:sz w:val="16"/>
          <w:szCs w:val="16"/>
          <w:color w:val="auto"/>
        </w:rPr>
      </w:pPr>
      <w:r>
        <w:rPr>
          <w:rFonts w:ascii="Arial" w:cs="Arial" w:eastAsia="Arial" w:hAnsi="Arial"/>
          <w:sz w:val="18"/>
          <w:szCs w:val="18"/>
          <w:color w:val="auto"/>
        </w:rPr>
        <w:t>3 pursuant to which an Eligible Comcast Employee may:</w:t>
      </w:r>
    </w:p>
    <w:p>
      <w:pPr>
        <w:spacing w:after="0" w:line="210" w:lineRule="exact"/>
        <w:rPr>
          <w:rFonts w:ascii="Arial" w:cs="Arial" w:eastAsia="Arial" w:hAnsi="Arial"/>
          <w:sz w:val="16"/>
          <w:szCs w:val="16"/>
          <w:color w:val="auto"/>
        </w:rPr>
      </w:pPr>
    </w:p>
    <w:p>
      <w:pPr>
        <w:ind w:right="260" w:firstLine="1492"/>
        <w:spacing w:after="0" w:line="312" w:lineRule="auto"/>
        <w:tabs>
          <w:tab w:leader="none" w:pos="1698"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Elect to defer any portion of the Compensation payable for the performance of services as an Eligible Employee following the time that such election is filed, provided that 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46" w:lineRule="exact"/>
        <w:rPr>
          <w:rFonts w:ascii="Arial" w:cs="Arial" w:eastAsia="Arial" w:hAnsi="Arial"/>
          <w:sz w:val="16"/>
          <w:szCs w:val="16"/>
          <w:color w:val="auto"/>
        </w:rPr>
      </w:pPr>
    </w:p>
    <w:p>
      <w:pPr>
        <w:ind w:left="1760" w:hanging="268"/>
        <w:spacing w:after="0"/>
        <w:tabs>
          <w:tab w:leader="none" w:pos="1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11" w:name="page212"/>
    <w:bookmarkEnd w:id="211"/>
    <w:p>
      <w:pPr>
        <w:ind w:right="20" w:firstLine="921"/>
        <w:spacing w:after="0" w:line="259" w:lineRule="auto"/>
        <w:tabs>
          <w:tab w:leader="none" w:pos="1157"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2013 Plan Year For Eligible NBCU Employees, and Plan Years Beginning After December 31, 2013</w:t>
      </w:r>
      <w:r>
        <w:rPr>
          <w:rFonts w:ascii="Arial" w:cs="Arial" w:eastAsia="Arial" w:hAnsi="Arial"/>
          <w:sz w:val="18"/>
          <w:szCs w:val="18"/>
          <w:color w:val="auto"/>
        </w:rPr>
        <w:t>. With respect to Eligible NBCU employees for Compensation earned after December 31, 2012 and with respect to Eligible Comcast Employees for Compensation earned after December 31, 2013, the term “Initial Election” means one or more written elections provided by the Administrator and filed with the Administrator in accordance with Article 3 pursuant to which an Eligible Employee may:</w:t>
      </w:r>
    </w:p>
    <w:p>
      <w:pPr>
        <w:spacing w:after="0" w:line="186" w:lineRule="exact"/>
        <w:rPr>
          <w:rFonts w:ascii="Arial" w:cs="Arial" w:eastAsia="Arial" w:hAnsi="Arial"/>
          <w:sz w:val="18"/>
          <w:szCs w:val="18"/>
          <w:color w:val="auto"/>
        </w:rPr>
      </w:pPr>
    </w:p>
    <w:p>
      <w:pPr>
        <w:ind w:right="80" w:firstLine="1492"/>
        <w:spacing w:after="0" w:line="277" w:lineRule="auto"/>
        <w:tabs>
          <w:tab w:leader="none" w:pos="1698"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Subject to the limitations described in Section 2.33(c)(iii), elect to defer Compensation payable for the performance of services as an Eligible Employee following the time that such election is filed; and</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225" w:lineRule="exact"/>
        <w:rPr>
          <w:rFonts w:ascii="Arial" w:cs="Arial" w:eastAsia="Arial" w:hAnsi="Arial"/>
          <w:sz w:val="18"/>
          <w:szCs w:val="18"/>
          <w:color w:val="auto"/>
        </w:rPr>
      </w:pPr>
    </w:p>
    <w:p>
      <w:pPr>
        <w:ind w:right="380" w:firstLine="1492"/>
        <w:spacing w:after="0" w:line="308" w:lineRule="auto"/>
        <w:tabs>
          <w:tab w:leader="none" w:pos="1798" w:val="left"/>
        </w:tabs>
        <w:numPr>
          <w:ilvl w:val="2"/>
          <w:numId w:val="111"/>
        </w:numPr>
        <w:rPr>
          <w:rFonts w:ascii="Arial" w:cs="Arial" w:eastAsia="Arial" w:hAnsi="Arial"/>
          <w:sz w:val="17"/>
          <w:szCs w:val="17"/>
          <w:color w:val="auto"/>
        </w:rPr>
      </w:pPr>
      <w:r>
        <w:rPr>
          <w:rFonts w:ascii="Arial" w:cs="Arial" w:eastAsia="Arial" w:hAnsi="Arial"/>
          <w:sz w:val="17"/>
          <w:szCs w:val="17"/>
          <w:color w:val="auto"/>
        </w:rPr>
        <w:t>Effective for Eligible NBCU Employees with respect to Compensation earned after December 31, 2012, and with respect to all Eligible Employees with respect to Compensation earned after December 31, 2013, the following rules shall apply to Initial Elections:</w:t>
      </w:r>
    </w:p>
    <w:p>
      <w:pPr>
        <w:spacing w:after="0" w:line="146" w:lineRule="exact"/>
        <w:rPr>
          <w:rFonts w:ascii="Arial" w:cs="Arial" w:eastAsia="Arial" w:hAnsi="Arial"/>
          <w:sz w:val="17"/>
          <w:szCs w:val="17"/>
          <w:color w:val="auto"/>
        </w:rPr>
      </w:pPr>
    </w:p>
    <w:p>
      <w:pPr>
        <w:ind w:left="2700" w:hanging="296"/>
        <w:spacing w:after="0"/>
        <w:tabs>
          <w:tab w:leader="none" w:pos="2700" w:val="left"/>
        </w:tabs>
        <w:numPr>
          <w:ilvl w:val="3"/>
          <w:numId w:val="111"/>
        </w:numPr>
        <w:rPr>
          <w:rFonts w:ascii="Arial" w:cs="Arial" w:eastAsia="Arial" w:hAnsi="Arial"/>
          <w:sz w:val="17"/>
          <w:szCs w:val="17"/>
          <w:color w:val="auto"/>
        </w:rPr>
      </w:pPr>
      <w:r>
        <w:rPr>
          <w:rFonts w:ascii="Arial" w:cs="Arial" w:eastAsia="Arial" w:hAnsi="Arial"/>
          <w:sz w:val="17"/>
          <w:szCs w:val="17"/>
          <w:color w:val="auto"/>
        </w:rPr>
        <w:t>Subject to the limits on deferrals of Compensation described in Section 2.33(c)(iii)(B) and Section 2.33(c)(iii)(C),</w:t>
      </w:r>
    </w:p>
    <w:p>
      <w:pPr>
        <w:spacing w:after="0" w:line="34" w:lineRule="exact"/>
        <w:rPr>
          <w:rFonts w:ascii="Arial" w:cs="Arial" w:eastAsia="Arial" w:hAnsi="Arial"/>
          <w:sz w:val="17"/>
          <w:szCs w:val="17"/>
          <w:color w:val="auto"/>
        </w:rPr>
      </w:pPr>
    </w:p>
    <w:p>
      <w:pPr>
        <w:ind w:right="160" w:firstLine="8"/>
        <w:spacing w:after="0" w:line="255"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maximum amount of base salary available for deferral shall be determined net of required withholdings and deductions as determined by the Administrator in its sole discretion, but shall in no event be less than 85% of the Participant’s base salary and (y) the maximum amount of a Signing Bonus available for deferral pursuant to an Initial Election shall not exceed 50%.</w:t>
      </w:r>
    </w:p>
    <w:p>
      <w:pPr>
        <w:spacing w:after="0" w:line="190" w:lineRule="exact"/>
        <w:rPr>
          <w:rFonts w:ascii="Arial" w:cs="Arial" w:eastAsia="Arial" w:hAnsi="Arial"/>
          <w:sz w:val="18"/>
          <w:szCs w:val="18"/>
          <w:color w:val="auto"/>
        </w:rPr>
      </w:pPr>
    </w:p>
    <w:p>
      <w:pPr>
        <w:ind w:left="2680" w:hanging="276"/>
        <w:spacing w:after="0"/>
        <w:tabs>
          <w:tab w:leader="none" w:pos="2680" w:val="left"/>
        </w:tabs>
        <w:numPr>
          <w:ilvl w:val="3"/>
          <w:numId w:val="112"/>
        </w:numPr>
        <w:rPr>
          <w:rFonts w:ascii="Arial" w:cs="Arial" w:eastAsia="Arial" w:hAnsi="Arial"/>
          <w:sz w:val="17"/>
          <w:szCs w:val="17"/>
          <w:color w:val="auto"/>
        </w:rPr>
      </w:pPr>
      <w:r>
        <w:rPr>
          <w:rFonts w:ascii="Arial" w:cs="Arial" w:eastAsia="Arial" w:hAnsi="Arial"/>
          <w:sz w:val="17"/>
          <w:szCs w:val="17"/>
          <w:color w:val="auto"/>
        </w:rPr>
        <w:t>The maximum amount subject to Initial Elections for any Plan Year shall not exceed 35% of Total Compensation.</w:t>
      </w:r>
    </w:p>
    <w:p>
      <w:pPr>
        <w:spacing w:after="0" w:line="236" w:lineRule="exact"/>
        <w:rPr>
          <w:rFonts w:ascii="Arial" w:cs="Arial" w:eastAsia="Arial" w:hAnsi="Arial"/>
          <w:sz w:val="17"/>
          <w:szCs w:val="17"/>
          <w:color w:val="auto"/>
        </w:rPr>
      </w:pPr>
    </w:p>
    <w:p>
      <w:pPr>
        <w:ind w:left="2680" w:hanging="276"/>
        <w:spacing w:after="0"/>
        <w:tabs>
          <w:tab w:leader="none" w:pos="2680" w:val="left"/>
        </w:tabs>
        <w:numPr>
          <w:ilvl w:val="3"/>
          <w:numId w:val="112"/>
        </w:numPr>
        <w:rPr>
          <w:rFonts w:ascii="Arial" w:cs="Arial" w:eastAsia="Arial" w:hAnsi="Arial"/>
          <w:sz w:val="16"/>
          <w:szCs w:val="16"/>
          <w:color w:val="auto"/>
        </w:rPr>
      </w:pPr>
      <w:r>
        <w:rPr>
          <w:rFonts w:ascii="Arial" w:cs="Arial" w:eastAsia="Arial" w:hAnsi="Arial"/>
          <w:sz w:val="16"/>
          <w:szCs w:val="16"/>
          <w:color w:val="auto"/>
        </w:rPr>
        <w:t>No Initial Election with respect to Compensation expected to be earned in a Plan Year shall be effective if the sum of</w:t>
      </w:r>
    </w:p>
    <w:p>
      <w:pPr>
        <w:spacing w:after="0" w:line="46" w:lineRule="exact"/>
        <w:rPr>
          <w:rFonts w:ascii="Arial" w:cs="Arial" w:eastAsia="Arial" w:hAnsi="Arial"/>
          <w:sz w:val="16"/>
          <w:szCs w:val="16"/>
          <w:color w:val="auto"/>
        </w:rPr>
      </w:pPr>
    </w:p>
    <w:p>
      <w:pPr>
        <w:ind w:firstLine="8"/>
        <w:spacing w:after="0" w:line="255"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15"/>
          <w:szCs w:val="15"/>
          <w:color w:val="auto"/>
        </w:rPr>
        <w:t>th</w:t>
      </w:r>
      <w:r>
        <w:rPr>
          <w:rFonts w:ascii="Arial" w:cs="Arial" w:eastAsia="Arial" w:hAnsi="Arial"/>
          <w:sz w:val="18"/>
          <w:szCs w:val="18"/>
          <w:color w:val="auto"/>
        </w:rPr>
        <w:t xml:space="preserve"> immediately preceding such Plan Year.</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and its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Effective before January 1, 2014, and except as provided in Section 2.35(d), each employee of a Participating Company other than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NBCUniversal:</w:t>
      </w:r>
    </w:p>
    <w:p>
      <w:pPr>
        <w:spacing w:after="0" w:line="210" w:lineRule="exact"/>
        <w:rPr>
          <w:rFonts w:ascii="Arial" w:cs="Arial" w:eastAsia="Arial" w:hAnsi="Arial"/>
          <w:sz w:val="17"/>
          <w:szCs w:val="17"/>
          <w:color w:val="auto"/>
        </w:rPr>
      </w:pPr>
    </w:p>
    <w:p>
      <w:pPr>
        <w:ind w:right="280" w:firstLine="1492"/>
        <w:spacing w:after="0" w:line="277" w:lineRule="auto"/>
        <w:tabs>
          <w:tab w:leader="none" w:pos="169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$200,000 or more as of his employment commencement date, or</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$200,000 or more and who, immediately preceding such increase, was not 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Eligible Employee.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212" w:name="page213"/>
    <w:bookmarkEnd w:id="212"/>
    <w:p>
      <w:pPr>
        <w:ind w:left="1180" w:hanging="259"/>
        <w:spacing w:after="0"/>
        <w:tabs>
          <w:tab w:leader="none" w:pos="11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after December 31, 2013, and except as provided in Section 2.35(d), each employee of a Participating Company other than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NBCUniversal:</w:t>
      </w:r>
    </w:p>
    <w:p>
      <w:pPr>
        <w:spacing w:after="0" w:line="210" w:lineRule="exact"/>
        <w:rPr>
          <w:rFonts w:ascii="Arial" w:cs="Arial" w:eastAsia="Arial" w:hAnsi="Arial"/>
          <w:sz w:val="17"/>
          <w:szCs w:val="17"/>
          <w:color w:val="auto"/>
        </w:rPr>
      </w:pPr>
    </w:p>
    <w:p>
      <w:pPr>
        <w:ind w:right="240" w:firstLine="1492"/>
        <w:spacing w:after="0" w:line="277" w:lineRule="auto"/>
        <w:tabs>
          <w:tab w:leader="none" w:pos="169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who becomes an employee of a Participating Company and has an Annual Rate of Pay of $250,000 or more as of his employment commencement date, or</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who has an Annual Rate of Pay that is increased to $250,000 or more and who, immediately preceding such increase, was not 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Eligible Employee.</w:t>
      </w:r>
    </w:p>
    <w:p>
      <w:pPr>
        <w:spacing w:after="0" w:line="210" w:lineRule="exact"/>
        <w:rPr>
          <w:rFonts w:ascii="Arial" w:cs="Arial" w:eastAsia="Arial" w:hAnsi="Arial"/>
          <w:sz w:val="16"/>
          <w:szCs w:val="16"/>
          <w:color w:val="auto"/>
        </w:rPr>
      </w:pPr>
    </w:p>
    <w:p>
      <w:pPr>
        <w:ind w:right="900" w:firstLine="921"/>
        <w:spacing w:after="0" w:line="342" w:lineRule="auto"/>
        <w:tabs>
          <w:tab w:leader="none" w:pos="115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employee of NBCUniversal who first becomes a member of the NBCUniversal Operating Committee and approved by the Administrator during a Plan Year and who, immediately preceding the effective date of such membership, was not an Eligible Employee.</w:t>
      </w:r>
    </w:p>
    <w:p>
      <w:pPr>
        <w:spacing w:after="0" w:line="123" w:lineRule="exact"/>
        <w:rPr>
          <w:rFonts w:ascii="Arial" w:cs="Arial" w:eastAsia="Arial" w:hAnsi="Arial"/>
          <w:sz w:val="16"/>
          <w:szCs w:val="16"/>
          <w:color w:val="auto"/>
        </w:rPr>
      </w:pPr>
    </w:p>
    <w:p>
      <w:pPr>
        <w:ind w:right="200" w:firstLine="921"/>
        <w:spacing w:after="0" w:line="277" w:lineRule="auto"/>
        <w:tabs>
          <w:tab w:leader="none" w:pos="11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Section 2.35(a), (b) or (c) to the contrary, no employee shall be treated as a New Key Employee with respect to any Plan Year under this Section 2.35 if:</w:t>
      </w:r>
    </w:p>
    <w:p>
      <w:pPr>
        <w:spacing w:after="0" w:line="170" w:lineRule="exact"/>
        <w:rPr>
          <w:rFonts w:ascii="Arial" w:cs="Arial" w:eastAsia="Arial" w:hAnsi="Arial"/>
          <w:sz w:val="18"/>
          <w:szCs w:val="18"/>
          <w:color w:val="auto"/>
        </w:rPr>
      </w:pPr>
    </w:p>
    <w:p>
      <w:pPr>
        <w:ind w:right="540" w:firstLine="1492"/>
        <w:spacing w:after="0" w:line="342" w:lineRule="auto"/>
        <w:tabs>
          <w:tab w:leader="none" w:pos="169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employee was eligible to participate in another plan sponsored by the Company or an Affiliate of the Company which is considered to be of a similar type as defined in Treasury Regulation Section 1.409A -1(c)(2)(i)(A) or (B) with respect to such Plan Year; or</w:t>
      </w:r>
    </w:p>
    <w:p>
      <w:pPr>
        <w:spacing w:after="0" w:line="123" w:lineRule="exact"/>
        <w:rPr>
          <w:rFonts w:ascii="Arial" w:cs="Arial" w:eastAsia="Arial" w:hAnsi="Arial"/>
          <w:sz w:val="16"/>
          <w:szCs w:val="16"/>
          <w:color w:val="auto"/>
        </w:rPr>
      </w:pPr>
    </w:p>
    <w:p>
      <w:pPr>
        <w:jc w:val="both"/>
        <w:ind w:firstLine="1492"/>
        <w:spacing w:after="0" w:line="264" w:lineRule="auto"/>
        <w:tabs>
          <w:tab w:leader="none" w:pos="174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Such employee has been eligible to participate in the Plan or any other plan referenced in Section 2.35(d)(i) (other than with respect to the accrual of earnings) at any time during the 24-month period ending on the date such employee would, but for this Section 2.35(d), otherwise become a New Key Employee.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225" w:lineRule="exact"/>
        <w:rPr>
          <w:sz w:val="20"/>
          <w:szCs w:val="20"/>
          <w:color w:val="auto"/>
        </w:rPr>
      </w:pPr>
    </w:p>
    <w:p>
      <w:pPr>
        <w:ind w:right="220" w:firstLine="921"/>
        <w:spacing w:after="0" w:line="342" w:lineRule="auto"/>
        <w:tabs>
          <w:tab w:leader="none" w:pos="115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23" w:lineRule="exact"/>
        <w:rPr>
          <w:rFonts w:ascii="Arial" w:cs="Arial" w:eastAsia="Arial" w:hAnsi="Arial"/>
          <w:sz w:val="16"/>
          <w:szCs w:val="16"/>
          <w:color w:val="auto"/>
        </w:rPr>
      </w:pPr>
    </w:p>
    <w:p>
      <w:pPr>
        <w:ind w:right="20" w:firstLine="921"/>
        <w:spacing w:after="0" w:line="277" w:lineRule="auto"/>
        <w:tabs>
          <w:tab w:leader="none" w:pos="11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 Participant who is an Outside Director or Director Emeritus immediately preceding his termination of service, the Participant’s normal retirement from the Board.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274" w:right="359" w:bottom="1440" w:gutter="0" w:footer="0" w:header="0"/>
        </w:sectPr>
      </w:pPr>
    </w:p>
    <w:bookmarkStart w:id="213" w:name="page214"/>
    <w:bookmarkEnd w:id="213"/>
    <w:p>
      <w:pPr>
        <w:ind w:right="1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2.38.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Affiliate of the Company designated by the Administrator in which the Company owns, directly or indirectly, 50 percent or more of the voting interests or value. Notwithstanding the foregoing, the Administrator may delegate its authority to designate an eligible Affiliate as a Participating Company under this Section 2.39 to an officer of the Company or committee of two or more officers of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2.41. “</w:t>
      </w:r>
      <w:r>
        <w:rPr>
          <w:rFonts w:ascii="Arial" w:cs="Arial" w:eastAsia="Arial" w:hAnsi="Arial"/>
          <w:sz w:val="17"/>
          <w:szCs w:val="17"/>
          <w:u w:val="single" w:color="auto"/>
          <w:color w:val="auto"/>
        </w:rPr>
        <w:t>Performance Period</w:t>
      </w:r>
      <w:r>
        <w:rPr>
          <w:rFonts w:ascii="Arial" w:cs="Arial" w:eastAsia="Arial" w:hAnsi="Arial"/>
          <w:sz w:val="17"/>
          <w:szCs w:val="17"/>
          <w:color w:val="auto"/>
        </w:rPr>
        <w:t>” means a period of at least 12 months during which a Participant may earn Performance-Based Compensation.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Protected Account Balance</w:t>
      </w:r>
      <w:r>
        <w:rPr>
          <w:rFonts w:ascii="Arial" w:cs="Arial" w:eastAsia="Arial" w:hAnsi="Arial"/>
          <w:sz w:val="18"/>
          <w:szCs w:val="18"/>
          <w:color w:val="auto"/>
        </w:rPr>
        <w:t>” means:</w:t>
      </w:r>
    </w:p>
    <w:p>
      <w:pPr>
        <w:spacing w:after="0" w:line="225" w:lineRule="exact"/>
        <w:rPr>
          <w:sz w:val="20"/>
          <w:szCs w:val="20"/>
          <w:color w:val="auto"/>
        </w:rPr>
      </w:pPr>
    </w:p>
    <w:p>
      <w:pPr>
        <w:ind w:right="220" w:firstLine="921"/>
        <w:spacing w:after="0" w:line="264" w:lineRule="auto"/>
        <w:tabs>
          <w:tab w:leader="none" w:pos="11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amount credited to the Account of an Eligible Comcast Employee, an Outside Director or a Director Emeritus pursuant to Initial Elections and Subsequent Elections with respect to Compensation earned before January 1, 2014 or pursuant to Company Credits described in Section 3.8 that are credited before January 1, 2014, including interest credits attributable to such amount.</w:t>
      </w:r>
    </w:p>
    <w:p>
      <w:pPr>
        <w:spacing w:after="0" w:line="181" w:lineRule="exact"/>
        <w:rPr>
          <w:rFonts w:ascii="Arial" w:cs="Arial" w:eastAsia="Arial" w:hAnsi="Arial"/>
          <w:sz w:val="18"/>
          <w:szCs w:val="18"/>
          <w:color w:val="auto"/>
        </w:rPr>
      </w:pPr>
    </w:p>
    <w:p>
      <w:pPr>
        <w:ind w:right="80" w:firstLine="921"/>
        <w:spacing w:after="0" w:line="308" w:lineRule="auto"/>
        <w:tabs>
          <w:tab w:leader="none" w:pos="116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portion of an Eligible Comcast Employee’s Account attributable to Company Credits described in Section 3.8 that are made pursuant to an employment agreement entered into on or before December 31, 2013, including interest credits attributable to such amount.</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74" w:right="319" w:bottom="1440" w:gutter="0" w:footer="0" w:header="0"/>
        </w:sectPr>
      </w:pPr>
    </w:p>
    <w:bookmarkStart w:id="214" w:name="page215"/>
    <w:bookmarkEnd w:id="214"/>
    <w:p>
      <w:pPr>
        <w:ind w:right="1000" w:firstLine="921"/>
        <w:spacing w:after="0" w:line="277" w:lineRule="auto"/>
        <w:tabs>
          <w:tab w:leader="none" w:pos="11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credited pursuant to Initial Elections with respect to Compensation earned on and after January 1, 2014, if, as of the September 30th immediately preceding the Plan Year to which the Initial Election applies, the sum of:</w:t>
      </w:r>
    </w:p>
    <w:p>
      <w:pPr>
        <w:spacing w:after="0" w:line="170" w:lineRule="exact"/>
        <w:rPr>
          <w:rFonts w:ascii="Arial" w:cs="Arial" w:eastAsia="Arial" w:hAnsi="Arial"/>
          <w:sz w:val="18"/>
          <w:szCs w:val="18"/>
          <w:color w:val="auto"/>
        </w:rPr>
      </w:pPr>
    </w:p>
    <w:p>
      <w:pPr>
        <w:ind w:left="1700" w:hanging="208"/>
        <w:spacing w:after="0"/>
        <w:tabs>
          <w:tab w:leader="none" w:pos="1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Eligible Comcast Employee’s Account; plus</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Such Eligible Comcast Employee’s Account in the Prior Plan; plus</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Such Eligible Comcast Employee’s Account in the Restricted Stock Plan to the extent such Account is credited to the “Income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is less than the High Water Mark.</w:t>
      </w:r>
    </w:p>
    <w:p>
      <w:pPr>
        <w:spacing w:after="0" w:line="225" w:lineRule="exact"/>
        <w:rPr>
          <w:sz w:val="20"/>
          <w:szCs w:val="20"/>
          <w:color w:val="auto"/>
        </w:rPr>
      </w:pPr>
    </w:p>
    <w:p>
      <w:pPr>
        <w:ind w:right="560" w:firstLine="921"/>
        <w:spacing w:after="0" w:line="277"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amount credited pursuant to Subsequent Elections filed after December 31, 2013 that are attributable to any portion of an Eligible Comcast Employee’s Account described in this Section 2.47.</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Notwithstanding Sections 2.47(a), (b), (c) and (d),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 Plan</w:t>
      </w:r>
      <w:r>
        <w:rPr>
          <w:rFonts w:ascii="Arial" w:cs="Arial" w:eastAsia="Arial" w:hAnsi="Arial"/>
          <w:sz w:val="18"/>
          <w:szCs w:val="18"/>
          <w:color w:val="auto"/>
        </w:rPr>
        <w:t>” means the Comcast Corporation 2002 Restricted Stock Plan (or any successor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Signing Bonus</w:t>
      </w:r>
      <w:r>
        <w:rPr>
          <w:rFonts w:ascii="Arial" w:cs="Arial" w:eastAsia="Arial" w:hAnsi="Arial"/>
          <w:sz w:val="18"/>
          <w:szCs w:val="18"/>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81"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Surviving Spouse</w:t>
      </w:r>
      <w:r>
        <w:rPr>
          <w:rFonts w:ascii="Arial" w:cs="Arial" w:eastAsia="Arial" w:hAnsi="Arial"/>
          <w:sz w:val="18"/>
          <w:szCs w:val="18"/>
          <w:color w:val="auto"/>
        </w:rPr>
        <w:t>” means the widow or widower, as the case may be, of a Deceased Participant or a Deceased Beneficiary (as applicable). -14-</w:t>
      </w:r>
    </w:p>
    <w:p>
      <w:pPr>
        <w:sectPr>
          <w:pgSz w:w="11900" w:h="16838" w:orient="portrait"/>
          <w:cols w:equalWidth="0" w:num="1">
            <w:col w:w="11400"/>
          </w:cols>
          <w:pgMar w:left="240" w:top="274" w:right="259" w:bottom="1440" w:gutter="0" w:footer="0" w:header="0"/>
        </w:sectPr>
      </w:pPr>
    </w:p>
    <w:bookmarkStart w:id="215" w:name="page216"/>
    <w:bookmarkEnd w:id="215"/>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2.54.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Total Compensation</w:t>
      </w:r>
      <w:r>
        <w:rPr>
          <w:rFonts w:ascii="Arial" w:cs="Arial" w:eastAsia="Arial" w:hAnsi="Arial"/>
          <w:sz w:val="18"/>
          <w:szCs w:val="18"/>
          <w:color w:val="auto"/>
        </w:rPr>
        <w:t>” means: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For Plan Years beginning before 2015, the sum of an Eligible Employee’s Annual Rate of Pay, plus Company Credits described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3.8, plus any target bonus amount under a cash bonus award that is includible as “Compensation” under Section 2.15, plus the grant date value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Eligible Comcast Employees) or the target value (for Eligible NBCU Employees) of any annual long-term incentive award granted in the immediately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preceding Plan Year, all as determined by the Administrator in its sole discretion, as of the September 30th immediately preceding the Plan Year.</w:t>
      </w:r>
    </w:p>
    <w:p>
      <w:pPr>
        <w:spacing w:after="0" w:line="222" w:lineRule="exact"/>
        <w:rPr>
          <w:sz w:val="20"/>
          <w:szCs w:val="20"/>
          <w:color w:val="auto"/>
        </w:rPr>
      </w:pPr>
    </w:p>
    <w:p>
      <w:pPr>
        <w:ind w:firstLine="921"/>
        <w:spacing w:after="0" w:line="259" w:lineRule="auto"/>
        <w:tabs>
          <w:tab w:leader="none" w:pos="116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Plan Years beginning after 2014, the sum of an Eligible Employee’s Annual Rate of Pay, plus Company Credits described in Section 3.8, plus any target bonus amount under a cash bonus award that is includible as “Compensation” under Section 2.15, plus the grant date value of any annual long-term incentive award granted in the immediately preceding Plan Year, all as determined by the Administrator in its sole discretion, as of the September 30th immediately preceding the Plan Year.</w:t>
      </w:r>
    </w:p>
    <w:p>
      <w:pPr>
        <w:spacing w:after="0" w:line="186" w:lineRule="exact"/>
        <w:rPr>
          <w:rFonts w:ascii="Arial" w:cs="Arial" w:eastAsia="Arial" w:hAnsi="Arial"/>
          <w:sz w:val="18"/>
          <w:szCs w:val="18"/>
          <w:color w:val="auto"/>
        </w:rPr>
      </w:pPr>
    </w:p>
    <w:p>
      <w:pPr>
        <w:ind w:right="220" w:firstLine="921"/>
        <w:spacing w:after="0" w:line="264" w:lineRule="auto"/>
        <w:tabs>
          <w:tab w:leader="none" w:pos="11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0" w:lineRule="auto"/>
        <w:tabs>
          <w:tab w:leader="none" w:pos="1157"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Initial Elections</w:t>
      </w:r>
      <w:r>
        <w:rPr>
          <w:rFonts w:ascii="Arial" w:cs="Arial" w:eastAsia="Arial" w:hAnsi="Arial"/>
          <w:sz w:val="17"/>
          <w:szCs w:val="17"/>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shall be reduced in an amount equal to the portion of the Compensation deferred by such Outside Director, Director Emeritus or Eligible Employee for such calendar year pursuant to such Outside Director’s, Director Emeritus’s or Eligible Employee’s Initial Election. Such reduction shall be effected on a pro rata basis from each periodic installment payment of such Outside Director’s, Director Emeritus’s or Eligible Employee’s Compensation for the calendar year (in accordance with the general pay practices of the Participating Company), and credited, as a bookkeeping entry, to such Outside Director’s, Director Emeritus’s or Eligible Employee’s Account in accordance 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16" w:name="page217"/>
    <w:bookmarkEnd w:id="21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5.1. Amounts credited to the Accounts of Outside Directors in the form of Company Stock shall be credited to the Company Stock Fund and credited with income, gains and losses in accordance with Section 5.2(c).</w:t>
      </w:r>
    </w:p>
    <w:p>
      <w:pPr>
        <w:spacing w:after="0" w:line="170" w:lineRule="exact"/>
        <w:rPr>
          <w:sz w:val="20"/>
          <w:szCs w:val="20"/>
          <w:color w:val="auto"/>
        </w:rPr>
      </w:pPr>
    </w:p>
    <w:p>
      <w:pPr>
        <w:ind w:right="280" w:firstLine="921"/>
        <w:spacing w:after="0" w:line="264" w:lineRule="auto"/>
        <w:tabs>
          <w:tab w:leader="none" w:pos="116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Filing of Initial Election: General</w:t>
      </w:r>
      <w:r>
        <w:rPr>
          <w:rFonts w:ascii="Arial" w:cs="Arial" w:eastAsia="Arial" w:hAnsi="Arial"/>
          <w:sz w:val="18"/>
          <w:szCs w:val="18"/>
          <w:color w:val="auto"/>
        </w:rPr>
        <w:t>. An Initial Election shall be made on the form provided by the Administrator for this purpose. Except as provided in Section 3.3:</w:t>
      </w:r>
    </w:p>
    <w:p>
      <w:pPr>
        <w:spacing w:after="0" w:line="170" w:lineRule="exact"/>
        <w:rPr>
          <w:sz w:val="20"/>
          <w:szCs w:val="20"/>
          <w:color w:val="auto"/>
        </w:rPr>
      </w:pPr>
    </w:p>
    <w:p>
      <w:pPr>
        <w:ind w:right="300" w:firstLine="921"/>
        <w:spacing w:after="0" w:line="342" w:lineRule="auto"/>
        <w:tabs>
          <w:tab w:leader="none" w:pos="115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123" w:lineRule="exact"/>
        <w:rPr>
          <w:rFonts w:ascii="Arial" w:cs="Arial" w:eastAsia="Arial" w:hAnsi="Arial"/>
          <w:sz w:val="16"/>
          <w:szCs w:val="16"/>
          <w:color w:val="auto"/>
        </w:rPr>
      </w:pPr>
    </w:p>
    <w:p>
      <w:pPr>
        <w:ind w:right="200" w:firstLine="921"/>
        <w:spacing w:after="0" w:line="308" w:lineRule="auto"/>
        <w:tabs>
          <w:tab w:leader="none" w:pos="1168" w:val="left"/>
        </w:tabs>
        <w:numPr>
          <w:ilvl w:val="1"/>
          <w:numId w:val="123"/>
        </w:numPr>
        <w:rPr>
          <w:rFonts w:ascii="Arial" w:cs="Arial" w:eastAsia="Arial" w:hAnsi="Arial"/>
          <w:sz w:val="17"/>
          <w:szCs w:val="17"/>
          <w:color w:val="auto"/>
        </w:rPr>
      </w:pPr>
      <w:r>
        <w:rPr>
          <w:rFonts w:ascii="Arial" w:cs="Arial" w:eastAsia="Arial" w:hAnsi="Arial"/>
          <w:sz w:val="17"/>
          <w:szCs w:val="17"/>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46" w:lineRule="exact"/>
        <w:rPr>
          <w:rFonts w:ascii="Arial" w:cs="Arial" w:eastAsia="Arial" w:hAnsi="Arial"/>
          <w:sz w:val="17"/>
          <w:szCs w:val="17"/>
          <w:color w:val="auto"/>
        </w:rPr>
      </w:pPr>
    </w:p>
    <w:p>
      <w:pPr>
        <w:ind w:left="1160" w:hanging="239"/>
        <w:spacing w:after="0"/>
        <w:tabs>
          <w:tab w:leader="none" w:pos="1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No such Initial Election shall be effective with respect to a Signing Bonus for an Eligible Employee other than a New Key Employee unless</w:t>
      </w:r>
    </w:p>
    <w:p>
      <w:pPr>
        <w:spacing w:after="0" w:line="46" w:lineRule="exact"/>
        <w:rPr>
          <w:rFonts w:ascii="Arial" w:cs="Arial" w:eastAsia="Arial" w:hAnsi="Arial"/>
          <w:sz w:val="16"/>
          <w:szCs w:val="16"/>
          <w:color w:val="auto"/>
        </w:rPr>
      </w:pPr>
    </w:p>
    <w:p>
      <w:pPr>
        <w:jc w:val="both"/>
        <w:ind w:right="60" w:firstLine="8"/>
        <w:spacing w:after="0" w:line="255" w:lineRule="auto"/>
        <w:tabs>
          <w:tab w:leader="none" w:pos="2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at least one year before such specified date.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file an Initial Election:</w:t>
      </w:r>
    </w:p>
    <w:p>
      <w:pPr>
        <w:spacing w:after="0" w:line="225" w:lineRule="exact"/>
        <w:rPr>
          <w:rFonts w:ascii="Arial" w:cs="Arial" w:eastAsia="Arial" w:hAnsi="Arial"/>
          <w:sz w:val="18"/>
          <w:szCs w:val="18"/>
          <w:color w:val="auto"/>
        </w:rPr>
      </w:pPr>
    </w:p>
    <w:p>
      <w:pPr>
        <w:ind w:right="60" w:firstLine="1492"/>
        <w:spacing w:after="0" w:line="264" w:lineRule="auto"/>
        <w:tabs>
          <w:tab w:leader="none" w:pos="169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181" w:lineRule="exact"/>
        <w:rPr>
          <w:rFonts w:ascii="Arial" w:cs="Arial" w:eastAsia="Arial" w:hAnsi="Arial"/>
          <w:sz w:val="18"/>
          <w:szCs w:val="18"/>
          <w:color w:val="auto"/>
        </w:rPr>
      </w:pPr>
    </w:p>
    <w:p>
      <w:pPr>
        <w:ind w:right="180" w:firstLine="1492"/>
        <w:spacing w:after="0" w:line="277" w:lineRule="auto"/>
        <w:tabs>
          <w:tab w:leader="none" w:pos="174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Initial Election by such New Key Employee for succeeding calendar years shall be made in accordance with Section 3.1 and Section 3.2.</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7" w:name="page218"/>
    <w:bookmarkEnd w:id="217"/>
    <w:p>
      <w:pPr>
        <w:ind w:left="-20" w:firstLine="921"/>
        <w:spacing w:after="0" w:line="273" w:lineRule="auto"/>
        <w:tabs>
          <w:tab w:leader="none" w:pos="1148"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Outside Directors</w:t>
      </w:r>
      <w:r>
        <w:rPr>
          <w:rFonts w:ascii="Arial" w:cs="Arial" w:eastAsia="Arial" w:hAnsi="Arial"/>
          <w:sz w:val="17"/>
          <w:szCs w:val="17"/>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w:t>
      </w:r>
    </w:p>
    <w:p>
      <w:pPr>
        <w:spacing w:after="0" w:line="225" w:lineRule="exact"/>
        <w:rPr>
          <w:sz w:val="20"/>
          <w:szCs w:val="20"/>
          <w:color w:val="auto"/>
        </w:rPr>
      </w:pPr>
    </w:p>
    <w:p>
      <w:pPr>
        <w:ind w:left="-20" w:right="280" w:firstLine="921"/>
        <w:spacing w:after="0" w:line="259"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Separate Initial Elections for Each Calendar Year</w:t>
      </w:r>
      <w:r>
        <w:rPr>
          <w:rFonts w:ascii="Arial" w:cs="Arial" w:eastAsia="Arial" w:hAnsi="Arial"/>
          <w:sz w:val="18"/>
          <w:szCs w:val="18"/>
          <w:color w:val="auto"/>
        </w:rPr>
        <w:t>. A separate Initial Election may be made for each calendar year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shall not affect such Outside Director’s or Eligible Employee’s right to make an Initial Election for any other calendar year.</w:t>
      </w:r>
    </w:p>
    <w:p>
      <w:pPr>
        <w:spacing w:after="0" w:line="186" w:lineRule="exact"/>
        <w:rPr>
          <w:rFonts w:ascii="Arial" w:cs="Arial" w:eastAsia="Arial" w:hAnsi="Arial"/>
          <w:sz w:val="18"/>
          <w:szCs w:val="18"/>
          <w:color w:val="auto"/>
        </w:rPr>
      </w:pPr>
    </w:p>
    <w:p>
      <w:pPr>
        <w:ind w:left="-20" w:right="40" w:firstLine="921"/>
        <w:spacing w:after="0" w:line="273" w:lineRule="auto"/>
        <w:tabs>
          <w:tab w:leader="none" w:pos="114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Initial Election of Distribution Date</w:t>
      </w:r>
      <w:r>
        <w:rPr>
          <w:rFonts w:ascii="Arial" w:cs="Arial" w:eastAsia="Arial" w:hAnsi="Arial"/>
          <w:sz w:val="17"/>
          <w:szCs w:val="17"/>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compensation subject to the Initial Election would be paid but for the Initial Election. Further, each Outside Director, Director Emeritus or Eligible Employee may select with each Initial Election the manner of distribution in accordance with Article 4.</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Subsequent Elections</w:t>
      </w:r>
      <w:r>
        <w:rPr>
          <w:rFonts w:ascii="Arial" w:cs="Arial" w:eastAsia="Arial" w:hAnsi="Arial"/>
          <w:sz w:val="17"/>
          <w:szCs w:val="17"/>
          <w:color w:val="auto"/>
        </w:rPr>
        <w:t>. No Subsequent Election shall be effective until 12 months after the date on which such Subsequent Election is made.</w:t>
      </w:r>
    </w:p>
    <w:p>
      <w:pPr>
        <w:spacing w:after="0" w:line="237" w:lineRule="exact"/>
        <w:rPr>
          <w:sz w:val="20"/>
          <w:szCs w:val="20"/>
          <w:color w:val="auto"/>
        </w:rPr>
      </w:pPr>
    </w:p>
    <w:p>
      <w:pPr>
        <w:ind w:left="-20" w:firstLine="921"/>
        <w:spacing w:after="0" w:line="279" w:lineRule="auto"/>
        <w:tabs>
          <w:tab w:leader="none" w:pos="1137"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Active Participants</w:t>
      </w:r>
      <w:r>
        <w:rPr>
          <w:rFonts w:ascii="Arial" w:cs="Arial" w:eastAsia="Arial" w:hAnsi="Arial"/>
          <w:sz w:val="17"/>
          <w:szCs w:val="17"/>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3.5(a) shall not be limited.</w:t>
      </w:r>
    </w:p>
    <w:p>
      <w:pPr>
        <w:spacing w:after="0" w:line="171" w:lineRule="exact"/>
        <w:rPr>
          <w:rFonts w:ascii="Arial" w:cs="Arial" w:eastAsia="Arial" w:hAnsi="Arial"/>
          <w:sz w:val="17"/>
          <w:szCs w:val="17"/>
          <w:color w:val="auto"/>
        </w:rPr>
      </w:pPr>
    </w:p>
    <w:p>
      <w:pPr>
        <w:jc w:val="both"/>
        <w:ind w:left="-20" w:right="180" w:firstLine="921"/>
        <w:spacing w:after="0" w:line="312" w:lineRule="auto"/>
        <w:tabs>
          <w:tab w:leader="none" w:pos="1148"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Inactive Participants</w:t>
      </w:r>
      <w:r>
        <w:rPr>
          <w:rFonts w:ascii="Arial" w:cs="Arial" w:eastAsia="Arial" w:hAnsi="Arial"/>
          <w:sz w:val="16"/>
          <w:szCs w:val="16"/>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18" w:name="page219"/>
    <w:bookmarkEnd w:id="218"/>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initial installment payment would otherwise be made. The number of Subsequent Elections under this Section 3.5(b) shall be determined by the Committee in its sole and absolute discretion.</w:t>
      </w:r>
    </w:p>
    <w:p>
      <w:pPr>
        <w:spacing w:after="0" w:line="170" w:lineRule="exact"/>
        <w:rPr>
          <w:sz w:val="20"/>
          <w:szCs w:val="20"/>
          <w:color w:val="auto"/>
        </w:rPr>
      </w:pPr>
    </w:p>
    <w:p>
      <w:pPr>
        <w:ind w:right="100" w:firstLine="921"/>
        <w:spacing w:after="0" w:line="272" w:lineRule="auto"/>
        <w:tabs>
          <w:tab w:leader="none" w:pos="1157"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Surviving Spouses – Subsequent Election</w:t>
      </w:r>
      <w:r>
        <w:rPr>
          <w:rFonts w:ascii="Arial" w:cs="Arial" w:eastAsia="Arial" w:hAnsi="Arial"/>
          <w:sz w:val="17"/>
          <w:szCs w:val="17"/>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77" w:lineRule="exact"/>
        <w:rPr>
          <w:rFonts w:ascii="Arial" w:cs="Arial" w:eastAsia="Arial" w:hAnsi="Arial"/>
          <w:sz w:val="17"/>
          <w:szCs w:val="17"/>
          <w:color w:val="auto"/>
        </w:rPr>
      </w:pPr>
    </w:p>
    <w:p>
      <w:pPr>
        <w:ind w:right="160" w:firstLine="921"/>
        <w:spacing w:after="0" w:line="255" w:lineRule="auto"/>
        <w:tabs>
          <w:tab w:leader="none" w:pos="1168"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 – Subsequent Election</w:t>
      </w:r>
      <w:r>
        <w:rPr>
          <w:rFonts w:ascii="Arial" w:cs="Arial" w:eastAsia="Arial" w:hAnsi="Arial"/>
          <w:sz w:val="18"/>
          <w:szCs w:val="18"/>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89" w:lineRule="exact"/>
        <w:rPr>
          <w:rFonts w:ascii="Arial" w:cs="Arial" w:eastAsia="Arial" w:hAnsi="Arial"/>
          <w:sz w:val="18"/>
          <w:szCs w:val="18"/>
          <w:color w:val="auto"/>
        </w:rPr>
      </w:pPr>
    </w:p>
    <w:p>
      <w:pPr>
        <w:ind w:right="420" w:firstLine="921"/>
        <w:spacing w:after="0" w:line="288" w:lineRule="auto"/>
        <w:tabs>
          <w:tab w:leader="none" w:pos="1157"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w:t>
      </w:r>
    </w:p>
    <w:p>
      <w:pPr>
        <w:jc w:val="both"/>
        <w:ind w:right="160" w:firstLine="8"/>
        <w:spacing w:after="0" w:line="302" w:lineRule="auto"/>
        <w:tabs>
          <w:tab w:leader="none" w:pos="34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55" w:lineRule="exact"/>
        <w:rPr>
          <w:rFonts w:ascii="Arial" w:cs="Arial" w:eastAsia="Arial" w:hAnsi="Arial"/>
          <w:sz w:val="16"/>
          <w:szCs w:val="16"/>
          <w:color w:val="auto"/>
        </w:rPr>
      </w:pPr>
    </w:p>
    <w:p>
      <w:pPr>
        <w:jc w:val="both"/>
        <w:ind w:firstLine="921"/>
        <w:spacing w:after="0" w:line="264" w:lineRule="auto"/>
        <w:tabs>
          <w:tab w:leader="none" w:pos="1138"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Except as otherwise specifically provided by the Plan,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To the extent permitted by Section 409A, in connection with a Change of Control,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9" w:name="page220"/>
    <w:bookmarkEnd w:id="219"/>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225" w:lineRule="exact"/>
        <w:rPr>
          <w:sz w:val="20"/>
          <w:szCs w:val="20"/>
          <w:color w:val="auto"/>
        </w:rPr>
      </w:pPr>
    </w:p>
    <w:p>
      <w:pPr>
        <w:ind w:right="80" w:firstLine="921"/>
        <w:spacing w:after="0" w:line="279" w:lineRule="auto"/>
        <w:tabs>
          <w:tab w:leader="none" w:pos="115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71" w:lineRule="exact"/>
        <w:rPr>
          <w:rFonts w:ascii="Arial" w:cs="Arial" w:eastAsia="Arial" w:hAnsi="Arial"/>
          <w:sz w:val="17"/>
          <w:szCs w:val="17"/>
          <w:color w:val="auto"/>
        </w:rPr>
      </w:pPr>
    </w:p>
    <w:p>
      <w:pPr>
        <w:ind w:right="40" w:firstLine="921"/>
        <w:spacing w:after="0" w:line="277" w:lineRule="auto"/>
        <w:tabs>
          <w:tab w:leader="none" w:pos="116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Section 409A:</w:t>
      </w:r>
    </w:p>
    <w:p>
      <w:pPr>
        <w:spacing w:after="0" w:line="170" w:lineRule="exact"/>
        <w:rPr>
          <w:rFonts w:ascii="Arial" w:cs="Arial" w:eastAsia="Arial" w:hAnsi="Arial"/>
          <w:sz w:val="18"/>
          <w:szCs w:val="18"/>
          <w:color w:val="auto"/>
        </w:rPr>
      </w:pPr>
    </w:p>
    <w:p>
      <w:pPr>
        <w:ind w:right="500" w:firstLine="1492"/>
        <w:spacing w:after="0" w:line="277" w:lineRule="auto"/>
        <w:tabs>
          <w:tab w:leader="none" w:pos="16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70" w:lineRule="exact"/>
        <w:rPr>
          <w:rFonts w:ascii="Arial" w:cs="Arial" w:eastAsia="Arial" w:hAnsi="Arial"/>
          <w:sz w:val="18"/>
          <w:szCs w:val="18"/>
          <w:color w:val="auto"/>
        </w:rPr>
      </w:pPr>
    </w:p>
    <w:p>
      <w:pPr>
        <w:ind w:right="260" w:firstLine="1492"/>
        <w:spacing w:after="0" w:line="277" w:lineRule="auto"/>
        <w:tabs>
          <w:tab w:leader="none" w:pos="17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70" w:lineRule="exact"/>
        <w:rPr>
          <w:rFonts w:ascii="Arial" w:cs="Arial" w:eastAsia="Arial" w:hAnsi="Arial"/>
          <w:sz w:val="18"/>
          <w:szCs w:val="18"/>
          <w:color w:val="auto"/>
        </w:rPr>
      </w:pPr>
    </w:p>
    <w:p>
      <w:pPr>
        <w:ind w:right="60" w:firstLine="1492"/>
        <w:spacing w:after="0" w:line="302" w:lineRule="auto"/>
        <w:tabs>
          <w:tab w:leader="none" w:pos="179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54" w:lineRule="exact"/>
        <w:rPr>
          <w:rFonts w:ascii="Arial" w:cs="Arial" w:eastAsia="Arial" w:hAnsi="Arial"/>
          <w:sz w:val="16"/>
          <w:szCs w:val="16"/>
          <w:color w:val="auto"/>
        </w:rPr>
      </w:pPr>
    </w:p>
    <w:p>
      <w:pPr>
        <w:ind w:firstLine="1492"/>
        <w:spacing w:after="0" w:line="273" w:lineRule="auto"/>
        <w:tabs>
          <w:tab w:leader="none" w:pos="178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0" w:name="page221"/>
    <w:bookmarkEnd w:id="220"/>
    <w:p>
      <w:pPr>
        <w:ind w:right="200" w:firstLine="1492"/>
        <w:spacing w:after="0" w:line="264" w:lineRule="auto"/>
        <w:tabs>
          <w:tab w:leader="none" w:pos="1738"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1" w:lineRule="exact"/>
        <w:rPr>
          <w:rFonts w:ascii="Arial" w:cs="Arial" w:eastAsia="Arial" w:hAnsi="Arial"/>
          <w:sz w:val="18"/>
          <w:szCs w:val="18"/>
          <w:color w:val="auto"/>
        </w:rPr>
      </w:pPr>
    </w:p>
    <w:p>
      <w:pPr>
        <w:ind w:right="660" w:firstLine="1492"/>
        <w:spacing w:after="0" w:line="277" w:lineRule="auto"/>
        <w:tabs>
          <w:tab w:leader="none" w:pos="178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Company Credits</w:t>
      </w:r>
      <w:r>
        <w:rPr>
          <w:rFonts w:ascii="Arial" w:cs="Arial" w:eastAsia="Arial" w:hAnsi="Arial"/>
          <w:sz w:val="17"/>
          <w:szCs w:val="17"/>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 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14"/>
          <w:szCs w:val="14"/>
          <w:color w:val="auto"/>
        </w:rPr>
        <w:t>nd</w:t>
      </w:r>
      <w:r>
        <w:rPr>
          <w:rFonts w:ascii="Arial" w:cs="Arial" w:eastAsia="Arial" w:hAnsi="Arial"/>
          <w:sz w:val="17"/>
          <w:szCs w:val="17"/>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w:t>
      </w:r>
    </w:p>
    <w:p>
      <w:pPr>
        <w:spacing w:after="0" w:line="225" w:lineRule="exact"/>
        <w:rPr>
          <w:sz w:val="20"/>
          <w:szCs w:val="20"/>
          <w:color w:val="auto"/>
        </w:rPr>
      </w:pPr>
    </w:p>
    <w:p>
      <w:pPr>
        <w:ind w:right="380" w:firstLine="921"/>
        <w:spacing w:after="0" w:line="302" w:lineRule="auto"/>
        <w:tabs>
          <w:tab w:leader="none" w:pos="115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54" w:lineRule="exact"/>
        <w:rPr>
          <w:rFonts w:ascii="Arial" w:cs="Arial" w:eastAsia="Arial" w:hAnsi="Arial"/>
          <w:sz w:val="16"/>
          <w:szCs w:val="16"/>
          <w:color w:val="auto"/>
        </w:rPr>
      </w:pPr>
    </w:p>
    <w:p>
      <w:pPr>
        <w:ind w:right="120" w:firstLine="921"/>
        <w:spacing w:after="0" w:line="257" w:lineRule="auto"/>
        <w:tabs>
          <w:tab w:leader="none" w:pos="116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For purposes of the Plan, a transfer of an employee between two employers, each of which is a Company, shall not be deemed a termination of employment. A Participant who is a Non-Employee Director shall be treated as having terminated employment on the Participant’s termination of service as a Non-Employee Director, provided that if such a Participant is designated as a Director Emeritus upon termination of service as a Non-Employee Director, such Participant shall not be treated as having terminated employment until the Participant’s termination of service as a Director Emeritus.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 – MANNER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921"/>
        <w:spacing w:after="0" w:line="264" w:lineRule="auto"/>
        <w:tabs>
          <w:tab w:leader="none" w:pos="115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nearest whole share.</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To the extent permitted by Section 409A, notwithstanding any Initial Election, Subsequent Election or any other provision of the Plan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210" w:lineRule="exact"/>
        <w:rPr>
          <w:rFonts w:ascii="Arial" w:cs="Arial" w:eastAsia="Arial" w:hAnsi="Arial"/>
          <w:sz w:val="16"/>
          <w:szCs w:val="16"/>
          <w:color w:val="auto"/>
        </w:rPr>
      </w:pPr>
    </w:p>
    <w:p>
      <w:pPr>
        <w:ind w:firstLine="1492"/>
        <w:spacing w:after="0" w:line="264" w:lineRule="auto"/>
        <w:tabs>
          <w:tab w:leader="none" w:pos="169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81" w:lineRule="exact"/>
        <w:rPr>
          <w:rFonts w:ascii="Arial" w:cs="Arial" w:eastAsia="Arial" w:hAnsi="Arial"/>
          <w:sz w:val="18"/>
          <w:szCs w:val="18"/>
          <w:color w:val="auto"/>
        </w:rPr>
      </w:pPr>
    </w:p>
    <w:p>
      <w:pPr>
        <w:ind w:right="40" w:firstLine="1492"/>
        <w:spacing w:after="0" w:line="279" w:lineRule="auto"/>
        <w:tabs>
          <w:tab w:leader="none" w:pos="174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Determination of Account Balances for Purposes of Distribution</w:t>
      </w:r>
      <w:r>
        <w:rPr>
          <w:rFonts w:ascii="Arial" w:cs="Arial" w:eastAsia="Arial" w:hAnsi="Arial"/>
          <w:sz w:val="18"/>
          <w:szCs w:val="18"/>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Company Stock Fund and Income Fund, as applicable, through the date immediately preceding the date on which the distribution request is transmitted to the recordkeeper.</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Section 409A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81" w:lineRule="exact"/>
        <w:rPr>
          <w:sz w:val="20"/>
          <w:szCs w:val="20"/>
          <w:color w:val="auto"/>
        </w:rPr>
      </w:pPr>
    </w:p>
    <w:p>
      <w:pPr>
        <w:ind w:right="720" w:firstLine="921"/>
        <w:spacing w:after="0" w:line="277" w:lineRule="auto"/>
        <w:tabs>
          <w:tab w:leader="none" w:pos="115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22" w:name="page223"/>
    <w:bookmarkEnd w:id="22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81" w:lineRule="exact"/>
        <w:rPr>
          <w:sz w:val="20"/>
          <w:szCs w:val="20"/>
          <w:color w:val="auto"/>
        </w:rPr>
      </w:pPr>
    </w:p>
    <w:p>
      <w:pPr>
        <w:ind w:right="300" w:firstLine="921"/>
        <w:spacing w:after="0" w:line="297" w:lineRule="auto"/>
        <w:tabs>
          <w:tab w:leader="none" w:pos="116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 BOOK ACCOUNTS</w:t>
      </w:r>
    </w:p>
    <w:p>
      <w:pPr>
        <w:spacing w:after="0" w:line="22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Deferred Compensation Account</w:t>
      </w:r>
      <w:r>
        <w:rPr>
          <w:rFonts w:ascii="Arial" w:cs="Arial" w:eastAsia="Arial" w:hAnsi="Arial"/>
          <w:sz w:val="17"/>
          <w:szCs w:val="17"/>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225" w:lineRule="exact"/>
        <w:rPr>
          <w:sz w:val="20"/>
          <w:szCs w:val="20"/>
          <w:color w:val="auto"/>
        </w:rPr>
      </w:pPr>
    </w:p>
    <w:p>
      <w:pPr>
        <w:ind w:right="400" w:firstLine="921"/>
        <w:spacing w:after="0" w:line="277" w:lineRule="auto"/>
        <w:tabs>
          <w:tab w:leader="none" w:pos="1157"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70"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81" w:lineRule="exact"/>
        <w:rPr>
          <w:rFonts w:ascii="Arial" w:cs="Arial" w:eastAsia="Arial" w:hAnsi="Arial"/>
          <w:sz w:val="18"/>
          <w:szCs w:val="18"/>
          <w:color w:val="auto"/>
        </w:rPr>
      </w:pPr>
    </w:p>
    <w:p>
      <w:pPr>
        <w:ind w:firstLine="921"/>
        <w:spacing w:after="0" w:line="259" w:lineRule="auto"/>
        <w:tabs>
          <w:tab w:leader="none" w:pos="1157"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86" w:lineRule="exact"/>
        <w:rPr>
          <w:rFonts w:ascii="Arial" w:cs="Arial" w:eastAsia="Arial" w:hAnsi="Arial"/>
          <w:sz w:val="18"/>
          <w:szCs w:val="18"/>
          <w:color w:val="auto"/>
        </w:rPr>
      </w:pPr>
    </w:p>
    <w:p>
      <w:pPr>
        <w:ind w:right="100" w:firstLine="921"/>
        <w:spacing w:after="0" w:line="264" w:lineRule="auto"/>
        <w:tabs>
          <w:tab w:leader="none" w:pos="116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days of the end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23" w:name="page224"/>
    <w:bookmarkEnd w:id="22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Domestic Relations Orders</w:t>
      </w:r>
      <w:r>
        <w:rPr>
          <w:rFonts w:ascii="Arial" w:cs="Arial" w:eastAsia="Arial" w:hAnsi="Arial"/>
          <w:sz w:val="18"/>
          <w:szCs w:val="18"/>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Payee Designation</w:t>
      </w:r>
      <w:r>
        <w:rPr>
          <w:rFonts w:ascii="Arial" w:cs="Arial" w:eastAsia="Arial" w:hAnsi="Arial"/>
          <w:sz w:val="18"/>
          <w:szCs w:val="18"/>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24" w:name="page225"/>
    <w:bookmarkEnd w:id="224"/>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 DEATH OF PARTICIPANT</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defer the time of payment pursuant to Section 3.5.</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Designation of Beneficiaries</w:t>
      </w:r>
      <w:r>
        <w:rPr>
          <w:rFonts w:ascii="Arial" w:cs="Arial" w:eastAsia="Arial" w:hAnsi="Arial"/>
          <w:sz w:val="17"/>
          <w:szCs w:val="17"/>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Participant’s request, the Committee determines that the Participant has incurred a Hardship, the Board may, in its discretion, authorize the immediate distribution of all or any portion of the Participant’s Account.</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Participant’s Account may be made:</w:t>
      </w:r>
    </w:p>
    <w:p>
      <w:pPr>
        <w:spacing w:after="0" w:line="170" w:lineRule="exact"/>
        <w:rPr>
          <w:sz w:val="20"/>
          <w:szCs w:val="20"/>
          <w:color w:val="auto"/>
        </w:rPr>
      </w:pPr>
    </w:p>
    <w:p>
      <w:pPr>
        <w:ind w:right="140" w:firstLine="921"/>
        <w:spacing w:after="0" w:line="277" w:lineRule="auto"/>
        <w:tabs>
          <w:tab w:leader="none" w:pos="11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70"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To pay employment taxes to the extent permitted by Treasury Regulation section 1.409A-3(j)(4)(vi) (or any successor provision of law).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25" w:name="page226"/>
    <w:bookmarkEnd w:id="225"/>
    <w:p>
      <w:pPr>
        <w:ind w:right="460" w:firstLine="921"/>
        <w:spacing w:after="0" w:line="277" w:lineRule="auto"/>
        <w:tabs>
          <w:tab w:leader="none" w:pos="1168"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recognition of income as the result of a failure to comply with Section 409A, to the extent permitted by Treasury Regulation section 1.409A-3(j)(4)(vii) (or any successor provision of law).</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pay state, local or foreign taxes to the extent permitted by Treasury Regulation section 1.409A-3(j)(4)(xi) (or any successor provision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right="500" w:firstLine="921"/>
        <w:spacing w:after="0" w:line="264" w:lineRule="auto"/>
        <w:tabs>
          <w:tab w:leader="none" w:pos="11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81"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connection with a bona fide dispute as to a Participant’s right to payment, to the extent permitted by Treasury Regulation section 1.409A-3(j)(4)(xiv) (or any successor provision of law).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70" w:lineRule="exact"/>
        <w:rPr>
          <w:sz w:val="20"/>
          <w:szCs w:val="20"/>
          <w:color w:val="auto"/>
        </w:rPr>
      </w:pPr>
    </w:p>
    <w:p>
      <w:pPr>
        <w:ind w:left="1160" w:hanging="239"/>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25" w:lineRule="exact"/>
        <w:rPr>
          <w:rFonts w:ascii="Arial" w:cs="Arial" w:eastAsia="Arial" w:hAnsi="Arial"/>
          <w:sz w:val="18"/>
          <w:szCs w:val="18"/>
          <w:color w:val="auto"/>
        </w:rPr>
      </w:pPr>
    </w:p>
    <w:p>
      <w:pPr>
        <w:ind w:right="480" w:firstLine="921"/>
        <w:spacing w:after="0" w:line="277" w:lineRule="auto"/>
        <w:tabs>
          <w:tab w:leader="none" w:pos="115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26" w:name="page227"/>
    <w:bookmarkEnd w:id="226"/>
    <w:p>
      <w:pPr>
        <w:ind w:right="8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Amendment of Rate of Credited Earnings</w:t>
      </w:r>
      <w:r>
        <w:rPr>
          <w:rFonts w:ascii="Arial" w:cs="Arial" w:eastAsia="Arial" w:hAnsi="Arial"/>
          <w:sz w:val="17"/>
          <w:szCs w:val="17"/>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 – WITHHOLDING OF TAXES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27" w:name="page228"/>
    <w:bookmarkEnd w:id="227"/>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225"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Headings Not a Part Hereof</w:t>
      </w:r>
      <w:r>
        <w:rPr>
          <w:rFonts w:ascii="Arial" w:cs="Arial" w:eastAsia="Arial" w:hAnsi="Arial"/>
          <w:sz w:val="17"/>
          <w:szCs w:val="17"/>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Severability of Provisions</w:t>
      </w:r>
      <w:r>
        <w:rPr>
          <w:rFonts w:ascii="Arial" w:cs="Arial" w:eastAsia="Arial" w:hAnsi="Arial"/>
          <w:sz w:val="17"/>
          <w:szCs w:val="17"/>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35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ARTICLE 13 – EFFECTIVE DATE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effective date of the Plan is January 1, 2005.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28" w:name="page229"/>
    <w:bookmarkEnd w:id="22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COMCAST CORPORATION has caused this Plan to be executed by its officers thereunto duly authorized, and its corporate seal to be affixed hereto, on the 17</w:t>
      </w:r>
      <w:r>
        <w:rPr>
          <w:rFonts w:ascii="Arial" w:cs="Arial" w:eastAsia="Arial" w:hAnsi="Arial"/>
          <w:sz w:val="15"/>
          <w:szCs w:val="15"/>
          <w:color w:val="auto"/>
        </w:rPr>
        <w:t>th</w:t>
      </w:r>
      <w:r>
        <w:rPr>
          <w:rFonts w:ascii="Arial" w:cs="Arial" w:eastAsia="Arial" w:hAnsi="Arial"/>
          <w:sz w:val="18"/>
          <w:szCs w:val="18"/>
          <w:color w:val="auto"/>
        </w:rPr>
        <w:t xml:space="preserve"> day of December, 2013.</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14605</wp:posOffset>
            </wp:positionV>
            <wp:extent cx="24269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0"/>
          </w:cols>
          <w:pgMar w:left="240" w:top="274" w:right="9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COMCAST CORPORATION RETIREMENT-INVESTMENT PLAN</w:t>
      </w:r>
    </w:p>
    <w:p>
      <w:pPr>
        <w:spacing w:after="0" w:line="23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(Amended and Restated Effective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246380</wp:posOffset>
            </wp:positionV>
            <wp:extent cx="15176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30" w:name="page231"/>
    <w:bookmarkEnd w:id="23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II TRANSITION AND ELIGIBILITY TO PARTICIPATE</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38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1"/>
              </w:rPr>
              <w:t>Rights Affected and Preservation of Accrued Benefit</w:t>
            </w:r>
          </w:p>
        </w:tc>
        <w:tc>
          <w:tcPr>
            <w:tcW w:w="54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2.2.</w:t>
            </w:r>
          </w:p>
        </w:tc>
        <w:tc>
          <w:tcPr>
            <w:tcW w:w="174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5"/>
              </w:rPr>
              <w:t>Eligibility to Participate</w:t>
            </w:r>
          </w:p>
        </w:tc>
        <w:tc>
          <w:tcPr>
            <w:tcW w:w="75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2.3.</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Election to Make Pre-Tax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2.4.</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Eligibility to Participate – After-Tax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2.5.</w:t>
            </w: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4"/>
              </w:rPr>
              <w:t>Data</w:t>
            </w:r>
          </w:p>
        </w:tc>
        <w:tc>
          <w:tcPr>
            <w:tcW w:w="3300" w:type="dxa"/>
            <w:vAlign w:val="bottom"/>
            <w:tcBorders>
              <w:top w:val="single" w:sz="8" w:color="auto"/>
            </w:tcBorders>
            <w:gridSpan w:val="19"/>
          </w:tcPr>
          <w:p>
            <w:pPr>
              <w:spacing w:after="0"/>
              <w:rPr>
                <w:sz w:val="17"/>
                <w:szCs w:val="17"/>
                <w:color w:val="auto"/>
              </w:rPr>
            </w:pPr>
          </w:p>
        </w:tc>
        <w:tc>
          <w:tcPr>
            <w:tcW w:w="56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2.6.</w:t>
            </w:r>
          </w:p>
        </w:tc>
        <w:tc>
          <w:tcPr>
            <w:tcW w:w="266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5"/>
              </w:rPr>
              <w:t>Credit for Qualified Military Service</w:t>
            </w:r>
          </w:p>
        </w:tc>
        <w:tc>
          <w:tcPr>
            <w:tcW w:w="66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45"/>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III CONTRIBUTIONS TO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5160" w:type="dxa"/>
            <w:vAlign w:val="bottom"/>
            <w:tcBorders>
              <w:bottom w:val="single" w:sz="8" w:color="auto"/>
            </w:tcBorders>
            <w:gridSpan w:val="23"/>
          </w:tcPr>
          <w:p>
            <w:pPr>
              <w:spacing w:after="0"/>
              <w:rPr>
                <w:sz w:val="20"/>
                <w:szCs w:val="20"/>
                <w:color w:val="auto"/>
              </w:rPr>
            </w:pPr>
            <w:r>
              <w:rPr>
                <w:rFonts w:ascii="Arial" w:cs="Arial" w:eastAsia="Arial" w:hAnsi="Arial"/>
                <w:sz w:val="18"/>
                <w:szCs w:val="18"/>
                <w:color w:val="auto"/>
                <w:w w:val="91"/>
              </w:rPr>
              <w:t>Pre-Tax Contributions, Catch-Up Contributions and Roth Contributions</w:t>
            </w:r>
          </w:p>
        </w:tc>
        <w:tc>
          <w:tcPr>
            <w:tcW w:w="41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3.2.</w:t>
            </w:r>
          </w:p>
        </w:tc>
        <w:tc>
          <w:tcPr>
            <w:tcW w:w="174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2"/>
              </w:rPr>
              <w:t>After-Tax Contributions</w:t>
            </w:r>
          </w:p>
        </w:tc>
        <w:tc>
          <w:tcPr>
            <w:tcW w:w="75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3.3.</w:t>
            </w:r>
          </w:p>
        </w:tc>
        <w:tc>
          <w:tcPr>
            <w:tcW w:w="196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6"/>
              </w:rPr>
              <w:t>Change of Percentage Rate</w:t>
            </w:r>
          </w:p>
        </w:tc>
        <w:tc>
          <w:tcPr>
            <w:tcW w:w="73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3.4.</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Discontinuance of Pre-Tax Contributions, Roth Contributions and After-Tax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3.5.</w:t>
            </w:r>
          </w:p>
        </w:tc>
        <w:tc>
          <w:tcPr>
            <w:tcW w:w="652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Matching Contributions</w:t>
            </w:r>
          </w:p>
        </w:tc>
        <w:tc>
          <w:tcPr>
            <w:tcW w:w="2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7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3.6.</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Comcast Retirement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17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3.7.</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Timing and Deductibility of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3.8.</w:t>
            </w:r>
          </w:p>
        </w:tc>
        <w:tc>
          <w:tcPr>
            <w:tcW w:w="30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Fund</w:t>
            </w:r>
          </w:p>
        </w:tc>
        <w:tc>
          <w:tcPr>
            <w:tcW w:w="62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7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3.9.</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Limitation on Pre-Tax Contributions and Matching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60" w:type="dxa"/>
            <w:vAlign w:val="bottom"/>
            <w:gridSpan w:val="6"/>
            <w:shd w:val="clear" w:color="auto" w:fill="000000"/>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3.10.</w:t>
            </w:r>
          </w:p>
        </w:tc>
        <w:tc>
          <w:tcPr>
            <w:tcW w:w="664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3"/>
              </w:rPr>
              <w:t>Prevention of Violation of Limitation on Pre-Tax Contributions and Matching Contributions</w:t>
            </w:r>
          </w:p>
        </w:tc>
        <w:tc>
          <w:tcPr>
            <w:tcW w:w="26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3.11.</w:t>
            </w:r>
          </w:p>
        </w:tc>
        <w:tc>
          <w:tcPr>
            <w:tcW w:w="15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5"/>
              </w:rPr>
              <w:t>Maximum Allocation</w:t>
            </w:r>
          </w:p>
        </w:tc>
        <w:tc>
          <w:tcPr>
            <w:tcW w:w="774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3.12.</w:t>
            </w:r>
          </w:p>
        </w:tc>
        <w:tc>
          <w:tcPr>
            <w:tcW w:w="136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7"/>
              </w:rPr>
              <w:t>Safe Harbor Status</w:t>
            </w:r>
          </w:p>
        </w:tc>
        <w:tc>
          <w:tcPr>
            <w:tcW w:w="79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3.13.</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Distribution of Excess Contributions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1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IV PARTICIPANTS’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Accounts</w:t>
            </w:r>
          </w:p>
        </w:tc>
        <w:tc>
          <w:tcPr>
            <w:tcW w:w="862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4.2.</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Valuation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4.3.</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Apportionment of Gain or Loss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4.4.</w:t>
            </w:r>
          </w:p>
        </w:tc>
        <w:tc>
          <w:tcPr>
            <w:tcW w:w="226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Accounting for Allocations</w:t>
            </w:r>
          </w:p>
        </w:tc>
        <w:tc>
          <w:tcPr>
            <w:tcW w:w="70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11040" w:type="dxa"/>
            <w:vAlign w:val="bottom"/>
            <w:gridSpan w:val="27"/>
          </w:tcPr>
          <w:p>
            <w:pPr>
              <w:spacing w:after="0"/>
              <w:rPr>
                <w:sz w:val="20"/>
                <w:szCs w:val="20"/>
                <w:color w:val="auto"/>
              </w:rPr>
            </w:pPr>
            <w:r>
              <w:rPr>
                <w:rFonts w:ascii="Arial" w:cs="Arial" w:eastAsia="Arial" w:hAnsi="Arial"/>
                <w:sz w:val="18"/>
                <w:szCs w:val="18"/>
                <w:color w:val="auto"/>
              </w:rPr>
              <w:t>ARTICLE V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300" w:type="dxa"/>
            <w:vAlign w:val="bottom"/>
            <w:gridSpan w:val="26"/>
          </w:tcPr>
          <w:p>
            <w:pPr>
              <w:spacing w:after="0"/>
              <w:rPr>
                <w:sz w:val="20"/>
                <w:szCs w:val="20"/>
                <w:color w:val="auto"/>
              </w:rPr>
            </w:pPr>
            <w:r>
              <w:rPr>
                <w:rFonts w:ascii="Arial" w:cs="Arial" w:eastAsia="Arial" w:hAnsi="Arial"/>
                <w:sz w:val="18"/>
                <w:szCs w:val="18"/>
                <w:color w:val="auto"/>
              </w:rPr>
              <w:t>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5.2.</w:t>
            </w:r>
          </w:p>
        </w:tc>
        <w:tc>
          <w:tcPr>
            <w:tcW w:w="9300" w:type="dxa"/>
            <w:vAlign w:val="bottom"/>
            <w:gridSpan w:val="26"/>
          </w:tcPr>
          <w:p>
            <w:pPr>
              <w:spacing w:after="0" w:line="196" w:lineRule="exact"/>
              <w:rPr>
                <w:sz w:val="20"/>
                <w:szCs w:val="20"/>
                <w:color w:val="auto"/>
              </w:rPr>
            </w:pPr>
            <w:r>
              <w:rPr>
                <w:rFonts w:ascii="Arial" w:cs="Arial" w:eastAsia="Arial" w:hAnsi="Arial"/>
                <w:sz w:val="18"/>
                <w:szCs w:val="18"/>
                <w:color w:val="auto"/>
              </w:rPr>
              <w:t>Separation from Service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5.3.</w:t>
            </w:r>
          </w:p>
        </w:tc>
        <w:tc>
          <w:tcPr>
            <w:tcW w:w="174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Death</w:t>
            </w:r>
          </w:p>
        </w:tc>
        <w:tc>
          <w:tcPr>
            <w:tcW w:w="75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7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40" w:type="dxa"/>
            <w:vAlign w:val="bottom"/>
            <w:gridSpan w:val="1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5.4.</w:t>
            </w:r>
          </w:p>
        </w:tc>
        <w:tc>
          <w:tcPr>
            <w:tcW w:w="112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Total Disability</w:t>
            </w:r>
          </w:p>
        </w:tc>
        <w:tc>
          <w:tcPr>
            <w:tcW w:w="81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5.5.</w:t>
            </w:r>
          </w:p>
        </w:tc>
        <w:tc>
          <w:tcPr>
            <w:tcW w:w="18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3"/>
              </w:rPr>
              <w:t>Valuation for Distribution</w:t>
            </w:r>
          </w:p>
        </w:tc>
        <w:tc>
          <w:tcPr>
            <w:tcW w:w="74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5.6.</w:t>
            </w:r>
          </w:p>
        </w:tc>
        <w:tc>
          <w:tcPr>
            <w:tcW w:w="16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5"/>
              </w:rPr>
              <w:t>Timing of Distribution</w:t>
            </w:r>
          </w:p>
        </w:tc>
        <w:tc>
          <w:tcPr>
            <w:tcW w:w="766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64"/>
        </w:trPr>
        <w:tc>
          <w:tcPr>
            <w:tcW w:w="174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300" w:type="dxa"/>
            <w:vAlign w:val="bottom"/>
            <w:gridSpan w:val="32"/>
          </w:tcPr>
          <w:p>
            <w:pPr>
              <w:spacing w:after="0"/>
              <w:rPr>
                <w:sz w:val="20"/>
                <w:szCs w:val="20"/>
                <w:color w:val="auto"/>
              </w:rPr>
            </w:pPr>
            <w:r>
              <w:rPr>
                <w:rFonts w:ascii="Arial" w:cs="Arial" w:eastAsia="Arial" w:hAnsi="Arial"/>
                <w:sz w:val="18"/>
                <w:szCs w:val="18"/>
                <w:color w:val="auto"/>
              </w:rPr>
              <w:t>Mode of Distribution of Retirement or Disability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5.8.</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Rules for Election of Optional Mode of Retirement or Disability Benefit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5.9.</w:t>
            </w:r>
          </w:p>
        </w:tc>
        <w:tc>
          <w:tcPr>
            <w:tcW w:w="10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9"/>
              </w:rPr>
              <w:t>Death Benefits</w:t>
            </w:r>
          </w:p>
        </w:tc>
        <w:tc>
          <w:tcPr>
            <w:tcW w:w="4120" w:type="dxa"/>
            <w:vAlign w:val="bottom"/>
            <w:tcBorders>
              <w:top w:val="single" w:sz="8" w:color="auto"/>
            </w:tcBorders>
            <w:gridSpan w:val="27"/>
          </w:tcPr>
          <w:p>
            <w:pPr>
              <w:spacing w:after="0"/>
              <w:rPr>
                <w:sz w:val="17"/>
                <w:szCs w:val="17"/>
                <w:color w:val="auto"/>
              </w:rPr>
            </w:pPr>
          </w:p>
        </w:tc>
        <w:tc>
          <w:tcPr>
            <w:tcW w:w="41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5.10.</w:t>
            </w:r>
          </w:p>
        </w:tc>
        <w:tc>
          <w:tcPr>
            <w:tcW w:w="20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Explanations to Participants</w:t>
            </w:r>
          </w:p>
        </w:tc>
        <w:tc>
          <w:tcPr>
            <w:tcW w:w="72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5.11.</w:t>
            </w:r>
          </w:p>
        </w:tc>
        <w:tc>
          <w:tcPr>
            <w:tcW w:w="176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Beneficiary Designation</w:t>
            </w:r>
          </w:p>
        </w:tc>
        <w:tc>
          <w:tcPr>
            <w:tcW w:w="754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5.12.</w:t>
            </w:r>
          </w:p>
        </w:tc>
        <w:tc>
          <w:tcPr>
            <w:tcW w:w="24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2"/>
              </w:rPr>
              <w:t>Recalculation of Life Expectancy</w:t>
            </w:r>
          </w:p>
        </w:tc>
        <w:tc>
          <w:tcPr>
            <w:tcW w:w="68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5.13.</w:t>
            </w:r>
          </w:p>
        </w:tc>
        <w:tc>
          <w:tcPr>
            <w:tcW w:w="24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Transfer of Account to Other Plan</w:t>
            </w:r>
          </w:p>
        </w:tc>
        <w:tc>
          <w:tcPr>
            <w:tcW w:w="68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5.14.</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Section 401(a)(9)</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VI VESTING</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300" w:type="dxa"/>
            <w:vAlign w:val="bottom"/>
            <w:gridSpan w:val="32"/>
          </w:tcPr>
          <w:p>
            <w:pPr>
              <w:spacing w:after="0"/>
              <w:rPr>
                <w:sz w:val="20"/>
                <w:szCs w:val="20"/>
                <w:color w:val="auto"/>
              </w:rPr>
            </w:pPr>
            <w:r>
              <w:rPr>
                <w:rFonts w:ascii="Arial" w:cs="Arial" w:eastAsia="Arial" w:hAnsi="Arial"/>
                <w:sz w:val="18"/>
                <w:szCs w:val="18"/>
                <w:color w:val="auto"/>
              </w:rPr>
              <w:t>Nonforfeitable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6.2.</w:t>
            </w:r>
          </w:p>
        </w:tc>
        <w:tc>
          <w:tcPr>
            <w:tcW w:w="330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1"/>
              </w:rPr>
              <w:t>Vesting of Comcast Retirement Contributions</w:t>
            </w:r>
          </w:p>
        </w:tc>
        <w:tc>
          <w:tcPr>
            <w:tcW w:w="60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6.3.</w:t>
            </w:r>
          </w:p>
        </w:tc>
        <w:tc>
          <w:tcPr>
            <w:tcW w:w="20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9"/>
              </w:rPr>
              <w:t>Years of Service for Vesting</w:t>
            </w:r>
          </w:p>
        </w:tc>
        <w:tc>
          <w:tcPr>
            <w:tcW w:w="72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6.4.</w:t>
            </w:r>
          </w:p>
        </w:tc>
        <w:tc>
          <w:tcPr>
            <w:tcW w:w="274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9"/>
              </w:rPr>
              <w:t>Breaks in Service and Loss of Service</w:t>
            </w:r>
          </w:p>
        </w:tc>
        <w:tc>
          <w:tcPr>
            <w:tcW w:w="65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6.5.</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Restoration of Service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6.6.</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Forfeitures and Restoration of Forfeited Amounts upon Reemployment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VII ROLLOVER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300" w:type="dxa"/>
            <w:vAlign w:val="bottom"/>
            <w:gridSpan w:val="32"/>
          </w:tcPr>
          <w:p>
            <w:pPr>
              <w:spacing w:after="0"/>
              <w:rPr>
                <w:sz w:val="20"/>
                <w:szCs w:val="20"/>
                <w:color w:val="auto"/>
              </w:rPr>
            </w:pPr>
            <w:r>
              <w:rPr>
                <w:rFonts w:ascii="Arial" w:cs="Arial" w:eastAsia="Arial" w:hAnsi="Arial"/>
                <w:sz w:val="18"/>
                <w:szCs w:val="18"/>
                <w:color w:val="auto"/>
              </w:rPr>
              <w:t>Rollover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7.2.</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Vesting and Distribution of Rollover Account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7.3.</w:t>
            </w:r>
          </w:p>
        </w:tc>
        <w:tc>
          <w:tcPr>
            <w:tcW w:w="328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Additional Rollover Amounts</w:t>
            </w:r>
          </w:p>
        </w:tc>
        <w:tc>
          <w:tcPr>
            <w:tcW w:w="60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gridSpan w:val="4"/>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VIII WITHDRAWALS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300" w:type="dxa"/>
            <w:vAlign w:val="bottom"/>
            <w:gridSpan w:val="32"/>
          </w:tcPr>
          <w:p>
            <w:pPr>
              <w:spacing w:after="0"/>
              <w:rPr>
                <w:sz w:val="20"/>
                <w:szCs w:val="20"/>
                <w:color w:val="auto"/>
              </w:rPr>
            </w:pPr>
            <w:r>
              <w:rPr>
                <w:rFonts w:ascii="Arial" w:cs="Arial" w:eastAsia="Arial" w:hAnsi="Arial"/>
                <w:sz w:val="18"/>
                <w:szCs w:val="18"/>
                <w:color w:val="auto"/>
              </w:rPr>
              <w:t>Withdrawals Not Subject to Section 401(k) Restrictions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8.2.</w:t>
            </w:r>
          </w:p>
        </w:tc>
        <w:tc>
          <w:tcPr>
            <w:tcW w:w="3700" w:type="dxa"/>
            <w:vAlign w:val="bottom"/>
            <w:tcBorders>
              <w:top w:val="single" w:sz="8" w:color="auto"/>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1"/>
              </w:rPr>
              <w:t>Withdrawals Subject to Section 401(k) Restrictions</w:t>
            </w:r>
          </w:p>
        </w:tc>
        <w:tc>
          <w:tcPr>
            <w:tcW w:w="300" w:type="dxa"/>
            <w:vAlign w:val="bottom"/>
            <w:tcBorders>
              <w:top w:val="single" w:sz="8" w:color="auto"/>
            </w:tcBorders>
            <w:gridSpan w:val="3"/>
          </w:tcPr>
          <w:p>
            <w:pPr>
              <w:spacing w:after="0"/>
              <w:rPr>
                <w:sz w:val="17"/>
                <w:szCs w:val="17"/>
                <w:color w:val="auto"/>
              </w:rPr>
            </w:pPr>
          </w:p>
        </w:tc>
        <w:tc>
          <w:tcPr>
            <w:tcW w:w="53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69"/>
        </w:trPr>
        <w:tc>
          <w:tcPr>
            <w:tcW w:w="1740" w:type="dxa"/>
            <w:vAlign w:val="bottom"/>
            <w:vMerge w:val="restart"/>
          </w:tcPr>
          <w:p>
            <w:pPr>
              <w:ind w:left="360"/>
              <w:spacing w:after="0" w:line="196" w:lineRule="exact"/>
              <w:rPr>
                <w:sz w:val="20"/>
                <w:szCs w:val="20"/>
                <w:color w:val="auto"/>
              </w:rPr>
            </w:pPr>
            <w:r>
              <w:rPr>
                <w:rFonts w:ascii="Arial" w:cs="Arial" w:eastAsia="Arial" w:hAnsi="Arial"/>
                <w:sz w:val="18"/>
                <w:szCs w:val="18"/>
                <w:color w:val="auto"/>
              </w:rPr>
              <w:t>Section 8.3.</w:t>
            </w:r>
          </w:p>
        </w:tc>
        <w:tc>
          <w:tcPr>
            <w:tcW w:w="3520" w:type="dxa"/>
            <w:vAlign w:val="bottom"/>
            <w:gridSpan w:val="22"/>
            <w:vMerge w:val="restart"/>
          </w:tcPr>
          <w:p>
            <w:pPr>
              <w:spacing w:after="0" w:line="182" w:lineRule="exact"/>
              <w:rPr>
                <w:sz w:val="20"/>
                <w:szCs w:val="20"/>
                <w:color w:val="auto"/>
              </w:rPr>
            </w:pPr>
            <w:r>
              <w:rPr>
                <w:rFonts w:ascii="Arial" w:cs="Arial" w:eastAsia="Arial" w:hAnsi="Arial"/>
                <w:sz w:val="18"/>
                <w:szCs w:val="18"/>
                <w:color w:val="auto"/>
                <w:w w:val="92"/>
              </w:rPr>
              <w:t>Withdrawals On and After Attainment of Age 59</w:t>
            </w: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w:t>
            </w:r>
          </w:p>
        </w:tc>
        <w:tc>
          <w:tcPr>
            <w:tcW w:w="5660" w:type="dxa"/>
            <w:vAlign w:val="bottom"/>
            <w:gridSpan w:val="9"/>
            <w:vMerge w:val="restart"/>
          </w:tcPr>
          <w:p>
            <w:pP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5"/>
                <w:szCs w:val="15"/>
                <w:color w:val="auto"/>
              </w:rPr>
              <w:t>2</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
        </w:trPr>
        <w:tc>
          <w:tcPr>
            <w:tcW w:w="1740" w:type="dxa"/>
            <w:vAlign w:val="bottom"/>
            <w:vMerge w:val="continue"/>
          </w:tcPr>
          <w:p>
            <w:pPr>
              <w:spacing w:after="0" w:line="20" w:lineRule="exact"/>
              <w:rPr>
                <w:sz w:val="1"/>
                <w:szCs w:val="1"/>
                <w:color w:val="auto"/>
              </w:rPr>
            </w:pPr>
          </w:p>
        </w:tc>
        <w:tc>
          <w:tcPr>
            <w:tcW w:w="3520" w:type="dxa"/>
            <w:vAlign w:val="bottom"/>
            <w:tcBorders>
              <w:bottom w:val="single" w:sz="8" w:color="auto"/>
            </w:tcBorders>
            <w:gridSpan w:val="2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60" w:type="dxa"/>
            <w:vAlign w:val="bottom"/>
            <w:gridSpan w:val="9"/>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40" w:type="dxa"/>
            <w:vAlign w:val="bottom"/>
            <w:vMerge w:val="restart"/>
          </w:tcPr>
          <w:p>
            <w:pPr>
              <w:ind w:left="360"/>
              <w:spacing w:after="0" w:line="183" w:lineRule="exact"/>
              <w:rPr>
                <w:sz w:val="20"/>
                <w:szCs w:val="20"/>
                <w:color w:val="auto"/>
              </w:rPr>
            </w:pPr>
            <w:r>
              <w:rPr>
                <w:rFonts w:ascii="Arial" w:cs="Arial" w:eastAsia="Arial" w:hAnsi="Arial"/>
                <w:sz w:val="18"/>
                <w:szCs w:val="18"/>
                <w:color w:val="auto"/>
              </w:rPr>
              <w:t>Section 8.4.</w:t>
            </w:r>
          </w:p>
        </w:tc>
        <w:tc>
          <w:tcPr>
            <w:tcW w:w="1880" w:type="dxa"/>
            <w:vAlign w:val="bottom"/>
            <w:gridSpan w:val="11"/>
            <w:vMerge w:val="restart"/>
          </w:tcPr>
          <w:p>
            <w:pPr>
              <w:spacing w:after="0" w:line="183" w:lineRule="exact"/>
              <w:rPr>
                <w:sz w:val="20"/>
                <w:szCs w:val="20"/>
                <w:color w:val="auto"/>
              </w:rPr>
            </w:pPr>
            <w:r>
              <w:rPr>
                <w:rFonts w:ascii="Arial" w:cs="Arial" w:eastAsia="Arial" w:hAnsi="Arial"/>
                <w:sz w:val="18"/>
                <w:szCs w:val="18"/>
                <w:color w:val="auto"/>
                <w:w w:val="94"/>
              </w:rPr>
              <w:t>HEART Act Distributions</w:t>
            </w:r>
          </w:p>
        </w:tc>
        <w:tc>
          <w:tcPr>
            <w:tcW w:w="1780" w:type="dxa"/>
            <w:vAlign w:val="bottom"/>
            <w:gridSpan w:val="13"/>
            <w:vMerge w:val="restart"/>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540" w:type="dxa"/>
            <w:vAlign w:val="bottom"/>
            <w:gridSpan w:val="5"/>
            <w:vMerge w:val="restart"/>
          </w:tcPr>
          <w:p>
            <w:pPr>
              <w:spacing w:after="0" w:line="20" w:lineRule="exact"/>
              <w:rPr>
                <w:sz w:val="1"/>
                <w:szCs w:val="1"/>
                <w:color w:val="auto"/>
              </w:rPr>
            </w:pPr>
          </w:p>
        </w:tc>
        <w:tc>
          <w:tcPr>
            <w:tcW w:w="280" w:type="dxa"/>
            <w:vAlign w:val="bottom"/>
            <w:vMerge w:val="restart"/>
          </w:tcPr>
          <w:p>
            <w:pPr>
              <w:jc w:val="right"/>
              <w:spacing w:after="0" w:line="183" w:lineRule="exact"/>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880" w:type="dxa"/>
            <w:vAlign w:val="bottom"/>
            <w:tcBorders>
              <w:bottom w:val="single" w:sz="8" w:color="auto"/>
            </w:tcBorders>
            <w:gridSpan w:val="11"/>
            <w:vMerge w:val="continue"/>
          </w:tcPr>
          <w:p>
            <w:pPr>
              <w:spacing w:after="0"/>
              <w:rPr>
                <w:sz w:val="12"/>
                <w:szCs w:val="12"/>
                <w:color w:val="auto"/>
              </w:rPr>
            </w:pPr>
          </w:p>
        </w:tc>
        <w:tc>
          <w:tcPr>
            <w:tcW w:w="1780" w:type="dxa"/>
            <w:vAlign w:val="bottom"/>
            <w:gridSpan w:val="13"/>
            <w:vMerge w:val="continue"/>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vMerge w:val="continue"/>
          </w:tcPr>
          <w:p>
            <w:pPr>
              <w:spacing w:after="0"/>
              <w:rPr>
                <w:sz w:val="12"/>
                <w:szCs w:val="12"/>
                <w:color w:val="auto"/>
              </w:rPr>
            </w:pPr>
          </w:p>
        </w:tc>
        <w:tc>
          <w:tcPr>
            <w:tcW w:w="554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8.5.</w:t>
            </w:r>
          </w:p>
        </w:tc>
        <w:tc>
          <w:tcPr>
            <w:tcW w:w="27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Amount and Payment of Withdrawals</w:t>
            </w:r>
          </w:p>
        </w:tc>
        <w:tc>
          <w:tcPr>
            <w:tcW w:w="65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8.6.</w:t>
            </w:r>
          </w:p>
        </w:tc>
        <w:tc>
          <w:tcPr>
            <w:tcW w:w="29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Withdrawals Not Subject to Replacement</w:t>
            </w:r>
          </w:p>
        </w:tc>
        <w:tc>
          <w:tcPr>
            <w:tcW w:w="63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8.7.</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Pledged Amounts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gridSpan w:val="7"/>
          </w:tcPr>
          <w:p>
            <w:pPr>
              <w:spacing w:after="0" w:line="20" w:lineRule="exact"/>
              <w:rPr>
                <w:sz w:val="1"/>
                <w:szCs w:val="1"/>
                <w:color w:val="auto"/>
              </w:rPr>
            </w:pPr>
          </w:p>
        </w:tc>
        <w:tc>
          <w:tcPr>
            <w:tcW w:w="1380" w:type="dxa"/>
            <w:vAlign w:val="bottom"/>
            <w:gridSpan w:val="13"/>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8.8.</w:t>
            </w:r>
          </w:p>
        </w:tc>
        <w:tc>
          <w:tcPr>
            <w:tcW w:w="376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1"/>
              </w:rPr>
              <w:t>Investment Medium to be Charged with Withdrawal</w:t>
            </w:r>
          </w:p>
        </w:tc>
        <w:tc>
          <w:tcPr>
            <w:tcW w:w="55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45"/>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IX LOANS TO PARTICIPANTS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300" w:type="dxa"/>
            <w:vAlign w:val="bottom"/>
            <w:gridSpan w:val="32"/>
          </w:tcPr>
          <w:p>
            <w:pPr>
              <w:spacing w:after="0"/>
              <w:rPr>
                <w:sz w:val="20"/>
                <w:szCs w:val="20"/>
                <w:color w:val="auto"/>
              </w:rPr>
            </w:pPr>
            <w:r>
              <w:rPr>
                <w:rFonts w:ascii="Arial" w:cs="Arial" w:eastAsia="Arial" w:hAnsi="Arial"/>
                <w:sz w:val="18"/>
                <w:szCs w:val="18"/>
                <w:color w:val="auto"/>
              </w:rPr>
              <w:t>Loan Application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9.2.</w:t>
            </w:r>
          </w:p>
        </w:tc>
        <w:tc>
          <w:tcPr>
            <w:tcW w:w="11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3"/>
              </w:rPr>
              <w:t>Loan Approval</w:t>
            </w:r>
          </w:p>
        </w:tc>
        <w:tc>
          <w:tcPr>
            <w:tcW w:w="120" w:type="dxa"/>
            <w:vAlign w:val="bottom"/>
            <w:tcBorders>
              <w:top w:val="single" w:sz="8" w:color="auto"/>
            </w:tcBorders>
            <w:gridSpan w:val="2"/>
          </w:tcPr>
          <w:p>
            <w:pPr>
              <w:spacing w:after="0"/>
              <w:rPr>
                <w:sz w:val="17"/>
                <w:szCs w:val="17"/>
                <w:color w:val="auto"/>
              </w:rPr>
            </w:pPr>
          </w:p>
        </w:tc>
        <w:tc>
          <w:tcPr>
            <w:tcW w:w="808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9.3.</w:t>
            </w:r>
          </w:p>
        </w:tc>
        <w:tc>
          <w:tcPr>
            <w:tcW w:w="12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2"/>
              </w:rPr>
              <w:t>Amount of Loan</w:t>
            </w:r>
          </w:p>
        </w:tc>
        <w:tc>
          <w:tcPr>
            <w:tcW w:w="81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9.4.</w:t>
            </w:r>
          </w:p>
        </w:tc>
        <w:tc>
          <w:tcPr>
            <w:tcW w:w="1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Terms of Loan</w:t>
            </w:r>
          </w:p>
        </w:tc>
        <w:tc>
          <w:tcPr>
            <w:tcW w:w="824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9.5.</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Enforcement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9.6.</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Additional Rules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6"/>
            <w:shd w:val="clear" w:color="auto" w:fill="000000"/>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92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40" w:type="dxa"/>
            <w:vAlign w:val="bottom"/>
            <w:gridSpan w:val="33"/>
          </w:tcPr>
          <w:p>
            <w:pPr>
              <w:spacing w:after="0"/>
              <w:rPr>
                <w:sz w:val="20"/>
                <w:szCs w:val="20"/>
                <w:color w:val="auto"/>
              </w:rPr>
            </w:pPr>
            <w:r>
              <w:rPr>
                <w:rFonts w:ascii="Arial" w:cs="Arial" w:eastAsia="Arial" w:hAnsi="Arial"/>
                <w:sz w:val="18"/>
                <w:szCs w:val="18"/>
                <w:color w:val="auto"/>
              </w:rPr>
              <w:t>ARTICLE X ADMINISTRATION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Committee</w:t>
            </w:r>
          </w:p>
        </w:tc>
        <w:tc>
          <w:tcPr>
            <w:tcW w:w="8500" w:type="dxa"/>
            <w:vAlign w:val="bottom"/>
            <w:gridSpan w:val="3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10.2.</w:t>
            </w:r>
          </w:p>
        </w:tc>
        <w:tc>
          <w:tcPr>
            <w:tcW w:w="9300" w:type="dxa"/>
            <w:vAlign w:val="bottom"/>
            <w:gridSpan w:val="32"/>
          </w:tcPr>
          <w:p>
            <w:pPr>
              <w:spacing w:after="0" w:line="196" w:lineRule="exact"/>
              <w:rPr>
                <w:sz w:val="20"/>
                <w:szCs w:val="20"/>
                <w:color w:val="auto"/>
              </w:rPr>
            </w:pPr>
            <w:r>
              <w:rPr>
                <w:rFonts w:ascii="Arial" w:cs="Arial" w:eastAsia="Arial" w:hAnsi="Arial"/>
                <w:sz w:val="18"/>
                <w:szCs w:val="18"/>
                <w:color w:val="auto"/>
              </w:rPr>
              <w:t>Duties and Powers of Committee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69" w:right="3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74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300" w:type="dxa"/>
            <w:vAlign w:val="bottom"/>
            <w:gridSpan w:val="25"/>
          </w:tcPr>
          <w:p>
            <w:pPr>
              <w:spacing w:after="0"/>
              <w:rPr>
                <w:sz w:val="20"/>
                <w:szCs w:val="20"/>
                <w:color w:val="auto"/>
              </w:rPr>
            </w:pPr>
            <w:r>
              <w:rPr>
                <w:rFonts w:ascii="Arial" w:cs="Arial" w:eastAsia="Arial" w:hAnsi="Arial"/>
                <w:sz w:val="18"/>
                <w:szCs w:val="18"/>
                <w:color w:val="auto"/>
              </w:rPr>
              <w:t>Functioning of Committee</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10.4.</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Allocation and Delegation of Duties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10.5.</w:t>
            </w:r>
          </w:p>
        </w:tc>
        <w:tc>
          <w:tcPr>
            <w:tcW w:w="260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Plan Expenses</w:t>
            </w:r>
          </w:p>
        </w:tc>
        <w:tc>
          <w:tcPr>
            <w:tcW w:w="67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10.6.</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Information to be Supplied by a Participating Company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10.7.</w:t>
            </w:r>
          </w:p>
        </w:tc>
        <w:tc>
          <w:tcPr>
            <w:tcW w:w="400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Disputes</w:t>
            </w:r>
          </w:p>
        </w:tc>
        <w:tc>
          <w:tcPr>
            <w:tcW w:w="53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10.8.</w:t>
            </w:r>
          </w:p>
        </w:tc>
        <w:tc>
          <w:tcPr>
            <w:tcW w:w="1160" w:type="dxa"/>
            <w:vAlign w:val="bottom"/>
            <w:tcBorders>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94"/>
              </w:rPr>
              <w:t>Indemnification</w:t>
            </w:r>
          </w:p>
        </w:tc>
        <w:tc>
          <w:tcPr>
            <w:tcW w:w="81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45"/>
        </w:trPr>
        <w:tc>
          <w:tcPr>
            <w:tcW w:w="11040" w:type="dxa"/>
            <w:vAlign w:val="bottom"/>
            <w:gridSpan w:val="26"/>
          </w:tcPr>
          <w:p>
            <w:pPr>
              <w:spacing w:after="0"/>
              <w:rPr>
                <w:sz w:val="20"/>
                <w:szCs w:val="20"/>
                <w:color w:val="auto"/>
              </w:rPr>
            </w:pPr>
            <w:r>
              <w:rPr>
                <w:rFonts w:ascii="Arial" w:cs="Arial" w:eastAsia="Arial" w:hAnsi="Arial"/>
                <w:sz w:val="18"/>
                <w:szCs w:val="18"/>
                <w:color w:val="auto"/>
              </w:rPr>
              <w:t>ARTICLE XI THE FUND</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164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89"/>
              </w:rPr>
              <w:t>Designation of Trustee</w:t>
            </w:r>
          </w:p>
        </w:tc>
        <w:tc>
          <w:tcPr>
            <w:tcW w:w="766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11.2.</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Exclusive Benefit</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11.3.</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No Interest in Fund</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11.4.</w:t>
            </w:r>
          </w:p>
        </w:tc>
        <w:tc>
          <w:tcPr>
            <w:tcW w:w="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5"/>
              </w:rPr>
              <w:t>Trustee</w:t>
            </w:r>
          </w:p>
        </w:tc>
        <w:tc>
          <w:tcPr>
            <w:tcW w:w="860" w:type="dxa"/>
            <w:vAlign w:val="bottom"/>
            <w:tcBorders>
              <w:top w:val="single" w:sz="8" w:color="auto"/>
            </w:tcBorders>
            <w:gridSpan w:val="13"/>
          </w:tcPr>
          <w:p>
            <w:pPr>
              <w:spacing w:after="0"/>
              <w:rPr>
                <w:sz w:val="17"/>
                <w:szCs w:val="17"/>
                <w:color w:val="auto"/>
              </w:rPr>
            </w:pPr>
          </w:p>
        </w:tc>
        <w:tc>
          <w:tcPr>
            <w:tcW w:w="79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11.5.</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Investments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11040" w:type="dxa"/>
            <w:vAlign w:val="bottom"/>
            <w:gridSpan w:val="26"/>
          </w:tcPr>
          <w:p>
            <w:pPr>
              <w:spacing w:after="0"/>
              <w:rPr>
                <w:sz w:val="20"/>
                <w:szCs w:val="20"/>
                <w:color w:val="auto"/>
              </w:rPr>
            </w:pPr>
            <w:r>
              <w:rPr>
                <w:rFonts w:ascii="Arial" w:cs="Arial" w:eastAsia="Arial" w:hAnsi="Arial"/>
                <w:sz w:val="18"/>
                <w:szCs w:val="18"/>
                <w:color w:val="auto"/>
              </w:rPr>
              <w:t>ARTICLE XII AMENDMENT OR TERMINATION OF THE PLAN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2820" w:type="dxa"/>
            <w:vAlign w:val="bottom"/>
            <w:tcBorders>
              <w:bottom w:val="single" w:sz="8" w:color="auto"/>
            </w:tcBorders>
            <w:gridSpan w:val="22"/>
          </w:tcPr>
          <w:p>
            <w:pPr>
              <w:spacing w:after="0"/>
              <w:rPr>
                <w:sz w:val="20"/>
                <w:szCs w:val="20"/>
                <w:color w:val="auto"/>
              </w:rPr>
            </w:pPr>
            <w:r>
              <w:rPr>
                <w:rFonts w:ascii="Arial" w:cs="Arial" w:eastAsia="Arial" w:hAnsi="Arial"/>
                <w:sz w:val="18"/>
                <w:szCs w:val="18"/>
                <w:color w:val="auto"/>
                <w:w w:val="90"/>
              </w:rPr>
              <w:t>Power of Amendment and Termination</w:t>
            </w:r>
          </w:p>
        </w:tc>
        <w:tc>
          <w:tcPr>
            <w:tcW w:w="64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12.2.</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Merger</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45"/>
        </w:trPr>
        <w:tc>
          <w:tcPr>
            <w:tcW w:w="11040" w:type="dxa"/>
            <w:vAlign w:val="bottom"/>
            <w:gridSpan w:val="26"/>
          </w:tcPr>
          <w:p>
            <w:pPr>
              <w:spacing w:after="0"/>
              <w:rPr>
                <w:sz w:val="20"/>
                <w:szCs w:val="20"/>
                <w:color w:val="auto"/>
              </w:rPr>
            </w:pPr>
            <w:r>
              <w:rPr>
                <w:rFonts w:ascii="Arial" w:cs="Arial" w:eastAsia="Arial" w:hAnsi="Arial"/>
                <w:sz w:val="18"/>
                <w:szCs w:val="18"/>
                <w:color w:val="auto"/>
              </w:rPr>
              <w:t>ARTICLE XIII TOP-HEAVY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9300" w:type="dxa"/>
            <w:vAlign w:val="bottom"/>
            <w:gridSpan w:val="25"/>
          </w:tcPr>
          <w:p>
            <w:pPr>
              <w:spacing w:after="0"/>
              <w:rPr>
                <w:sz w:val="20"/>
                <w:szCs w:val="20"/>
                <w:color w:val="auto"/>
              </w:rPr>
            </w:pPr>
            <w:r>
              <w:rPr>
                <w:rFonts w:ascii="Arial" w:cs="Arial" w:eastAsia="Arial" w:hAnsi="Arial"/>
                <w:sz w:val="18"/>
                <w:szCs w:val="18"/>
                <w:color w:val="auto"/>
              </w:rPr>
              <w:t>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13.2.</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13.3.</w:t>
            </w:r>
          </w:p>
        </w:tc>
        <w:tc>
          <w:tcPr>
            <w:tcW w:w="350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4"/>
              </w:rPr>
              <w:t>Minimum Contribution for Non-Key Employees</w:t>
            </w:r>
          </w:p>
        </w:tc>
        <w:tc>
          <w:tcPr>
            <w:tcW w:w="58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13.4.</w:t>
            </w:r>
          </w:p>
        </w:tc>
        <w:tc>
          <w:tcPr>
            <w:tcW w:w="110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Social Security</w:t>
            </w:r>
          </w:p>
        </w:tc>
        <w:tc>
          <w:tcPr>
            <w:tcW w:w="82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345"/>
        </w:trPr>
        <w:tc>
          <w:tcPr>
            <w:tcW w:w="11040" w:type="dxa"/>
            <w:vAlign w:val="bottom"/>
            <w:gridSpan w:val="26"/>
          </w:tcPr>
          <w:p>
            <w:pPr>
              <w:spacing w:after="0"/>
              <w:rPr>
                <w:sz w:val="20"/>
                <w:szCs w:val="20"/>
                <w:color w:val="auto"/>
              </w:rPr>
            </w:pPr>
            <w:r>
              <w:rPr>
                <w:rFonts w:ascii="Arial" w:cs="Arial" w:eastAsia="Arial" w:hAnsi="Arial"/>
                <w:sz w:val="18"/>
                <w:szCs w:val="18"/>
                <w:color w:val="auto"/>
              </w:rPr>
              <w:t>ARTICLE XIV 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9300" w:type="dxa"/>
            <w:vAlign w:val="bottom"/>
            <w:gridSpan w:val="25"/>
          </w:tcPr>
          <w:p>
            <w:pPr>
              <w:spacing w:after="0"/>
              <w:rPr>
                <w:sz w:val="20"/>
                <w:szCs w:val="20"/>
                <w:color w:val="auto"/>
              </w:rPr>
            </w:pPr>
            <w:r>
              <w:rPr>
                <w:rFonts w:ascii="Arial" w:cs="Arial" w:eastAsia="Arial" w:hAnsi="Arial"/>
                <w:sz w:val="18"/>
                <w:szCs w:val="18"/>
                <w:color w:val="auto"/>
              </w:rPr>
              <w:t>No Employment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14.2.</w:t>
            </w:r>
          </w:p>
        </w:tc>
        <w:tc>
          <w:tcPr>
            <w:tcW w:w="1140" w:type="dxa"/>
            <w:vAlign w:val="bottom"/>
            <w:tcBorders>
              <w:top w:val="single" w:sz="8" w:color="auto"/>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Governing Law</w:t>
            </w:r>
          </w:p>
        </w:tc>
        <w:tc>
          <w:tcPr>
            <w:tcW w:w="560" w:type="dxa"/>
            <w:vAlign w:val="bottom"/>
            <w:tcBorders>
              <w:top w:val="single" w:sz="8" w:color="auto"/>
            </w:tcBorders>
            <w:gridSpan w:val="7"/>
          </w:tcPr>
          <w:p>
            <w:pPr>
              <w:spacing w:after="0"/>
              <w:rPr>
                <w:sz w:val="17"/>
                <w:szCs w:val="17"/>
                <w:color w:val="auto"/>
              </w:rPr>
            </w:pPr>
          </w:p>
        </w:tc>
        <w:tc>
          <w:tcPr>
            <w:tcW w:w="76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14.3.</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auto"/>
              </w:rPr>
              <w:t>Severability of Provisions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14.4.</w:t>
            </w:r>
          </w:p>
        </w:tc>
        <w:tc>
          <w:tcPr>
            <w:tcW w:w="190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No Interest in Fund</w:t>
            </w:r>
          </w:p>
        </w:tc>
        <w:tc>
          <w:tcPr>
            <w:tcW w:w="74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14.5.</w:t>
            </w:r>
          </w:p>
        </w:tc>
        <w:tc>
          <w:tcPr>
            <w:tcW w:w="1400" w:type="dxa"/>
            <w:vAlign w:val="bottom"/>
            <w:tcBorders>
              <w:top w:val="single" w:sz="8" w:color="auto"/>
            </w:tcBorders>
            <w:gridSpan w:val="15"/>
          </w:tcPr>
          <w:p>
            <w:pPr>
              <w:spacing w:after="0" w:line="196" w:lineRule="exact"/>
              <w:rPr>
                <w:sz w:val="20"/>
                <w:szCs w:val="20"/>
                <w:color w:val="auto"/>
              </w:rPr>
            </w:pPr>
            <w:r>
              <w:rPr>
                <w:rFonts w:ascii="Arial" w:cs="Arial" w:eastAsia="Arial" w:hAnsi="Arial"/>
                <w:sz w:val="18"/>
                <w:szCs w:val="18"/>
                <w:color w:val="auto"/>
                <w:w w:val="93"/>
              </w:rPr>
              <w:t>Spendthrift Clause</w:t>
            </w:r>
          </w:p>
        </w:tc>
        <w:tc>
          <w:tcPr>
            <w:tcW w:w="79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14.6.</w:t>
            </w:r>
          </w:p>
        </w:tc>
        <w:tc>
          <w:tcPr>
            <w:tcW w:w="134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Incapacity</w:t>
            </w:r>
          </w:p>
        </w:tc>
        <w:tc>
          <w:tcPr>
            <w:tcW w:w="79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74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14.7.</w:t>
            </w:r>
          </w:p>
        </w:tc>
        <w:tc>
          <w:tcPr>
            <w:tcW w:w="90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3"/>
              </w:rPr>
              <w:t>Withholding</w:t>
            </w:r>
          </w:p>
        </w:tc>
        <w:tc>
          <w:tcPr>
            <w:tcW w:w="840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14.8.</w:t>
            </w:r>
          </w:p>
        </w:tc>
        <w:tc>
          <w:tcPr>
            <w:tcW w:w="252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8"/>
              </w:rPr>
              <w:t>Missing Persons/Uncashed Checks</w:t>
            </w:r>
          </w:p>
        </w:tc>
        <w:tc>
          <w:tcPr>
            <w:tcW w:w="6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14.9.</w:t>
            </w:r>
          </w:p>
        </w:tc>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3"/>
              </w:rPr>
              <w:t>Notice</w:t>
            </w:r>
          </w:p>
        </w:tc>
        <w:tc>
          <w:tcPr>
            <w:tcW w:w="87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45"/>
        </w:trPr>
        <w:tc>
          <w:tcPr>
            <w:tcW w:w="11040" w:type="dxa"/>
            <w:vAlign w:val="bottom"/>
            <w:gridSpan w:val="26"/>
          </w:tcPr>
          <w:p>
            <w:pPr>
              <w:spacing w:after="0"/>
              <w:rPr>
                <w:sz w:val="20"/>
                <w:szCs w:val="20"/>
                <w:color w:val="auto"/>
              </w:rPr>
            </w:pPr>
            <w:r>
              <w:rPr>
                <w:rFonts w:ascii="Arial" w:cs="Arial" w:eastAsia="Arial" w:hAnsi="Arial"/>
                <w:sz w:val="18"/>
                <w:szCs w:val="18"/>
                <w:color w:val="auto"/>
              </w:rPr>
              <w:t>ARTICLE XV ADDITIONAL SERVICE CREDIT FOR FORMER EMPLOYEES OF CERTAIN ACQUIRED BUSINESSES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9300" w:type="dxa"/>
            <w:vAlign w:val="bottom"/>
            <w:gridSpan w:val="25"/>
          </w:tcPr>
          <w:p>
            <w:pPr>
              <w:spacing w:after="0"/>
              <w:rPr>
                <w:sz w:val="20"/>
                <w:szCs w:val="20"/>
                <w:color w:val="auto"/>
              </w:rPr>
            </w:pPr>
            <w:r>
              <w:rPr>
                <w:rFonts w:ascii="Arial" w:cs="Arial" w:eastAsia="Arial" w:hAnsi="Arial"/>
                <w:sz w:val="18"/>
                <w:szCs w:val="18"/>
                <w:color w:val="auto"/>
              </w:rPr>
              <w:t>Additional Service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15.2.</w:t>
            </w:r>
          </w:p>
        </w:tc>
        <w:tc>
          <w:tcPr>
            <w:tcW w:w="184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Listed Employer</w:t>
            </w:r>
          </w:p>
        </w:tc>
        <w:tc>
          <w:tcPr>
            <w:tcW w:w="74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15.3.</w:t>
            </w:r>
          </w:p>
        </w:tc>
        <w:tc>
          <w:tcPr>
            <w:tcW w:w="120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Applicability</w:t>
            </w:r>
          </w:p>
        </w:tc>
        <w:tc>
          <w:tcPr>
            <w:tcW w:w="81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15.4.</w:t>
            </w:r>
          </w:p>
        </w:tc>
        <w:tc>
          <w:tcPr>
            <w:tcW w:w="8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8"/>
              </w:rPr>
              <w:t>Limitation</w:t>
            </w:r>
          </w:p>
        </w:tc>
        <w:tc>
          <w:tcPr>
            <w:tcW w:w="140" w:type="dxa"/>
            <w:vAlign w:val="bottom"/>
            <w:tcBorders>
              <w:top w:val="single" w:sz="8" w:color="auto"/>
            </w:tcBorders>
            <w:gridSpan w:val="2"/>
          </w:tcPr>
          <w:p>
            <w:pPr>
              <w:spacing w:after="0"/>
              <w:rPr>
                <w:sz w:val="17"/>
                <w:szCs w:val="17"/>
                <w:color w:val="auto"/>
              </w:rPr>
            </w:pPr>
          </w:p>
        </w:tc>
        <w:tc>
          <w:tcPr>
            <w:tcW w:w="83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345"/>
        </w:trPr>
        <w:tc>
          <w:tcPr>
            <w:tcW w:w="11040" w:type="dxa"/>
            <w:vAlign w:val="bottom"/>
            <w:gridSpan w:val="26"/>
          </w:tcPr>
          <w:p>
            <w:pPr>
              <w:spacing w:after="0"/>
              <w:rPr>
                <w:sz w:val="20"/>
                <w:szCs w:val="20"/>
                <w:color w:val="auto"/>
              </w:rPr>
            </w:pPr>
            <w:r>
              <w:rPr>
                <w:rFonts w:ascii="Arial" w:cs="Arial" w:eastAsia="Arial" w:hAnsi="Arial"/>
                <w:sz w:val="18"/>
                <w:szCs w:val="18"/>
                <w:color w:val="auto"/>
              </w:rPr>
              <w:t>ARTICLE XVI COMCAST SPORTS NETWORK (PHILADELPHIA) L.P.</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4"/>
        </w:trPr>
        <w:tc>
          <w:tcPr>
            <w:tcW w:w="1740" w:type="dxa"/>
            <w:vAlign w:val="bottom"/>
          </w:tcPr>
          <w:p>
            <w:pPr>
              <w:ind w:left="360"/>
              <w:spacing w:after="0"/>
              <w:rPr>
                <w:sz w:val="20"/>
                <w:szCs w:val="20"/>
                <w:color w:val="auto"/>
              </w:rPr>
            </w:pPr>
            <w:r>
              <w:rPr>
                <w:rFonts w:ascii="Arial" w:cs="Arial" w:eastAsia="Arial" w:hAnsi="Arial"/>
                <w:sz w:val="18"/>
                <w:szCs w:val="18"/>
                <w:color w:val="auto"/>
              </w:rPr>
              <w:t>Section 16.1.</w:t>
            </w:r>
          </w:p>
        </w:tc>
        <w:tc>
          <w:tcPr>
            <w:tcW w:w="9300" w:type="dxa"/>
            <w:vAlign w:val="bottom"/>
            <w:gridSpan w:val="25"/>
          </w:tcPr>
          <w:p>
            <w:pPr>
              <w:spacing w:after="0"/>
              <w:rPr>
                <w:sz w:val="20"/>
                <w:szCs w:val="20"/>
                <w:color w:val="auto"/>
              </w:rPr>
            </w:pPr>
            <w:r>
              <w:rPr>
                <w:rFonts w:ascii="Arial" w:cs="Arial" w:eastAsia="Arial" w:hAnsi="Arial"/>
                <w:sz w:val="18"/>
                <w:szCs w:val="18"/>
                <w:color w:val="auto"/>
              </w:rPr>
              <w:t>General</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85"/>
        </w:trPr>
        <w:tc>
          <w:tcPr>
            <w:tcW w:w="17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3" w:name="page234"/>
    <w:bookmarkEnd w:id="233"/>
    <w:tbl>
      <w:tblPr>
        <w:tblLayout w:type="fixed"/>
        <w:tblInd w:w="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740" w:type="dxa"/>
            <w:vAlign w:val="bottom"/>
          </w:tcPr>
          <w:p>
            <w:pPr>
              <w:ind w:left="360"/>
              <w:spacing w:after="0"/>
              <w:rPr>
                <w:sz w:val="20"/>
                <w:szCs w:val="20"/>
                <w:color w:val="auto"/>
              </w:rPr>
            </w:pPr>
            <w:r>
              <w:rPr>
                <w:rFonts w:ascii="Arial" w:cs="Arial" w:eastAsia="Arial" w:hAnsi="Arial"/>
                <w:sz w:val="18"/>
                <w:szCs w:val="18"/>
                <w:color w:val="auto"/>
              </w:rPr>
              <w:t>Section 16.2.</w:t>
            </w:r>
          </w:p>
        </w:tc>
        <w:tc>
          <w:tcPr>
            <w:tcW w:w="3600" w:type="dxa"/>
            <w:vAlign w:val="bottom"/>
            <w:gridSpan w:val="4"/>
          </w:tcPr>
          <w:p>
            <w:pPr>
              <w:spacing w:after="0"/>
              <w:rPr>
                <w:sz w:val="20"/>
                <w:szCs w:val="20"/>
                <w:color w:val="auto"/>
              </w:rPr>
            </w:pPr>
            <w:r>
              <w:rPr>
                <w:rFonts w:ascii="Arial" w:cs="Arial" w:eastAsia="Arial" w:hAnsi="Arial"/>
                <w:sz w:val="18"/>
                <w:szCs w:val="18"/>
                <w:color w:val="auto"/>
              </w:rPr>
              <w:t>Eligibility and Vesting Service</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16.3.</w:t>
            </w:r>
          </w:p>
        </w:tc>
        <w:tc>
          <w:tcPr>
            <w:tcW w:w="22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rPr>
              <w:t>Eligibility to Participate</w:t>
            </w:r>
          </w:p>
        </w:tc>
        <w:tc>
          <w:tcPr>
            <w:tcW w:w="1400" w:type="dxa"/>
            <w:vAlign w:val="bottom"/>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740" w:type="dxa"/>
            <w:vAlign w:val="bottom"/>
          </w:tcPr>
          <w:p>
            <w:pPr>
              <w:ind w:left="360"/>
              <w:spacing w:after="0" w:line="196" w:lineRule="exact"/>
              <w:rPr>
                <w:sz w:val="20"/>
                <w:szCs w:val="20"/>
                <w:color w:val="auto"/>
              </w:rPr>
            </w:pPr>
            <w:r>
              <w:rPr>
                <w:rFonts w:ascii="Arial" w:cs="Arial" w:eastAsia="Arial" w:hAnsi="Arial"/>
                <w:sz w:val="18"/>
                <w:szCs w:val="18"/>
                <w:color w:val="auto"/>
              </w:rPr>
              <w:t>Section 16.4.</w:t>
            </w:r>
          </w:p>
        </w:tc>
        <w:tc>
          <w:tcPr>
            <w:tcW w:w="17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Separate Testing</w:t>
            </w:r>
          </w:p>
        </w:tc>
        <w:tc>
          <w:tcPr>
            <w:tcW w:w="1880" w:type="dxa"/>
            <w:vAlign w:val="bottom"/>
            <w:gridSpan w:val="2"/>
          </w:tcPr>
          <w:p>
            <w:pPr>
              <w:spacing w:after="0"/>
              <w:rPr>
                <w:sz w:val="17"/>
                <w:szCs w:val="17"/>
                <w:color w:val="auto"/>
              </w:rPr>
            </w:pPr>
          </w:p>
        </w:tc>
        <w:tc>
          <w:tcPr>
            <w:tcW w:w="5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345"/>
        </w:trPr>
        <w:tc>
          <w:tcPr>
            <w:tcW w:w="5340" w:type="dxa"/>
            <w:vAlign w:val="bottom"/>
            <w:gridSpan w:val="5"/>
          </w:tcPr>
          <w:p>
            <w:pPr>
              <w:spacing w:after="0"/>
              <w:rPr>
                <w:sz w:val="20"/>
                <w:szCs w:val="20"/>
                <w:color w:val="auto"/>
              </w:rPr>
            </w:pPr>
            <w:r>
              <w:rPr>
                <w:rFonts w:ascii="Arial" w:cs="Arial" w:eastAsia="Arial" w:hAnsi="Arial"/>
                <w:sz w:val="18"/>
                <w:szCs w:val="18"/>
                <w:color w:val="auto"/>
              </w:rPr>
              <w:t>SCHEDULE A MINIMUM DISTRIBUTION REQUIREMENTS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APPENDIX A</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324"/>
        </w:trPr>
        <w:tc>
          <w:tcPr>
            <w:tcW w:w="5340" w:type="dxa"/>
            <w:vAlign w:val="bottom"/>
            <w:gridSpan w:val="5"/>
          </w:tcPr>
          <w:p>
            <w:pPr>
              <w:spacing w:after="0"/>
              <w:rPr>
                <w:sz w:val="20"/>
                <w:szCs w:val="20"/>
                <w:color w:val="auto"/>
              </w:rPr>
            </w:pPr>
            <w:r>
              <w:rPr>
                <w:rFonts w:ascii="Arial" w:cs="Arial" w:eastAsia="Arial" w:hAnsi="Arial"/>
                <w:sz w:val="18"/>
                <w:szCs w:val="18"/>
                <w:color w:val="auto"/>
              </w:rPr>
              <w:t>EXHIBIT A PARTICIPATING COMPANIES/LISTED EMPLOYERS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340" w:type="dxa"/>
            <w:vAlign w:val="bottom"/>
            <w:gridSpan w:val="5"/>
          </w:tcPr>
          <w:p>
            <w:pPr>
              <w:spacing w:after="0"/>
              <w:rPr>
                <w:sz w:val="20"/>
                <w:szCs w:val="20"/>
                <w:color w:val="auto"/>
              </w:rPr>
            </w:pPr>
            <w:r>
              <w:rPr>
                <w:rFonts w:ascii="Arial" w:cs="Arial" w:eastAsia="Arial" w:hAnsi="Arial"/>
                <w:sz w:val="18"/>
                <w:szCs w:val="18"/>
                <w:color w:val="auto"/>
              </w:rPr>
              <w:t>EXHIBIT B NBCUNIVERSAL, LLC</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365"/>
        </w:trPr>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80" w:type="dxa"/>
            <w:vAlign w:val="bottom"/>
            <w:gridSpan w:val="2"/>
          </w:tcPr>
          <w:p>
            <w:pPr>
              <w:jc w:val="right"/>
              <w:ind w:right="5408"/>
              <w:spacing w:after="0"/>
              <w:rPr>
                <w:sz w:val="20"/>
                <w:szCs w:val="20"/>
                <w:color w:val="auto"/>
              </w:rPr>
            </w:pPr>
            <w:r>
              <w:rPr>
                <w:rFonts w:ascii="Arial" w:cs="Arial" w:eastAsia="Arial" w:hAnsi="Arial"/>
                <w:sz w:val="18"/>
                <w:szCs w:val="18"/>
                <w:color w:val="auto"/>
              </w:rPr>
              <w:t>-iv-</w:t>
            </w:r>
          </w:p>
        </w:tc>
      </w:tr>
    </w:tbl>
    <w:p>
      <w:pPr>
        <w:jc w:val="right"/>
        <w:ind w:right="5408"/>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34" w:name="page235"/>
    <w:bookmarkEnd w:id="234"/>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COMCAST CORPORATION RETIREMENT-INVESTMENT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Amended and Restated Effective January 1, 2014</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Background</w:t>
      </w:r>
    </w:p>
    <w:p>
      <w:pPr>
        <w:spacing w:after="0" w:line="12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Comcast Corporation, a Pennsylvania corporation, established The Comcast Corporation Employees’ Thrift Plan (the “Plan”) to provide benefits to those of its employees and the employees of its subsidiaries who were eligible to participate as provided therein effective December 1, 1979. The Plan was amended from time to time and amended, restated and redesignated The Comcast Corporation Retirement-Investment Plan effective March 1, 1983. The Plan has been amended subsequently, and amended and restated at various times.</w:t>
      </w:r>
    </w:p>
    <w:p>
      <w:pPr>
        <w:spacing w:after="0" w:line="187" w:lineRule="exact"/>
        <w:rPr>
          <w:sz w:val="20"/>
          <w:szCs w:val="20"/>
          <w:color w:val="auto"/>
        </w:rPr>
      </w:pPr>
    </w:p>
    <w:p>
      <w:pPr>
        <w:jc w:val="both"/>
        <w:ind w:right="360" w:firstLine="1484"/>
        <w:spacing w:after="0" w:line="286" w:lineRule="auto"/>
        <w:rPr>
          <w:sz w:val="20"/>
          <w:szCs w:val="20"/>
          <w:color w:val="auto"/>
        </w:rPr>
      </w:pPr>
      <w:r>
        <w:rPr>
          <w:rFonts w:ascii="Arial" w:cs="Arial" w:eastAsia="Arial" w:hAnsi="Arial"/>
          <w:sz w:val="17"/>
          <w:szCs w:val="17"/>
          <w:color w:val="auto"/>
        </w:rPr>
        <w:t>Comcast Corporation amended, restated and redesignated the Plan as The AT&amp;T Comcast Corporation Retirement-Investment Plan, effective November 18, 2002, the date on which the combination of Comcast Corporation and AT&amp;T Broadband Corp. was consummated. Immediately following such redesignation, the Plan was renamed as The Comcast Corporation Retirement-Investment Plan.</w:t>
      </w:r>
    </w:p>
    <w:p>
      <w:pPr>
        <w:spacing w:after="0" w:line="166" w:lineRule="exact"/>
        <w:rPr>
          <w:sz w:val="20"/>
          <w:szCs w:val="20"/>
          <w:color w:val="auto"/>
        </w:rPr>
      </w:pPr>
    </w:p>
    <w:p>
      <w:pPr>
        <w:ind w:right="840" w:firstLine="1484"/>
        <w:spacing w:after="0" w:line="277" w:lineRule="auto"/>
        <w:rPr>
          <w:sz w:val="20"/>
          <w:szCs w:val="20"/>
          <w:color w:val="auto"/>
        </w:rPr>
      </w:pPr>
      <w:r>
        <w:rPr>
          <w:rFonts w:ascii="Arial" w:cs="Arial" w:eastAsia="Arial" w:hAnsi="Arial"/>
          <w:sz w:val="18"/>
          <w:szCs w:val="18"/>
          <w:color w:val="auto"/>
        </w:rPr>
        <w:t>The Plan was last amended and restated effective January 1, 2013 (unless otherwise stated herein) to reflect the admittance of NBCUniversal, LLC as a Participating Company and to incorporate certain design changes.</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Plan Mergers/Asset Transfers Prior to the Effective Date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plans were merged into the Plan as of the dates indicated below:</w:t>
      </w:r>
    </w:p>
    <w:p>
      <w:pPr>
        <w:spacing w:after="0" w:line="131" w:lineRule="exact"/>
        <w:rPr>
          <w:sz w:val="20"/>
          <w:szCs w:val="20"/>
          <w:color w:val="auto"/>
        </w:rPr>
      </w:pPr>
    </w:p>
    <w:p>
      <w:pPr>
        <w:ind w:left="1920" w:right="780" w:hanging="440"/>
        <w:spacing w:after="0" w:line="308" w:lineRule="auto"/>
        <w:tabs>
          <w:tab w:leader="none" w:pos="19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Barden Savings Plan, the Michigan Savings Plan, the Suburban Savings Plan and the profit sharing and cash or deferred arrangement portion of the Selkirk Plan were merged with and into this Plan – January 1, 1996</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Jones Intercable, Inc. Profit Sharing\Retirement Savings Plan – October 1, 1999</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Garden State Cablevision Retirement-Investment Plan – May 1, 2000</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Prime Communications – Potomac LLC 401(k) Retirement &amp; Savings Plan and the Prime Cable 401(k) Savings and Security Plan</w:t>
      </w:r>
    </w:p>
    <w:p>
      <w:pPr>
        <w:spacing w:after="0" w:line="46"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8"/>
          <w:szCs w:val="18"/>
          <w:color w:val="auto"/>
        </w:rPr>
        <w:t>– August 1, 2000</w:t>
      </w:r>
    </w:p>
    <w:p>
      <w:pPr>
        <w:spacing w:after="0" w:line="116" w:lineRule="exact"/>
        <w:rPr>
          <w:rFonts w:ascii="Arial" w:cs="Arial" w:eastAsia="Arial" w:hAnsi="Arial"/>
          <w:sz w:val="16"/>
          <w:szCs w:val="16"/>
          <w:color w:val="auto"/>
        </w:rPr>
      </w:pPr>
    </w:p>
    <w:p>
      <w:pPr>
        <w:ind w:left="1920" w:hanging="440"/>
        <w:spacing w:after="0"/>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TGC, Inc. D/B/A The Golf Channel 401(k) Profit Sharing Plan – August 1, 2002</w:t>
      </w:r>
    </w:p>
    <w:p>
      <w:pPr>
        <w:spacing w:after="0" w:line="22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Effective April 1, 1998, assets from the tax-qualified defined contribution plan of Marcus Cable (the “Marcus Cable Plan”), attributable to the account balances of participants in the Marcus Cable Plan who transferred employment directly from Marcus Cable to the Company in connection with the Company’s acquisition of certain cable television businesses of Marcus Cable, were transferred to the Plan.</w:t>
      </w:r>
    </w:p>
    <w:p>
      <w:pPr>
        <w:sectPr>
          <w:pgSz w:w="11900" w:h="16838" w:orient="portrait"/>
          <w:cols w:equalWidth="0" w:num="1">
            <w:col w:w="11360"/>
          </w:cols>
          <w:pgMar w:left="240" w:top="274" w:right="299" w:bottom="1440" w:gutter="0" w:footer="0" w:header="0"/>
        </w:sectPr>
      </w:pPr>
    </w:p>
    <w:bookmarkStart w:id="235" w:name="page236"/>
    <w:bookmarkEnd w:id="235"/>
    <w:p>
      <w:pPr>
        <w:ind w:right="14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November 1, 1999, assets from the tax-qualified defined contribution plans of Greater Media (the “Greater Media Plans”), attributable to the account balances of participants in the Greater Media Plans who transferred employment directly from Greater Media to the Company in connection with the Company’s acquisition of the Philadelphia cable television business of Greater Media, were transferred to the Plan.</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Effective April 1, 2002, assets from the Lenfest Group Retirement Plan were transferred to the Plan.</w:t>
      </w:r>
    </w:p>
    <w:p>
      <w:pPr>
        <w:spacing w:after="0" w:line="225"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Effective July 1, 2003 (the “Effective Date”), the Comcast Cable Communications Holdings, Inc. Long Term Savings Plan (formerly the AT&amp;T Broadband Long Term Savings Plan) was merged with and into the Plan.</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CCCHI Plan Mergers/Asset Transfers Prior to the Effective Date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 plans were merged into the CCCHI Plan as of the dates indicated below:</w:t>
      </w:r>
    </w:p>
    <w:p>
      <w:pPr>
        <w:spacing w:after="0" w:line="131" w:lineRule="exact"/>
        <w:rPr>
          <w:sz w:val="20"/>
          <w:szCs w:val="20"/>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TCI TKR L.P. Retirement Savings Plan for Bargaining Unit Employees – May 31, 2001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AT&amp;T Long Term Savings Plan – San Francisco – June 22, 2001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MediaOne Group 401(k) Savings Plan – July 1, 2001</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United Artists Cablesystems Corporation Savings and Investment Plan – August 2, 2002</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TKR Cable Company Defined Contribution Plan – October 4, 2002.</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Tech TV Savings and Profit Sharing Plan – December 31, 2007</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401(k) Savings Plan for Certain Seymour Employees – December 31, 2007</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ThePlatform for Media Retirement Savings Plan – December 31, 2007</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Effective January 25, 2002, assets from the AT&amp;T Merger and Acquisition Retirement Savings Plan, to the extent attributable to current and former employees of AT&amp;T Broadband, were transferred to the CCCHI Plan.</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NBCUniversal – Participation/Asset Transfer</w:t>
      </w:r>
    </w:p>
    <w:p>
      <w:pPr>
        <w:spacing w:after="0" w:line="12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Effective January 1, 2013, NBCUniversal, LLC became a Participating Company in the Plan such that its employees (other certain employees who are eligible to participate in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36" w:name="page237"/>
    <w:bookmarkEnd w:id="236"/>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NBCUniversal Capital Accumulation Plan from and after January 1, 2013 and certain other employees who are members of certain collectively bargained units) shall be eligible to participate in this Comcast Corporation Retirement-Investment Plan (the “Plan”), subject to the eligibility requirements set forth herein. On or about the January 1, 2013, the assets of the NBCUniversal Capital Accumulation Plan representing the accounts of NBCUniversal, LLC employees who are eligible to participate in the Plan were transferred to the Fund. The terms and conditions of the Plan, as set forth herein, shall generally apply to Participants who are such as a result of their employment with NBCUniversal, LLC, except to the extent such provisions contradict with the terms and conditions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Amendment and Restatement</w:t>
      </w:r>
    </w:p>
    <w:p>
      <w:pPr>
        <w:spacing w:after="0" w:line="121"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Comcast Corporation hereby amends and restates The Comcast Corporation Retirement-Investment Plan, effective January 1, 2014, unless stated otherwise herein, to permit Participating Companies to make a discretionary non-elective contribution to the accounts of certain eligible employees and to incorporate certain other design changes, subject to receipt of an Internal Revenue Service determination that the Plan continues to meet all applicable requirements of section 401(a) of the Code, that employer contributions thereto remain deductible under section 404 of the Code and that the trust fund maintained with respect thereto remains tax exempt under section 501(a) of the Code. Notwithstanding the foregoing, the definition of the term “Spouse,” and all references to the term “Spouse” in the Plan shall be effective as of September 16, 2013.</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237" w:name="page238"/>
    <w:bookmarkEnd w:id="23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Except where otherwise clearly indicated by context, the masculine shall include the feminine and the singular shall include the plural, and vice-versa. Any term used herein without an initial capital letter that is used in a provision of the Code with which this Plan must comply to meet the requirements of section 401(a) of the Code shall be interpreted as having the meaning used in such provision of the Code, if necessary for the Plan to comply with such provision.</w:t>
      </w:r>
    </w:p>
    <w:p>
      <w:pPr>
        <w:spacing w:after="0" w:line="187" w:lineRule="exact"/>
        <w:rPr>
          <w:sz w:val="20"/>
          <w:szCs w:val="20"/>
          <w:color w:val="auto"/>
        </w:rPr>
      </w:pPr>
    </w:p>
    <w:p>
      <w:pPr>
        <w:ind w:right="2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the entries maintained in the records of the Trustee which represent the Participant’s interest in the Fund. The term “Account” shall refer, as the context indicates, to any or all of the following:</w:t>
      </w:r>
    </w:p>
    <w:p>
      <w:pPr>
        <w:spacing w:after="0" w:line="170" w:lineRule="exact"/>
        <w:rPr>
          <w:sz w:val="20"/>
          <w:szCs w:val="20"/>
          <w:color w:val="auto"/>
        </w:rPr>
      </w:pPr>
    </w:p>
    <w:p>
      <w:pPr>
        <w:jc w:val="both"/>
        <w:ind w:right="14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 Account</w:t>
      </w:r>
      <w:r>
        <w:rPr>
          <w:rFonts w:ascii="Arial" w:cs="Arial" w:eastAsia="Arial" w:hAnsi="Arial"/>
          <w:sz w:val="18"/>
          <w:szCs w:val="18"/>
          <w:color w:val="auto"/>
        </w:rPr>
        <w:t>” – the Account to which are credited After-Tax Matched Contributions allocated to a Participant, adjustments for withdrawals and distributions, and the earnings, losses and expenses attributable thereto. In addition, amounts denominated as “After-Tax Matched Contributions” under the CCCHI Plan are credited to this Account.</w:t>
      </w:r>
    </w:p>
    <w:p>
      <w:pPr>
        <w:spacing w:after="0" w:line="181" w:lineRule="exact"/>
        <w:rPr>
          <w:sz w:val="20"/>
          <w:szCs w:val="20"/>
          <w:color w:val="auto"/>
        </w:rPr>
      </w:pPr>
    </w:p>
    <w:p>
      <w:pPr>
        <w:ind w:right="80" w:firstLine="194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Rollover Account</w:t>
      </w:r>
      <w:r>
        <w:rPr>
          <w:rFonts w:ascii="Arial" w:cs="Arial" w:eastAsia="Arial" w:hAnsi="Arial"/>
          <w:sz w:val="16"/>
          <w:szCs w:val="16"/>
          <w:color w:val="auto"/>
        </w:rPr>
        <w:t>” – the Account to which are credited a Participant’s After-Tax Rollover Contributions, adjustments for withdrawals and distributions, and the earnings, losses and expenses attributable thereto. In addition, amounts denominated as “Non-taxable Rollover Contributions” under the CCCHI Plan or as “After-Tax Rollover Contributions” under the NBCU CAP are credited to this Account.</w:t>
      </w:r>
    </w:p>
    <w:p>
      <w:pPr>
        <w:spacing w:after="0" w:line="147" w:lineRule="exact"/>
        <w:rPr>
          <w:sz w:val="20"/>
          <w:szCs w:val="20"/>
          <w:color w:val="auto"/>
        </w:rPr>
      </w:pPr>
    </w:p>
    <w:p>
      <w:pPr>
        <w:ind w:right="60" w:firstLine="19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Unmatched Contribution Account</w:t>
      </w:r>
      <w:r>
        <w:rPr>
          <w:rFonts w:ascii="Arial" w:cs="Arial" w:eastAsia="Arial" w:hAnsi="Arial"/>
          <w:sz w:val="16"/>
          <w:szCs w:val="16"/>
          <w:color w:val="auto"/>
        </w:rPr>
        <w:t>” – the Account to which are credited After-Tax Unmatched Contributions allocated to a Participant, adjustments for withdrawals and distributions, and the earnings, losses and expenses attributable thereto. In addition, (i) amounts denominated as “Prior Plan Contributions” under the Plan prior to the Effective Date, (ii) amounts denominated as “After-Tax Unmatched Contributions” under the CCCHI Plan, and (iii) amounts transferred from a Participant’s “Frozen After-Tax Contribution Account” are credited to this Account.</w:t>
      </w:r>
    </w:p>
    <w:p>
      <w:pPr>
        <w:spacing w:after="0" w:line="154" w:lineRule="exact"/>
        <w:rPr>
          <w:sz w:val="20"/>
          <w:szCs w:val="20"/>
          <w:color w:val="auto"/>
        </w:rPr>
      </w:pPr>
    </w:p>
    <w:p>
      <w:pPr>
        <w:jc w:val="both"/>
        <w:ind w:right="5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 Account</w:t>
      </w:r>
      <w:r>
        <w:rPr>
          <w:rFonts w:ascii="Arial" w:cs="Arial" w:eastAsia="Arial" w:hAnsi="Arial"/>
          <w:sz w:val="18"/>
          <w:szCs w:val="18"/>
          <w:color w:val="auto"/>
        </w:rPr>
        <w:t>” – the Account to which are credited Broadband Heritage Matching Contributions and Prior Broadband Heritage Matching Contributions allocated to a Participant, adjustments for withdrawals and distributions, and the earnings, losses and expenses attributable thereto.</w:t>
      </w:r>
    </w:p>
    <w:p>
      <w:pPr>
        <w:spacing w:after="0" w:line="181" w:lineRule="exact"/>
        <w:rPr>
          <w:sz w:val="20"/>
          <w:szCs w:val="20"/>
          <w:color w:val="auto"/>
        </w:rPr>
      </w:pPr>
    </w:p>
    <w:p>
      <w:pPr>
        <w:ind w:firstLine="19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Catch-Up Contribution Account</w:t>
      </w:r>
      <w:r>
        <w:rPr>
          <w:rFonts w:ascii="Arial" w:cs="Arial" w:eastAsia="Arial" w:hAnsi="Arial"/>
          <w:sz w:val="17"/>
          <w:szCs w:val="17"/>
          <w:color w:val="auto"/>
        </w:rPr>
        <w:t>” – the Account to which are credited Catch-Up Contributions allocated to a Participant, adjustments for withdrawals and distributions, and the earnings, losses and expenses attributable thereto. In addition, pre-tax catch-up contributions allocated to a Participant under the Plan or the CCCHI prior to the Effective Date or under the NBCU CAP are allocated to this Account.</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238" w:name="page239"/>
    <w:bookmarkEnd w:id="238"/>
    <w:p>
      <w:pPr>
        <w:ind w:right="940" w:firstLine="19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Comcast Retirement Contributions Account</w:t>
      </w:r>
      <w:r>
        <w:rPr>
          <w:rFonts w:ascii="Arial" w:cs="Arial" w:eastAsia="Arial" w:hAnsi="Arial"/>
          <w:sz w:val="17"/>
          <w:szCs w:val="17"/>
          <w:color w:val="auto"/>
        </w:rPr>
        <w:t>” – the Account to which are credited a Participant’s Comcast Retirement Contributions, adjustments for withdrawals and distributions, and the earnings, losses and expenses attributable thereto.</w:t>
      </w:r>
    </w:p>
    <w:p>
      <w:pPr>
        <w:spacing w:after="0" w:line="147" w:lineRule="exact"/>
        <w:rPr>
          <w:sz w:val="20"/>
          <w:szCs w:val="20"/>
          <w:color w:val="auto"/>
        </w:rPr>
      </w:pPr>
    </w:p>
    <w:p>
      <w:pPr>
        <w:ind w:right="980" w:firstLine="19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DC Adder Contribution Account (Frozen)</w:t>
      </w:r>
      <w:r>
        <w:rPr>
          <w:rFonts w:ascii="Arial" w:cs="Arial" w:eastAsia="Arial" w:hAnsi="Arial"/>
          <w:sz w:val="16"/>
          <w:szCs w:val="16"/>
          <w:color w:val="auto"/>
        </w:rPr>
        <w:t>” – the Account to which are credited amounts denominated as “DC Adder Contributions” under the NBCU CAP, adjustments for withdrawals and distributions, and the earnings, losses and expenses attributable thereto.</w:t>
      </w:r>
    </w:p>
    <w:p>
      <w:pPr>
        <w:spacing w:after="0" w:line="124" w:lineRule="exact"/>
        <w:rPr>
          <w:sz w:val="20"/>
          <w:szCs w:val="20"/>
          <w:color w:val="auto"/>
        </w:rPr>
      </w:pPr>
    </w:p>
    <w:p>
      <w:pPr>
        <w:ind w:right="280" w:firstLine="19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Matching Contribution Account</w:t>
      </w:r>
      <w:r>
        <w:rPr>
          <w:rFonts w:ascii="Arial" w:cs="Arial" w:eastAsia="Arial" w:hAnsi="Arial"/>
          <w:sz w:val="16"/>
          <w:szCs w:val="16"/>
          <w:color w:val="auto"/>
        </w:rPr>
        <w:t>” – the Account to which are credited Matching Contributions allocated to a Participant, adjustments for withdrawals and distributions, and the earnings, losses and expenses attributable thereto. In addition, (i) matching contributions under the Plan after December 31, 2000 and through the Effective Date, (ii) matching contributions under the CCCHI Plan after December 31, 2002 and through the Effective Date, and (iii) matching contributions made to Participants under the NBCU CAP are, in each case, allocated to this Account.</w:t>
      </w:r>
    </w:p>
    <w:p>
      <w:pPr>
        <w:spacing w:after="0" w:line="154" w:lineRule="exact"/>
        <w:rPr>
          <w:sz w:val="20"/>
          <w:szCs w:val="20"/>
          <w:color w:val="auto"/>
        </w:rPr>
      </w:pPr>
    </w:p>
    <w:p>
      <w:pPr>
        <w:ind w:right="1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Retirement Contributions Account</w:t>
      </w:r>
      <w:r>
        <w:rPr>
          <w:rFonts w:ascii="Arial" w:cs="Arial" w:eastAsia="Arial" w:hAnsi="Arial"/>
          <w:sz w:val="18"/>
          <w:szCs w:val="18"/>
          <w:color w:val="auto"/>
        </w:rPr>
        <w:t>” – the Account to which are credited a Participant’s NBCU Retirement Contributions, adjustments for withdrawals and distributions, and the earnings, losses and expenses attributable thereto. In addition, amounts denominated as “Flexible Retirement Account Contributions” under the NBCU CAP are credited to this Account.</w:t>
      </w:r>
    </w:p>
    <w:p>
      <w:pPr>
        <w:spacing w:after="0" w:line="181" w:lineRule="exact"/>
        <w:rPr>
          <w:sz w:val="20"/>
          <w:szCs w:val="20"/>
          <w:color w:val="auto"/>
        </w:rPr>
      </w:pPr>
    </w:p>
    <w:p>
      <w:pPr>
        <w:ind w:right="100" w:firstLine="19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Pre-Tax Matched Contribution Account</w:t>
      </w:r>
      <w:r>
        <w:rPr>
          <w:rFonts w:ascii="Arial" w:cs="Arial" w:eastAsia="Arial" w:hAnsi="Arial"/>
          <w:sz w:val="17"/>
          <w:szCs w:val="17"/>
          <w:color w:val="auto"/>
        </w:rPr>
        <w:t>” – the Account to which are credited a Participant’s Pre-Tax Matched Contributions, adjustments for withdrawals and distributions, and the earnings, losses and expenses attributable thereto. In addition, (i) amounts denominated as “Salary Reduction Contributions” under the Plan prior to the Effective Date that were matched, (ii) amounts denominated as “Pre-Tax Matched Contributions” under the CCCHI Plan, and (iii) amounts denominated as “Pre-Tax Contributions” under the NBCU CAP are credited to this Account.</w:t>
      </w:r>
    </w:p>
    <w:p>
      <w:pPr>
        <w:spacing w:after="0" w:line="171"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 Account</w:t>
      </w:r>
      <w:r>
        <w:rPr>
          <w:rFonts w:ascii="Arial" w:cs="Arial" w:eastAsia="Arial" w:hAnsi="Arial"/>
          <w:sz w:val="18"/>
          <w:szCs w:val="18"/>
          <w:color w:val="auto"/>
        </w:rPr>
        <w:t>” – the Account to which are credited a Participant’s Pre-Tax Unmatched Contributions, adjustments for withdrawals and distributions, and the earnings, losses and expenses attributable thereto. In addition, amounts denominated as “Salary Reduction Contributions” under the Plan prior to the Effective Date that were not matched, as well as amounts denominated as “Pre-Tax Unmatched Contributions” under the CCCHI Plan are credited to this Account.</w:t>
      </w:r>
    </w:p>
    <w:p>
      <w:pPr>
        <w:spacing w:after="0" w:line="187" w:lineRule="exact"/>
        <w:rPr>
          <w:sz w:val="20"/>
          <w:szCs w:val="20"/>
          <w:color w:val="auto"/>
        </w:rPr>
      </w:pPr>
    </w:p>
    <w:p>
      <w:pPr>
        <w:ind w:right="120" w:firstLine="19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(Unvested)</w:t>
      </w:r>
      <w:r>
        <w:rPr>
          <w:rFonts w:ascii="Arial" w:cs="Arial" w:eastAsia="Arial" w:hAnsi="Arial"/>
          <w:sz w:val="16"/>
          <w:szCs w:val="16"/>
          <w:color w:val="auto"/>
        </w:rPr>
        <w:t>” – the Account to which are credited Prior Company Matching Contributions (Unvested) allocated to a Participant, adjustments for withdrawals and distributions, and the earnings, losses and expenses attributable thereto.</w:t>
      </w:r>
    </w:p>
    <w:p>
      <w:pPr>
        <w:spacing w:after="0" w:line="124" w:lineRule="exact"/>
        <w:rPr>
          <w:sz w:val="20"/>
          <w:szCs w:val="20"/>
          <w:color w:val="auto"/>
        </w:rPr>
      </w:pPr>
    </w:p>
    <w:p>
      <w:pPr>
        <w:ind w:right="320" w:firstLine="19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 Account (Vested)</w:t>
      </w:r>
      <w:r>
        <w:rPr>
          <w:rFonts w:ascii="Arial" w:cs="Arial" w:eastAsia="Arial" w:hAnsi="Arial"/>
          <w:sz w:val="16"/>
          <w:szCs w:val="16"/>
          <w:color w:val="auto"/>
        </w:rPr>
        <w:t>” – the Account to which are credited Prior Company Matching Contributions (Vested) allocated to a Participant, adjustments for withdrawals and distributions, and the earnings, losses and expenses attributable thereto.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39" w:name="page240"/>
    <w:bookmarkEnd w:id="239"/>
    <w:p>
      <w:pPr>
        <w:ind w:right="44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QNEC Account</w:t>
      </w:r>
      <w:r>
        <w:rPr>
          <w:rFonts w:ascii="Arial" w:cs="Arial" w:eastAsia="Arial" w:hAnsi="Arial"/>
          <w:sz w:val="18"/>
          <w:szCs w:val="18"/>
          <w:color w:val="auto"/>
        </w:rPr>
        <w:t>” – the Account to which are credited a Participant’s Qualified Non-Elective Contributions, adjustments for withdrawals and distributions, and the earnings, losses and expenses attributable thereto, including any amounts designated as qualified non-elective contributions under the Plan or the CCCHI Plan prior to the Effective Date.</w:t>
      </w:r>
    </w:p>
    <w:p>
      <w:pPr>
        <w:spacing w:after="0" w:line="181" w:lineRule="exact"/>
        <w:rPr>
          <w:sz w:val="20"/>
          <w:szCs w:val="20"/>
          <w:color w:val="auto"/>
        </w:rPr>
      </w:pPr>
    </w:p>
    <w:p>
      <w:pPr>
        <w:ind w:right="2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 Account</w:t>
      </w:r>
      <w:r>
        <w:rPr>
          <w:rFonts w:ascii="Arial" w:cs="Arial" w:eastAsia="Arial" w:hAnsi="Arial"/>
          <w:sz w:val="18"/>
          <w:szCs w:val="18"/>
          <w:color w:val="auto"/>
        </w:rPr>
        <w:t>” – the Account to which are credited Roth Catch-Up Contributions allocated to a Participant, adjustments for withdrawals and distributions, and the earnings, losses and expenses attributable thereto. In addition, amounts denominated as “Roth Catch-Up Contributions” under the NBCU CAP are credited to this Account.</w:t>
      </w:r>
    </w:p>
    <w:p>
      <w:pPr>
        <w:spacing w:after="0" w:line="181" w:lineRule="exact"/>
        <w:rPr>
          <w:sz w:val="20"/>
          <w:szCs w:val="20"/>
          <w:color w:val="auto"/>
        </w:rPr>
      </w:pPr>
    </w:p>
    <w:p>
      <w:pPr>
        <w:ind w:right="620"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Matched Contribution Account</w:t>
      </w:r>
      <w:r>
        <w:rPr>
          <w:rFonts w:ascii="Arial" w:cs="Arial" w:eastAsia="Arial" w:hAnsi="Arial"/>
          <w:sz w:val="18"/>
          <w:szCs w:val="18"/>
          <w:color w:val="auto"/>
        </w:rPr>
        <w:t>” – the Account to which are credited a Participant’s Roth Matched Contributions, adjustments for withdrawals and distributions, and the earnings, losses and expenses attributable thereto. In addition, amounts denominated as “Roth Contributions” under the NBCU CAP are credited to this Account.</w:t>
      </w:r>
    </w:p>
    <w:p>
      <w:pPr>
        <w:spacing w:after="0" w:line="181"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Rollover Account</w:t>
      </w:r>
      <w:r>
        <w:rPr>
          <w:rFonts w:ascii="Arial" w:cs="Arial" w:eastAsia="Arial" w:hAnsi="Arial"/>
          <w:sz w:val="18"/>
          <w:szCs w:val="18"/>
          <w:color w:val="auto"/>
        </w:rPr>
        <w:t>” – the Account to which are credited a Participant’s Roth Rollover Contributions, adjustments for withdrawals and distributions, and the earnings, losses and expenses attributable thereto. In addition, amounts denominated as “Roth Rollover Contributions” under the NBCU CAP are credited to this Account.</w:t>
      </w:r>
    </w:p>
    <w:p>
      <w:pPr>
        <w:spacing w:after="0" w:line="181" w:lineRule="exact"/>
        <w:rPr>
          <w:sz w:val="20"/>
          <w:szCs w:val="20"/>
          <w:color w:val="auto"/>
        </w:rPr>
      </w:pPr>
    </w:p>
    <w:p>
      <w:pPr>
        <w:ind w:right="360" w:firstLine="19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Unmatched Contribution Account</w:t>
      </w:r>
      <w:r>
        <w:rPr>
          <w:rFonts w:ascii="Arial" w:cs="Arial" w:eastAsia="Arial" w:hAnsi="Arial"/>
          <w:sz w:val="18"/>
          <w:szCs w:val="18"/>
          <w:color w:val="auto"/>
        </w:rPr>
        <w:t>” – the Account to which are credited a Participant’s Roth Unmatched Contributions, adjustments for withdrawals and distributions, and the earnings, losses and expenses attributable thereto.</w:t>
      </w:r>
    </w:p>
    <w:p>
      <w:pPr>
        <w:spacing w:after="0" w:line="170" w:lineRule="exact"/>
        <w:rPr>
          <w:sz w:val="20"/>
          <w:szCs w:val="20"/>
          <w:color w:val="auto"/>
        </w:rPr>
      </w:pPr>
    </w:p>
    <w:p>
      <w:pPr>
        <w:ind w:right="120" w:firstLine="19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Taxable Rollover Account</w:t>
      </w:r>
      <w:r>
        <w:rPr>
          <w:rFonts w:ascii="Arial" w:cs="Arial" w:eastAsia="Arial" w:hAnsi="Arial"/>
          <w:sz w:val="17"/>
          <w:szCs w:val="17"/>
          <w:color w:val="auto"/>
        </w:rPr>
        <w:t>” – the Account to which are credited a Participant’s Taxable Rollover Contributions, adjustments for withdrawals and distributions, and the earnings, losses and expenses attributable thereto. In addition, (i) amounts denominated as “Rollover Contributions” under the Plan prior to the Effective Date, (ii) amounts denominated as “Taxable Rollover Contributions” under the CCCHI Plan, and (iii) amount denominated as “Taxable Rollover Contributions” under the NBCU CAP are credited to this Account.</w:t>
      </w:r>
    </w:p>
    <w:p>
      <w:pPr>
        <w:spacing w:after="0" w:line="171" w:lineRule="exact"/>
        <w:rPr>
          <w:sz w:val="20"/>
          <w:szCs w:val="20"/>
          <w:color w:val="auto"/>
        </w:rPr>
      </w:pPr>
    </w:p>
    <w:p>
      <w:pPr>
        <w:ind w:right="22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 an individual who has become an Active Participant as provided in Article II and has remained a Covered Employee at all times thereafter.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Deferral Percentage</w:t>
      </w:r>
      <w:r>
        <w:rPr>
          <w:rFonts w:ascii="Arial" w:cs="Arial" w:eastAsia="Arial" w:hAnsi="Arial"/>
          <w:sz w:val="18"/>
          <w:szCs w:val="18"/>
          <w:color w:val="auto"/>
        </w:rPr>
        <w:t>” means, for any Early Entry Eligible Employee for a given Plan Year, the ratio of:</w:t>
      </w:r>
    </w:p>
    <w:p>
      <w:pPr>
        <w:spacing w:after="0" w:line="225" w:lineRule="exact"/>
        <w:rPr>
          <w:sz w:val="20"/>
          <w:szCs w:val="20"/>
          <w:color w:val="auto"/>
        </w:rPr>
      </w:pPr>
    </w:p>
    <w:p>
      <w:pPr>
        <w:ind w:left="3220" w:hanging="245"/>
        <w:spacing w:after="0"/>
        <w:tabs>
          <w:tab w:leader="none" w:pos="32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such Early Entry Eligible Employee’s Pre-Tax Contributions for the Plan Year, plus</w:t>
      </w:r>
    </w:p>
    <w:p>
      <w:pPr>
        <w:spacing w:after="0" w:line="225" w:lineRule="exact"/>
        <w:rPr>
          <w:rFonts w:ascii="Arial" w:cs="Arial" w:eastAsia="Arial" w:hAnsi="Arial"/>
          <w:sz w:val="18"/>
          <w:szCs w:val="18"/>
          <w:color w:val="auto"/>
        </w:rPr>
      </w:pPr>
    </w:p>
    <w:p>
      <w:pPr>
        <w:ind w:right="20" w:firstLine="3432"/>
        <w:spacing w:after="0" w:line="286" w:lineRule="auto"/>
        <w:tabs>
          <w:tab w:leader="none" w:pos="367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in the case of any Highly Compensated Early Entry Eligible Employee, his elective deferrals for the year under any other qualified retirement plan, other than an employee stock ownership plan as defined in section 4975(e)(7) of the Code or a tax credit employee stock ownership plan as defined in section 409(a) of the Code, maintained by the Participating Company or any Affiliated Company; to</w:t>
      </w:r>
    </w:p>
    <w:p>
      <w:pPr>
        <w:spacing w:after="0" w:line="165" w:lineRule="exact"/>
        <w:rPr>
          <w:rFonts w:ascii="Arial" w:cs="Arial" w:eastAsia="Arial" w:hAnsi="Arial"/>
          <w:sz w:val="17"/>
          <w:szCs w:val="17"/>
          <w:color w:val="auto"/>
        </w:rPr>
      </w:pPr>
    </w:p>
    <w:p>
      <w:pPr>
        <w:ind w:left="3220" w:hanging="245"/>
        <w:spacing w:after="0"/>
        <w:tabs>
          <w:tab w:leader="none" w:pos="32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Early Entry Eligible Employee’s Compensation for that portion of the Plan Year during which he was 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Early Entry Eligible Employee.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240" w:name="page241"/>
    <w:bookmarkEnd w:id="240"/>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plan administrator within the meaning of ERISA. The Committee shall be the Administrator.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with respect to any Participating Company:</w:t>
      </w:r>
    </w:p>
    <w:p>
      <w:pPr>
        <w:spacing w:after="0" w:line="225" w:lineRule="exact"/>
        <w:rPr>
          <w:sz w:val="20"/>
          <w:szCs w:val="20"/>
          <w:color w:val="auto"/>
        </w:rPr>
      </w:pPr>
    </w:p>
    <w:p>
      <w:pPr>
        <w:ind w:left="3220" w:hanging="245"/>
        <w:spacing w:after="0"/>
        <w:tabs>
          <w:tab w:leader="none" w:pos="32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General.</w:t>
      </w:r>
    </w:p>
    <w:p>
      <w:pPr>
        <w:spacing w:after="0" w:line="225" w:lineRule="exact"/>
        <w:rPr>
          <w:rFonts w:ascii="Arial" w:cs="Arial" w:eastAsia="Arial" w:hAnsi="Arial"/>
          <w:sz w:val="18"/>
          <w:szCs w:val="18"/>
          <w:color w:val="auto"/>
        </w:rPr>
      </w:pPr>
    </w:p>
    <w:p>
      <w:pPr>
        <w:ind w:firstLine="3432"/>
        <w:spacing w:after="0" w:line="277" w:lineRule="auto"/>
        <w:tabs>
          <w:tab w:leader="none" w:pos="367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corporation that is a member of a controlled group of corporations, as determined under section 414(b) of the Code, which includes such Participating Company;</w:t>
      </w:r>
    </w:p>
    <w:p>
      <w:pPr>
        <w:spacing w:after="0" w:line="170" w:lineRule="exact"/>
        <w:rPr>
          <w:rFonts w:ascii="Arial" w:cs="Arial" w:eastAsia="Arial" w:hAnsi="Arial"/>
          <w:sz w:val="18"/>
          <w:szCs w:val="18"/>
          <w:color w:val="auto"/>
        </w:rPr>
      </w:pPr>
    </w:p>
    <w:p>
      <w:pPr>
        <w:ind w:right="140" w:firstLine="3432"/>
        <w:spacing w:after="0" w:line="277" w:lineRule="auto"/>
        <w:tabs>
          <w:tab w:leader="none" w:pos="367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trade or business (whether or not incorporated) that is under common control with such Participating Company, as determined under section 414(c) of the Code;</w:t>
      </w:r>
    </w:p>
    <w:p>
      <w:pPr>
        <w:spacing w:after="0" w:line="170" w:lineRule="exact"/>
        <w:rPr>
          <w:rFonts w:ascii="Arial" w:cs="Arial" w:eastAsia="Arial" w:hAnsi="Arial"/>
          <w:sz w:val="18"/>
          <w:szCs w:val="18"/>
          <w:color w:val="auto"/>
        </w:rPr>
      </w:pPr>
    </w:p>
    <w:p>
      <w:pPr>
        <w:ind w:left="3680" w:hanging="248"/>
        <w:spacing w:after="0"/>
        <w:tabs>
          <w:tab w:leader="none" w:pos="36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any member of an affiliated service group, as determined under section 414(m) of the Code, of which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Participating Company is a member; and</w:t>
      </w:r>
    </w:p>
    <w:p>
      <w:pPr>
        <w:spacing w:after="0" w:line="210" w:lineRule="exact"/>
        <w:rPr>
          <w:rFonts w:ascii="Arial" w:cs="Arial" w:eastAsia="Arial" w:hAnsi="Arial"/>
          <w:sz w:val="16"/>
          <w:szCs w:val="16"/>
          <w:color w:val="auto"/>
        </w:rPr>
      </w:pPr>
    </w:p>
    <w:p>
      <w:pPr>
        <w:ind w:right="100" w:firstLine="3432"/>
        <w:spacing w:after="0" w:line="277" w:lineRule="auto"/>
        <w:tabs>
          <w:tab w:leader="none" w:pos="367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other organization or entity which is required to be aggregated with the Participating Company under section 414(o) of the Code and regulations issued thereunder.</w:t>
      </w:r>
    </w:p>
    <w:p>
      <w:pPr>
        <w:spacing w:after="0" w:line="170" w:lineRule="exact"/>
        <w:rPr>
          <w:rFonts w:ascii="Arial" w:cs="Arial" w:eastAsia="Arial" w:hAnsi="Arial"/>
          <w:sz w:val="18"/>
          <w:szCs w:val="18"/>
          <w:color w:val="auto"/>
        </w:rPr>
      </w:pPr>
    </w:p>
    <w:p>
      <w:pPr>
        <w:jc w:val="both"/>
        <w:ind w:right="180" w:firstLine="2975"/>
        <w:spacing w:after="0" w:line="264" w:lineRule="auto"/>
        <w:tabs>
          <w:tab w:leader="none" w:pos="322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50% Affiliated Company</w:t>
      </w:r>
      <w:r>
        <w:rPr>
          <w:rFonts w:ascii="Arial" w:cs="Arial" w:eastAsia="Arial" w:hAnsi="Arial"/>
          <w:sz w:val="18"/>
          <w:szCs w:val="18"/>
          <w:color w:val="auto"/>
        </w:rPr>
        <w:t>.” “50% Affiliated Company” means an Affiliated Company described in subsection (a)(1) or subsection (a)(2) of this definition, but determined with “more than 50%” substituted for the phrase “at least 80%” in section 1563(a) of the Code, when applying sections 414(b) and (c) of the Code.</w:t>
      </w:r>
    </w:p>
    <w:p>
      <w:pPr>
        <w:spacing w:after="0" w:line="181" w:lineRule="exact"/>
        <w:rPr>
          <w:rFonts w:ascii="Arial" w:cs="Arial" w:eastAsia="Arial" w:hAnsi="Arial"/>
          <w:sz w:val="18"/>
          <w:szCs w:val="18"/>
          <w:color w:val="auto"/>
        </w:rPr>
      </w:pPr>
    </w:p>
    <w:p>
      <w:pPr>
        <w:ind w:right="240" w:firstLine="2975"/>
        <w:spacing w:after="0" w:line="302" w:lineRule="auto"/>
        <w:tabs>
          <w:tab w:leader="none" w:pos="3212"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Special Rules</w:t>
      </w:r>
      <w:r>
        <w:rPr>
          <w:rFonts w:ascii="Arial" w:cs="Arial" w:eastAsia="Arial" w:hAnsi="Arial"/>
          <w:sz w:val="16"/>
          <w:szCs w:val="16"/>
          <w:color w:val="auto"/>
        </w:rPr>
        <w:t>. (i) An entity is an Affiliated Company only during those periods in which it is included in a category described in subsection (a) or (b) of this definition. (ii) For purposes of crediting service for eligibility to participate and vesting, an entity at least 25% owned by the Company or a Participating Company shall be deemed an Affiliated Company; provided that, for purposes of eligibility to participate, crediting of such service is contingent upon an Employee notifying the Company of such prior service and verification of such prior service.</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Contributions</w:t>
      </w:r>
      <w:r>
        <w:rPr>
          <w:rFonts w:ascii="Arial" w:cs="Arial" w:eastAsia="Arial" w:hAnsi="Arial"/>
          <w:sz w:val="18"/>
          <w:szCs w:val="18"/>
          <w:color w:val="auto"/>
        </w:rPr>
        <w:t>” means After-Tax Matched Contributions and After-Tax Unmatched Contributions.</w:t>
      </w:r>
    </w:p>
    <w:p>
      <w:pPr>
        <w:spacing w:after="0" w:line="225" w:lineRule="exact"/>
        <w:rPr>
          <w:sz w:val="20"/>
          <w:szCs w:val="20"/>
          <w:color w:val="auto"/>
        </w:rPr>
      </w:pPr>
    </w:p>
    <w:p>
      <w:pPr>
        <w:ind w:right="20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(other than Roth Contributions).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41" w:name="page242"/>
    <w:bookmarkEnd w:id="241"/>
    <w:p>
      <w:pPr>
        <w:ind w:right="220" w:firstLine="148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After-Tax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not constitute taxable income to the Participant when distributed or withdrawn (other than Roth Rollover Contributions).</w:t>
      </w:r>
    </w:p>
    <w:p>
      <w:pPr>
        <w:spacing w:after="0" w:line="181" w:lineRule="exact"/>
        <w:rPr>
          <w:sz w:val="20"/>
          <w:szCs w:val="20"/>
          <w:color w:val="auto"/>
        </w:rPr>
      </w:pPr>
    </w:p>
    <w:p>
      <w:pPr>
        <w:ind w:right="2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Unmatched Contributions</w:t>
      </w:r>
      <w:r>
        <w:rPr>
          <w:rFonts w:ascii="Arial" w:cs="Arial" w:eastAsia="Arial" w:hAnsi="Arial"/>
          <w:sz w:val="18"/>
          <w:szCs w:val="18"/>
          <w:color w:val="auto"/>
        </w:rPr>
        <w:t>” means an amount that a Participant who is a Covered Union Employee (Broadband) elects to have deducted from his or her Compensation, in accordance with Article IV, after income taxes have been withheld on such amounts (other than Roth Contributions). After-Tax Unmatched Contributions are not eligible for Broadband Heritage Matching Contributions.</w:t>
      </w:r>
    </w:p>
    <w:p>
      <w:pPr>
        <w:spacing w:after="0" w:line="38" w:lineRule="exact"/>
        <w:rPr>
          <w:sz w:val="20"/>
          <w:szCs w:val="20"/>
          <w:color w:val="auto"/>
        </w:rPr>
      </w:pPr>
    </w:p>
    <w:p>
      <w:pPr>
        <w:ind w:right="20" w:firstLine="1484"/>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w:t>
      </w:r>
      <w:r>
        <w:rPr>
          <w:rFonts w:ascii="Arial" w:cs="Arial" w:eastAsia="Arial" w:hAnsi="Arial"/>
          <w:sz w:val="18"/>
          <w:szCs w:val="18"/>
          <w:color w:val="auto"/>
        </w:rPr>
        <w:t xml:space="preserve">” means, for any individual, his age on his last birthday, except that an individual reaches Age 59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or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on the corresponding date in the sixth calendar month following the month in which his 59th or 70th (respectively) birthday falls (or the last day of such sixth month if there is no such corresponding date therein).</w:t>
      </w:r>
    </w:p>
    <w:p>
      <w:pPr>
        <w:spacing w:after="0" w:line="185"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Benefit Base Rate</w:t>
      </w:r>
      <w:r>
        <w:rPr>
          <w:rFonts w:ascii="Arial" w:cs="Arial" w:eastAsia="Arial" w:hAnsi="Arial"/>
          <w:sz w:val="18"/>
          <w:szCs w:val="18"/>
          <w:color w:val="auto"/>
        </w:rPr>
        <w:t>” means, with respect to an Employee for a Plan Year, such Employee’s Base Pay for the applicable Plan Year plus commissions earned by such Employee during the applicable Plan Year. Annual Benefit Base Rate shall be subject to the annual dollar limitation set forth in section 401(a)(17) of the Code.</w:t>
      </w:r>
    </w:p>
    <w:p>
      <w:pPr>
        <w:spacing w:after="0" w:line="181"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as reflected on the records of the Company. An employee’s Annual Rate of Pay shall not include sales commissions or other similar payments or awards.</w:t>
      </w:r>
    </w:p>
    <w:p>
      <w:pPr>
        <w:spacing w:after="0" w:line="170" w:lineRule="exact"/>
        <w:rPr>
          <w:sz w:val="20"/>
          <w:szCs w:val="20"/>
          <w:color w:val="auto"/>
        </w:rPr>
      </w:pPr>
    </w:p>
    <w:p>
      <w:pPr>
        <w:ind w:right="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combination of Comcast Corporation and AT&amp;T Broadband Corp., which was consummated on November 18, 2002.</w:t>
      </w:r>
    </w:p>
    <w:p>
      <w:pPr>
        <w:spacing w:after="0" w:line="170" w:lineRule="exact"/>
        <w:rPr>
          <w:sz w:val="20"/>
          <w:szCs w:val="20"/>
          <w:color w:val="auto"/>
        </w:rPr>
      </w:pPr>
    </w:p>
    <w:p>
      <w:pPr>
        <w:ind w:right="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Actual Deferral Percentage</w:t>
      </w:r>
      <w:r>
        <w:rPr>
          <w:rFonts w:ascii="Arial" w:cs="Arial" w:eastAsia="Arial" w:hAnsi="Arial"/>
          <w:sz w:val="18"/>
          <w:szCs w:val="18"/>
          <w:color w:val="auto"/>
        </w:rPr>
        <w:t>” means, for a specified group of Early Entry Eligible Employees for a Plan Year, the average of the Actual Deferral Percentages for such Early Entry Eligible Employees for the Plan Year.</w:t>
      </w:r>
    </w:p>
    <w:p>
      <w:pPr>
        <w:spacing w:after="0" w:line="170" w:lineRule="exact"/>
        <w:rPr>
          <w:sz w:val="20"/>
          <w:szCs w:val="20"/>
          <w:color w:val="auto"/>
        </w:rPr>
      </w:pPr>
    </w:p>
    <w:p>
      <w:pPr>
        <w:ind w:right="2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Contribution Percentage</w:t>
      </w:r>
      <w:r>
        <w:rPr>
          <w:rFonts w:ascii="Arial" w:cs="Arial" w:eastAsia="Arial" w:hAnsi="Arial"/>
          <w:sz w:val="18"/>
          <w:szCs w:val="18"/>
          <w:color w:val="auto"/>
        </w:rPr>
        <w:t>” means, for a specified group of Early Entry Eligible Employees for a Plan Year, the average of the Contribution Percentages for such Early Entry Eligible Employees for the Plan Year.</w:t>
      </w:r>
    </w:p>
    <w:p>
      <w:pPr>
        <w:spacing w:after="0" w:line="170" w:lineRule="exact"/>
        <w:rPr>
          <w:sz w:val="20"/>
          <w:szCs w:val="20"/>
          <w:color w:val="auto"/>
        </w:rPr>
      </w:pPr>
    </w:p>
    <w:p>
      <w:pPr>
        <w:ind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Pay</w:t>
      </w:r>
      <w:r>
        <w:rPr>
          <w:rFonts w:ascii="Arial" w:cs="Arial" w:eastAsia="Arial" w:hAnsi="Arial"/>
          <w:sz w:val="18"/>
          <w:szCs w:val="18"/>
          <w:color w:val="auto"/>
        </w:rPr>
        <w:t>” means, with respect to an Employee for a Plan Year, regular wages actually paid to the Employee in respect of that Plan Year, including wages paid while on vacation or other paid time off (including wages in respect of floating holiday time retroactively taken and wages paid while on jury duty), flex time, call out pay, standby pay, shift differential and bereavement pay; and excluding overtime pay, pay in respect of any period while the Employee is on long-term or short-term disability, and bonus payments and other incentive compensation. Base Pay shall be subject to the annual dollar limitation set forth in section 401(a)(17) of the Code.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42" w:name="page243"/>
    <w:bookmarkEnd w:id="242"/>
    <w:p>
      <w:pPr>
        <w:ind w:right="38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Benefit Commencement Date</w:t>
      </w:r>
      <w:r>
        <w:rPr>
          <w:rFonts w:ascii="Arial" w:cs="Arial" w:eastAsia="Arial" w:hAnsi="Arial"/>
          <w:sz w:val="18"/>
          <w:szCs w:val="18"/>
          <w:color w:val="auto"/>
        </w:rPr>
        <w:t>” means, for any Participant or beneficiary, the date as of which the first benefit payment, including a single sum, from the Participant’s Account is due, other than pursuant to a withdrawal under Article VIII.</w:t>
      </w:r>
    </w:p>
    <w:p>
      <w:pPr>
        <w:spacing w:after="0" w:line="170" w:lineRule="exact"/>
        <w:rPr>
          <w:sz w:val="20"/>
          <w:szCs w:val="20"/>
          <w:color w:val="auto"/>
        </w:rPr>
      </w:pPr>
    </w:p>
    <w:p>
      <w:pPr>
        <w:jc w:val="both"/>
        <w:ind w:right="12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(or other governing body) of the Company and, to the extent the Board has delegated its authority hereunder to the Board’s Executive Committee, the Executive Committee.</w:t>
      </w:r>
    </w:p>
    <w:p>
      <w:pPr>
        <w:spacing w:after="0" w:line="170" w:lineRule="exact"/>
        <w:rPr>
          <w:sz w:val="20"/>
          <w:szCs w:val="20"/>
          <w:color w:val="auto"/>
        </w:rPr>
      </w:pPr>
    </w:p>
    <w:p>
      <w:pPr>
        <w:jc w:val="both"/>
        <w:ind w:right="1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Broadband Heritage Matching Contributions</w:t>
      </w:r>
      <w:r>
        <w:rPr>
          <w:rFonts w:ascii="Arial" w:cs="Arial" w:eastAsia="Arial" w:hAnsi="Arial"/>
          <w:sz w:val="18"/>
          <w:szCs w:val="18"/>
          <w:color w:val="auto"/>
        </w:rPr>
        <w:t>” means the amounts contributed by the Company and referenced as “Broadband Heritage Matching Contributions” pursuant to the Plan as in effect on December 31, 2009.</w:t>
      </w:r>
    </w:p>
    <w:p>
      <w:pPr>
        <w:spacing w:after="0" w:line="170"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Catch-Up Contributions</w:t>
      </w:r>
      <w:r>
        <w:rPr>
          <w:rFonts w:ascii="Arial" w:cs="Arial" w:eastAsia="Arial" w:hAnsi="Arial"/>
          <w:sz w:val="18"/>
          <w:szCs w:val="18"/>
          <w:color w:val="auto"/>
        </w:rPr>
        <w:t xml:space="preserve">” means for any eligible Participant, contributions on his behalf as provided in Section 3.1.3 or in Section 3.1(b)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that are made in accordance with, and subject to the limitations of, section 414(v) of the Code.</w:t>
      </w:r>
    </w:p>
    <w:p>
      <w:pPr>
        <w:spacing w:after="0" w:line="170" w:lineRule="exact"/>
        <w:rPr>
          <w:sz w:val="20"/>
          <w:szCs w:val="20"/>
          <w:color w:val="auto"/>
        </w:rPr>
      </w:pPr>
    </w:p>
    <w:p>
      <w:pPr>
        <w:ind w:right="3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CCCHI Plan</w:t>
      </w:r>
      <w:r>
        <w:rPr>
          <w:rFonts w:ascii="Arial" w:cs="Arial" w:eastAsia="Arial" w:hAnsi="Arial"/>
          <w:sz w:val="18"/>
          <w:szCs w:val="18"/>
          <w:color w:val="auto"/>
        </w:rPr>
        <w:t>” means the Comcast Cable Communications Holdings, Inc. Long Term Savings Plan (formerly the AT&amp;T Broadband Long Term Savings Plan), as in effect on June 30, 2003.</w:t>
      </w:r>
    </w:p>
    <w:p>
      <w:pPr>
        <w:spacing w:after="0" w:line="170" w:lineRule="exact"/>
        <w:rPr>
          <w:sz w:val="20"/>
          <w:szCs w:val="20"/>
          <w:color w:val="auto"/>
        </w:rPr>
      </w:pPr>
    </w:p>
    <w:p>
      <w:pPr>
        <w:jc w:val="both"/>
        <w:ind w:right="12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“Change in Control” as defined in the AT&amp;T 1997 Long Term Incentive Program (as amended May 19, 1999 and March 14, 2000), or (ii) the merger between AT&amp;T Broadband and Comcast Corp. contemplated in the Agreement and Plan of Merger dated as of December 19, 2001 by and among AT&amp;T Corp., AT&amp;T Broadband Corp., Comcast Corporation, AT&amp;T Broadband Acquisition Corp., Comcast Acquisition Corp. and AT&amp;T Comcast Corporation.</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any regulations issued thereunder.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Retirement Contributions</w:t>
      </w:r>
      <w:r>
        <w:rPr>
          <w:rFonts w:ascii="Arial" w:cs="Arial" w:eastAsia="Arial" w:hAnsi="Arial"/>
          <w:sz w:val="18"/>
          <w:szCs w:val="18"/>
          <w:color w:val="auto"/>
        </w:rPr>
        <w:t>” means the amounts contributed by a Participating Company pursuant to Section 3.6.</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individuals appointed to supervise the administration of the Plan, as provided in Article X of the Plan.</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means Comcast Corporation Class A Common Stock.</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for any Eligible Employee, for any Plan Year or Limitation Year, as the case may be:</w:t>
      </w:r>
    </w:p>
    <w:p>
      <w:pPr>
        <w:spacing w:after="0" w:line="225" w:lineRule="exact"/>
        <w:rPr>
          <w:sz w:val="20"/>
          <w:szCs w:val="20"/>
          <w:color w:val="auto"/>
        </w:rPr>
      </w:pPr>
    </w:p>
    <w:p>
      <w:pPr>
        <w:ind w:right="100" w:firstLine="2975"/>
        <w:spacing w:after="0" w:line="259" w:lineRule="auto"/>
        <w:tabs>
          <w:tab w:leader="none" w:pos="321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except as otherwise provided below in this definition, and subject to the limitations set forth in subsection (c) of this definition, his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for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43" w:name="page244"/>
    <w:bookmarkEnd w:id="243"/>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Plan Year, reduced by reimbursements or other expense allowances, fringe benefits (cash and non-cash), moving expenses, deferred compensation, and welfare benefits, but including Pre-Tax Contributions and elective contributions that are not includible in gross income under sections 125 or 402(a)(8) of the Code. For the purposes of the definitions of “Actual Deferral Percentage” and “Contribution Percentage” in this Article (except as otherwise provided in such definitions), the Company may elect to consider only Compensation as defined above for that portion of the Plan Year during which the Employee was an Eligible Employee, provided that this election is applied uniformly to all Eligible Employees for the Plan Year.</w:t>
      </w:r>
    </w:p>
    <w:p>
      <w:pPr>
        <w:spacing w:after="0" w:line="173" w:lineRule="exact"/>
        <w:rPr>
          <w:sz w:val="20"/>
          <w:szCs w:val="20"/>
          <w:color w:val="auto"/>
        </w:rPr>
      </w:pPr>
    </w:p>
    <w:p>
      <w:pPr>
        <w:ind w:right="60" w:firstLine="2975"/>
        <w:spacing w:after="0" w:line="273" w:lineRule="auto"/>
        <w:tabs>
          <w:tab w:leader="none" w:pos="322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for the purposes of Article XIII and Section 3.11, subject to the limitations set forth in subsection (c) of this definition, the Employee’s wages as reported on Form W-2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wages as defined in section 3401(a) of the Code and all other payments of compensation for which the Participating Company is required to furnish the employee a written statement under sections 6041(d) and 6051(a)(3) of the Code); </w:t>
      </w:r>
      <w:r>
        <w:rPr>
          <w:rFonts w:ascii="Arial" w:cs="Arial" w:eastAsia="Arial" w:hAnsi="Arial"/>
          <w:sz w:val="17"/>
          <w:szCs w:val="17"/>
          <w:u w:val="single" w:color="auto"/>
          <w:color w:val="auto"/>
        </w:rPr>
        <w:t>provided that</w:t>
      </w:r>
      <w:r>
        <w:rPr>
          <w:rFonts w:ascii="Arial" w:cs="Arial" w:eastAsia="Arial" w:hAnsi="Arial"/>
          <w:sz w:val="17"/>
          <w:szCs w:val="17"/>
          <w:color w:val="auto"/>
        </w:rPr>
        <w:t>, Compensation shall include any elective deferral as defined by section 402(g)(3) of the Code, all employee contributions to an annuity under section 403(b) of the Code, and any amount which is contributed or deferred by a Participating Company or Affiliated Company at the election of the Employee and which is not includible in the gross income of the Employee by reason of sections 125, 132(f) or 457 of the Code.</w:t>
      </w:r>
    </w:p>
    <w:p>
      <w:pPr>
        <w:spacing w:after="0" w:line="178" w:lineRule="exact"/>
        <w:rPr>
          <w:rFonts w:ascii="Arial" w:cs="Arial" w:eastAsia="Arial" w:hAnsi="Arial"/>
          <w:sz w:val="17"/>
          <w:szCs w:val="17"/>
          <w:color w:val="auto"/>
        </w:rPr>
      </w:pPr>
    </w:p>
    <w:p>
      <w:pPr>
        <w:jc w:val="both"/>
        <w:ind w:right="20" w:firstLine="2975"/>
        <w:spacing w:after="0" w:line="259" w:lineRule="auto"/>
        <w:tabs>
          <w:tab w:leader="none" w:pos="321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Only compensation not in excess of $255,000, as adjusted for cost-of-living increases in accordance with section 401(a)(17)(B) of the Code, shall be considered for all purposes under the Plan. The limitation described in this subsection (c) shall be applied beginning from the first day of the Plan Year regardless of whether the applicable Employee transfers employment between the NBCUniversal and its subsidiaries and the Company and its subsidiaries during such Plan Year.</w:t>
      </w:r>
    </w:p>
    <w:p>
      <w:pPr>
        <w:spacing w:after="0" w:line="186" w:lineRule="exact"/>
        <w:rPr>
          <w:rFonts w:ascii="Arial" w:cs="Arial" w:eastAsia="Arial" w:hAnsi="Arial"/>
          <w:sz w:val="18"/>
          <w:szCs w:val="18"/>
          <w:color w:val="auto"/>
        </w:rPr>
      </w:pPr>
    </w:p>
    <w:p>
      <w:pPr>
        <w:ind w:right="100" w:firstLine="2975"/>
        <w:spacing w:after="0" w:line="290" w:lineRule="auto"/>
        <w:tabs>
          <w:tab w:leader="none" w:pos="322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For purposes of Article III, except Section 3.11, as applied to Covered Union Employees (Broadband), Compensation shall mean base pay (prior to reductions under sections 125 and 401(k) of the Code), bonuses (other than STIP and executive STIP listed below), payments received under the Company Sickness and Accident Disability Plan or short term disability payments under the Company Disability Plan, commissions, and buyout of base pay due to demotion or resulting from pay parity, but shall not include: (1) shift, expatriate, and geographic differentials, overtime, non-cash payments, relocation allowances and special cash payments such as hire, stay or referral payments; (2) payments under the Short-Term Incentive Program (STIP), and executive bonuses including long-term payments and Executive Short-Term Incentive Plan (ESTIP); (3) payments made for waiver of medical coverage, previously deferred compensation, exercise of stock options, gross-up amounts or cashout of paid time off; (4) deferred compensation in any nonqualified plan; or (5) any compensation that is paid with an effective date after retirement or termination of employment.</w:t>
      </w:r>
    </w:p>
    <w:p>
      <w:pPr>
        <w:spacing w:after="0" w:line="166" w:lineRule="exact"/>
        <w:rPr>
          <w:rFonts w:ascii="Arial" w:cs="Arial" w:eastAsia="Arial" w:hAnsi="Arial"/>
          <w:sz w:val="16"/>
          <w:szCs w:val="16"/>
          <w:color w:val="auto"/>
        </w:rPr>
      </w:pPr>
    </w:p>
    <w:p>
      <w:pPr>
        <w:ind w:right="40" w:firstLine="2975"/>
        <w:spacing w:after="0" w:line="264" w:lineRule="auto"/>
        <w:tabs>
          <w:tab w:leader="none" w:pos="321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effective on and after January 1, 2006, Compensation shall not include any payments of compensation as described above in subsections (a), (b) and (d) that are paid more than 75 calendar days after an Employee’s Separation from Service.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244" w:name="page245"/>
    <w:bookmarkEnd w:id="24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Contribution Percentage</w:t>
      </w:r>
      <w:r>
        <w:rPr>
          <w:rFonts w:ascii="Arial" w:cs="Arial" w:eastAsia="Arial" w:hAnsi="Arial"/>
          <w:sz w:val="18"/>
          <w:szCs w:val="18"/>
          <w:color w:val="auto"/>
        </w:rPr>
        <w:t>” means for any Early Entry Eligible Employee for a given Plan Year, the ratio of:</w:t>
      </w:r>
    </w:p>
    <w:p>
      <w:pPr>
        <w:spacing w:after="0" w:line="225" w:lineRule="exact"/>
        <w:rPr>
          <w:sz w:val="20"/>
          <w:szCs w:val="20"/>
          <w:color w:val="auto"/>
        </w:rPr>
      </w:pPr>
    </w:p>
    <w:p>
      <w:pPr>
        <w:ind w:left="3220" w:hanging="245"/>
        <w:spacing w:after="0"/>
        <w:tabs>
          <w:tab w:leader="none" w:pos="32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such Early Entry Eligible Employee’s Matching Contributions, plus</w:t>
      </w:r>
    </w:p>
    <w:p>
      <w:pPr>
        <w:spacing w:after="0" w:line="225" w:lineRule="exact"/>
        <w:rPr>
          <w:rFonts w:ascii="Arial" w:cs="Arial" w:eastAsia="Arial" w:hAnsi="Arial"/>
          <w:sz w:val="18"/>
          <w:szCs w:val="18"/>
          <w:color w:val="auto"/>
        </w:rPr>
      </w:pPr>
    </w:p>
    <w:p>
      <w:pPr>
        <w:ind w:right="80" w:firstLine="3432"/>
        <w:spacing w:after="0" w:line="279" w:lineRule="auto"/>
        <w:tabs>
          <w:tab w:leader="none" w:pos="367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in the case of any Highly Compensated Early Entry Eligible Employee, any employee contributions and employer matching contributions, including any elective deferrals recharacterized as employee contributions, under any other qualified retirement plan, other than an employee stock ownership plan as defined in section 4975(e)(7) of the Code or a tax credit employee stock ownership plan as defined in section 409(a) of the Code, maintained by the Participating Company or any Affiliated Company, plus</w:t>
      </w:r>
    </w:p>
    <w:p>
      <w:pPr>
        <w:spacing w:after="0" w:line="171" w:lineRule="exact"/>
        <w:rPr>
          <w:rFonts w:ascii="Arial" w:cs="Arial" w:eastAsia="Arial" w:hAnsi="Arial"/>
          <w:sz w:val="17"/>
          <w:szCs w:val="17"/>
          <w:color w:val="auto"/>
        </w:rPr>
      </w:pPr>
    </w:p>
    <w:p>
      <w:pPr>
        <w:ind w:firstLine="3432"/>
        <w:spacing w:after="0" w:line="259" w:lineRule="auto"/>
        <w:tabs>
          <w:tab w:leader="none" w:pos="36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at the election of the Committee, any portion of the Early Entry Eligible Employee’s Pre-Tax Contributions for the Plan Year or elective deferrals under any other qualified retirement plan maintained by a Participating Company or any Affiliated Company that may be disregarded without causing this Plan or such other qualified retirement plan to fail to satisfy the requirements of section 401(k)(3) of the Code and the regulations issued thereunder; to</w:t>
      </w:r>
    </w:p>
    <w:p>
      <w:pPr>
        <w:spacing w:after="0" w:line="186" w:lineRule="exact"/>
        <w:rPr>
          <w:rFonts w:ascii="Arial" w:cs="Arial" w:eastAsia="Arial" w:hAnsi="Arial"/>
          <w:sz w:val="18"/>
          <w:szCs w:val="18"/>
          <w:color w:val="auto"/>
        </w:rPr>
      </w:pPr>
    </w:p>
    <w:p>
      <w:pPr>
        <w:ind w:left="3220" w:hanging="245"/>
        <w:spacing w:after="0"/>
        <w:tabs>
          <w:tab w:leader="none" w:pos="3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Early Entry Eligible Employee’s Compensation for that portion of the Plan Year during which he was 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Early Entry Eligible Employee.</w:t>
      </w:r>
    </w:p>
    <w:p>
      <w:pPr>
        <w:spacing w:after="0" w:line="211" w:lineRule="exact"/>
        <w:rPr>
          <w:sz w:val="20"/>
          <w:szCs w:val="20"/>
          <w:color w:val="auto"/>
        </w:rPr>
      </w:pPr>
    </w:p>
    <w:p>
      <w:pPr>
        <w:ind w:right="60" w:firstLine="148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Employee</w:t>
      </w:r>
      <w:r>
        <w:rPr>
          <w:rFonts w:ascii="Arial" w:cs="Arial" w:eastAsia="Arial" w:hAnsi="Arial"/>
          <w:sz w:val="17"/>
          <w:szCs w:val="17"/>
          <w:color w:val="auto"/>
        </w:rPr>
        <w:t>” means any Employee who is (a) employed by a Participating Company and designated on the books and records of such Participating Company as an employee and (b) not covered by a collective bargaining agreement, unless such agreement specifically provides for participation hereunder. Notwithstanding the preceding sentence, with respect to NBCUniversal, “Covered Employee” means (a) any Employee of NBCUniversal or its participating subsidiaries who is designated on the books and records of NBCUniversal or its applicable subsidiary as employed in a job classification, or who with respect to an individual whose employment is subject to a collective bargaining agreement, a collective bargaining unit that was eligible to participate in the NBCUniversal Pension Plan as of January 29, 2011 with respect to all of his or her compensation (subject to the then applicable limit under section 401(a)(17) of the Code), (b) any Employee of NBCUniversal or its participating subsidiaries hired by NBCUniversal on or after January 29, 2011 and on or before December 31, 2012 (including Employees of NBCUniversal who transferred employment directly from Comcast to NBCUniversal) who is designated on the books and records of NBCUniversal or its applicable subsidiary as employed in a job classification or, with respect to an individual whose employment is subject to a collective bargaining agreement, a collective bargaining unit that, as of December 31, 2012, was eligible to participate in the NBCU CAP for purposes of receiving Flexible Retirement Contributions, and (c) any Employee of NBCUniversal or its participating subsidiaries hired on or after January 1, 2013 who is designated on the books and records of NBCUniversal or its applicable subsidiary as employed in a job classification, or who with respect to an individual whose employment is subject to a collective bargaining agreement, a collective bargaining unit that is not eligible to participant in the NBCU CAP and who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45" w:name="page246"/>
    <w:bookmarkEnd w:id="2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meets the eligible requirements of the Plan (including for this purpose Section 2.5 of </w:t>
      </w:r>
      <w:r>
        <w:rPr>
          <w:rFonts w:ascii="Arial" w:cs="Arial" w:eastAsia="Arial" w:hAnsi="Arial"/>
          <w:sz w:val="16"/>
          <w:szCs w:val="16"/>
          <w:u w:val="single" w:color="auto"/>
          <w:color w:val="auto"/>
        </w:rPr>
        <w:t>Exhibit B</w:t>
      </w:r>
      <w:r>
        <w:rPr>
          <w:rFonts w:ascii="Arial" w:cs="Arial" w:eastAsia="Arial" w:hAnsi="Arial"/>
          <w:sz w:val="16"/>
          <w:szCs w:val="16"/>
          <w:color w:val="auto"/>
        </w:rPr>
        <w:t>). The following individuals shall not be Covered Employees:</w:t>
      </w:r>
    </w:p>
    <w:p>
      <w:pPr>
        <w:spacing w:after="0" w:line="46" w:lineRule="exact"/>
        <w:rPr>
          <w:sz w:val="20"/>
          <w:szCs w:val="20"/>
          <w:color w:val="auto"/>
        </w:rPr>
      </w:pPr>
    </w:p>
    <w:p>
      <w:pPr>
        <w:ind w:firstLine="8"/>
        <w:spacing w:after="0" w:line="268" w:lineRule="auto"/>
        <w:tabs>
          <w:tab w:leader="none" w:pos="24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 Employee of NBCUniversal or its participating subsidiaries whose employment is governed by a collective bargaining agreement that is entered into on or after January 1, 2013 (including, for this purpose, the execution of an amendment to a collective bargaining agreement in effect on December 31, 2012) which agreement does not specifically provide for participation in the Plan; (b) an individual who is treated as an Employee solely by reason of being a Leased Employee; (c) an individual who is not on an employee payroll of a Participating Company or the Participating Company does report such individual’s wages on Form W-2; (d) an individual who has entered into an agreement with a Participating Company which excludes him from participation in employee benefit plans of a Participating Company (whether or not such individual is treated or classified as an employee for certain specified purposes that do not include eligibility to participate in the Plan); and (e) an individual who is not classified by the Participating Company as an employee, even if such individual is retroactively recharacterized as an employee by a third party or a Participating Company.</w:t>
      </w:r>
    </w:p>
    <w:p>
      <w:pPr>
        <w:spacing w:after="0" w:line="184"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(Broadband)</w:t>
      </w:r>
      <w:r>
        <w:rPr>
          <w:rFonts w:ascii="Arial" w:cs="Arial" w:eastAsia="Arial" w:hAnsi="Arial"/>
          <w:sz w:val="18"/>
          <w:szCs w:val="18"/>
          <w:color w:val="auto"/>
        </w:rPr>
        <w:t>” means a Covered Employee who is represented by the Communications Workers Union of America at locations designated on Appendix A, as it shall be revised from time to time without further action by the Committee to reflect the date as of which, pursuant to amendment of an applicable collective bargaining agreement or union decertification, any such location is no longer in a category covered by Appendix A.</w:t>
      </w:r>
    </w:p>
    <w:p>
      <w:pPr>
        <w:spacing w:after="0" w:line="187" w:lineRule="exact"/>
        <w:rPr>
          <w:sz w:val="20"/>
          <w:szCs w:val="20"/>
          <w:color w:val="auto"/>
        </w:rPr>
      </w:pPr>
    </w:p>
    <w:p>
      <w:pPr>
        <w:jc w:val="both"/>
        <w:ind w:right="1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Union Employee (Comcast)</w:t>
      </w:r>
      <w:r>
        <w:rPr>
          <w:rFonts w:ascii="Arial" w:cs="Arial" w:eastAsia="Arial" w:hAnsi="Arial"/>
          <w:sz w:val="18"/>
          <w:szCs w:val="18"/>
          <w:color w:val="auto"/>
        </w:rPr>
        <w:t>” means a Covered Employee who is represented by a collective bargaining agreement that covers Employees at the Detroit, Michigan or New Haven, Michigan locations.</w:t>
      </w:r>
    </w:p>
    <w:p>
      <w:pPr>
        <w:spacing w:after="0" w:line="170" w:lineRule="exact"/>
        <w:rPr>
          <w:sz w:val="20"/>
          <w:szCs w:val="20"/>
          <w:color w:val="auto"/>
        </w:rPr>
      </w:pPr>
    </w:p>
    <w:p>
      <w:pPr>
        <w:jc w:val="both"/>
        <w:ind w:right="8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Entry Eligible Employee</w:t>
      </w:r>
      <w:r>
        <w:rPr>
          <w:rFonts w:ascii="Arial" w:cs="Arial" w:eastAsia="Arial" w:hAnsi="Arial"/>
          <w:sz w:val="18"/>
          <w:szCs w:val="18"/>
          <w:color w:val="auto"/>
        </w:rPr>
        <w:t>” means an Eligible Employee who has satisfied the eligibility requirements of Section 2.2.1, but has not completed a Period of Service of three months. An Eligible Employee shall be considered an “Early Entry Eligible Employee” only for that portion of a Plan Year prior to the time when such Eligible Employee has completed a Period of Service of three months.</w:t>
      </w:r>
    </w:p>
    <w:p>
      <w:pPr>
        <w:spacing w:after="0" w:line="181" w:lineRule="exact"/>
        <w:rPr>
          <w:sz w:val="20"/>
          <w:szCs w:val="20"/>
          <w:color w:val="auto"/>
        </w:rPr>
      </w:pPr>
    </w:p>
    <w:p>
      <w:pPr>
        <w:ind w:right="7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Retirement Date</w:t>
      </w:r>
      <w:r>
        <w:rPr>
          <w:rFonts w:ascii="Arial" w:cs="Arial" w:eastAsia="Arial" w:hAnsi="Arial"/>
          <w:sz w:val="18"/>
          <w:szCs w:val="18"/>
          <w:color w:val="auto"/>
        </w:rPr>
        <w:t>” means the first day of any month coincident with or following the Severance from Service Date of any Participant who has attained Age 55.</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July 1, 2003.</w:t>
      </w:r>
    </w:p>
    <w:p>
      <w:pPr>
        <w:spacing w:after="0" w:line="225" w:lineRule="exact"/>
        <w:rPr>
          <w:sz w:val="20"/>
          <w:szCs w:val="20"/>
          <w:color w:val="auto"/>
        </w:rPr>
      </w:pPr>
    </w:p>
    <w:p>
      <w:pPr>
        <w:ind w:right="4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has become an Eligible Employee as set forth in Section 2.2, whether or not he is an Active Participant, and who has remained a Covered Employee at all times thereafter.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Employee</w:t>
      </w:r>
      <w:r>
        <w:rPr>
          <w:rFonts w:ascii="Arial" w:cs="Arial" w:eastAsia="Arial" w:hAnsi="Arial"/>
          <w:sz w:val="17"/>
          <w:szCs w:val="17"/>
          <w:color w:val="auto"/>
        </w:rPr>
        <w:t>” means an individual who is employed by a Participating Company or an Affiliated Company or an individual who is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Leased Employee.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6" w:name="page247"/>
    <w:bookmarkEnd w:id="246"/>
    <w:p>
      <w:pPr>
        <w:ind w:right="3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Employment Commencement Date</w:t>
      </w:r>
      <w:r>
        <w:rPr>
          <w:rFonts w:ascii="Arial" w:cs="Arial" w:eastAsia="Arial" w:hAnsi="Arial"/>
          <w:sz w:val="18"/>
          <w:szCs w:val="18"/>
          <w:color w:val="auto"/>
        </w:rPr>
        <w:t>” means, for any Employee, the date on which he is first entitled to be credited with an “Hour of Service” described in Paragraph (a)(1) of the definition of Hour of Service in this Article.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Entry Date</w:t>
      </w:r>
      <w:r>
        <w:rPr>
          <w:rFonts w:ascii="Arial" w:cs="Arial" w:eastAsia="Arial" w:hAnsi="Arial"/>
          <w:sz w:val="18"/>
          <w:szCs w:val="18"/>
          <w:color w:val="auto"/>
        </w:rPr>
        <w:t>” means the first day of any calendar month.</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the fund established for this Plan, administered under the Trust Agreement, out of which benefits payable under this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paid.</w:t>
      </w:r>
    </w:p>
    <w:p>
      <w:pPr>
        <w:spacing w:after="0" w:line="211" w:lineRule="exact"/>
        <w:rPr>
          <w:sz w:val="20"/>
          <w:szCs w:val="20"/>
          <w:color w:val="auto"/>
        </w:rPr>
      </w:pPr>
    </w:p>
    <w:p>
      <w:pPr>
        <w:ind w:right="5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Early Entry Eligible Employee</w:t>
      </w:r>
      <w:r>
        <w:rPr>
          <w:rFonts w:ascii="Arial" w:cs="Arial" w:eastAsia="Arial" w:hAnsi="Arial"/>
          <w:sz w:val="18"/>
          <w:szCs w:val="18"/>
          <w:color w:val="auto"/>
        </w:rPr>
        <w:t>” means an Early Entry Eligible Employee who is (or is treated as) a Highly Compensated Employee.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Highly Compensated Employee</w:t>
      </w:r>
      <w:r>
        <w:rPr>
          <w:rFonts w:ascii="Arial" w:cs="Arial" w:eastAsia="Arial" w:hAnsi="Arial"/>
          <w:sz w:val="18"/>
          <w:szCs w:val="18"/>
          <w:color w:val="auto"/>
        </w:rPr>
        <w:t>” means an Employee who:</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(a) was a five-percent owner, as defined in section 416(i) of the Code at any time during the Plan Year or preceding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Year; or</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(b) for the preceding Plan Year received more than $115,000 (as indexed) in Compensation from a Participating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an Affiliated Company.</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Hour of Service</w:t>
      </w:r>
      <w:r>
        <w:rPr>
          <w:rFonts w:ascii="Arial" w:cs="Arial" w:eastAsia="Arial" w:hAnsi="Arial"/>
          <w:sz w:val="18"/>
          <w:szCs w:val="18"/>
          <w:color w:val="auto"/>
        </w:rPr>
        <w:t>” means, for any Employee, a credit awarded with respect to:</w:t>
      </w:r>
    </w:p>
    <w:p>
      <w:pPr>
        <w:spacing w:after="0" w:line="225" w:lineRule="exact"/>
        <w:rPr>
          <w:sz w:val="20"/>
          <w:szCs w:val="20"/>
          <w:color w:val="auto"/>
        </w:rPr>
      </w:pPr>
    </w:p>
    <w:p>
      <w:pPr>
        <w:ind w:left="3220" w:hanging="245"/>
        <w:spacing w:after="0"/>
        <w:tabs>
          <w:tab w:leader="none" w:pos="3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provided in (b),</w:t>
      </w:r>
    </w:p>
    <w:p>
      <w:pPr>
        <w:spacing w:after="0" w:line="225" w:lineRule="exact"/>
        <w:rPr>
          <w:rFonts w:ascii="Arial" w:cs="Arial" w:eastAsia="Arial" w:hAnsi="Arial"/>
          <w:sz w:val="18"/>
          <w:szCs w:val="18"/>
          <w:color w:val="auto"/>
        </w:rPr>
      </w:pPr>
    </w:p>
    <w:p>
      <w:pPr>
        <w:ind w:right="100" w:firstLine="3432"/>
        <w:spacing w:after="0" w:line="277" w:lineRule="auto"/>
        <w:tabs>
          <w:tab w:leader="none" w:pos="36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for the performance of employment duties; or</w:t>
      </w:r>
    </w:p>
    <w:p>
      <w:pPr>
        <w:spacing w:after="0" w:line="170" w:lineRule="exact"/>
        <w:rPr>
          <w:rFonts w:ascii="Arial" w:cs="Arial" w:eastAsia="Arial" w:hAnsi="Arial"/>
          <w:sz w:val="18"/>
          <w:szCs w:val="18"/>
          <w:color w:val="auto"/>
        </w:rPr>
      </w:pPr>
    </w:p>
    <w:p>
      <w:pPr>
        <w:ind w:right="680" w:firstLine="3432"/>
        <w:spacing w:after="0" w:line="277" w:lineRule="auto"/>
        <w:tabs>
          <w:tab w:leader="none" w:pos="36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each hour for which he is entitled, either by award or agreement, to back pay from a Participating Company or an Affiliated Company, irrespective of mitigation of damages; or</w:t>
      </w:r>
    </w:p>
    <w:p>
      <w:pPr>
        <w:spacing w:after="0" w:line="170" w:lineRule="exact"/>
        <w:rPr>
          <w:rFonts w:ascii="Arial" w:cs="Arial" w:eastAsia="Arial" w:hAnsi="Arial"/>
          <w:sz w:val="18"/>
          <w:szCs w:val="18"/>
          <w:color w:val="auto"/>
        </w:rPr>
      </w:pPr>
    </w:p>
    <w:p>
      <w:pPr>
        <w:ind w:firstLine="3432"/>
        <w:spacing w:after="0" w:line="264" w:lineRule="auto"/>
        <w:tabs>
          <w:tab w:leader="none" w:pos="36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each hour for which he is directly or indirectly paid or entitled to payment by a Participating Company or an Affiliated Company on account of a period of time during which no duties are performed due to vacation, holiday, illness, incapacity (including disability), jury duty, layoff, leave of absence, or military duty.</w:t>
      </w:r>
    </w:p>
    <w:p>
      <w:pPr>
        <w:spacing w:after="0" w:line="181" w:lineRule="exact"/>
        <w:rPr>
          <w:rFonts w:ascii="Arial" w:cs="Arial" w:eastAsia="Arial" w:hAnsi="Arial"/>
          <w:sz w:val="18"/>
          <w:szCs w:val="18"/>
          <w:color w:val="auto"/>
        </w:rPr>
      </w:pPr>
    </w:p>
    <w:p>
      <w:pPr>
        <w:ind w:left="3220" w:hanging="245"/>
        <w:spacing w:after="0"/>
        <w:tabs>
          <w:tab w:leader="none" w:pos="3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Anything to the contrary in subsection (a) notwithstanding:</w:t>
      </w:r>
    </w:p>
    <w:p>
      <w:pPr>
        <w:spacing w:after="0" w:line="225" w:lineRule="exact"/>
        <w:rPr>
          <w:rFonts w:ascii="Arial" w:cs="Arial" w:eastAsia="Arial" w:hAnsi="Arial"/>
          <w:sz w:val="18"/>
          <w:szCs w:val="18"/>
          <w:color w:val="auto"/>
        </w:rPr>
      </w:pPr>
    </w:p>
    <w:p>
      <w:pPr>
        <w:ind w:right="100" w:firstLine="3432"/>
        <w:spacing w:after="0" w:line="264" w:lineRule="auto"/>
        <w:tabs>
          <w:tab w:leader="none" w:pos="36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No Hours of Service shall be credited to an Employee for any period merely because, during such period, payments are made or due him under a plan maintained solely for the purpose of complying with applicable workers’ compensation, unemployment compensation, or disability insurance laws.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247" w:name="page248"/>
    <w:bookmarkEnd w:id="247"/>
    <w:p>
      <w:pPr>
        <w:ind w:right="460" w:firstLine="3432"/>
        <w:spacing w:after="0" w:line="342" w:lineRule="auto"/>
        <w:tabs>
          <w:tab w:leader="none" w:pos="3678"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more than 501 Hours of Service shall be credited to an Employee under subsection (a)(3) of this definition on account of any single continuous period during which no duties are performed by him, except to the extent otherwise provided in the Plan.</w:t>
      </w:r>
    </w:p>
    <w:p>
      <w:pPr>
        <w:spacing w:after="0" w:line="123" w:lineRule="exact"/>
        <w:rPr>
          <w:rFonts w:ascii="Arial" w:cs="Arial" w:eastAsia="Arial" w:hAnsi="Arial"/>
          <w:sz w:val="16"/>
          <w:szCs w:val="16"/>
          <w:color w:val="auto"/>
        </w:rPr>
      </w:pPr>
    </w:p>
    <w:p>
      <w:pPr>
        <w:ind w:left="3680" w:hanging="248"/>
        <w:spacing w:after="0"/>
        <w:tabs>
          <w:tab w:leader="none" w:pos="36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No Hours of Service shall be credited to an Employee with respect to payments solely to reimburse for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medical or medically related expenses.</w:t>
      </w:r>
    </w:p>
    <w:p>
      <w:pPr>
        <w:spacing w:after="0" w:line="210" w:lineRule="exact"/>
        <w:rPr>
          <w:rFonts w:ascii="Arial" w:cs="Arial" w:eastAsia="Arial" w:hAnsi="Arial"/>
          <w:sz w:val="17"/>
          <w:szCs w:val="17"/>
          <w:color w:val="auto"/>
        </w:rPr>
      </w:pPr>
    </w:p>
    <w:p>
      <w:pPr>
        <w:ind w:left="3680" w:hanging="248"/>
        <w:spacing w:after="0"/>
        <w:tabs>
          <w:tab w:leader="none" w:pos="36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Hours of Service shall be credited twice.</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Hours of Service shall be credited at least as liberally as required by the rules set forth in U.S. Department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Labor Reg. §2530.200b-2(b) and (c).</w:t>
      </w:r>
    </w:p>
    <w:p>
      <w:pPr>
        <w:spacing w:after="0" w:line="210" w:lineRule="exact"/>
        <w:rPr>
          <w:rFonts w:ascii="Arial" w:cs="Arial" w:eastAsia="Arial" w:hAnsi="Arial"/>
          <w:sz w:val="16"/>
          <w:szCs w:val="16"/>
          <w:color w:val="auto"/>
        </w:rPr>
      </w:pPr>
    </w:p>
    <w:p>
      <w:pPr>
        <w:ind w:firstLine="3432"/>
        <w:spacing w:after="0" w:line="264" w:lineRule="auto"/>
        <w:tabs>
          <w:tab w:leader="none" w:pos="36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case of an Employee who is such solely by reason of service as a Leased Employee, Hours of Service shall be credited as if such Employee were employed and paid with respect to such service (or with respect to any related absences or entitlements) by the Participating Company or Affiliated Company that is the recipient thereof.</w:t>
      </w:r>
    </w:p>
    <w:p>
      <w:pPr>
        <w:spacing w:after="0" w:line="181" w:lineRule="exact"/>
        <w:rPr>
          <w:sz w:val="20"/>
          <w:szCs w:val="20"/>
          <w:color w:val="auto"/>
        </w:rPr>
      </w:pPr>
    </w:p>
    <w:p>
      <w:pPr>
        <w:ind w:right="80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Medium</w:t>
      </w:r>
      <w:r>
        <w:rPr>
          <w:rFonts w:ascii="Arial" w:cs="Arial" w:eastAsia="Arial" w:hAnsi="Arial"/>
          <w:sz w:val="18"/>
          <w:szCs w:val="18"/>
          <w:color w:val="auto"/>
        </w:rPr>
        <w:t>” means any fund, contract, obligation, or other mode of investment to which a Participant may direct the investment of the assets of his Account.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Stock</w:t>
      </w:r>
      <w:r>
        <w:rPr>
          <w:rFonts w:ascii="Arial" w:cs="Arial" w:eastAsia="Arial" w:hAnsi="Arial"/>
          <w:sz w:val="18"/>
          <w:szCs w:val="18"/>
          <w:color w:val="auto"/>
        </w:rPr>
        <w:t>” means Comcast Corporation Class A Special Common Stock.</w:t>
      </w:r>
    </w:p>
    <w:p>
      <w:pPr>
        <w:spacing w:after="0" w:line="225" w:lineRule="exact"/>
        <w:rPr>
          <w:sz w:val="20"/>
          <w:szCs w:val="20"/>
          <w:color w:val="auto"/>
        </w:rPr>
      </w:pPr>
    </w:p>
    <w:p>
      <w:pPr>
        <w:ind w:right="100" w:firstLine="148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Leased Employee</w:t>
      </w:r>
      <w:r>
        <w:rPr>
          <w:rFonts w:ascii="Arial" w:cs="Arial" w:eastAsia="Arial" w:hAnsi="Arial"/>
          <w:sz w:val="17"/>
          <w:szCs w:val="17"/>
          <w:color w:val="auto"/>
        </w:rPr>
        <w:t>” means any person, other than an employee of a Participating Company or an Affiliated Company, who, pursuant to an agreement between a Participating Company or an Affiliated Company (the “recipient”) and any other individual (“leasing organization”), has performed services for the recipient (or for the recipient and related individuals) on a substantially full-time basis for a period of at least one year, and such services are performed by such individuals under the primary direction and control of the recipient, provided that for purposes of determining whether an individual is an Eligible Employee and for purposes of determining an individual’s eligibility and vesting service, an individual who would be a “Leased Employee” but for the requirement that such individual perform services for the recipient (or for the recipient and related individuals) on a substantially full-time basis for a period of at least one year shall nevertheless be treated as a Leased Employee.</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Limitation Year</w:t>
      </w:r>
      <w:r>
        <w:rPr>
          <w:rFonts w:ascii="Arial" w:cs="Arial" w:eastAsia="Arial" w:hAnsi="Arial"/>
          <w:sz w:val="18"/>
          <w:szCs w:val="18"/>
          <w:color w:val="auto"/>
        </w:rPr>
        <w:t>” means the Plan Year or such other 12-consecutive-month period as may be designated by the Company.</w:t>
      </w:r>
    </w:p>
    <w:p>
      <w:pPr>
        <w:spacing w:after="0" w:line="225" w:lineRule="exact"/>
        <w:rPr>
          <w:sz w:val="20"/>
          <w:szCs w:val="20"/>
          <w:color w:val="auto"/>
        </w:rPr>
      </w:pPr>
    </w:p>
    <w:p>
      <w:pPr>
        <w:ind w:right="7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 xml:space="preserve">” means the amounts contributed by the Company pursuant to Sections 3.5.1(a) and (b) or pursuant to Section 3.2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w:t>
      </w:r>
    </w:p>
    <w:p>
      <w:pPr>
        <w:spacing w:after="0" w:line="170" w:lineRule="exact"/>
        <w:rPr>
          <w:sz w:val="20"/>
          <w:szCs w:val="20"/>
          <w:color w:val="auto"/>
        </w:rPr>
      </w:pPr>
    </w:p>
    <w:p>
      <w:pPr>
        <w:ind w:right="34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 CAP</w:t>
      </w:r>
      <w:r>
        <w:rPr>
          <w:rFonts w:ascii="Arial" w:cs="Arial" w:eastAsia="Arial" w:hAnsi="Arial"/>
          <w:sz w:val="18"/>
          <w:szCs w:val="18"/>
          <w:color w:val="auto"/>
        </w:rPr>
        <w:t>” means the NBCUniversal Capital Accumulation Plan, a defined contribution plan sponsored by NBCUniversal that is intended to meet the applicable requirements of the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48" w:name="page249"/>
    <w:bookmarkEnd w:id="248"/>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NBCU Retirement Contributions</w:t>
      </w:r>
      <w:r>
        <w:rPr>
          <w:rFonts w:ascii="Arial" w:cs="Arial" w:eastAsia="Arial" w:hAnsi="Arial"/>
          <w:sz w:val="17"/>
          <w:szCs w:val="17"/>
          <w:color w:val="auto"/>
        </w:rPr>
        <w:t xml:space="preserve">” means the amounts contributed by a Participating Company pursuant to Section 3.3 of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for any Participant, the date on which he reaches Age 65.</w:t>
      </w:r>
    </w:p>
    <w:p>
      <w:pPr>
        <w:spacing w:after="0" w:line="225"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One-Year Period of Severance</w:t>
      </w:r>
      <w:r>
        <w:rPr>
          <w:rFonts w:ascii="Arial" w:cs="Arial" w:eastAsia="Arial" w:hAnsi="Arial"/>
          <w:sz w:val="18"/>
          <w:szCs w:val="18"/>
          <w:color w:val="auto"/>
        </w:rPr>
        <w:t>” means a 12-consecutive-month period beginning on the Employee’s Severance from Service Date during which the former Employee is credited with no Hours of Service.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individual for whom one or more Accounts are maintained under the Plan.</w:t>
      </w:r>
    </w:p>
    <w:p>
      <w:pPr>
        <w:spacing w:after="0" w:line="225" w:lineRule="exact"/>
        <w:rPr>
          <w:sz w:val="20"/>
          <w:szCs w:val="20"/>
          <w:color w:val="auto"/>
        </w:rPr>
      </w:pPr>
    </w:p>
    <w:p>
      <w:pPr>
        <w:ind w:firstLine="148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Company</w:t>
      </w:r>
      <w:r>
        <w:rPr>
          <w:rFonts w:ascii="Arial" w:cs="Arial" w:eastAsia="Arial" w:hAnsi="Arial"/>
          <w:sz w:val="17"/>
          <w:szCs w:val="17"/>
          <w:color w:val="auto"/>
        </w:rPr>
        <w:t xml:space="preserve">” means the Company, each subsidiary of the Company which is eligible to file a consolidated federal income tax return with the Company (except to the extent that the Board or its authorized delegate determines otherwise as reflected on </w:t>
      </w:r>
      <w:r>
        <w:rPr>
          <w:rFonts w:ascii="Arial" w:cs="Arial" w:eastAsia="Arial" w:hAnsi="Arial"/>
          <w:sz w:val="17"/>
          <w:szCs w:val="17"/>
          <w:u w:val="single" w:color="auto"/>
          <w:color w:val="auto"/>
        </w:rPr>
        <w:t>Exhibit A</w:t>
      </w:r>
      <w:r>
        <w:rPr>
          <w:rFonts w:ascii="Arial" w:cs="Arial" w:eastAsia="Arial" w:hAnsi="Arial"/>
          <w:sz w:val="17"/>
          <w:szCs w:val="17"/>
          <w:color w:val="auto"/>
        </w:rPr>
        <w:t>, as amended from time to time) and each other organization which is authorized by the Board of Directors or its authorized delegate to adopt this Plan by action of its board of directors or other governing body. Notwithstanding anything herein to the contrary, the term “Participating Company” excludes:</w:t>
      </w:r>
    </w:p>
    <w:p>
      <w:pPr>
        <w:spacing w:after="0" w:line="171" w:lineRule="exact"/>
        <w:rPr>
          <w:sz w:val="20"/>
          <w:szCs w:val="20"/>
          <w:color w:val="auto"/>
        </w:rPr>
      </w:pPr>
    </w:p>
    <w:p>
      <w:pPr>
        <w:ind w:left="2200" w:hanging="252"/>
        <w:spacing w:after="0"/>
        <w:tabs>
          <w:tab w:leader="none" w:pos="22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effective November 21, 2006, E! Entertainment Television, Inc. and its subsidiaries;</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the period beginning August 1, 2006 and ending December 17, 2006, thePlatform for Media, Inc.;</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the period beginning April 15, 2005, Strata Marketing, Inc.; and</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the period beginning June 17, 2009 and ending December 31, 2009, New England Cable News and its subsidiaries.</w:t>
      </w:r>
    </w:p>
    <w:p>
      <w:pPr>
        <w:spacing w:after="0" w:line="237"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Period</w:t>
      </w:r>
      <w:r>
        <w:rPr>
          <w:rFonts w:ascii="Arial" w:cs="Arial" w:eastAsia="Arial" w:hAnsi="Arial"/>
          <w:sz w:val="18"/>
          <w:szCs w:val="18"/>
          <w:color w:val="auto"/>
        </w:rPr>
        <w:t>” means a weekly, bi-weekly, semi-monthly, or monthly pay period or such other standard pay period of the Participating Company applicable to the class of Employees of which the Eligible Employee is a part.</w:t>
      </w:r>
    </w:p>
    <w:p>
      <w:pPr>
        <w:spacing w:after="0" w:line="170" w:lineRule="exact"/>
        <w:rPr>
          <w:sz w:val="20"/>
          <w:szCs w:val="20"/>
          <w:color w:val="auto"/>
        </w:rPr>
      </w:pPr>
    </w:p>
    <w:p>
      <w:pPr>
        <w:ind w:right="340"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Service</w:t>
      </w:r>
      <w:r>
        <w:rPr>
          <w:rFonts w:ascii="Arial" w:cs="Arial" w:eastAsia="Arial" w:hAnsi="Arial"/>
          <w:sz w:val="18"/>
          <w:szCs w:val="18"/>
          <w:color w:val="auto"/>
        </w:rPr>
        <w:t>” means, with respect to any Employee, the period of time commencing on the Employee’s Employment Commencement Date and ending on the Employee’s Severance from Service Date and, if applicable, the period of time commencing on an Employee’s Reemployment Commencement Date and ending on the Employee’s subsequent Severance from Service Date. All service credited under the terms of the Plan in effect prior to the Effective Date shall be considered under the Plan.</w:t>
      </w:r>
    </w:p>
    <w:p>
      <w:pPr>
        <w:spacing w:after="0" w:line="187" w:lineRule="exact"/>
        <w:rPr>
          <w:sz w:val="20"/>
          <w:szCs w:val="20"/>
          <w:color w:val="auto"/>
        </w:rPr>
      </w:pPr>
    </w:p>
    <w:p>
      <w:pPr>
        <w:ind w:right="6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Severance</w:t>
      </w:r>
      <w:r>
        <w:rPr>
          <w:rFonts w:ascii="Arial" w:cs="Arial" w:eastAsia="Arial" w:hAnsi="Arial"/>
          <w:sz w:val="18"/>
          <w:szCs w:val="18"/>
          <w:color w:val="auto"/>
        </w:rPr>
        <w:t>” means the period of time commencing on the Employee’s Severance from Service Date and ending on the date on which the Employee is again entitled to be credited with an Hour of Service.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49" w:name="page250"/>
    <w:bookmarkEnd w:id="249"/>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Retirement-Investment Plan, a profit sharing plan, as set forth herein.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each 12-consecutive month period that begins on January 1st and ends on the next following December 31st.</w:t>
      </w:r>
    </w:p>
    <w:p>
      <w:pPr>
        <w:spacing w:after="0" w:line="2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Contributions</w:t>
      </w:r>
      <w:r>
        <w:rPr>
          <w:rFonts w:ascii="Arial" w:cs="Arial" w:eastAsia="Arial" w:hAnsi="Arial"/>
          <w:sz w:val="18"/>
          <w:szCs w:val="18"/>
          <w:color w:val="auto"/>
        </w:rPr>
        <w:t>” means Pre-Tax Matched Contributions and Pre-Tax Unmatched Contributions.</w:t>
      </w:r>
    </w:p>
    <w:p>
      <w:pPr>
        <w:spacing w:after="0" w:line="225"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Matched Contributions are eligible for Matching Contributions.</w:t>
      </w:r>
    </w:p>
    <w:p>
      <w:pPr>
        <w:spacing w:after="0" w:line="181"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Pre-Tax Unmatched Contributions</w:t>
      </w:r>
      <w:r>
        <w:rPr>
          <w:rFonts w:ascii="Arial" w:cs="Arial" w:eastAsia="Arial" w:hAnsi="Arial"/>
          <w:sz w:val="18"/>
          <w:szCs w:val="18"/>
          <w:color w:val="auto"/>
        </w:rPr>
        <w:t xml:space="preserve">” means an amount that a Participant elects to have deducted on a pre-tax basis from his or her Compensation and contributed to the Plan under a pay reduction election pursuant to Section 3.1.1 or pursuant to Section 3.1(a)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Pre-Tax Unmatched Contributions are not eligible for Matching Contributions.</w:t>
      </w:r>
    </w:p>
    <w:p>
      <w:pPr>
        <w:spacing w:after="0" w:line="181"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Broadband Heritage Matching Contributions</w:t>
      </w:r>
      <w:r>
        <w:rPr>
          <w:rFonts w:ascii="Arial" w:cs="Arial" w:eastAsia="Arial" w:hAnsi="Arial"/>
          <w:sz w:val="18"/>
          <w:szCs w:val="18"/>
          <w:color w:val="auto"/>
        </w:rPr>
        <w:t>” means matching contributions made under the CCCHI Plan prior to the Effective Date that were not subject to accelerated vesting under the CCCHI Plan as a result of the AT&amp;T Broadband Transaction because the Participant was not employed on such date or that were made after the AT&amp;T Broadband Transaction. Such matching contributions are subject to the applicable vesting schedule set forth in the Plan as in effect on December 31, 2009.</w:t>
      </w:r>
    </w:p>
    <w:p>
      <w:pPr>
        <w:spacing w:after="0" w:line="187"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Company Matching Contributions (Unvested)</w:t>
      </w:r>
      <w:r>
        <w:rPr>
          <w:rFonts w:ascii="Arial" w:cs="Arial" w:eastAsia="Arial" w:hAnsi="Arial"/>
          <w:sz w:val="18"/>
          <w:szCs w:val="18"/>
          <w:color w:val="auto"/>
        </w:rPr>
        <w:t>” means amounts denominated as “Vision Contributions” under the Plan prior to the Effective Date and matching contributions made pursuant to the Plan prior to January 1, 2001. Such matching contributions are subject to the applicable vesting schedule set forth in the Plan as in effect on December 31, 2009.</w:t>
      </w:r>
    </w:p>
    <w:p>
      <w:pPr>
        <w:spacing w:after="0" w:line="181" w:lineRule="exact"/>
        <w:rPr>
          <w:sz w:val="20"/>
          <w:szCs w:val="20"/>
          <w:color w:val="auto"/>
        </w:rPr>
      </w:pPr>
    </w:p>
    <w:p>
      <w:pPr>
        <w:ind w:right="240" w:firstLine="148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Company Matching Contributions (Vested)</w:t>
      </w:r>
      <w:r>
        <w:rPr>
          <w:rFonts w:ascii="Arial" w:cs="Arial" w:eastAsia="Arial" w:hAnsi="Arial"/>
          <w:sz w:val="16"/>
          <w:szCs w:val="16"/>
          <w:color w:val="auto"/>
        </w:rPr>
        <w:t>” means the following amounts: (a) matching contributions made under the CCCHI Plan prior to the Effective Date that were fully vested in accordance with the change in control vesting provisions of Section 6.3(c) of the CCCHI Plan;</w:t>
      </w:r>
    </w:p>
    <w:p>
      <w:pPr>
        <w:ind w:left="260" w:hanging="252"/>
        <w:spacing w:after="0"/>
        <w:tabs>
          <w:tab w:leader="none" w:pos="2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amounts credited to the account under the CCCHI Plan denominated as the United Artists Entertainment Company ESOP Account; (c) matching</w:t>
      </w:r>
    </w:p>
    <w:p>
      <w:pPr>
        <w:spacing w:after="0" w:line="20" w:lineRule="exact"/>
        <w:rPr>
          <w:rFonts w:ascii="Arial" w:cs="Arial" w:eastAsia="Arial" w:hAnsi="Arial"/>
          <w:sz w:val="17"/>
          <w:szCs w:val="17"/>
          <w:color w:val="auto"/>
        </w:rPr>
      </w:pPr>
    </w:p>
    <w:p>
      <w:pPr>
        <w:ind w:right="80"/>
        <w:spacing w:after="0" w:line="302" w:lineRule="auto"/>
        <w:rPr>
          <w:rFonts w:ascii="Arial" w:cs="Arial" w:eastAsia="Arial" w:hAnsi="Arial"/>
          <w:sz w:val="17"/>
          <w:szCs w:val="17"/>
          <w:color w:val="auto"/>
        </w:rPr>
      </w:pPr>
      <w:r>
        <w:rPr>
          <w:rFonts w:ascii="Arial" w:cs="Arial" w:eastAsia="Arial" w:hAnsi="Arial"/>
          <w:sz w:val="16"/>
          <w:szCs w:val="16"/>
          <w:color w:val="auto"/>
        </w:rPr>
        <w:t>contributions made under the MediaOne Group 401(k) Savings Plan prior to January 1, 1999; and (d) matching contributions credited to a separate sub-account in the Plan and attributable to matching contributions under the following plans that were previously merged into the Plan: (1) Jones Intercable, Inc. Profit Sharing\Retirement Savings Plan, (2) Lenfest Group Retirement Plan, and (3) the tax-qualified defined contribution plans of Greater Media.</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Non-Elective Contributions</w:t>
      </w:r>
      <w:r>
        <w:rPr>
          <w:rFonts w:ascii="Arial" w:cs="Arial" w:eastAsia="Arial" w:hAnsi="Arial"/>
          <w:sz w:val="18"/>
          <w:szCs w:val="18"/>
          <w:color w:val="auto"/>
        </w:rPr>
        <w:t>” means contributions made pursuant to Section 3.10.4.</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250" w:name="page251"/>
    <w:bookmarkEnd w:id="250"/>
    <w:p>
      <w:pPr>
        <w:ind w:right="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Reemployment Commencement Date</w:t>
      </w:r>
      <w:r>
        <w:rPr>
          <w:rFonts w:ascii="Arial" w:cs="Arial" w:eastAsia="Arial" w:hAnsi="Arial"/>
          <w:sz w:val="18"/>
          <w:szCs w:val="18"/>
          <w:color w:val="auto"/>
        </w:rPr>
        <w:t>” means the first day following a One-Year Period of Severance on which an Employee is entitled to be credited with an Hour of Service described in Paragraph (a)(1) of the definition of “Hour of Service” in this Article.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Beginning Date</w:t>
      </w:r>
      <w:r>
        <w:rPr>
          <w:rFonts w:ascii="Arial" w:cs="Arial" w:eastAsia="Arial" w:hAnsi="Arial"/>
          <w:sz w:val="18"/>
          <w:szCs w:val="18"/>
          <w:color w:val="auto"/>
        </w:rPr>
        <w:t>” means:</w:t>
      </w:r>
    </w:p>
    <w:p>
      <w:pPr>
        <w:spacing w:after="0" w:line="82" w:lineRule="exact"/>
        <w:rPr>
          <w:sz w:val="20"/>
          <w:szCs w:val="20"/>
          <w:color w:val="auto"/>
        </w:rPr>
      </w:pPr>
    </w:p>
    <w:p>
      <w:pPr>
        <w:ind w:firstLine="2975"/>
        <w:spacing w:after="0" w:line="259" w:lineRule="auto"/>
        <w:tabs>
          <w:tab w:leader="none" w:pos="32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For any Participant who attains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and is not a 5-percent owner (within the meaning of section 416 of the Code) of a Participating Company, April 1 of the calendar year following the later of the calendar year in which he has a Severance from Service Date or the calendar year in which he attained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w:t>
      </w:r>
    </w:p>
    <w:p>
      <w:pPr>
        <w:ind w:left="3220" w:hanging="245"/>
        <w:spacing w:after="0" w:line="216" w:lineRule="auto"/>
        <w:tabs>
          <w:tab w:leader="none" w:pos="32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For any Participant who attains Age 70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and is a 5-percent owner (within the meaning of section 416 of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Code) of a Participating Company, April 1 of the calendar year next following the calendar year in which he attains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w:t>
      </w:r>
    </w:p>
    <w:p>
      <w:pPr>
        <w:spacing w:after="0" w:line="71" w:lineRule="exact"/>
        <w:rPr>
          <w:rFonts w:ascii="Arial" w:cs="Arial" w:eastAsia="Arial" w:hAnsi="Arial"/>
          <w:sz w:val="16"/>
          <w:szCs w:val="16"/>
          <w:color w:val="auto"/>
        </w:rPr>
      </w:pPr>
    </w:p>
    <w:p>
      <w:pPr>
        <w:ind w:right="200" w:firstLine="2975"/>
        <w:spacing w:after="0" w:line="277" w:lineRule="auto"/>
        <w:tabs>
          <w:tab w:leader="none" w:pos="32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For any Participant who filed a valid deferral election with the Participating Company before January 1, 1984, and which has not subsequently been revoked, the date set forth in such election.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Date</w:t>
      </w:r>
      <w:r>
        <w:rPr>
          <w:rFonts w:ascii="Arial" w:cs="Arial" w:eastAsia="Arial" w:hAnsi="Arial"/>
          <w:sz w:val="18"/>
          <w:szCs w:val="18"/>
          <w:color w:val="auto"/>
        </w:rPr>
        <w:t>” means January 1, 2014.</w:t>
      </w:r>
    </w:p>
    <w:p>
      <w:pPr>
        <w:spacing w:after="0" w:line="225" w:lineRule="exact"/>
        <w:rPr>
          <w:sz w:val="20"/>
          <w:szCs w:val="20"/>
          <w:color w:val="auto"/>
        </w:rPr>
      </w:pPr>
    </w:p>
    <w:p>
      <w:pPr>
        <w:ind w:right="580" w:firstLine="148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Catch-Up Contribution</w:t>
      </w:r>
      <w:r>
        <w:rPr>
          <w:rFonts w:ascii="Arial" w:cs="Arial" w:eastAsia="Arial" w:hAnsi="Arial"/>
          <w:sz w:val="18"/>
          <w:szCs w:val="18"/>
          <w:color w:val="auto"/>
        </w:rPr>
        <w:t xml:space="preserve">” means contributions made pursuant to Section 3.1.4 or pursuant to Section 3.1(c)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applicable), in each case in lieu of Pre-Tax Catch-Up Contributions.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Roth Contributions</w:t>
      </w:r>
      <w:r>
        <w:rPr>
          <w:rFonts w:ascii="Arial" w:cs="Arial" w:eastAsia="Arial" w:hAnsi="Arial"/>
          <w:sz w:val="18"/>
          <w:szCs w:val="18"/>
          <w:color w:val="auto"/>
        </w:rPr>
        <w:t>” means Roth Matched Contributions and Roth Unmatched Contributions.</w:t>
      </w:r>
    </w:p>
    <w:p>
      <w:pPr>
        <w:spacing w:after="0" w:line="225" w:lineRule="exact"/>
        <w:rPr>
          <w:sz w:val="20"/>
          <w:szCs w:val="20"/>
          <w:color w:val="auto"/>
        </w:rPr>
      </w:pPr>
    </w:p>
    <w:p>
      <w:pPr>
        <w:ind w:right="580" w:firstLine="148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Roth Matched Contributions</w:t>
      </w:r>
      <w:r>
        <w:rPr>
          <w:rFonts w:ascii="Arial" w:cs="Arial" w:eastAsia="Arial" w:hAnsi="Arial"/>
          <w:sz w:val="17"/>
          <w:szCs w:val="17"/>
          <w:color w:val="auto"/>
        </w:rPr>
        <w:t xml:space="preserve">” means contributions made pursuant to Section 3.1.4 or pursuant to Section 3.1(c)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(as applicable), in each case in lieu of Pre-Tax Matched Contributions. Roth Matched Contributions are eligible for Matching Contributions.</w:t>
      </w:r>
    </w:p>
    <w:p>
      <w:pPr>
        <w:spacing w:after="0" w:line="147" w:lineRule="exact"/>
        <w:rPr>
          <w:sz w:val="20"/>
          <w:szCs w:val="20"/>
          <w:color w:val="auto"/>
        </w:rPr>
      </w:pPr>
    </w:p>
    <w:p>
      <w:pPr>
        <w:ind w:right="520" w:firstLine="148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Rollover Contributions</w:t>
      </w:r>
      <w:r>
        <w:rPr>
          <w:rFonts w:ascii="Arial" w:cs="Arial" w:eastAsia="Arial" w:hAnsi="Arial"/>
          <w:sz w:val="16"/>
          <w:szCs w:val="16"/>
          <w:color w:val="auto"/>
        </w:rPr>
        <w:t>” means a contribution to the Plan made in accordance with the rules of section 402 of the Code and pursuant to Section 7.1 of amounts rolled over from a designated Roth contribution account under the 401(k) or 403(b) plan of a former employer.</w:t>
      </w:r>
    </w:p>
    <w:p>
      <w:pPr>
        <w:spacing w:after="0" w:line="124" w:lineRule="exact"/>
        <w:rPr>
          <w:sz w:val="20"/>
          <w:szCs w:val="20"/>
          <w:color w:val="auto"/>
        </w:rPr>
      </w:pPr>
    </w:p>
    <w:p>
      <w:pPr>
        <w:ind w:right="380" w:firstLine="148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Roth Unmatched Contributions</w:t>
      </w:r>
      <w:r>
        <w:rPr>
          <w:rFonts w:ascii="Arial" w:cs="Arial" w:eastAsia="Arial" w:hAnsi="Arial"/>
          <w:sz w:val="16"/>
          <w:szCs w:val="16"/>
          <w:color w:val="auto"/>
        </w:rPr>
        <w:t xml:space="preserve">” means contributions made pursuant to Section 3.1.4 or pursuant to Section 3.1(c)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 in each case in lieu of Pre-Tax Unmatched Contributions. Roth Unmatched Contributions are not eligible for Matching Contributions.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51" w:name="page252"/>
    <w:bookmarkEnd w:id="251"/>
    <w:p>
      <w:pPr>
        <w:ind w:right="320"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Severance from Service Date</w:t>
      </w:r>
      <w:r>
        <w:rPr>
          <w:rFonts w:ascii="Arial" w:cs="Arial" w:eastAsia="Arial" w:hAnsi="Arial"/>
          <w:sz w:val="16"/>
          <w:szCs w:val="16"/>
          <w:color w:val="auto"/>
        </w:rPr>
        <w:t>” means the date, as recorded on the records of a Participating Company or an Affiliated Company, on which an Employee of such company quits, retires, is discharged, or dies, or, if earlier, the first anniversary of the first day of a period during which the Employee remains absent from service with all Participating Companies and Affiliated Companies (with or without pay) for any other reason, except:</w:t>
      </w:r>
    </w:p>
    <w:p>
      <w:pPr>
        <w:spacing w:after="0" w:line="147" w:lineRule="exact"/>
        <w:rPr>
          <w:sz w:val="20"/>
          <w:szCs w:val="20"/>
          <w:color w:val="auto"/>
        </w:rPr>
      </w:pPr>
    </w:p>
    <w:p>
      <w:pPr>
        <w:ind w:right="20" w:firstLine="2975"/>
        <w:spacing w:after="0" w:line="259" w:lineRule="auto"/>
        <w:tabs>
          <w:tab w:leader="none" w:pos="321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Solely for purposes of determining whether a One-Year Period of Severance has occurred, if the Employee is absent from work beyond the first anniversary of the first day of absence by reason of pregnancy, childbirth, or placement in connection with adoption, or for purposes of the care of such Employee’s child immediately after birth or placement in connection with adoption, such Employee’s Severance from Service Date shall be the second anniversary of the first day of such absence; or</w:t>
      </w:r>
    </w:p>
    <w:p>
      <w:pPr>
        <w:spacing w:after="0" w:line="186" w:lineRule="exact"/>
        <w:rPr>
          <w:rFonts w:ascii="Arial" w:cs="Arial" w:eastAsia="Arial" w:hAnsi="Arial"/>
          <w:sz w:val="18"/>
          <w:szCs w:val="18"/>
          <w:color w:val="auto"/>
        </w:rPr>
      </w:pPr>
    </w:p>
    <w:p>
      <w:pPr>
        <w:ind w:right="100" w:firstLine="2975"/>
        <w:spacing w:after="0" w:line="259" w:lineRule="auto"/>
        <w:tabs>
          <w:tab w:leader="none" w:pos="322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Employee is absent for military service under leave granted by the Participating Company or Affiliated Company or required by law, the Employee shall not be considered to have a Severance from Service Date, provided the absent Employee returns to service with the Participating Company or Affiliated Company within 90 days of his release from active military duty or any longer period during which his right to reemployment is protected by law.</w:t>
      </w:r>
    </w:p>
    <w:p>
      <w:pPr>
        <w:spacing w:after="0" w:line="187" w:lineRule="exact"/>
        <w:rPr>
          <w:sz w:val="20"/>
          <w:szCs w:val="20"/>
          <w:color w:val="auto"/>
        </w:rPr>
      </w:pPr>
    </w:p>
    <w:p>
      <w:pPr>
        <w:ind w:right="160"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Spouse</w:t>
      </w:r>
      <w:r>
        <w:rPr>
          <w:rFonts w:ascii="Arial" w:cs="Arial" w:eastAsia="Arial" w:hAnsi="Arial"/>
          <w:sz w:val="18"/>
          <w:szCs w:val="18"/>
          <w:color w:val="auto"/>
        </w:rPr>
        <w:t>” means the person to whom a Participant is legally married. For purposes of determining whether two individuals are legally married to each other, the applicable law of the jurisdiction in which such marriage took place shall apply. A Spouse shall include an individual of the same sex as the Participant, provided that the Participant and such other individual were legally married in a state whose laws authorize the marriage of two individuals of the same sex (regardless of whether the Participant and such other individual reside in a jurisdiction that authorizes or recognizes same-sex marriage).</w:t>
      </w:r>
    </w:p>
    <w:p>
      <w:pPr>
        <w:spacing w:after="0" w:line="188" w:lineRule="exact"/>
        <w:rPr>
          <w:sz w:val="20"/>
          <w:szCs w:val="20"/>
          <w:color w:val="auto"/>
        </w:rPr>
      </w:pPr>
    </w:p>
    <w:p>
      <w:pPr>
        <w:ind w:right="20" w:firstLine="148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Rollover Contributions</w:t>
      </w:r>
      <w:r>
        <w:rPr>
          <w:rFonts w:ascii="Arial" w:cs="Arial" w:eastAsia="Arial" w:hAnsi="Arial"/>
          <w:sz w:val="18"/>
          <w:szCs w:val="18"/>
          <w:color w:val="auto"/>
        </w:rPr>
        <w:t>” means a contribution to the Plan made in accordance with the rules of section 402 of the Code and pursuant to Section 7.1 of amounts which will constitute taxable income to the Participant when distributed or withdrawn. Taxable Rollover Contributions shall also include any amount voluntarily transferred by a Participant from the Storer Communications Pension Plan, or from the tax-qualified defined contribution plans of Adelphia Communications Corporation, Home Team Sports, AT&amp;T, MidAtlantic Communications, or Cable Network Services LLC (in which Outdoor Life Network was a participating employer).</w:t>
      </w:r>
    </w:p>
    <w:p>
      <w:pPr>
        <w:spacing w:after="0" w:line="188" w:lineRule="exact"/>
        <w:rPr>
          <w:sz w:val="20"/>
          <w:szCs w:val="20"/>
          <w:color w:val="auto"/>
        </w:rPr>
      </w:pPr>
    </w:p>
    <w:p>
      <w:pPr>
        <w:ind w:right="500" w:firstLine="148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Disability</w:t>
      </w:r>
      <w:r>
        <w:rPr>
          <w:rFonts w:ascii="Arial" w:cs="Arial" w:eastAsia="Arial" w:hAnsi="Arial"/>
          <w:sz w:val="18"/>
          <w:szCs w:val="18"/>
          <w:color w:val="auto"/>
        </w:rPr>
        <w:t>” means, with respect to any Participant, the earlier to occur of (a) the Participant qualifying for Social Security disability benefits or (b) the Participant becoming eligible for and receiving benefits under a long-term disability program sponsored by a Participating Company or an Affiliated Company.</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means any agreement and declaration of trust executed under this Plan.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means the corporate trustee or trustees or one or more individuals collectively appointed and acting under a Trust Agreement.</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each day the New York Stock Exchange is open for trading, or such other day as the Committee shall determine.</w:t>
      </w:r>
    </w:p>
    <w:p>
      <w:pPr>
        <w:spacing w:after="0" w:line="2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Year of Service</w:t>
      </w:r>
      <w:r>
        <w:rPr>
          <w:rFonts w:ascii="Arial" w:cs="Arial" w:eastAsia="Arial" w:hAnsi="Arial"/>
          <w:sz w:val="17"/>
          <w:szCs w:val="17"/>
          <w:color w:val="auto"/>
        </w:rPr>
        <w:t>” means, for any Employee, a credit used to determine his vested status under the Plan, as further described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6.2.</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52" w:name="page253"/>
    <w:bookmarkEnd w:id="25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TRANSITION AND ELIGIBILITY TO PARTICIPATE</w:t>
      </w:r>
    </w:p>
    <w:p>
      <w:pPr>
        <w:spacing w:after="0" w:line="22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Rights Affected and Preservation of Accrued Benefit</w:t>
      </w:r>
      <w:r>
        <w:rPr>
          <w:rFonts w:ascii="Arial" w:cs="Arial" w:eastAsia="Arial" w:hAnsi="Arial"/>
          <w:sz w:val="18"/>
          <w:szCs w:val="18"/>
          <w:color w:val="auto"/>
        </w:rPr>
        <w:t>. Except as provided to the contrary herein, the provisions of this amended and restated Plan shall apply only to Employees who complete an Hour of Service on or after the Effective Date. The rights of any other individual shall be governed by the Plan as in effect upon his Severance from Service Date, except to the extent expressly provided in any amendment adopted subsequently thereto. Additional rules regarding service credit are set forth in Article XV.</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225" w:lineRule="exact"/>
        <w:rPr>
          <w:sz w:val="20"/>
          <w:szCs w:val="20"/>
          <w:color w:val="auto"/>
        </w:rPr>
      </w:pPr>
    </w:p>
    <w:p>
      <w:pPr>
        <w:ind w:right="40" w:firstLine="1940"/>
        <w:spacing w:after="0" w:line="264" w:lineRule="auto"/>
        <w:rPr>
          <w:sz w:val="20"/>
          <w:szCs w:val="20"/>
          <w:color w:val="auto"/>
        </w:rPr>
      </w:pPr>
      <w:r>
        <w:rPr>
          <w:rFonts w:ascii="Arial" w:cs="Arial" w:eastAsia="Arial" w:hAnsi="Arial"/>
          <w:sz w:val="18"/>
          <w:szCs w:val="18"/>
          <w:color w:val="auto"/>
        </w:rPr>
        <w:t>2.2.1. Subject to Section 2.4, each Covered Employee as of the Restatement Date who was eligible to participate in the Plan immediately prior to the Restatement Date shall, for all purposes of the Plan applicable to that Covered Employee, continue to be an Eligible Employee as of the Effective Date.</w:t>
      </w:r>
    </w:p>
    <w:p>
      <w:pPr>
        <w:spacing w:after="0" w:line="181" w:lineRule="exact"/>
        <w:rPr>
          <w:sz w:val="20"/>
          <w:szCs w:val="20"/>
          <w:color w:val="auto"/>
        </w:rPr>
      </w:pPr>
    </w:p>
    <w:p>
      <w:pPr>
        <w:jc w:val="both"/>
        <w:ind w:right="100" w:firstLine="1940"/>
        <w:spacing w:after="0" w:line="264" w:lineRule="auto"/>
        <w:rPr>
          <w:sz w:val="20"/>
          <w:szCs w:val="20"/>
          <w:color w:val="auto"/>
        </w:rPr>
      </w:pPr>
      <w:r>
        <w:rPr>
          <w:rFonts w:ascii="Arial" w:cs="Arial" w:eastAsia="Arial" w:hAnsi="Arial"/>
          <w:sz w:val="18"/>
          <w:szCs w:val="18"/>
          <w:color w:val="auto"/>
        </w:rPr>
        <w:t>2.2.2. Subject to Section 2.4, each Covered Employee who was not eligible to participate immediately prior to the Effective Date shall, for all purposes of the Plan applicable to that Covered Employee, become an Eligible Employee on the Entry Date next following his completion of a Period of Service of three months.</w:t>
      </w:r>
    </w:p>
    <w:p>
      <w:pPr>
        <w:spacing w:after="0" w:line="181" w:lineRule="exact"/>
        <w:rPr>
          <w:sz w:val="20"/>
          <w:szCs w:val="20"/>
          <w:color w:val="auto"/>
        </w:rPr>
      </w:pPr>
    </w:p>
    <w:p>
      <w:pPr>
        <w:ind w:right="680" w:firstLine="1940"/>
        <w:spacing w:after="0" w:line="308" w:lineRule="auto"/>
        <w:rPr>
          <w:sz w:val="20"/>
          <w:szCs w:val="20"/>
          <w:color w:val="auto"/>
        </w:rPr>
      </w:pPr>
      <w:r>
        <w:rPr>
          <w:rFonts w:ascii="Arial" w:cs="Arial" w:eastAsia="Arial" w:hAnsi="Arial"/>
          <w:sz w:val="17"/>
          <w:szCs w:val="17"/>
          <w:color w:val="auto"/>
        </w:rPr>
        <w:t>2.2.3. If an individual is not a Covered Employee on the Entry Date next following the date he meets the requirements of Section 2.2.2, he shall become an Eligible Employee as of the first date thereafter on which he is a Covered Employee.</w:t>
      </w:r>
    </w:p>
    <w:p>
      <w:pPr>
        <w:spacing w:after="0" w:line="147"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2.2.4. If a Covered Employee does not satisfy the requirements of Section 2.2.2 prior to incurring a Severance from Service Date, but is rehired prior to incurring a One-Year Period of Severance, the prior Period of Service shall be considered for purposes of satisfying the requirements of Section 2.2.2. If the Covered Employee incurs a One-Year Period of Severance, his prior Period of Service shall not be considered upon a subsequent Reemployment Commencement Date.</w:t>
      </w:r>
    </w:p>
    <w:p>
      <w:pPr>
        <w:spacing w:after="0" w:line="187" w:lineRule="exact"/>
        <w:rPr>
          <w:sz w:val="20"/>
          <w:szCs w:val="20"/>
          <w:color w:val="auto"/>
        </w:rPr>
      </w:pPr>
    </w:p>
    <w:p>
      <w:pPr>
        <w:ind w:right="20" w:firstLine="1940"/>
        <w:spacing w:after="0" w:line="264" w:lineRule="auto"/>
        <w:rPr>
          <w:sz w:val="20"/>
          <w:szCs w:val="20"/>
          <w:color w:val="auto"/>
        </w:rPr>
      </w:pPr>
      <w:r>
        <w:rPr>
          <w:rFonts w:ascii="Arial" w:cs="Arial" w:eastAsia="Arial" w:hAnsi="Arial"/>
          <w:sz w:val="18"/>
          <w:szCs w:val="18"/>
          <w:color w:val="auto"/>
        </w:rPr>
        <w:t>2.2.5. An Eligible Employee who ceases to be a Covered Employee, due to incurring a Severance from Service Date or otherwise, and who later becomes a Covered Employee, shall become an Eligible Employee as of the date on which he first again completes an Hour of Service as a Covered Employee.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w:t>
      </w:r>
    </w:p>
    <w:p>
      <w:pPr>
        <w:spacing w:after="0" w:line="225" w:lineRule="exact"/>
        <w:rPr>
          <w:sz w:val="20"/>
          <w:szCs w:val="20"/>
          <w:color w:val="auto"/>
        </w:rPr>
      </w:pPr>
    </w:p>
    <w:p>
      <w:pPr>
        <w:ind w:right="100" w:firstLine="1940"/>
        <w:spacing w:after="0" w:line="257"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Election to Make Pre-Tax Contributions</w:t>
      </w:r>
      <w:r>
        <w:rPr>
          <w:rFonts w:ascii="Arial" w:cs="Arial" w:eastAsia="Arial" w:hAnsi="Arial"/>
          <w:sz w:val="18"/>
          <w:szCs w:val="18"/>
          <w:color w:val="auto"/>
        </w:rPr>
        <w:t>. Each Eligible Employee may elect to make Pre-Tax Contributions or Roth Contributions and become an Active Participant by filing a notice of such election with the Committee in accordance with Section 14.9. Such notice shall authorize the Participating Company to reduce such Eligible Employee’s cash remuneration by an amount determined in accordance with Section 3.1 and to make Pre-Tax Contributions or Roth Contributions on such Eligible Employee’s behalf in the amount of such reduction. Such election shall be effective as soon as administratively practicable following receipt of his election by the Committee.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4" w:right="319" w:bottom="1440" w:gutter="0" w:footer="0" w:header="0"/>
        </w:sectPr>
      </w:pPr>
    </w:p>
    <w:bookmarkStart w:id="253" w:name="page254"/>
    <w:bookmarkEnd w:id="253"/>
    <w:p>
      <w:pPr>
        <w:ind w:firstLine="19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2.3.2. </w:t>
      </w:r>
      <w:r>
        <w:rPr>
          <w:rFonts w:ascii="Arial" w:cs="Arial" w:eastAsia="Arial" w:hAnsi="Arial"/>
          <w:sz w:val="17"/>
          <w:szCs w:val="17"/>
          <w:u w:val="single" w:color="auto"/>
          <w:color w:val="auto"/>
        </w:rPr>
        <w:t>Automatic Enrollment</w:t>
      </w:r>
      <w:r>
        <w:rPr>
          <w:rFonts w:ascii="Arial" w:cs="Arial" w:eastAsia="Arial" w:hAnsi="Arial"/>
          <w:sz w:val="17"/>
          <w:szCs w:val="17"/>
          <w:color w:val="auto"/>
        </w:rPr>
        <w:t>. Each Eligible Employee who (i) is employed by a Participating Company on or after July 1, 2007 (other than an Eligible Employee who commences employment by a Participating Company as the result of the acquisition of the business of such Eligible Employee’s employer by a Participating Company (whether via a merger, stock acquisition or asset acquisition) and (ii) does not elect to make Pre-Tax Contributions or Roth Contributions and become an Active Participant pursuant to Section 2.3 will be automatically enrolled in the Plan on the Entry Date next following his completion of the Plan’s eligibility requirements, provided that the Eligible Employee does not affirmatively elect to decline to be an Active Participant in the Plan. Such an automatically enrolled Eligible Employee will be an Active Participant in the Plan as soon as administratively practicable following the expiration of the time determined by the Committee for returning the election form which includes the option to elect to decline to be an Active Participant in the Plan. Covered Employees who are designated by the Committee or its delegate as having been reemployed by a Participating Company following a One-Year Period of Severance are considered newly Eligible Employees for purposes of the automatic enrollment provisions described in this Section 2.3.2. Covered Employees who are designated by the Committee or its delegate as having been reemployed by a Participating Company prior to having incurred a One-Year Period of Severance will be automatically re-enrolled in the Plan at the Pre-Tax Contribution rate in effect for such Employee on his Severance from Service Date.</w:t>
      </w:r>
    </w:p>
    <w:p>
      <w:pPr>
        <w:spacing w:after="0" w:line="180"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Eligibility to Participate – After-Tax Contributions</w:t>
      </w:r>
      <w:r>
        <w:rPr>
          <w:rFonts w:ascii="Arial" w:cs="Arial" w:eastAsia="Arial" w:hAnsi="Arial"/>
          <w:sz w:val="17"/>
          <w:szCs w:val="17"/>
          <w:color w:val="auto"/>
        </w:rPr>
        <w:t>. A Covered Union Employee (Broadband) shall be eligible to make After-Tax Contributions at the same time that such Employee becomes eligible to make Pre-Tax Contributions in accordance with Section 2.2; provided that, if and when such Employee ceases to be a Covered Union Employee (Broadband), such Employee shall no longer be eligible to make After-Tax Contributions. Elections to make After-Tax Contributions shall be accomplished in the manner specified in Section 2.3.</w:t>
      </w:r>
    </w:p>
    <w:p>
      <w:pPr>
        <w:spacing w:after="0" w:line="171"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Data</w:t>
      </w:r>
      <w:r>
        <w:rPr>
          <w:rFonts w:ascii="Arial" w:cs="Arial" w:eastAsia="Arial" w:hAnsi="Arial"/>
          <w:sz w:val="16"/>
          <w:szCs w:val="16"/>
          <w:color w:val="auto"/>
        </w:rPr>
        <w:t>. Each Employee shall furnish to the Committee such data as the Committee may consider necessary for the determination of the Employee’s rights and benefits under the Plan and shall otherwise cooperate fully with the Committee in the administration of the Plan.</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Credit for Qualified Military Service</w:t>
      </w:r>
      <w:r>
        <w:rPr>
          <w:rFonts w:ascii="Arial" w:cs="Arial" w:eastAsia="Arial" w:hAnsi="Arial"/>
          <w:sz w:val="18"/>
          <w:szCs w:val="18"/>
          <w:color w:val="auto"/>
        </w:rPr>
        <w:t>. Notwithstanding any provision in this Plan to the contrary, contributions, benefits and service credit with respect to qualified military service will be provided in accordance with section 414(u) of the Code.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CONTRIBUTIONS TO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87" w:lineRule="auto"/>
        <w:rPr>
          <w:sz w:val="20"/>
          <w:szCs w:val="20"/>
          <w:color w:val="auto"/>
        </w:rPr>
      </w:pPr>
      <w:r>
        <w:rPr>
          <w:rFonts w:ascii="Arial" w:cs="Arial" w:eastAsia="Arial" w:hAnsi="Arial"/>
          <w:sz w:val="16"/>
          <w:szCs w:val="16"/>
          <w:color w:val="auto"/>
        </w:rPr>
        <w:t>3.1.1. When an Eligible Employee files an election under Section 2.3 to have Pre-Tax Contributions made on his behalf, he shall elect the percentage by which his Compensation shall be reduced on account of such Pre-Tax Contributions. Subject to Section 3.9, this percentage may be between one percent (1%) and fifty percent (50%) of such Compensation, rounded to the nearer half percentage (0.5%). An automatically enrolled Eligible Employee’s Pre-Tax Contributions will, unless and until changed or discontinued by the Eligible Employee in accordance with Sections 3.2 or 3.3 and subject to Section 3.10, be equal to three percent (3%) (or, in the case of an Eligible Employee automatically enrolled prior to January 1, 2013, 2% ) of the Eligible Employee’s Compensation in the first Plan Year in which such Eligible Employee is automatically enrolled in the Plan. The Pre-Tax Contribution percentage of an Eligible Employee hired on or after January 1, 2013 will, unless otherwise elected by the Eligible Employee, increase by one percent (1%), up to a maximum of ten percent (10%) of the Eligible Employee’s Compensation, 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Matched Contribution Account and/or Pre-Tax Unmatched Contribution Account, as applicable, provided that such contributions may be prospectively limited as provided in Section 3.10.</w:t>
      </w:r>
    </w:p>
    <w:p>
      <w:pPr>
        <w:spacing w:after="0" w:line="173" w:lineRule="exact"/>
        <w:rPr>
          <w:sz w:val="20"/>
          <w:szCs w:val="20"/>
          <w:color w:val="auto"/>
        </w:rPr>
      </w:pPr>
    </w:p>
    <w:p>
      <w:pPr>
        <w:ind w:right="60" w:firstLine="1940"/>
        <w:spacing w:after="0" w:line="286" w:lineRule="auto"/>
        <w:rPr>
          <w:sz w:val="20"/>
          <w:szCs w:val="20"/>
          <w:color w:val="auto"/>
        </w:rPr>
      </w:pPr>
      <w:r>
        <w:rPr>
          <w:rFonts w:ascii="Arial" w:cs="Arial" w:eastAsia="Arial" w:hAnsi="Arial"/>
          <w:sz w:val="17"/>
          <w:szCs w:val="17"/>
          <w:color w:val="auto"/>
        </w:rPr>
        <w:t>3.1.2. Pre-Tax Contributions made on behalf of an Eligible Employee under this Plan, together with elective deferrals under any other plan or arrangement maintained by any Participating Company or Affiliated Company, shall not exceed $17,500 (as adjusted in accordance with section 402(g) of the Code and regulations thereunder) for any calendar year. To the extent necessary to satisfy this limitation for any year:</w:t>
      </w:r>
    </w:p>
    <w:p>
      <w:pPr>
        <w:spacing w:after="0" w:line="166" w:lineRule="exact"/>
        <w:rPr>
          <w:sz w:val="20"/>
          <w:szCs w:val="20"/>
          <w:color w:val="auto"/>
        </w:rPr>
      </w:pPr>
    </w:p>
    <w:p>
      <w:pPr>
        <w:ind w:left="3220" w:hanging="245"/>
        <w:spacing w:after="0"/>
        <w:tabs>
          <w:tab w:leader="none" w:pos="32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elections under Section 3.1.1 shall be prospectively restricted; and</w:t>
      </w:r>
    </w:p>
    <w:p>
      <w:pPr>
        <w:spacing w:after="0" w:line="225" w:lineRule="exact"/>
        <w:rPr>
          <w:rFonts w:ascii="Arial" w:cs="Arial" w:eastAsia="Arial" w:hAnsi="Arial"/>
          <w:sz w:val="18"/>
          <w:szCs w:val="18"/>
          <w:color w:val="auto"/>
        </w:rPr>
      </w:pPr>
    </w:p>
    <w:p>
      <w:pPr>
        <w:ind w:right="200" w:firstLine="2975"/>
        <w:spacing w:after="0" w:line="259" w:lineRule="auto"/>
        <w:tabs>
          <w:tab w:leader="none" w:pos="322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after application of Section 3.1.2(a), the excess Pre-Tax Contributions and excess elective deferrals under any other plan or arrangement maintained by any Participating Company or Affiliated Company (with earnings thereon, but reduced by any amounts previously distributed under Section 3.10.1 for the year) shall be paid to the Participant on or before the April 15 first following the calendar year in which such contributions were made.</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the Pre-Tax Contributions plus elective deferrals described above do not exceed such limitation, but Pre-Tax Contributions, plus the elective deferrals, as defined in section 402(g)(3) of the Code, under any other plan for any Participant exceed such limitation for any calendar year, upon the written request of the Participant made on or before the March 1 first following such calendar year, the excess, including any earnings attributable thereto, designated by the Participant to be distributed from the Plan shall be paid to the Participant on or before the April 15 first following such calendar year.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5" w:name="page256"/>
    <w:bookmarkEnd w:id="255"/>
    <w:p>
      <w:pPr>
        <w:ind w:firstLine="19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3.1.3. </w:t>
      </w:r>
      <w:r>
        <w:rPr>
          <w:rFonts w:ascii="Arial" w:cs="Arial" w:eastAsia="Arial" w:hAnsi="Arial"/>
          <w:sz w:val="17"/>
          <w:szCs w:val="17"/>
          <w:u w:val="single" w:color="auto"/>
          <w:color w:val="auto"/>
        </w:rPr>
        <w:t>Catch-Up Contributions</w:t>
      </w:r>
      <w:r>
        <w:rPr>
          <w:rFonts w:ascii="Arial" w:cs="Arial" w:eastAsia="Arial" w:hAnsi="Arial"/>
          <w:sz w:val="17"/>
          <w:szCs w:val="17"/>
          <w:color w:val="auto"/>
        </w:rPr>
        <w:t>. Eligible Employees who have attained Age 50 before the close of any Plan Year shall be eligible to make Catch-Up Contributions. Catch-Up Contributions shall be expressed as a percentage of Compensation between one percent (1%) and thirty percent (30%) (rounded to the nearer half percentage (0.5%)).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3.5.</w:t>
      </w:r>
    </w:p>
    <w:p>
      <w:pPr>
        <w:spacing w:after="0" w:line="70" w:lineRule="exact"/>
        <w:rPr>
          <w:sz w:val="20"/>
          <w:szCs w:val="20"/>
          <w:color w:val="auto"/>
        </w:rPr>
      </w:pPr>
    </w:p>
    <w:p>
      <w:pPr>
        <w:ind w:left="1940" w:right="80" w:firstLine="379"/>
        <w:spacing w:after="0" w:line="285"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Catch-Up Contributions the Participant is otherwise eligible to make under the Plan, Roth Contributions and/or Roth Catch-Up Contributions to the Plan. Such Roth Contributions and Roth Catch-Up Contributions shall be allocated to the Eligible Employee’s Roth Matched Contribution Account, Roth Unmatched Contribution Account or Roth Catch-Up Contribution Account, as applicable. Roth Contributions and Roth Catch-Up Contributions shall be:</w:t>
      </w:r>
    </w:p>
    <w:p>
      <w:pPr>
        <w:spacing w:after="0" w:line="2" w:lineRule="exact"/>
        <w:rPr>
          <w:sz w:val="20"/>
          <w:szCs w:val="20"/>
          <w:color w:val="auto"/>
        </w:rPr>
      </w:pPr>
    </w:p>
    <w:p>
      <w:pPr>
        <w:ind w:left="1940" w:right="140" w:firstLine="8"/>
        <w:spacing w:after="0" w:line="269" w:lineRule="auto"/>
        <w:tabs>
          <w:tab w:leader="none" w:pos="218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irrevocably designated as such by the Eligible Employee at the time of the election described in Sections 2.3 and 3.1.3 that is being made in lieu of all or a portion of the Pre-Tax Contribution and/or Catch-Up Contributions the Eligible Employee is otherwise eligible to make under the Plan; and (b) treated by the Participating Company as includible in the Eligible Employee’s income at the time the Participant would have received that amount in cash if the Eligible Employee had not made an election described in Sections 2.3 or 3.1.3 of the Plan. Unless specifically stated otherwise, Roth Contributions shall be treated as Pre-Tax Contributions for all purposes of the Plan (including, without limitation, Matching Contributions under Section 3.5) and Roth Catch-Up Contributions shall be treated as Catch-Up Contributions for all purposes of the Plan.</w:t>
      </w:r>
    </w:p>
    <w:p>
      <w:pPr>
        <w:spacing w:after="0" w:line="18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After-Tax Contributions</w:t>
      </w:r>
      <w:r>
        <w:rPr>
          <w:rFonts w:ascii="Arial" w:cs="Arial" w:eastAsia="Arial" w:hAnsi="Arial"/>
          <w:sz w:val="17"/>
          <w:szCs w:val="17"/>
          <w:color w:val="auto"/>
        </w:rPr>
        <w:t>. With respect to Participants who are Covered Union Employees (Broadband), the total amount of Pre-Tax Contributions and After-Tax Contributions credited to a Participant’s Account may not exceed 50% of the Participant’s Compensation.</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Change of Percentage Rate</w:t>
      </w:r>
      <w:r>
        <w:rPr>
          <w:rFonts w:ascii="Arial" w:cs="Arial" w:eastAsia="Arial" w:hAnsi="Arial"/>
          <w:sz w:val="18"/>
          <w:szCs w:val="18"/>
          <w:color w:val="auto"/>
        </w:rPr>
        <w:t>. A Participant may, without penalty, change the percentage of Compensation designated (i) through his automatic enrollment in the Plan or (ii) by him as his contribution rate under Sections 3.1.1, 3.1.3, 3.1.4 and/or 3.2, as applicable, to any percentage permitted by Sections 3.1.1, 3.1.3, 3.1.4 or 3.2, and such percentage shall remain in effect until so changed. Any such change shall become effective as soon as administratively practicable following receipt of the change by the Committee.</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Discontinuance of Pre-Tax Contributions, Roth Contributions and After-Tax Contributions</w:t>
      </w:r>
      <w:r>
        <w:rPr>
          <w:rFonts w:ascii="Arial" w:cs="Arial" w:eastAsia="Arial" w:hAnsi="Arial"/>
          <w:sz w:val="18"/>
          <w:szCs w:val="18"/>
          <w:color w:val="auto"/>
        </w:rPr>
        <w:t>. A Participant may discontinue his Pre-Tax Contributions, Roth Contributions, Catch-Up Contributions, Roth Catch-Up Contributions or After-Tax Contributions at any time. Such discontinuance shall become effective as soon as administratively practicable following receipt of the discontinuance by the Committee.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56" w:name="page257"/>
    <w:bookmarkEnd w:id="2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3.5. </w:t>
      </w:r>
      <w:r>
        <w:rPr>
          <w:rFonts w:ascii="Arial" w:cs="Arial" w:eastAsia="Arial" w:hAnsi="Arial"/>
          <w:sz w:val="18"/>
          <w:szCs w:val="18"/>
          <w:u w:val="single" w:color="auto"/>
          <w:color w:val="auto"/>
        </w:rPr>
        <w:t>Matching Contributions</w:t>
      </w:r>
      <w:r>
        <w:rPr>
          <w:rFonts w:ascii="Arial" w:cs="Arial" w:eastAsia="Arial" w:hAnsi="Arial"/>
          <w:sz w:val="18"/>
          <w:szCs w:val="18"/>
          <w:color w:val="auto"/>
        </w:rPr>
        <w: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3.5.1. Subject to Sections 2.2, 3.5.1(c), 3.9 and 3.10, the Participating Company shall contribute to the Fund for each Payroll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ind w:right="260" w:firstLine="2975"/>
        <w:spacing w:after="0" w:line="285" w:lineRule="auto"/>
        <w:tabs>
          <w:tab w:leader="none" w:pos="321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with respect to each Active Participant (other than an Active Participant who is a Covered Union Employee (Comcast) and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four and one-half percent (4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of his Compensation for such Payroll Period; and</w:t>
      </w:r>
    </w:p>
    <w:p>
      <w:pPr>
        <w:spacing w:after="0" w:line="1" w:lineRule="exact"/>
        <w:rPr>
          <w:rFonts w:ascii="Arial" w:cs="Arial" w:eastAsia="Arial" w:hAnsi="Arial"/>
          <w:sz w:val="17"/>
          <w:szCs w:val="17"/>
          <w:color w:val="auto"/>
        </w:rPr>
      </w:pPr>
    </w:p>
    <w:p>
      <w:pPr>
        <w:ind w:right="120" w:firstLine="2975"/>
        <w:spacing w:after="0" w:line="259" w:lineRule="auto"/>
        <w:tabs>
          <w:tab w:leader="none" w:pos="322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with respect to each Active Participant who is a Covered Union Employee (Comcast) and who is a member of Local Union 827, International Brotherhood of Electrical Workers and who is employed in Pleasantville, New Jersey or Toms River, New Jersey, an amount equal to one hundred percent (100%) of such Participant’s Pre-Tax Matched Contributions for such Payroll Period not in excess of six percent (6%) of his Compensation for such Payroll Period.</w:t>
      </w:r>
    </w:p>
    <w:p>
      <w:pPr>
        <w:spacing w:after="0" w:line="186" w:lineRule="exact"/>
        <w:rPr>
          <w:rFonts w:ascii="Arial" w:cs="Arial" w:eastAsia="Arial" w:hAnsi="Arial"/>
          <w:sz w:val="18"/>
          <w:szCs w:val="18"/>
          <w:color w:val="auto"/>
        </w:rPr>
      </w:pPr>
    </w:p>
    <w:p>
      <w:pPr>
        <w:ind w:firstLine="2975"/>
        <w:spacing w:after="0" w:line="284" w:lineRule="auto"/>
        <w:tabs>
          <w:tab w:leader="none" w:pos="321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Notwithstanding Section 3.5.1(a) or (b),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 Period basis for such Plan Year or because of Catch-Up Contributions being re-designated as Pre-Tax Matched Contributions, a Participating Company shall make an additional Matching Contribution for the benefit of such Participant for such Plan Year in an amount equal to the amount which, when added to the Matching Contributions made pursuant to Section 3.4.1, would have been contributed had the Matching Contribution been based on the amount of the Participant’s annual Pre-Tax Matched Contributions and annual Compensation. Notwithstanding the foregoing, the maximum total Matching Contribution for any Plan Year for any Participant shall be $10,000 if such Participant is both</w:t>
      </w:r>
    </w:p>
    <w:p>
      <w:pPr>
        <w:spacing w:after="0" w:line="2" w:lineRule="exact"/>
        <w:rPr>
          <w:rFonts w:ascii="Arial" w:cs="Arial" w:eastAsia="Arial" w:hAnsi="Arial"/>
          <w:sz w:val="16"/>
          <w:szCs w:val="16"/>
          <w:color w:val="auto"/>
        </w:rPr>
      </w:pPr>
    </w:p>
    <w:p>
      <w:pPr>
        <w:ind w:right="240" w:firstLine="8"/>
        <w:spacing w:after="0" w:line="255" w:lineRule="auto"/>
        <w:tabs>
          <w:tab w:leader="none" w:pos="2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 Highly Compensated Employee (other than a Covered Union Employee (Comcast) or a Covered Union Employee (Broadband))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(ii) as of the first day of such Plan Year (or, if later, the applicable Participant’s Employment Commencement Date or Reemployment Commencement Date), eligible to contribute to the Comcast Corporation 2005 Deferred Compensation Plan.</w:t>
      </w:r>
    </w:p>
    <w:p>
      <w:pPr>
        <w:spacing w:after="0" w:line="190" w:lineRule="exact"/>
        <w:rPr>
          <w:sz w:val="20"/>
          <w:szCs w:val="20"/>
          <w:color w:val="auto"/>
        </w:rPr>
      </w:pPr>
    </w:p>
    <w:p>
      <w:pPr>
        <w:ind w:right="100" w:firstLine="1940"/>
        <w:spacing w:after="0" w:line="276" w:lineRule="auto"/>
        <w:rPr>
          <w:sz w:val="20"/>
          <w:szCs w:val="20"/>
          <w:color w:val="auto"/>
        </w:rPr>
      </w:pPr>
      <w:r>
        <w:rPr>
          <w:rFonts w:ascii="Arial" w:cs="Arial" w:eastAsia="Arial" w:hAnsi="Arial"/>
          <w:sz w:val="17"/>
          <w:szCs w:val="17"/>
          <w:color w:val="auto"/>
        </w:rPr>
        <w:t>3.5.2. The Participating Companies’ Matching Contribution obligation for a Plan Year shall be offset by the amount, if any, of the sum of Matching Contributions, Broadband Heritage Matching Contributions and Prior Company Matching Contributions (Unvested) forfeited during such Plan Year by Participants who were Employees of such Participating Company, provided that Matching Contributions may be prospectively limited as provided in Section 3.10. Notwithstanding the foregoing, the contributions under this Section for any Plan Year shall not cause the total contributions by the Participating Company to exceed the maximum allowable current deduction under the applicable provisions of the Code.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57" w:name="page258"/>
    <w:bookmarkEnd w:id="2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8"/>
          <w:szCs w:val="18"/>
          <w:u w:val="single" w:color="auto"/>
          <w:color w:val="auto"/>
        </w:rPr>
        <w:t>Comcast Retirement Contributions</w:t>
      </w:r>
      <w:r>
        <w:rPr>
          <w:rFonts w:ascii="Arial" w:cs="Arial" w:eastAsia="Arial" w:hAnsi="Arial"/>
          <w:sz w:val="18"/>
          <w:szCs w:val="18"/>
          <w:color w:val="auto"/>
        </w:rPr>
        <w:t>.</w:t>
      </w:r>
    </w:p>
    <w:p>
      <w:pPr>
        <w:spacing w:after="0" w:line="117" w:lineRule="exact"/>
        <w:rPr>
          <w:sz w:val="20"/>
          <w:szCs w:val="20"/>
          <w:color w:val="auto"/>
        </w:rPr>
      </w:pPr>
    </w:p>
    <w:p>
      <w:pPr>
        <w:ind w:left="1940" w:right="80" w:firstLine="379"/>
        <w:spacing w:after="0" w:line="255"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Contribution</w:t>
      </w:r>
      <w:r>
        <w:rPr>
          <w:rFonts w:ascii="Arial" w:cs="Arial" w:eastAsia="Arial" w:hAnsi="Arial"/>
          <w:sz w:val="18"/>
          <w:szCs w:val="18"/>
          <w:color w:val="auto"/>
        </w:rPr>
        <w:t>. With respect to each Plan Year, the Participating Companies may, in the discretion of the Company and subject to the limitations of Section 3.11 of the Plan, contribute to the Fund, for each Eligible Employee described in Section 3.6.2 below, an additional amount of up to 1% of such Eligible Employee’s Base Pay (or, in the case of an Eligible Employee eligible to receive commission-based compensation, such Eligible Employee’s Annual Benefit Base Rate) for the applicable the Plan Year. The determination of whether a Comcast Retirement Contribution will be allocated to Eligible Employees for a particular Plan Year shall be made by the EVP no later than the date on which such contribution may be declared and remain attributable to such Plan Year.</w:t>
      </w:r>
    </w:p>
    <w:p>
      <w:pPr>
        <w:spacing w:after="0" w:line="81" w:lineRule="exact"/>
        <w:rPr>
          <w:sz w:val="20"/>
          <w:szCs w:val="20"/>
          <w:color w:val="auto"/>
        </w:rPr>
      </w:pPr>
    </w:p>
    <w:p>
      <w:pPr>
        <w:ind w:left="1940" w:right="680" w:firstLine="379"/>
        <w:spacing w:after="0" w:line="342" w:lineRule="auto"/>
        <w:rPr>
          <w:sz w:val="20"/>
          <w:szCs w:val="20"/>
          <w:color w:val="auto"/>
        </w:rPr>
      </w:pPr>
      <w:r>
        <w:rPr>
          <w:rFonts w:ascii="Arial" w:cs="Arial" w:eastAsia="Arial" w:hAnsi="Arial"/>
          <w:sz w:val="16"/>
          <w:szCs w:val="16"/>
          <w:color w:val="auto"/>
        </w:rPr>
        <w:t xml:space="preserve">3.6.2. </w:t>
      </w:r>
      <w:r>
        <w:rPr>
          <w:rFonts w:ascii="Arial" w:cs="Arial" w:eastAsia="Arial" w:hAnsi="Arial"/>
          <w:sz w:val="16"/>
          <w:szCs w:val="16"/>
          <w:u w:val="single" w:color="auto"/>
          <w:color w:val="auto"/>
        </w:rPr>
        <w:t>Eligibility</w:t>
      </w:r>
      <w:r>
        <w:rPr>
          <w:rFonts w:ascii="Arial" w:cs="Arial" w:eastAsia="Arial" w:hAnsi="Arial"/>
          <w:sz w:val="16"/>
          <w:szCs w:val="16"/>
          <w:color w:val="auto"/>
        </w:rPr>
        <w:t>. An Employee is eligible to receive a Comcast Retirement Contribution for a particular Plan Year in accordance with Section 3.6.1 above if such Employee meets each of the conditions described in (a), (b) and (c) below:</w:t>
      </w:r>
    </w:p>
    <w:p>
      <w:pPr>
        <w:spacing w:after="0" w:line="124" w:lineRule="exact"/>
        <w:rPr>
          <w:sz w:val="20"/>
          <w:szCs w:val="20"/>
          <w:color w:val="auto"/>
        </w:rPr>
      </w:pPr>
    </w:p>
    <w:p>
      <w:pPr>
        <w:ind w:left="3220" w:hanging="245"/>
        <w:spacing w:after="0"/>
        <w:tabs>
          <w:tab w:leader="none" w:pos="32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Such Employee’s Employment Commencement Date occurs prior to October 1</w:t>
      </w:r>
      <w:r>
        <w:rPr>
          <w:rFonts w:ascii="Arial" w:cs="Arial" w:eastAsia="Arial" w:hAnsi="Arial"/>
          <w:sz w:val="14"/>
          <w:szCs w:val="14"/>
          <w:color w:val="auto"/>
        </w:rPr>
        <w:t>st</w:t>
      </w:r>
      <w:r>
        <w:rPr>
          <w:rFonts w:ascii="Arial" w:cs="Arial" w:eastAsia="Arial" w:hAnsi="Arial"/>
          <w:sz w:val="17"/>
          <w:szCs w:val="17"/>
          <w:color w:val="auto"/>
        </w:rPr>
        <w:t xml:space="preserve"> of the applicable Plan Year;</w:t>
      </w:r>
    </w:p>
    <w:p>
      <w:pPr>
        <w:spacing w:after="0" w:line="236" w:lineRule="exact"/>
        <w:rPr>
          <w:rFonts w:ascii="Arial" w:cs="Arial" w:eastAsia="Arial" w:hAnsi="Arial"/>
          <w:sz w:val="17"/>
          <w:szCs w:val="17"/>
          <w:color w:val="auto"/>
        </w:rPr>
      </w:pPr>
    </w:p>
    <w:p>
      <w:pPr>
        <w:ind w:right="620" w:firstLine="2975"/>
        <w:spacing w:after="0" w:line="277" w:lineRule="auto"/>
        <w:tabs>
          <w:tab w:leader="none" w:pos="322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Such Employee is an Employee on the last day of the applicable Plan Year (including an Employee on an approved leave of absence as of such date); and</w:t>
      </w:r>
    </w:p>
    <w:p>
      <w:pPr>
        <w:spacing w:after="0" w:line="170" w:lineRule="exact"/>
        <w:rPr>
          <w:rFonts w:ascii="Arial" w:cs="Arial" w:eastAsia="Arial" w:hAnsi="Arial"/>
          <w:sz w:val="18"/>
          <w:szCs w:val="18"/>
          <w:color w:val="auto"/>
        </w:rPr>
      </w:pPr>
    </w:p>
    <w:p>
      <w:pPr>
        <w:ind w:firstLine="2975"/>
        <w:spacing w:after="0" w:line="272" w:lineRule="auto"/>
        <w:tabs>
          <w:tab w:leader="none" w:pos="321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Such Employee is not (i) eligible to participate in the Comcast Corporation 2005 Deferred Compensation Plan (or any successor Plan), (ii) a Highly Compensated Employee for the applicable Plan Year, (iii) an Eligible Employee with an Employment Commencement Date or Reemployment Commencement Date during the applicable Plan Year whose Annual Rate of Pay is greater than the annual dollar amount set forth in section 414(q)(1)(B)(i) of the Code for purposes of determining Highly Compensated Employees for the applicable Plan Year, or (iv) an Eligible Employee with an Employment Commencement Date or Reemployment Commencement Date during the immediately preceding Plan Year whose Annual Rate of Pay for both the immediately preceding Plan Year and the applicable Plan Year is greater than the annual dollar amount set forth in section 414(q)(1)(B)(i) of the Code for purposes of determining Highly Compensated Employees for the applicable Plan Year.</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that an Employee is eligible to receive an allocation of the Comcast Retirement Contribution for a particular Plan Year pursuant to the conditions described above and such Employee is employed by NBCUniversal or one of its subsidiaries as of the last day of the Plan Year due to a transfer of employment from the Company or one of its subsidiaries (other than NBCUniversal and its subsidiaries) during such Plan Year, such eligible Employee’s allocation of the Comcast Retirement Contribution for that Plan Year will be determined solely with respect to the Base Pay (or Annual Benefit Base Rate, as applicable) received by such Employee for the portion of the Plan Year he or she was employed by the Company or one of its subsidiaries (other than NBCUniversal and its subsidiaries).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8" w:name="page259"/>
    <w:bookmarkEnd w:id="258"/>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3.7. </w:t>
      </w:r>
      <w:r>
        <w:rPr>
          <w:rFonts w:ascii="Arial" w:cs="Arial" w:eastAsia="Arial" w:hAnsi="Arial"/>
          <w:sz w:val="17"/>
          <w:szCs w:val="17"/>
          <w:u w:val="single" w:color="auto"/>
          <w:color w:val="auto"/>
        </w:rPr>
        <w:t>Timing and Deductibility of Contributions</w:t>
      </w:r>
      <w:r>
        <w:rPr>
          <w:rFonts w:ascii="Arial" w:cs="Arial" w:eastAsia="Arial" w:hAnsi="Arial"/>
          <w:sz w:val="17"/>
          <w:szCs w:val="17"/>
          <w:color w:val="auto"/>
        </w:rPr>
        <w:t>. Participating Company contributions for any Plan Year under this Article shall be made no later than the last date on which amounts so paid may be deducted for Federal income tax purposes for the taxable year of the employer in which the Plan Year ends. All Participating Company contributions are expressly conditioned upon their deductibility for Federal income tax purposes. Amounts contributed as Pre-Tax Contributions, After-Tax Contributions, Catch-Up Contributions, Roth Contributions, Roth Catch-Up Contributions, After-Tax Rollover Contributions, Taxable Rollover Contributions, and Roth Rollover Contributions will be remitted to the Trustee as soon as practicable.</w:t>
      </w:r>
    </w:p>
    <w:p>
      <w:pPr>
        <w:spacing w:after="0" w:line="1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Fund</w:t>
      </w:r>
      <w:r>
        <w:rPr>
          <w:rFonts w:ascii="Arial" w:cs="Arial" w:eastAsia="Arial" w:hAnsi="Arial"/>
          <w:sz w:val="17"/>
          <w:szCs w:val="17"/>
          <w:color w:val="auto"/>
        </w:rPr>
        <w:t>. The contributions deposited by the Participating Company in the Fund in accordance with this Article shall constitute a fund held for the benefit of Participants and their eligible beneficiaries under and in accordance with this Plan. No part of the principal or income of the Fund shall be used for, or diverted to, purposes other than for the exclusive benefit of such Participants and their eligible beneficiaries (including necessary administrative costs); provided, that in the case of a contribution made by the Participating Company as a mistake of fact, or for which a tax deduction is disallowed, in whole or in part, by the Internal Revenue Service, the Participating Company shall be entitled to a refund of said contributions, which must be made within one year after payment of a contribution made as a mistake of fact, or within one year after disallowance.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Limitation on Pre-Tax Contributions and Matching Contributions</w:t>
      </w:r>
      <w:r>
        <w:rPr>
          <w:rFonts w:ascii="Arial" w:cs="Arial" w:eastAsia="Arial" w:hAnsi="Arial"/>
          <w:sz w:val="18"/>
          <w:szCs w:val="18"/>
          <w:color w:val="auto"/>
        </w:rPr>
        <w:t>.</w:t>
      </w:r>
    </w:p>
    <w:p>
      <w:pPr>
        <w:spacing w:after="0" w:line="225" w:lineRule="exact"/>
        <w:rPr>
          <w:sz w:val="20"/>
          <w:szCs w:val="20"/>
          <w:color w:val="auto"/>
        </w:rPr>
      </w:pPr>
    </w:p>
    <w:p>
      <w:pPr>
        <w:ind w:right="80" w:firstLine="1940"/>
        <w:spacing w:after="0" w:line="277" w:lineRule="auto"/>
        <w:rPr>
          <w:sz w:val="20"/>
          <w:szCs w:val="20"/>
          <w:color w:val="auto"/>
        </w:rPr>
      </w:pPr>
      <w:r>
        <w:rPr>
          <w:rFonts w:ascii="Arial" w:cs="Arial" w:eastAsia="Arial" w:hAnsi="Arial"/>
          <w:sz w:val="18"/>
          <w:szCs w:val="18"/>
          <w:color w:val="auto"/>
        </w:rPr>
        <w:t>3.9.1. For any Plan Year, the Average Actual Deferral Percentage for the Highly Compensated Early Entry Eligible Employees for the current Plan Year shall not exceed the greater of:</w:t>
      </w:r>
    </w:p>
    <w:p>
      <w:pPr>
        <w:spacing w:after="0" w:line="170" w:lineRule="exact"/>
        <w:rPr>
          <w:sz w:val="20"/>
          <w:szCs w:val="20"/>
          <w:color w:val="auto"/>
        </w:rPr>
      </w:pPr>
    </w:p>
    <w:p>
      <w:pPr>
        <w:ind w:right="380" w:firstLine="2975"/>
        <w:spacing w:after="0" w:line="277" w:lineRule="auto"/>
        <w:tabs>
          <w:tab w:leader="none" w:pos="321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one hundred twenty-five percent (125%) of the Average Actual Deferral Percentage for all other Early Entry Eligible Employees for the preceding Plan Year; or</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two hundred percent (200%) of the Average Actual Deferral Percentage for all other Early Entry Eligible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Employees for the preceding Plan Year; or</w:t>
      </w:r>
    </w:p>
    <w:p>
      <w:pPr>
        <w:spacing w:after="0" w:line="210" w:lineRule="exact"/>
        <w:rPr>
          <w:rFonts w:ascii="Arial" w:cs="Arial" w:eastAsia="Arial" w:hAnsi="Arial"/>
          <w:sz w:val="16"/>
          <w:szCs w:val="16"/>
          <w:color w:val="auto"/>
        </w:rPr>
      </w:pPr>
    </w:p>
    <w:p>
      <w:pPr>
        <w:ind w:left="3680" w:hanging="248"/>
        <w:spacing w:after="0"/>
        <w:tabs>
          <w:tab w:leader="none" w:pos="36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two percent (2%) plus the Average Actual Deferral Percentage for all other Early Entry Eligible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Employees for the preceding Plan Year.</w:t>
      </w:r>
    </w:p>
    <w:p>
      <w:pPr>
        <w:spacing w:after="0" w:line="211" w:lineRule="exact"/>
        <w:rPr>
          <w:sz w:val="20"/>
          <w:szCs w:val="20"/>
          <w:color w:val="auto"/>
        </w:rPr>
      </w:pPr>
    </w:p>
    <w:p>
      <w:pPr>
        <w:ind w:right="20" w:firstLine="1940"/>
        <w:spacing w:after="0" w:line="277" w:lineRule="auto"/>
        <w:rPr>
          <w:sz w:val="20"/>
          <w:szCs w:val="20"/>
          <w:color w:val="auto"/>
        </w:rPr>
      </w:pPr>
      <w:r>
        <w:rPr>
          <w:rFonts w:ascii="Arial" w:cs="Arial" w:eastAsia="Arial" w:hAnsi="Arial"/>
          <w:sz w:val="18"/>
          <w:szCs w:val="18"/>
          <w:color w:val="auto"/>
        </w:rPr>
        <w:t>3.9.2. For any Plan Year, the Average Contribution Percentage for the Highly Compensated Early Entry Eligible Employees for the current Plan Year shall not exceed the greater of:</w:t>
      </w:r>
    </w:p>
    <w:p>
      <w:pPr>
        <w:spacing w:after="0" w:line="170" w:lineRule="exact"/>
        <w:rPr>
          <w:sz w:val="20"/>
          <w:szCs w:val="20"/>
          <w:color w:val="auto"/>
        </w:rPr>
      </w:pPr>
    </w:p>
    <w:p>
      <w:pPr>
        <w:ind w:right="580" w:firstLine="2975"/>
        <w:spacing w:after="0" w:line="277" w:lineRule="auto"/>
        <w:tabs>
          <w:tab w:leader="none" w:pos="321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one hundred twenty-five percent (125%) of the Average Contribution Percentage for all other Early Entry Eligible Employees for the preceding Plan Year;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59" w:name="page260"/>
    <w:bookmarkEnd w:id="259"/>
    <w:p>
      <w:pPr>
        <w:ind w:left="3220" w:hanging="245"/>
        <w:spacing w:after="0"/>
        <w:tabs>
          <w:tab w:leader="none" w:pos="3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lesser of:</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two hundred percent (200%) of the Average Contribution Percentage for all other Early Entry Eligible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Employees for the preceding Plan Year; or</w:t>
      </w:r>
    </w:p>
    <w:p>
      <w:pPr>
        <w:spacing w:after="0" w:line="210" w:lineRule="exact"/>
        <w:rPr>
          <w:rFonts w:ascii="Arial" w:cs="Arial" w:eastAsia="Arial" w:hAnsi="Arial"/>
          <w:sz w:val="17"/>
          <w:szCs w:val="17"/>
          <w:color w:val="auto"/>
        </w:rPr>
      </w:pPr>
    </w:p>
    <w:p>
      <w:pPr>
        <w:ind w:left="3680" w:hanging="248"/>
        <w:spacing w:after="0"/>
        <w:tabs>
          <w:tab w:leader="none" w:pos="36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two percent (2%) plus the Average Contribution Percentage for all other Early Entry Eligible Employees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the preceding Plan Year.</w:t>
      </w:r>
    </w:p>
    <w:p>
      <w:pPr>
        <w:spacing w:after="0" w:line="211" w:lineRule="exact"/>
        <w:rPr>
          <w:sz w:val="20"/>
          <w:szCs w:val="20"/>
          <w:color w:val="auto"/>
        </w:rPr>
      </w:pPr>
    </w:p>
    <w:p>
      <w:pPr>
        <w:ind w:right="140" w:firstLine="1940"/>
        <w:spacing w:after="0" w:line="264" w:lineRule="auto"/>
        <w:rPr>
          <w:sz w:val="20"/>
          <w:szCs w:val="20"/>
          <w:color w:val="auto"/>
        </w:rPr>
      </w:pPr>
      <w:r>
        <w:rPr>
          <w:rFonts w:ascii="Arial" w:cs="Arial" w:eastAsia="Arial" w:hAnsi="Arial"/>
          <w:sz w:val="18"/>
          <w:szCs w:val="18"/>
          <w:color w:val="auto"/>
        </w:rPr>
        <w:t>3.9.3. If the Plan and any other plan(s) maintained by a Participating Company or an Affiliated Company are treated as a single plan for purposes of section 401(a)(4) or section 410(b) of the Code, the limitations in Sections 3.9.1 and 3.9.2 shall be applied by treating the Plan and such other plan(s) as a single plan.</w:t>
      </w:r>
    </w:p>
    <w:p>
      <w:pPr>
        <w:spacing w:after="0" w:line="181" w:lineRule="exact"/>
        <w:rPr>
          <w:sz w:val="20"/>
          <w:szCs w:val="20"/>
          <w:color w:val="auto"/>
        </w:rPr>
      </w:pPr>
    </w:p>
    <w:p>
      <w:pPr>
        <w:ind w:right="360" w:firstLine="1940"/>
        <w:spacing w:after="0" w:line="277" w:lineRule="auto"/>
        <w:rPr>
          <w:sz w:val="20"/>
          <w:szCs w:val="20"/>
          <w:color w:val="auto"/>
        </w:rPr>
      </w:pPr>
      <w:r>
        <w:rPr>
          <w:rFonts w:ascii="Arial" w:cs="Arial" w:eastAsia="Arial" w:hAnsi="Arial"/>
          <w:sz w:val="18"/>
          <w:szCs w:val="18"/>
          <w:color w:val="auto"/>
        </w:rPr>
        <w:t>3.9.4. The application of this Section shall satisfy sections 401(k) and 401(m) of the Code and regulations thereunder and such other requirements as may be prescribed by the Secretary of the Treasury.</w:t>
      </w:r>
    </w:p>
    <w:p>
      <w:pPr>
        <w:spacing w:after="0" w:line="170" w:lineRule="exact"/>
        <w:rPr>
          <w:sz w:val="20"/>
          <w:szCs w:val="20"/>
          <w:color w:val="auto"/>
        </w:rPr>
      </w:pPr>
    </w:p>
    <w:p>
      <w:pPr>
        <w:jc w:val="both"/>
        <w:ind w:firstLine="1940"/>
        <w:spacing w:after="0" w:line="312" w:lineRule="auto"/>
        <w:rPr>
          <w:sz w:val="20"/>
          <w:szCs w:val="20"/>
          <w:color w:val="auto"/>
        </w:rPr>
      </w:pPr>
      <w:r>
        <w:rPr>
          <w:rFonts w:ascii="Arial" w:cs="Arial" w:eastAsia="Arial" w:hAnsi="Arial"/>
          <w:sz w:val="16"/>
          <w:szCs w:val="16"/>
          <w:color w:val="auto"/>
        </w:rPr>
        <w:t>3.9.5. The test set forth in Section 3.9.1 must be satisfied separately with respect to (1) Early Entry Eligible Employees who are not covered by a collective bargaining agreement and (2) Early Entry Eligible Employees who are covered by a collective bargaining agreement. The test set forth in Section 3.9.2 must be satisfied only with respect to Early Entry Eligible Employees who are not covered by a collective bargaining agreement.</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Prevention of Violation of Limitation on Pre-Tax Contributions and Matching Contributions</w:t>
      </w:r>
      <w:r>
        <w:rPr>
          <w:rFonts w:ascii="Arial" w:cs="Arial" w:eastAsia="Arial" w:hAnsi="Arial"/>
          <w:sz w:val="16"/>
          <w:szCs w:val="16"/>
          <w:color w:val="auto"/>
        </w:rPr>
        <w:t>. The Committee shall monitor the level of Participants’ Pre-Tax Contributions, Matching Contributions and elective deferrals, employee contributions, and employer matching contributions under any other qualified retirement plan maintained by a Participating Company or any Affiliated Company to insure against exceeding the limits of Section 3.9. To the extent practicable, the Plan Administrator may prospectively limit (i) some or all of the Highly Compensated Early Entry Eligible Employees’ Pre-Tax Contributions to reduce the Average Actual Deferral Percentage of the Highly Compensated Early Entry Eligible Employees to the extent necessary to satisfy Section 3.9.1 and/or (ii) some or all of the Highly Compensated Early Entry Eligible Employees’ Matching Contributions to reduce the Average Contribution Percentage of the Highly Compensated Early Entry Eligible Employees to the extent necessary to satisfy Section 3.9.2. If the Committee determines after the end of the Plan Year that the limits of Section 3.9 may be or have been exceeded, it shall take the appropriate following action for such Plan Year:</w:t>
      </w:r>
    </w:p>
    <w:p>
      <w:pPr>
        <w:spacing w:after="0" w:line="166" w:lineRule="exact"/>
        <w:rPr>
          <w:sz w:val="20"/>
          <w:szCs w:val="20"/>
          <w:color w:val="auto"/>
        </w:rPr>
      </w:pPr>
    </w:p>
    <w:p>
      <w:pPr>
        <w:ind w:right="120" w:firstLine="1940"/>
        <w:spacing w:after="0" w:line="277" w:lineRule="auto"/>
        <w:rPr>
          <w:sz w:val="20"/>
          <w:szCs w:val="20"/>
          <w:color w:val="auto"/>
        </w:rPr>
      </w:pPr>
      <w:r>
        <w:rPr>
          <w:rFonts w:ascii="Arial" w:cs="Arial" w:eastAsia="Arial" w:hAnsi="Arial"/>
          <w:sz w:val="18"/>
          <w:szCs w:val="18"/>
          <w:color w:val="auto"/>
        </w:rPr>
        <w:t>3.10.1. (a) The Average Actual Deferral Percentage for the Highly Compensated Early Entry Eligible Employees shall be reduced to the extent necessary to satisfy Section 3.9.1.</w:t>
      </w:r>
    </w:p>
    <w:p>
      <w:pPr>
        <w:spacing w:after="0" w:line="170" w:lineRule="exact"/>
        <w:rPr>
          <w:sz w:val="20"/>
          <w:szCs w:val="20"/>
          <w:color w:val="auto"/>
        </w:rPr>
      </w:pPr>
    </w:p>
    <w:p>
      <w:pPr>
        <w:ind w:right="60" w:firstLine="2975"/>
        <w:spacing w:after="0" w:line="279" w:lineRule="auto"/>
        <w:tabs>
          <w:tab w:leader="none" w:pos="322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reduction shall be accomplished by reducing the maximum Actual Deferral Percentage for any Highly Compensated Early Entry Eligible Employee to an adjusted maximum Actual Deferral Percentage, which shall be the highest Actual Deferral Percentage that would cause one of the tests in Section 3.9.1 to be satisfied, if each Highly Compensated Early Entry Eligible Employee with a higher Actual Deferral Percentage had instead the adjusted maximum Actual Deferral Percentage, reducing the Highly Compensated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60" w:name="page261"/>
    <w:bookmarkEnd w:id="260"/>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Early Entry Eligible Employee’s Pre-Tax Contributions and elective deferrals under any other qualified retirement plan maintained by the Participating Company or any Affiliated Company (less any amounts previously distributed under Section 3.1 for the year) in order, beginning with the Highly Compensated Early Entry Eligible Employee(s) with the highest Actual Deferral Percentage.</w:t>
      </w:r>
    </w:p>
    <w:p>
      <w:pPr>
        <w:spacing w:after="0" w:line="181" w:lineRule="exact"/>
        <w:rPr>
          <w:sz w:val="20"/>
          <w:szCs w:val="20"/>
          <w:color w:val="auto"/>
        </w:rPr>
      </w:pPr>
    </w:p>
    <w:p>
      <w:pPr>
        <w:ind w:firstLine="2975"/>
        <w:spacing w:after="0" w:line="273" w:lineRule="auto"/>
        <w:tabs>
          <w:tab w:leader="none" w:pos="3212" w:val="left"/>
        </w:tabs>
        <w:numPr>
          <w:ilvl w:val="0"/>
          <w:numId w:val="164"/>
        </w:numPr>
        <w:rPr>
          <w:rFonts w:ascii="Arial" w:cs="Arial" w:eastAsia="Arial" w:hAnsi="Arial"/>
          <w:sz w:val="17"/>
          <w:szCs w:val="17"/>
          <w:color w:val="auto"/>
        </w:rPr>
      </w:pPr>
      <w:r>
        <w:rPr>
          <w:rFonts w:ascii="Arial" w:cs="Arial" w:eastAsia="Arial" w:hAnsi="Arial"/>
          <w:sz w:val="17"/>
          <w:szCs w:val="17"/>
          <w:color w:val="auto"/>
        </w:rPr>
        <w:t>Not later than the end of the Plan Year following the close of the Plan Year for which the Pre-Tax Contributions were made, the excess Pre-Tax Contributions shall be paid to the Highly Compensated Early Entry Eligible Employees (determined on the basis of the Highly Compensated Early Entry Eligible Employees with the largest dollar amount of Pre-Tax Contributions), with earnings attributable thereto (as determined in accordance with applicable Treasury Regulations); provided, however, that for any Participant who is also a participant in any other qualified retirement plan maintained by the Participating Company or any Affiliated Company under which the Participant makes elective deferrals for such year, the Committee shall coordinate corrective actions under this Plan and such other plan for the year.</w:t>
      </w:r>
    </w:p>
    <w:p>
      <w:pPr>
        <w:spacing w:after="0" w:line="178" w:lineRule="exact"/>
        <w:rPr>
          <w:sz w:val="20"/>
          <w:szCs w:val="20"/>
          <w:color w:val="auto"/>
        </w:rPr>
      </w:pPr>
    </w:p>
    <w:p>
      <w:pPr>
        <w:ind w:right="120" w:firstLine="1940"/>
        <w:spacing w:after="0" w:line="277" w:lineRule="auto"/>
        <w:rPr>
          <w:sz w:val="20"/>
          <w:szCs w:val="20"/>
          <w:color w:val="auto"/>
        </w:rPr>
      </w:pPr>
      <w:r>
        <w:rPr>
          <w:rFonts w:ascii="Arial" w:cs="Arial" w:eastAsia="Arial" w:hAnsi="Arial"/>
          <w:sz w:val="18"/>
          <w:szCs w:val="18"/>
          <w:color w:val="auto"/>
        </w:rPr>
        <w:t>3.10.2. (a) The Average Contribution Percentage for the Highly Compensated Early Entry Eligible Employees shall be reduced to the extent necessary to satisfy at least one of the tests in Section 3.9.2.</w:t>
      </w:r>
    </w:p>
    <w:p>
      <w:pPr>
        <w:spacing w:after="0" w:line="170" w:lineRule="exact"/>
        <w:rPr>
          <w:sz w:val="20"/>
          <w:szCs w:val="20"/>
          <w:color w:val="auto"/>
        </w:rPr>
      </w:pPr>
    </w:p>
    <w:p>
      <w:pPr>
        <w:ind w:right="60" w:firstLine="2975"/>
        <w:spacing w:after="0" w:line="255" w:lineRule="auto"/>
        <w:tabs>
          <w:tab w:leader="none" w:pos="32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reduction shall be accomplished by reducing the maximum Contribution Percentage for any Highly Compensated Early Entry Eligible Employee to an adjusted maximum Contribution Percentage, which shall be the highest Contribution Percentage that would cause one of the tests in Section 3.9.2 to be satisfied, if each Highly Compensated Early Entry Eligible Employee with a higher Contribution Percentage had instead the adjusted maximum Contribution Percentage, reducing, in the following order of priority, the Highly Compensated Early Entry Eligible Employees’ Matching Contributions and employee contributions and employer matching contributions under any other qualified retirement plan maintained by the Participating Company or an Affiliated Company, in order beginning with the Highly Compensated Early Entry Eligible Employee(s) with the highest Contribution Percentage.</w:t>
      </w:r>
    </w:p>
    <w:p>
      <w:pPr>
        <w:spacing w:after="0" w:line="189" w:lineRule="exact"/>
        <w:rPr>
          <w:rFonts w:ascii="Arial" w:cs="Arial" w:eastAsia="Arial" w:hAnsi="Arial"/>
          <w:sz w:val="18"/>
          <w:szCs w:val="18"/>
          <w:color w:val="auto"/>
        </w:rPr>
      </w:pPr>
    </w:p>
    <w:p>
      <w:pPr>
        <w:ind w:right="60" w:firstLine="2975"/>
        <w:spacing w:after="0" w:line="253" w:lineRule="auto"/>
        <w:tabs>
          <w:tab w:leader="none" w:pos="321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 later than the end of the Plan Year following the close of the Plan Year for which such contributions were made, the excess Matching Contributions, with earnings attributable thereto (as determined in accordance with applicable Treasury Regulations) shall be treated as a forfeiture of the Highly Compensated Early Entry Eligible Employee’s Matching Contributions for the Plan Year to the extent such contributions are forfeitable (which forfeiture shall be used to reduce future Matching Contributions), or paid to the Highly Compensated Early Entry Eligible Employee to the extent such contributions are nonforfeitable; provided that any such forfeiture or payment shall be determined on the basis of the Highly Compensated Early Entry Eligible Employee(s) with the largest dollar amount of Matching Contributions; provided further, that, for any Participant who is also a participant in any other qualified retirement plan maintained by the Participating Company or any Affiliated Company under which the Participant makes employee contributions or is credited with employer matching contributions for the year, the Committee shall coordinate corrective actions under this Plan and such other plan for the year.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61" w:name="page262"/>
    <w:bookmarkEnd w:id="261"/>
    <w:p>
      <w:pPr>
        <w:ind w:right="40" w:firstLine="1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3.10.3. If the Plan and any other plan maintained by a Participating Company or an Affiliated Company are treated as a single plan pursuant to Section 3.9.3, the Committee shall coordinate corrective actions under the Plan and such other plan for the year.</w:t>
      </w:r>
    </w:p>
    <w:p>
      <w:pPr>
        <w:spacing w:after="0" w:line="170" w:lineRule="exact"/>
        <w:rPr>
          <w:sz w:val="20"/>
          <w:szCs w:val="20"/>
          <w:color w:val="auto"/>
        </w:rPr>
      </w:pPr>
    </w:p>
    <w:p>
      <w:pPr>
        <w:ind w:right="80" w:firstLine="1940"/>
        <w:spacing w:after="0" w:line="255" w:lineRule="auto"/>
        <w:rPr>
          <w:sz w:val="20"/>
          <w:szCs w:val="20"/>
          <w:color w:val="auto"/>
        </w:rPr>
      </w:pPr>
      <w:r>
        <w:rPr>
          <w:rFonts w:ascii="Arial" w:cs="Arial" w:eastAsia="Arial" w:hAnsi="Arial"/>
          <w:sz w:val="18"/>
          <w:szCs w:val="18"/>
          <w:color w:val="auto"/>
        </w:rPr>
        <w:t>3.10.4. The Company in its sole discretion may authorize an additional Company contribution for a Plan Year on behalf of the Non-Highly Compensated Early Entry Eligible Employees in an amount which the Company determines is necessary to meet one of the two actual deferral percentage tests or one of the two actual contribution percentage tests for such Plan Year. Such additional contributions shall be allocated in an equitable manner among the Non-Highly Compensated Early Entry Eligible Employees and the amount allocated to each such Employee shall be treated for all purposes under the Plan as an additional Pre-Tax Contribution by the Company for such Plan Year. Any such contributions shall be allocated to the Qualified Non-Elective Contribution Account.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Maximum Allocation</w:t>
      </w:r>
      <w:r>
        <w:rPr>
          <w:rFonts w:ascii="Arial" w:cs="Arial" w:eastAsia="Arial" w:hAnsi="Arial"/>
          <w:sz w:val="18"/>
          <w:szCs w:val="18"/>
          <w:color w:val="auto"/>
        </w:rPr>
        <w:t>.</w:t>
      </w:r>
    </w:p>
    <w:p>
      <w:pPr>
        <w:spacing w:after="0" w:line="225" w:lineRule="exact"/>
        <w:rPr>
          <w:sz w:val="20"/>
          <w:szCs w:val="20"/>
          <w:color w:val="auto"/>
        </w:rPr>
      </w:pPr>
    </w:p>
    <w:p>
      <w:pPr>
        <w:ind w:right="120" w:firstLine="1940"/>
        <w:spacing w:after="0" w:line="277" w:lineRule="auto"/>
        <w:rPr>
          <w:sz w:val="20"/>
          <w:szCs w:val="20"/>
          <w:color w:val="auto"/>
        </w:rPr>
      </w:pPr>
      <w:r>
        <w:rPr>
          <w:rFonts w:ascii="Arial" w:cs="Arial" w:eastAsia="Arial" w:hAnsi="Arial"/>
          <w:sz w:val="18"/>
          <w:szCs w:val="18"/>
          <w:color w:val="auto"/>
        </w:rPr>
        <w:t>3.11.1. Notwithstanding anything in this Plan to the contrary, in no event shall amounts allocated to a Participant’s Account under the Plan exceed the limitations set forth in section 415 of the Code, which are hereby incorporated into the Plan.</w:t>
      </w:r>
    </w:p>
    <w:p>
      <w:pPr>
        <w:spacing w:after="0" w:line="170" w:lineRule="exact"/>
        <w:rPr>
          <w:sz w:val="20"/>
          <w:szCs w:val="20"/>
          <w:color w:val="auto"/>
        </w:rPr>
      </w:pPr>
    </w:p>
    <w:p>
      <w:pPr>
        <w:ind w:right="260" w:firstLine="1940"/>
        <w:spacing w:after="0" w:line="259" w:lineRule="auto"/>
        <w:rPr>
          <w:sz w:val="20"/>
          <w:szCs w:val="20"/>
          <w:color w:val="auto"/>
        </w:rPr>
      </w:pPr>
      <w:r>
        <w:rPr>
          <w:rFonts w:ascii="Arial" w:cs="Arial" w:eastAsia="Arial" w:hAnsi="Arial"/>
          <w:sz w:val="18"/>
          <w:szCs w:val="18"/>
          <w:color w:val="auto"/>
        </w:rPr>
        <w:t>3.11.2. If the amounts otherwise allocable to a Participant’s Account under the Plan exceed the limitations set forth in section 415(c) of the Code, then the Plan shall correct such excess in accordance with the Employee Plans Compliance Resolution System (EPCRS) as set forth in Revenue Procedure 2008-50 or any superseding guidance, including, but not limited to, the preamble of the final regulations governing section 415 of the Code.</w:t>
      </w:r>
    </w:p>
    <w:p>
      <w:pPr>
        <w:spacing w:after="0" w:line="44"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 xml:space="preserve">3.11.3. Effective for Plan Years beginning after July 1, 2007, payments made by the later of 2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months after severance from employment or the end of the Limitation Year that includes the date of severance from employment are included in Compensation for the Limitation Year if, absent a severance from employment, such payments (i) would have been paid to the Participant and (ii) would have been considered Compensation while the Participant continued in employment with the Participating Company.</w:t>
      </w:r>
    </w:p>
    <w:p>
      <w:pPr>
        <w:spacing w:after="0" w:line="189" w:lineRule="exact"/>
        <w:rPr>
          <w:sz w:val="20"/>
          <w:szCs w:val="20"/>
          <w:color w:val="auto"/>
        </w:rPr>
      </w:pPr>
    </w:p>
    <w:p>
      <w:pPr>
        <w:jc w:val="both"/>
        <w:ind w:right="620" w:firstLine="1940"/>
        <w:spacing w:after="0" w:line="264" w:lineRule="auto"/>
        <w:rPr>
          <w:sz w:val="20"/>
          <w:szCs w:val="20"/>
          <w:color w:val="auto"/>
        </w:rPr>
      </w:pPr>
      <w:r>
        <w:rPr>
          <w:rFonts w:ascii="Arial" w:cs="Arial" w:eastAsia="Arial" w:hAnsi="Arial"/>
          <w:sz w:val="18"/>
          <w:szCs w:val="18"/>
          <w:color w:val="auto"/>
        </w:rPr>
        <w:t>3.11.4. For avoidance of doubt, the limitation described in this Section 3.11 shall be applied on aggregate basis to Eligible Employees who have transferred employment between the NBCUniversal and its subsidiaries and the Company and its subsidiaries during applicable Limitation Year.</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Safe Harbor Status</w:t>
      </w:r>
      <w:r>
        <w:rPr>
          <w:rFonts w:ascii="Arial" w:cs="Arial" w:eastAsia="Arial" w:hAnsi="Arial"/>
          <w:sz w:val="18"/>
          <w:szCs w:val="18"/>
          <w:color w:val="auto"/>
        </w:rPr>
        <w:t>. Other than with respect to the Plan as it applies to Early Entry Eligible Employees and Covered Union Employees (Broadband), the Plan intends to satisfy section 401(k)(3)(a)(ii) of the Code by satisfying the matching contribution requirement of section 401(k)(12)(B) of the Code and the notice requirement of section 401(k)(12)(D) of the Code.</w:t>
      </w:r>
    </w:p>
    <w:p>
      <w:pPr>
        <w:spacing w:after="0" w:line="18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Distribution of Excess Contributions</w:t>
      </w:r>
      <w:r>
        <w:rPr>
          <w:rFonts w:ascii="Arial" w:cs="Arial" w:eastAsia="Arial" w:hAnsi="Arial"/>
          <w:sz w:val="16"/>
          <w:szCs w:val="16"/>
          <w:color w:val="auto"/>
        </w:rPr>
        <w:t>. Any distribution of excess contributions made pursuant to this Section 3 will include earnings attributable to such contributions as required by, and as determined in accordance with, applicable Regulations of the Department of the Treasury.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62" w:name="page263"/>
    <w:bookmarkEnd w:id="26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PARTICIPANTS’ ACCOUNTS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Accounts</w:t>
      </w:r>
      <w:r>
        <w:rPr>
          <w:rFonts w:ascii="Arial" w:cs="Arial" w:eastAsia="Arial" w:hAnsi="Arial"/>
          <w:sz w:val="16"/>
          <w:szCs w:val="16"/>
          <w:color w:val="auto"/>
        </w:rPr>
        <w:t xml:space="preserve">. All contributions and earnings thereon may be invested in one commingled Fund for the benefit of all Participants. However, in order that the interest of each Participant may be accurately determined and computed, separate Accounts shall be maintained for each Participant and each Participant’s Accounts shall be made up of sub-accounts reflecting his investment elections pursuant to Section 11.5. These Accounts shall represent the Participant’s individual interest in the Fund. All contributions shall be credited to Participants’ Accounts as set forth in Article III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applicable).</w:t>
      </w:r>
    </w:p>
    <w:p>
      <w:pPr>
        <w:spacing w:after="0" w:line="154"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Valuation</w:t>
      </w:r>
      <w:r>
        <w:rPr>
          <w:rFonts w:ascii="Arial" w:cs="Arial" w:eastAsia="Arial" w:hAnsi="Arial"/>
          <w:sz w:val="18"/>
          <w:szCs w:val="18"/>
          <w:color w:val="auto"/>
        </w:rPr>
        <w:t>. The value of each Investment Medium in the Fund shall be computed by the Trustee as of the close of business on each Valuation Date on the basis of the fair market value of the assets of the Fund.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Apportionment of Gain or Loss</w:t>
      </w:r>
      <w:r>
        <w:rPr>
          <w:rFonts w:ascii="Arial" w:cs="Arial" w:eastAsia="Arial" w:hAnsi="Arial"/>
          <w:sz w:val="18"/>
          <w:szCs w:val="18"/>
          <w:color w:val="auto"/>
        </w:rPr>
        <w:t>. The value of each Investment Medium in the Fund, as computed pursuant to Section 4.2, shall be compared with the value of such Investment Medium in the Fund as of the preceding Valuation Date. Any difference in the value, not including contributions or distributions made since the preceding Valuation Date, shall be the net increase or decrease of such Investment Medium in the Fund, and such amount shall be ratably apportioned by the Trustee on its books, among the Participants’ Accounts which are invested in such Investment Medium at the current Valuation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Accounting for Allocations</w:t>
      </w:r>
      <w:r>
        <w:rPr>
          <w:rFonts w:ascii="Arial" w:cs="Arial" w:eastAsia="Arial" w:hAnsi="Arial"/>
          <w:sz w:val="18"/>
          <w:szCs w:val="18"/>
          <w:color w:val="auto"/>
        </w:rPr>
        <w:t>.</w:t>
      </w:r>
    </w:p>
    <w:p>
      <w:pPr>
        <w:spacing w:after="0" w:line="225" w:lineRule="exact"/>
        <w:rPr>
          <w:sz w:val="20"/>
          <w:szCs w:val="20"/>
          <w:color w:val="auto"/>
        </w:rPr>
      </w:pPr>
    </w:p>
    <w:p>
      <w:pPr>
        <w:ind w:right="20" w:firstLine="1940"/>
        <w:spacing w:after="0" w:line="259" w:lineRule="auto"/>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establish or provide for the establishment of accounting procedures for the purpose of making the allocations, valuations and adjustments to Participants’ Accounts provided for in this Article. From time to time such procedures may be modified for the purpose of achieving equitable and non-discriminatory allocations among the Accounts of Participants in accordance with the general concepts of the Plan and the provisions of this Article.</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Accounting and Other Procedures Regarding Company Stock and Investment Stock</w:t>
      </w:r>
      <w:r>
        <w:rPr>
          <w:rFonts w:ascii="Arial" w:cs="Arial" w:eastAsia="Arial" w:hAnsi="Arial"/>
          <w:sz w:val="18"/>
          <w:szCs w:val="18"/>
          <w:color w:val="auto"/>
        </w:rPr>
        <w:t>.</w:t>
      </w:r>
    </w:p>
    <w:p>
      <w:pPr>
        <w:spacing w:after="0" w:line="225" w:lineRule="exact"/>
        <w:rPr>
          <w:sz w:val="20"/>
          <w:szCs w:val="20"/>
          <w:color w:val="auto"/>
        </w:rPr>
      </w:pPr>
    </w:p>
    <w:p>
      <w:pPr>
        <w:ind w:right="680" w:firstLine="2975"/>
        <w:spacing w:after="0" w:line="277" w:lineRule="auto"/>
        <w:tabs>
          <w:tab w:leader="none" w:pos="32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Company Stock required for purposes of the Plan shall either be transferred or sold to the Trustee by the Company, or if not so transferred or sold shall be acquired by the Trustee on the market.</w:t>
      </w:r>
    </w:p>
    <w:p>
      <w:pPr>
        <w:spacing w:after="0" w:line="170" w:lineRule="exact"/>
        <w:rPr>
          <w:rFonts w:ascii="Arial" w:cs="Arial" w:eastAsia="Arial" w:hAnsi="Arial"/>
          <w:sz w:val="18"/>
          <w:szCs w:val="18"/>
          <w:color w:val="auto"/>
        </w:rPr>
      </w:pPr>
    </w:p>
    <w:p>
      <w:pPr>
        <w:ind w:right="180" w:firstLine="2975"/>
        <w:spacing w:after="0" w:line="257" w:lineRule="auto"/>
        <w:tabs>
          <w:tab w:leader="none" w:pos="322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 of each Valuation Date, all amounts to be invested in Company Stock shall be allocated to Participants’ Accounts as additional shares in accordance with this Section 4.4.2(b). First, the Committee shall determine the number of shares to be allocated under the Plan as of such Valuation Date. Second, the number of shares to be allocated to each Participant’s Account shall be equal to the total number of shares to be allocated under the Plan as of such Valuation Date multiplied by the ratio of the sum of the items listed below for each Participant entitled to share in such allocation that are to be invested in Company Stock to</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63" w:name="page264"/>
    <w:bookmarkEnd w:id="2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sum of such items for all such Participants. The items referenced in the preceding sentence are (i) all Pre-Tax Contributions and Catch-Up Contributions,</w:t>
      </w:r>
    </w:p>
    <w:p>
      <w:pPr>
        <w:spacing w:after="0" w:line="46"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all Roth Contributions and Roth Catch-Up Contributions, (iii) all After-Tax Contributions, (iv) all Matching Contributions, Prior Broadband Heritage</w:t>
      </w:r>
    </w:p>
    <w:p>
      <w:pPr>
        <w:spacing w:after="0" w:line="20"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7"/>
          <w:szCs w:val="17"/>
          <w:color w:val="auto"/>
        </w:rPr>
        <w:t>Matching Contributions, (v) all Comcast Retirement Contributions, (vi) all NBCU Retirement Contributions, (vii) all Taxable Rollover Contributions, After-Tax Rollover Contributions and Roth Rollover Contributions, (viii) all repayments of loans pursuant to Article IX of the Plan, (ix) funds that were to be invested in Company Stock as of the preceding Valuation Date but were not and (x) income earned with respect to such funds.</w:t>
      </w:r>
    </w:p>
    <w:p>
      <w:pPr>
        <w:spacing w:after="0" w:line="173" w:lineRule="exact"/>
        <w:rPr>
          <w:rFonts w:ascii="Arial" w:cs="Arial" w:eastAsia="Arial" w:hAnsi="Arial"/>
          <w:sz w:val="17"/>
          <w:szCs w:val="17"/>
          <w:color w:val="auto"/>
        </w:rPr>
      </w:pPr>
    </w:p>
    <w:p>
      <w:pPr>
        <w:ind w:right="560" w:firstLine="2975"/>
        <w:spacing w:after="0" w:line="277" w:lineRule="auto"/>
        <w:tabs>
          <w:tab w:leader="none" w:pos="321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Shares of Company Stock and Investment Stock shall be converted to cash for purposes of distributions, withdrawals, and loans in accordance with the batch trading guidelines established by the Committee.</w:t>
      </w:r>
    </w:p>
    <w:p>
      <w:pPr>
        <w:spacing w:after="0" w:line="170" w:lineRule="exact"/>
        <w:rPr>
          <w:rFonts w:ascii="Arial" w:cs="Arial" w:eastAsia="Arial" w:hAnsi="Arial"/>
          <w:sz w:val="18"/>
          <w:szCs w:val="18"/>
          <w:color w:val="auto"/>
        </w:rPr>
      </w:pPr>
    </w:p>
    <w:p>
      <w:pPr>
        <w:ind w:right="40" w:firstLine="2975"/>
        <w:spacing w:after="0" w:line="279" w:lineRule="auto"/>
        <w:tabs>
          <w:tab w:leader="none" w:pos="3222" w:val="left"/>
        </w:tabs>
        <w:numPr>
          <w:ilvl w:val="1"/>
          <w:numId w:val="167"/>
        </w:numPr>
        <w:rPr>
          <w:rFonts w:ascii="Arial" w:cs="Arial" w:eastAsia="Arial" w:hAnsi="Arial"/>
          <w:sz w:val="17"/>
          <w:szCs w:val="17"/>
          <w:color w:val="auto"/>
        </w:rPr>
      </w:pPr>
      <w:r>
        <w:rPr>
          <w:rFonts w:ascii="Arial" w:cs="Arial" w:eastAsia="Arial" w:hAnsi="Arial"/>
          <w:sz w:val="17"/>
          <w:szCs w:val="17"/>
          <w:color w:val="auto"/>
        </w:rPr>
        <w:t>Shares of Company Stock shall be allocated to Participants’ Accounts as results of elections to reallocate the investment of funds held in Participants’ Accounts to the Investment Medium that holds Company Stock pursuant to the real time trading guidelines established by agreement between the Company and the Trustee. Shares of Company Stock and Investment Stock shall be converted to cash for purposes of elections to reallocate the investment of amounts held in an Investment Medium that holds Company Stock or Investment Stock.</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240" w:top="274" w:right="37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w:t>
      </w:r>
      <w:r>
        <w:rPr>
          <w:rFonts w:ascii="Arial" w:cs="Arial" w:eastAsia="Arial" w:hAnsi="Arial"/>
          <w:sz w:val="18"/>
          <w:szCs w:val="18"/>
          <w:color w:val="auto"/>
        </w:rPr>
        <w:t>. The interest of each Participant in the Fund shall be distributed in the manner, in the amount, and at the time provided in this Article, except as provided in Article VIII and except in the event of the termination of the Plan. The provisions of this Article shall be construed in accordance with section 401(a)(9) of the Code and regulations thereunder, including the incidental death benefit requirements of section 401(a)(9)(G) of the Code.</w:t>
      </w:r>
    </w:p>
    <w:p>
      <w:pPr>
        <w:spacing w:after="0" w:line="18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A Participant who incurs a Severance from Service Date for reasons other than death or Total Disability shall have his nonforfeitable interest in his Account paid to him or applied for his benefit in accordance with the provisions of this Article.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Death</w:t>
      </w:r>
      <w:r>
        <w:rPr>
          <w:rFonts w:ascii="Arial" w:cs="Arial" w:eastAsia="Arial" w:hAnsi="Arial"/>
          <w:sz w:val="18"/>
          <w:szCs w:val="18"/>
          <w:color w:val="auto"/>
        </w:rPr>
        <w:t>. If a Participant dies before his Benefit Commencement Date, or if the Participant dies after his Benefit Commencement Date and before his entire nonforfeitable interest in his Account has been paid to him, his remaining nonforfeitable interest in his Account shall be paid to, or applied for the benefit of, his beneficiary in accordance with the provisions of this Article. In the case of a Participant who dies on or after January 1, 2007 while performing Qualified Military Service (as defined in Code §414(u)), the survivors of such Participant shall be entitled to any benefit, including but not limited to any acceleration of vesting, that would be provided under the Plan had the Participant resumed employment with his employer and then terminated employment on account of his death.</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Total Disability</w:t>
      </w:r>
      <w:r>
        <w:rPr>
          <w:rFonts w:ascii="Arial" w:cs="Arial" w:eastAsia="Arial" w:hAnsi="Arial"/>
          <w:sz w:val="18"/>
          <w:szCs w:val="18"/>
          <w:color w:val="auto"/>
        </w:rPr>
        <w:t>. If a Participant who is an Employee suffers a Total Disability and has a Severance from Service Date due to his Total Disability, his Account shall be paid to him or applied for his benefit in accordance with the provisions of this Article following the determination of his Total Disability and his Severance from Service Date.</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Valuation for Distribution</w:t>
      </w:r>
      <w:r>
        <w:rPr>
          <w:rFonts w:ascii="Arial" w:cs="Arial" w:eastAsia="Arial" w:hAnsi="Arial"/>
          <w:sz w:val="18"/>
          <w:szCs w:val="18"/>
          <w:color w:val="auto"/>
        </w:rPr>
        <w:t>. For the purposes of paying the amounts to be distributed to a Participant or his beneficiaries under the provisions of this Article, the value of the Fund and the amount of the Participant’s nonforfeitable interest shall be determined in accordance with the provisions of Article IV as of the Valuation Date coincident with or immediately preceding the date of any payment under this Article. Such amount shall be adjusted to take into account any additional contributions which have been or are to be allocated to the Participant’s Account since that Valuation Date, and any distributions or withdrawals made since that date.</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Timing of Distribution</w:t>
      </w:r>
      <w:r>
        <w:rPr>
          <w:rFonts w:ascii="Arial" w:cs="Arial" w:eastAsia="Arial" w:hAnsi="Arial"/>
          <w:sz w:val="18"/>
          <w:szCs w:val="18"/>
          <w:color w:val="auto"/>
        </w:rPr>
        <w:t>. Any Participant who has a Severance from Service Date for any reason other than death shall be entitled to receive his nonforfeitable interest in his Account, pursuant to the following rules:</w:t>
      </w:r>
    </w:p>
    <w:p>
      <w:pPr>
        <w:spacing w:after="0" w:line="170" w:lineRule="exact"/>
        <w:rPr>
          <w:sz w:val="20"/>
          <w:szCs w:val="20"/>
          <w:color w:val="auto"/>
        </w:rPr>
      </w:pPr>
    </w:p>
    <w:p>
      <w:pPr>
        <w:ind w:right="100" w:firstLine="1940"/>
        <w:spacing w:after="0" w:line="259" w:lineRule="auto"/>
        <w:rPr>
          <w:sz w:val="20"/>
          <w:szCs w:val="20"/>
          <w:color w:val="auto"/>
        </w:rPr>
      </w:pPr>
      <w:r>
        <w:rPr>
          <w:rFonts w:ascii="Arial" w:cs="Arial" w:eastAsia="Arial" w:hAnsi="Arial"/>
          <w:sz w:val="18"/>
          <w:szCs w:val="18"/>
          <w:color w:val="auto"/>
        </w:rPr>
        <w:t>5.6.1. If the Participant’s nonforfeitable interest in his Account exceeds $5,000, his Benefit Commencement Date shall be the earliest practicable date following the Valuation Date coincident with or next following 30 days after his Severance from Service Date, except that, if the Participant does not consent to such distribution, distribution of his benefits shall commence on any later date elected by the Participant, that is not later than his Required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65" w:name="page266"/>
    <w:bookmarkEnd w:id="26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Date, at which time his nonforfeitable interest shall commence to be paid to him. A Participant’s election to receive payment prior to his Required Beginning Date may be made no earlier than 180 days prior to the Benefit Commencement Date elected by the Participant.</w:t>
      </w:r>
    </w:p>
    <w:p>
      <w:pPr>
        <w:spacing w:after="0" w:line="170" w:lineRule="exact"/>
        <w:rPr>
          <w:sz w:val="20"/>
          <w:szCs w:val="20"/>
          <w:color w:val="auto"/>
        </w:rPr>
      </w:pPr>
    </w:p>
    <w:p>
      <w:pPr>
        <w:ind w:firstLine="1940"/>
        <w:spacing w:after="0" w:line="271" w:lineRule="auto"/>
        <w:rPr>
          <w:sz w:val="20"/>
          <w:szCs w:val="20"/>
          <w:color w:val="auto"/>
        </w:rPr>
      </w:pPr>
      <w:r>
        <w:rPr>
          <w:rFonts w:ascii="Arial" w:cs="Arial" w:eastAsia="Arial" w:hAnsi="Arial"/>
          <w:sz w:val="17"/>
          <w:szCs w:val="17"/>
          <w:color w:val="auto"/>
        </w:rPr>
        <w:t>5.6.2. If a Participant’s nonforfeitable interest in his Account is not greater than $1,000, his Benefit Commencement Date shall be the earliest practicable date following the Valuation Date coincident with or next following the first day of the first calendar quarter that begins after his Severance from Service Date and, provided the participant does not affirmatively elect to have the distribution of Account paid directly to an eligible retirement plan in a direct rollover, his Account will be distributed in a cash lump sum. If a Participant’s nonforfeitable interest in his Account is greater than $1,000 but not in excess of $5,000, and if the participant does not elect to have such distribution paid directly to an eligible retirement plan specified by the Participant in a direct rollover or to receive the distribution directly, then the Participant’s vested Account shall be distributed in a direct rollover to an individual retirement plan designated by the Committee. The preceding sentence shall not apply to alternate payees (under qualified domestic relations orders, as defined in section 414(p) of the Code), surviving Spouses or beneficiaries.</w:t>
      </w:r>
    </w:p>
    <w:p>
      <w:pPr>
        <w:spacing w:after="0" w:line="179" w:lineRule="exact"/>
        <w:rPr>
          <w:sz w:val="20"/>
          <w:szCs w:val="20"/>
          <w:color w:val="auto"/>
        </w:rPr>
      </w:pPr>
    </w:p>
    <w:p>
      <w:pPr>
        <w:ind w:right="240" w:firstLine="1940"/>
        <w:spacing w:after="0" w:line="277" w:lineRule="auto"/>
        <w:rPr>
          <w:sz w:val="20"/>
          <w:szCs w:val="20"/>
          <w:color w:val="auto"/>
        </w:rPr>
      </w:pPr>
      <w:r>
        <w:rPr>
          <w:rFonts w:ascii="Arial" w:cs="Arial" w:eastAsia="Arial" w:hAnsi="Arial"/>
          <w:sz w:val="18"/>
          <w:szCs w:val="18"/>
          <w:color w:val="auto"/>
        </w:rPr>
        <w:t>5.6.3. This Section shall apply to all Participants, including Participants who had a Severance from Service Date or ceased to be Covered Employees prior to the Effective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Mode of Distribution of Retirement or Disability Benefits</w:t>
      </w:r>
      <w:r>
        <w:rPr>
          <w:rFonts w:ascii="Arial" w:cs="Arial" w:eastAsia="Arial" w:hAnsi="Arial"/>
          <w:sz w:val="18"/>
          <w:szCs w:val="18"/>
          <w:color w:val="auto"/>
        </w:rPr>
        <w: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5.7.1. Except as provided to the contrary in this Article, a Participant may elect in writing to have his nonforfeitable interest in 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 paid to him or applied for his benefit in accordance with any of the following modes of payment:</w:t>
      </w:r>
    </w:p>
    <w:p>
      <w:pPr>
        <w:spacing w:after="0" w:line="211" w:lineRule="exact"/>
        <w:rPr>
          <w:sz w:val="20"/>
          <w:szCs w:val="20"/>
          <w:color w:val="auto"/>
        </w:rPr>
      </w:pPr>
    </w:p>
    <w:p>
      <w:pPr>
        <w:ind w:right="320" w:firstLine="2975"/>
        <w:spacing w:after="0" w:line="277" w:lineRule="auto"/>
        <w:tabs>
          <w:tab w:leader="none" w:pos="321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 Participant whose nonforfeitable interest in his Account exceeds $5,000, approximately equal annual or quarterly installments over a period not to exceed the lesser of:</w:t>
      </w:r>
    </w:p>
    <w:p>
      <w:pPr>
        <w:spacing w:after="0" w:line="170" w:lineRule="exact"/>
        <w:rPr>
          <w:rFonts w:ascii="Arial" w:cs="Arial" w:eastAsia="Arial" w:hAnsi="Arial"/>
          <w:sz w:val="18"/>
          <w:szCs w:val="18"/>
          <w:color w:val="auto"/>
        </w:rPr>
      </w:pPr>
    </w:p>
    <w:p>
      <w:pPr>
        <w:ind w:left="3680" w:hanging="248"/>
        <w:spacing w:after="0"/>
        <w:tabs>
          <w:tab w:leader="none" w:pos="368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life expectancy of the Participant or the joint and survivor life expectancy of the Participant and 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beneficiary (with such life expectancy to be determined in accordance with applicable regulations under the Code); or</w:t>
      </w:r>
    </w:p>
    <w:p>
      <w:pPr>
        <w:spacing w:after="0" w:line="210" w:lineRule="exact"/>
        <w:rPr>
          <w:rFonts w:ascii="Arial" w:cs="Arial" w:eastAsia="Arial" w:hAnsi="Arial"/>
          <w:sz w:val="17"/>
          <w:szCs w:val="17"/>
          <w:color w:val="auto"/>
        </w:rPr>
      </w:pPr>
    </w:p>
    <w:p>
      <w:pPr>
        <w:ind w:right="60" w:firstLine="3432"/>
        <w:spacing w:after="0" w:line="277" w:lineRule="auto"/>
        <w:tabs>
          <w:tab w:leader="none" w:pos="367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unless the sole beneficiary is the Participant’s Spouse, the maximum number of years permitted by section 401(a)(9) of the Code and the applicable regulations; or</w:t>
      </w:r>
    </w:p>
    <w:p>
      <w:pPr>
        <w:spacing w:after="0" w:line="170" w:lineRule="exact"/>
        <w:rPr>
          <w:rFonts w:ascii="Arial" w:cs="Arial" w:eastAsia="Arial" w:hAnsi="Arial"/>
          <w:sz w:val="18"/>
          <w:szCs w:val="18"/>
          <w:color w:val="auto"/>
        </w:rPr>
      </w:pPr>
    </w:p>
    <w:p>
      <w:pPr>
        <w:ind w:right="160" w:firstLine="2975"/>
        <w:spacing w:after="0" w:line="277" w:lineRule="auto"/>
        <w:tabs>
          <w:tab w:leader="none" w:pos="322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single sum payment in cash, except that a Participant may elect to receive the portion of his Account invested in Company Stock and/or Investment Stock in the form of shares.</w:t>
      </w:r>
    </w:p>
    <w:p>
      <w:pPr>
        <w:spacing w:after="0" w:line="170" w:lineRule="exact"/>
        <w:rPr>
          <w:rFonts w:ascii="Arial" w:cs="Arial" w:eastAsia="Arial" w:hAnsi="Arial"/>
          <w:sz w:val="18"/>
          <w:szCs w:val="18"/>
          <w:color w:val="auto"/>
        </w:rPr>
      </w:pPr>
    </w:p>
    <w:p>
      <w:pPr>
        <w:ind w:firstLine="2975"/>
        <w:spacing w:after="0" w:line="264" w:lineRule="auto"/>
        <w:tabs>
          <w:tab w:leader="none" w:pos="321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 Participant who was a participant in the CCCHI Plan, a Participant may withdraw up to ninety-five percent (95%) of his Account, in increments of not less than $500. A surviving beneficiary of such a Participant may also make withdrawal in accordance with this Section 5.7.1(c).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266" w:name="page267"/>
    <w:bookmarkEnd w:id="266"/>
    <w:p>
      <w:pPr>
        <w:ind w:right="140" w:firstLine="2975"/>
        <w:spacing w:after="0" w:line="297" w:lineRule="auto"/>
        <w:tabs>
          <w:tab w:leader="none" w:pos="3222" w:val="left"/>
        </w:tabs>
        <w:numPr>
          <w:ilvl w:val="0"/>
          <w:numId w:val="1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Participant whose nonforfeitable interest in his Account exceeds $500, the Participant may elect to withdraw such portion (which may be all) of his remaining account balance as he may designate from time to time, provided that if the amount so designated by such Participant is less than his entire remaining balance, such amount shall be at least $500. The Participant may elect this option up to four times each calendar year and may also elect a fifth and final distribution for such year pursuant to this Section 5.7.1(d) of his entire remaining balance in his Account. Payment to the Participant of the designated amount shall be made in cash as soon as practicable after the election.</w:t>
      </w:r>
    </w:p>
    <w:p>
      <w:pPr>
        <w:spacing w:after="0" w:line="158" w:lineRule="exact"/>
        <w:rPr>
          <w:sz w:val="20"/>
          <w:szCs w:val="20"/>
          <w:color w:val="auto"/>
        </w:rPr>
      </w:pPr>
    </w:p>
    <w:p>
      <w:pPr>
        <w:ind w:right="320" w:firstLine="1940"/>
        <w:spacing w:after="0" w:line="277" w:lineRule="auto"/>
        <w:rPr>
          <w:sz w:val="20"/>
          <w:szCs w:val="20"/>
          <w:color w:val="auto"/>
        </w:rPr>
      </w:pPr>
      <w:r>
        <w:rPr>
          <w:rFonts w:ascii="Arial" w:cs="Arial" w:eastAsia="Arial" w:hAnsi="Arial"/>
          <w:sz w:val="18"/>
          <w:szCs w:val="18"/>
          <w:color w:val="auto"/>
        </w:rPr>
        <w:t>5.7.2. If a Participant fails to make a valid election under this Section in accordance with the rules described in Section 5.8, the value of his Account shall be distributed to him as a single sum payment.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Rules for Election of Optional Mode of Retirement or Disability Benefit</w:t>
      </w:r>
      <w:r>
        <w:rPr>
          <w:rFonts w:ascii="Arial" w:cs="Arial" w:eastAsia="Arial" w:hAnsi="Arial"/>
          <w:sz w:val="18"/>
          <w:szCs w:val="18"/>
          <w:color w:val="auto"/>
        </w:rPr>
        <w:t>. A Participant may elect an optional mode of payment under Section 5.7 by filing a notice with the Committee in accordance with Section 14.9. A Participant may elect an optional mode of payment at any time during the period provided in Section 5.6.2.</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Death Benefits</w:t>
      </w:r>
      <w:r>
        <w:rPr>
          <w:rFonts w:ascii="Arial" w:cs="Arial" w:eastAsia="Arial" w:hAnsi="Arial"/>
          <w:sz w:val="18"/>
          <w:szCs w:val="18"/>
          <w:color w:val="auto"/>
        </w:rPr>
        <w:t>.</w:t>
      </w:r>
    </w:p>
    <w:p>
      <w:pPr>
        <w:spacing w:after="0" w:line="225" w:lineRule="exact"/>
        <w:rPr>
          <w:sz w:val="20"/>
          <w:szCs w:val="20"/>
          <w:color w:val="auto"/>
        </w:rPr>
      </w:pPr>
    </w:p>
    <w:p>
      <w:pPr>
        <w:ind w:right="200" w:firstLine="1940"/>
        <w:spacing w:after="0" w:line="277" w:lineRule="auto"/>
        <w:rPr>
          <w:sz w:val="20"/>
          <w:szCs w:val="20"/>
          <w:color w:val="auto"/>
        </w:rPr>
      </w:pPr>
      <w:r>
        <w:rPr>
          <w:rFonts w:ascii="Arial" w:cs="Arial" w:eastAsia="Arial" w:hAnsi="Arial"/>
          <w:sz w:val="18"/>
          <w:szCs w:val="18"/>
          <w:color w:val="auto"/>
        </w:rPr>
        <w:t>5.9.1. (a) A beneficiary entitled to benefits under Section 5.3 upon the death of a Participant prior to his Benefit Commencement Date shall receive a single sum payment equal to the Participant’s nonforfeitable interest in his Account.</w:t>
      </w:r>
    </w:p>
    <w:p>
      <w:pPr>
        <w:spacing w:after="0" w:line="170" w:lineRule="exact"/>
        <w:rPr>
          <w:sz w:val="20"/>
          <w:szCs w:val="20"/>
          <w:color w:val="auto"/>
        </w:rPr>
      </w:pPr>
    </w:p>
    <w:p>
      <w:pPr>
        <w:ind w:right="100" w:firstLine="2975"/>
        <w:spacing w:after="0" w:line="286" w:lineRule="auto"/>
        <w:tabs>
          <w:tab w:leader="none" w:pos="322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a Participant dies after his Benefit Commencement Date while in receipt of installment payments described in Section 5.7.1(a), and before his entire nonforfeitable interest in his Account has been paid to him, his beneficiary may elect in writing to have the remaining nonforfeitable interest in the Participant’s Account paid in accordance with either of the following modes of payment:</w:t>
      </w:r>
    </w:p>
    <w:p>
      <w:pPr>
        <w:spacing w:after="0" w:line="165" w:lineRule="exact"/>
        <w:rPr>
          <w:rFonts w:ascii="Arial" w:cs="Arial" w:eastAsia="Arial" w:hAnsi="Arial"/>
          <w:sz w:val="17"/>
          <w:szCs w:val="17"/>
          <w:color w:val="auto"/>
        </w:rPr>
      </w:pPr>
    </w:p>
    <w:p>
      <w:pPr>
        <w:ind w:right="320" w:firstLine="3432"/>
        <w:spacing w:after="0" w:line="277" w:lineRule="auto"/>
        <w:tabs>
          <w:tab w:leader="none" w:pos="367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single sum payment in cash, except that a beneficiary may elect to receive the portion of the Account invested in Company Stock and/or Investment Stock in the form of shares; or</w:t>
      </w:r>
    </w:p>
    <w:p>
      <w:pPr>
        <w:spacing w:after="0" w:line="170" w:lineRule="exact"/>
        <w:rPr>
          <w:rFonts w:ascii="Arial" w:cs="Arial" w:eastAsia="Arial" w:hAnsi="Arial"/>
          <w:sz w:val="18"/>
          <w:szCs w:val="18"/>
          <w:color w:val="auto"/>
        </w:rPr>
      </w:pPr>
    </w:p>
    <w:p>
      <w:pPr>
        <w:ind w:firstLine="3432"/>
        <w:spacing w:after="0" w:line="297" w:lineRule="auto"/>
        <w:tabs>
          <w:tab w:leader="none" w:pos="367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approximately equal annual installments over the remainder of the period over which the Participant had elected to receive installment payments (with such remainder to be determined in accordance with applicable regulations under the Code); provided, however, that this form of payment shall not be available to a beneficiary that is not an individual. A beneficiary may elect the mode of payment under this Section at any time prior to his Benefit Commencement Date. Such election shall be on a form prescribed by the Committee. In the event that a beneficiary fails to make a valid election under this Section, the value of the Participant’s Account will be distributed as a single sum payment.</w:t>
      </w:r>
    </w:p>
    <w:p>
      <w:pPr>
        <w:spacing w:after="0" w:line="15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5.9.2. Payment of death benefits payable under Section 5.3 shall commence as soon as practicable following the death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267" w:name="page268"/>
    <w:bookmarkEnd w:id="26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5.10. </w:t>
      </w:r>
      <w:r>
        <w:rPr>
          <w:rFonts w:ascii="Arial" w:cs="Arial" w:eastAsia="Arial" w:hAnsi="Arial"/>
          <w:sz w:val="16"/>
          <w:szCs w:val="16"/>
          <w:u w:val="single" w:color="auto"/>
          <w:color w:val="auto"/>
        </w:rPr>
        <w:t>Explanations to Participants</w:t>
      </w:r>
      <w:r>
        <w:rPr>
          <w:rFonts w:ascii="Arial" w:cs="Arial" w:eastAsia="Arial" w:hAnsi="Arial"/>
          <w:sz w:val="16"/>
          <w:szCs w:val="16"/>
          <w:color w:val="auto"/>
        </w:rPr>
        <w:t>. The Committee shall provide to each Participant no less than 30 days and no more than 180 days before 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Benefit Commencement Date a written explanation of:</w:t>
      </w:r>
    </w:p>
    <w:p>
      <w:pPr>
        <w:spacing w:after="0" w:line="211" w:lineRule="exact"/>
        <w:rPr>
          <w:sz w:val="20"/>
          <w:szCs w:val="20"/>
          <w:color w:val="auto"/>
        </w:rPr>
      </w:pPr>
    </w:p>
    <w:p>
      <w:pPr>
        <w:ind w:right="260" w:firstLine="1940"/>
        <w:spacing w:after="0" w:line="277" w:lineRule="auto"/>
        <w:rPr>
          <w:sz w:val="20"/>
          <w:szCs w:val="20"/>
          <w:color w:val="auto"/>
        </w:rPr>
      </w:pPr>
      <w:r>
        <w:rPr>
          <w:rFonts w:ascii="Arial" w:cs="Arial" w:eastAsia="Arial" w:hAnsi="Arial"/>
          <w:sz w:val="18"/>
          <w:szCs w:val="18"/>
          <w:color w:val="auto"/>
        </w:rPr>
        <w:t>5.10.1. the terms and conditions of each optional mode of payment, including information explaining the relative values of each mode of benefit, in accordance with applicable governmental regulations under section 401(a)(11) of the Code;</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5.10.2. the Participant’s right to elect an optional mode of payment and the effect of such an election;</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5.10.3. the rights of the Participant’s Spouse with respect to the Participant’s election of certain optional modes of payment; and</w:t>
      </w:r>
    </w:p>
    <w:p>
      <w:pPr>
        <w:spacing w:after="0" w:line="24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5.10.4. the Participant’s right to revoke an election to receive an optional mode of payment and the effect of such revocation.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91" w:lineRule="auto"/>
        <w:rPr>
          <w:sz w:val="20"/>
          <w:szCs w:val="20"/>
          <w:color w:val="auto"/>
        </w:rPr>
      </w:pPr>
      <w:r>
        <w:rPr>
          <w:rFonts w:ascii="Arial" w:cs="Arial" w:eastAsia="Arial" w:hAnsi="Arial"/>
          <w:sz w:val="16"/>
          <w:szCs w:val="16"/>
          <w:color w:val="auto"/>
        </w:rPr>
        <w:t>5.11.1. Except as provided in this Section 5.11, a Participant may designate the beneficiary or beneficiaries who shall receive, on or after his death, his interest in the Fund, provided that the designation of a beneficiary under a joint and survivor annuity shall be fixed and may not be changed on or after the date on which benefit payments commence. Such designation shall be made by executing and filing with the Committee a written instrument in such form as may be prescribed by the Committee for that purpose. Except as provided in this Section 5.11, the Participant may also revoke or change, at any time and from time to time, any beneficiary designations previously made. Such revocations and/or changes shall be made by executing and filing with the Committee a written instrument in such form as may be prescribed by the Committee for that purpose. If a Participant names a trust as beneficiary, a change in the identity of the trustees or in the instrument governing such trust shall not be deemed a change in beneficiary.</w:t>
      </w:r>
    </w:p>
    <w:p>
      <w:pPr>
        <w:spacing w:after="0" w:line="16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5.11.2. No designation, revocation, or change of beneficiaries shall be valid and effective unless and until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w:t>
      </w:r>
    </w:p>
    <w:p>
      <w:pPr>
        <w:spacing w:after="0" w:line="211" w:lineRule="exact"/>
        <w:rPr>
          <w:sz w:val="20"/>
          <w:szCs w:val="20"/>
          <w:color w:val="auto"/>
        </w:rPr>
      </w:pPr>
    </w:p>
    <w:p>
      <w:pPr>
        <w:ind w:right="40" w:firstLine="1940"/>
        <w:spacing w:after="0" w:line="277" w:lineRule="auto"/>
        <w:rPr>
          <w:sz w:val="20"/>
          <w:szCs w:val="20"/>
          <w:color w:val="auto"/>
        </w:rPr>
      </w:pPr>
      <w:r>
        <w:rPr>
          <w:rFonts w:ascii="Arial" w:cs="Arial" w:eastAsia="Arial" w:hAnsi="Arial"/>
          <w:sz w:val="18"/>
          <w:szCs w:val="18"/>
          <w:color w:val="auto"/>
        </w:rPr>
        <w:t>5.11.3. A Participant who does not establish to the satisfaction of the Committee that he has no Spouse may not designate someone other than his Spouse to be his beneficiary under Section 5.3 unless:</w:t>
      </w:r>
    </w:p>
    <w:p>
      <w:pPr>
        <w:spacing w:after="0" w:line="170" w:lineRule="exact"/>
        <w:rPr>
          <w:sz w:val="20"/>
          <w:szCs w:val="20"/>
          <w:color w:val="auto"/>
        </w:rPr>
      </w:pPr>
    </w:p>
    <w:p>
      <w:pPr>
        <w:ind w:right="760" w:firstLine="2975"/>
        <w:spacing w:after="0" w:line="277" w:lineRule="auto"/>
        <w:tabs>
          <w:tab w:leader="none" w:pos="32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(1) such Spouse (or the Spouse’s legal guardian if the Spouse is legally incompetent) executes a written instrument whereby such Spouse consents not to receive such benefit and consents either:</w:t>
      </w:r>
    </w:p>
    <w:p>
      <w:pPr>
        <w:spacing w:after="0" w:line="170" w:lineRule="exact"/>
        <w:rPr>
          <w:rFonts w:ascii="Arial" w:cs="Arial" w:eastAsia="Arial" w:hAnsi="Arial"/>
          <w:sz w:val="18"/>
          <w:szCs w:val="18"/>
          <w:color w:val="auto"/>
        </w:rPr>
      </w:pPr>
    </w:p>
    <w:p>
      <w:pPr>
        <w:ind w:left="4220" w:hanging="218"/>
        <w:spacing w:after="0"/>
        <w:tabs>
          <w:tab w:leader="none" w:pos="42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to the specific beneficiary or beneficiaries designated by the Participant;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68" w:name="page269"/>
    <w:bookmarkEnd w:id="268"/>
    <w:p>
      <w:pPr>
        <w:ind w:left="4260" w:hanging="258"/>
        <w:spacing w:after="0"/>
        <w:tabs>
          <w:tab w:leader="none" w:pos="4260" w:val="left"/>
        </w:tabs>
        <w:numPr>
          <w:ilvl w:val="2"/>
          <w:numId w:val="1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Participant’s right to designate any beneficiary without further consent by the Spouse;</w:t>
      </w:r>
    </w:p>
    <w:p>
      <w:pPr>
        <w:spacing w:after="0" w:line="236" w:lineRule="exact"/>
        <w:rPr>
          <w:rFonts w:ascii="Arial" w:cs="Arial" w:eastAsia="Arial" w:hAnsi="Arial"/>
          <w:sz w:val="17"/>
          <w:szCs w:val="17"/>
          <w:color w:val="auto"/>
        </w:rPr>
      </w:pPr>
    </w:p>
    <w:p>
      <w:pPr>
        <w:ind w:left="3680" w:hanging="248"/>
        <w:spacing w:after="0"/>
        <w:tabs>
          <w:tab w:leader="none" w:pos="36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such instrument acknowledges the effect of the election to which the Spouse’s consent is being given; and</w:t>
      </w:r>
    </w:p>
    <w:p>
      <w:pPr>
        <w:spacing w:after="0" w:line="248" w:lineRule="exact"/>
        <w:rPr>
          <w:rFonts w:ascii="Arial" w:cs="Arial" w:eastAsia="Arial" w:hAnsi="Arial"/>
          <w:sz w:val="16"/>
          <w:szCs w:val="16"/>
          <w:color w:val="auto"/>
        </w:rPr>
      </w:pPr>
    </w:p>
    <w:p>
      <w:pPr>
        <w:ind w:left="3680" w:hanging="248"/>
        <w:spacing w:after="0"/>
        <w:tabs>
          <w:tab w:leader="none" w:pos="36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such instrument is witnessed by a Plan representative or notary public;</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Participant:</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establishes to the satisfaction of the Committee that his Spouse cannot be located; or</w:t>
      </w:r>
    </w:p>
    <w:p>
      <w:pPr>
        <w:spacing w:after="0" w:line="225" w:lineRule="exact"/>
        <w:rPr>
          <w:rFonts w:ascii="Arial" w:cs="Arial" w:eastAsia="Arial" w:hAnsi="Arial"/>
          <w:sz w:val="18"/>
          <w:szCs w:val="18"/>
          <w:color w:val="auto"/>
        </w:rPr>
      </w:pPr>
    </w:p>
    <w:p>
      <w:pPr>
        <w:ind w:right="220" w:firstLine="3432"/>
        <w:spacing w:after="0" w:line="264" w:lineRule="auto"/>
        <w:tabs>
          <w:tab w:leader="none" w:pos="367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furnishes a court order to the Committee establishing that the Participant is legally separated or has been abandoned (within the meaning of local law), unless a qualified domestic relations order pertaining to such Participant provides that the Spouse’s consent must be obtained; or</w:t>
      </w:r>
    </w:p>
    <w:p>
      <w:pPr>
        <w:spacing w:after="0" w:line="181" w:lineRule="exact"/>
        <w:rPr>
          <w:rFonts w:ascii="Arial" w:cs="Arial" w:eastAsia="Arial" w:hAnsi="Arial"/>
          <w:sz w:val="18"/>
          <w:szCs w:val="18"/>
          <w:color w:val="auto"/>
        </w:rPr>
      </w:pPr>
    </w:p>
    <w:p>
      <w:pPr>
        <w:ind w:right="140" w:firstLine="2975"/>
        <w:spacing w:after="0" w:line="277" w:lineRule="auto"/>
        <w:tabs>
          <w:tab w:leader="none" w:pos="32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Spouse has previously given consent in accordance with this Section and consented to the Participant’s right to designate any beneficiary without further consent by the Spouse.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consent of a Spouse in accordance with this Section 5.11.3 shall not be effective with respect to other spouses of the Participant prior to the Participant’s Benefit Commencement Date, and an election to which Section 5.11.3(b) applies shall become void if the circumstances causing the consent of the Spouse not to be required no longer exist prior to the Participant’s Benefit Commencement Date.</w:t>
      </w:r>
    </w:p>
    <w:p>
      <w:pPr>
        <w:spacing w:after="0" w:line="181" w:lineRule="exact"/>
        <w:rPr>
          <w:sz w:val="20"/>
          <w:szCs w:val="20"/>
          <w:color w:val="auto"/>
        </w:rPr>
      </w:pPr>
    </w:p>
    <w:p>
      <w:pPr>
        <w:ind w:right="20" w:firstLine="1940"/>
        <w:spacing w:after="0" w:line="264" w:lineRule="auto"/>
        <w:rPr>
          <w:sz w:val="20"/>
          <w:szCs w:val="20"/>
          <w:color w:val="auto"/>
        </w:rPr>
      </w:pPr>
      <w:r>
        <w:rPr>
          <w:rFonts w:ascii="Arial" w:cs="Arial" w:eastAsia="Arial" w:hAnsi="Arial"/>
          <w:sz w:val="18"/>
          <w:szCs w:val="18"/>
          <w:color w:val="auto"/>
        </w:rPr>
        <w:t>5.11.4. If a Participant has no beneficiary under Section 5.11.1 or Section 5.11.3, if the Participant’s beneficiary(ies) predecease the Participant, or if the beneficiary(ies) cannot be located by the Committee, the interest of the deceased Participant shall be paid to the Participant’s surviving Spouse, or if no Spouse survives the Participant, to the personal representative of the Participant’s estate.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Recalculation of Life Expectancy</w:t>
      </w:r>
      <w:r>
        <w:rPr>
          <w:rFonts w:ascii="Arial" w:cs="Arial" w:eastAsia="Arial" w:hAnsi="Arial"/>
          <w:sz w:val="17"/>
          <w:szCs w:val="17"/>
          <w:color w:val="auto"/>
        </w:rPr>
        <w:t>. If a Participant’s Account is payable over the life expectancy of the Participant and/or his Spouse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and/or another beneficiary, the determination of whether such life expectancy shall be recalculated, in accordance with regulations issued under section 401(a)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 of the Code, shall be made as follows:</w:t>
      </w:r>
    </w:p>
    <w:p>
      <w:pPr>
        <w:spacing w:after="0" w:line="211" w:lineRule="exact"/>
        <w:rPr>
          <w:sz w:val="20"/>
          <w:szCs w:val="20"/>
          <w:color w:val="auto"/>
        </w:rPr>
      </w:pPr>
    </w:p>
    <w:p>
      <w:pPr>
        <w:ind w:right="620" w:firstLine="1940"/>
        <w:spacing w:after="0" w:line="342" w:lineRule="auto"/>
        <w:rPr>
          <w:sz w:val="20"/>
          <w:szCs w:val="20"/>
          <w:color w:val="auto"/>
        </w:rPr>
      </w:pPr>
      <w:r>
        <w:rPr>
          <w:rFonts w:ascii="Arial" w:cs="Arial" w:eastAsia="Arial" w:hAnsi="Arial"/>
          <w:sz w:val="16"/>
          <w:szCs w:val="16"/>
          <w:color w:val="auto"/>
        </w:rPr>
        <w:t>5.12.1. If the Account is payable over the life expectancy of the Participant or the joint and survivor life expectancy of the Participant and his Spouse, the Participant shall elect, on a form supplied by the Committee, whether or not such life expectancy shall be recalculated.</w:t>
      </w:r>
    </w:p>
    <w:p>
      <w:pPr>
        <w:spacing w:after="0" w:line="124" w:lineRule="exact"/>
        <w:rPr>
          <w:sz w:val="20"/>
          <w:szCs w:val="20"/>
          <w:color w:val="auto"/>
        </w:rPr>
      </w:pPr>
    </w:p>
    <w:p>
      <w:pPr>
        <w:ind w:right="180" w:firstLine="1940"/>
        <w:spacing w:after="0" w:line="277" w:lineRule="auto"/>
        <w:rPr>
          <w:sz w:val="20"/>
          <w:szCs w:val="20"/>
          <w:color w:val="auto"/>
        </w:rPr>
      </w:pPr>
      <w:r>
        <w:rPr>
          <w:rFonts w:ascii="Arial" w:cs="Arial" w:eastAsia="Arial" w:hAnsi="Arial"/>
          <w:sz w:val="18"/>
          <w:szCs w:val="18"/>
          <w:color w:val="auto"/>
        </w:rPr>
        <w:t>5.12.2. If the Account is payable over the life expectancy of the Participant’s Spouse, such Spouse shall elect, on a form supplied by the Committee, whether or not such life expectancy will be recalculated.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69" w:name="page270"/>
    <w:bookmarkEnd w:id="269"/>
    <w:p>
      <w:pPr>
        <w:ind w:right="400" w:firstLine="19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5.12.3. If the Account is payable over the joint and survivor life expectancy of the Participant and a beneficiary other than the Participant’s Spouse, the Participant shall elect, on a form supplied by the Committee, whether or not the Participant’s own life expectancy shall be recalculated. The life expectancy of the beneficiary shall not be recalculated after the Benefit Commencement Date.</w:t>
      </w:r>
    </w:p>
    <w:p>
      <w:pPr>
        <w:spacing w:after="0" w:line="166" w:lineRule="exact"/>
        <w:rPr>
          <w:sz w:val="20"/>
          <w:szCs w:val="20"/>
          <w:color w:val="auto"/>
        </w:rPr>
      </w:pPr>
    </w:p>
    <w:p>
      <w:pPr>
        <w:ind w:right="60" w:firstLine="1940"/>
        <w:spacing w:after="0" w:line="277" w:lineRule="auto"/>
        <w:rPr>
          <w:sz w:val="20"/>
          <w:szCs w:val="20"/>
          <w:color w:val="auto"/>
        </w:rPr>
      </w:pPr>
      <w:r>
        <w:rPr>
          <w:rFonts w:ascii="Arial" w:cs="Arial" w:eastAsia="Arial" w:hAnsi="Arial"/>
          <w:sz w:val="18"/>
          <w:szCs w:val="18"/>
          <w:color w:val="auto"/>
        </w:rPr>
        <w:t>5.12.4. If the Account is payable over the life expectancy of a beneficiary other than the Participant’s Spouse, such life expectancy shall not be recalculated after the Benefit Commencement Date.</w:t>
      </w:r>
    </w:p>
    <w:p>
      <w:pPr>
        <w:spacing w:after="0" w:line="170" w:lineRule="exact"/>
        <w:rPr>
          <w:sz w:val="20"/>
          <w:szCs w:val="20"/>
          <w:color w:val="auto"/>
        </w:rPr>
      </w:pPr>
    </w:p>
    <w:p>
      <w:pPr>
        <w:ind w:right="540" w:firstLine="1940"/>
        <w:spacing w:after="0" w:line="277" w:lineRule="auto"/>
        <w:rPr>
          <w:sz w:val="20"/>
          <w:szCs w:val="20"/>
          <w:color w:val="auto"/>
        </w:rPr>
      </w:pPr>
      <w:r>
        <w:rPr>
          <w:rFonts w:ascii="Arial" w:cs="Arial" w:eastAsia="Arial" w:hAnsi="Arial"/>
          <w:sz w:val="18"/>
          <w:szCs w:val="18"/>
          <w:color w:val="auto"/>
        </w:rPr>
        <w:t>5.12.5. If a Participant or a Participant’s Spouse fails to make an election under this Section, his life expectancy shall not be recalculated after his Benefit Commencement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Transfer of Account to Other Plan</w:t>
      </w:r>
      <w:r>
        <w:rPr>
          <w:rFonts w:ascii="Arial" w:cs="Arial" w:eastAsia="Arial" w:hAnsi="Arial"/>
          <w:sz w:val="18"/>
          <w:szCs w:val="18"/>
          <w:color w:val="auto"/>
        </w:rPr>
        <w:t>.</w:t>
      </w:r>
    </w:p>
    <w:p>
      <w:pPr>
        <w:spacing w:after="0" w:line="225" w:lineRule="exact"/>
        <w:rPr>
          <w:sz w:val="20"/>
          <w:szCs w:val="20"/>
          <w:color w:val="auto"/>
        </w:rPr>
      </w:pPr>
    </w:p>
    <w:p>
      <w:pPr>
        <w:ind w:right="180" w:firstLine="1940"/>
        <w:spacing w:after="0" w:line="264" w:lineRule="auto"/>
        <w:rPr>
          <w:sz w:val="20"/>
          <w:szCs w:val="20"/>
          <w:color w:val="auto"/>
        </w:rPr>
      </w:pPr>
      <w:r>
        <w:rPr>
          <w:rFonts w:ascii="Arial" w:cs="Arial" w:eastAsia="Arial" w:hAnsi="Arial"/>
          <w:sz w:val="18"/>
          <w:szCs w:val="18"/>
          <w:color w:val="auto"/>
        </w:rPr>
        <w:t>5.13.1. (a) Except to the extent otherwise provided by section 401(a)(31) of the Code and regulations thereunder, a Participant or beneficiary entitled to receive a distribution from the Plan, either pursuant to this Article or pursuant to Article VIII, may direct the Committee to have the Trustee transfer the amount to be distributed directly to:</w:t>
      </w:r>
    </w:p>
    <w:p>
      <w:pPr>
        <w:spacing w:after="0" w:line="181" w:lineRule="exact"/>
        <w:rPr>
          <w:sz w:val="20"/>
          <w:szCs w:val="20"/>
          <w:color w:val="auto"/>
        </w:rPr>
      </w:pPr>
    </w:p>
    <w:p>
      <w:pPr>
        <w:ind w:left="3680" w:hanging="248"/>
        <w:spacing w:after="0"/>
        <w:tabs>
          <w:tab w:leader="none" w:pos="3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 individual retirement account described in section 408(a) of the Code,</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Roth individual retirement account described in section 408A of the Code,</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 individual retirement annuity described in section 408(b) of the Code (other than an endowment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(4) a qualified retirement plan described in section 401(a) of the Code, the terms of which permit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acceptance of rollover contributions,</w:t>
      </w:r>
    </w:p>
    <w:p>
      <w:pPr>
        <w:spacing w:after="0" w:line="211" w:lineRule="exact"/>
        <w:rPr>
          <w:sz w:val="20"/>
          <w:szCs w:val="20"/>
          <w:color w:val="auto"/>
        </w:rPr>
      </w:pPr>
    </w:p>
    <w:p>
      <w:pPr>
        <w:ind w:left="3680" w:hanging="248"/>
        <w:spacing w:after="0"/>
        <w:tabs>
          <w:tab w:leader="none" w:pos="36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 annuity plan described in section 403(a) of the Code, or</w:t>
      </w:r>
    </w:p>
    <w:p>
      <w:pPr>
        <w:spacing w:after="0" w:line="225" w:lineRule="exact"/>
        <w:rPr>
          <w:rFonts w:ascii="Arial" w:cs="Arial" w:eastAsia="Arial" w:hAnsi="Arial"/>
          <w:sz w:val="18"/>
          <w:szCs w:val="18"/>
          <w:color w:val="auto"/>
        </w:rPr>
      </w:pPr>
    </w:p>
    <w:p>
      <w:pPr>
        <w:ind w:firstLine="3432"/>
        <w:spacing w:after="0" w:line="264" w:lineRule="auto"/>
        <w:tabs>
          <w:tab w:leader="none" w:pos="367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 annuity contract described in section 403(b) of the Code and an eligible plan under section 457(b) of the Code which is maintained by a state, political subdivision of a state, or any agency or instrumentality of a state or political subdivision of a state and which agrees to separately account for amounts transferred into such plan from this Plan.</w:t>
      </w:r>
    </w:p>
    <w:p>
      <w:pPr>
        <w:spacing w:after="0" w:line="181" w:lineRule="exact"/>
        <w:rPr>
          <w:rFonts w:ascii="Arial" w:cs="Arial" w:eastAsia="Arial" w:hAnsi="Arial"/>
          <w:sz w:val="18"/>
          <w:szCs w:val="18"/>
          <w:color w:val="auto"/>
        </w:rPr>
      </w:pPr>
    </w:p>
    <w:p>
      <w:pPr>
        <w:ind w:left="3220" w:hanging="245"/>
        <w:spacing w:after="0"/>
        <w:tabs>
          <w:tab w:leader="none" w:pos="3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Non-Spouse beneficiary rollover right.</w:t>
      </w:r>
    </w:p>
    <w:p>
      <w:pPr>
        <w:spacing w:after="0" w:line="225" w:lineRule="exact"/>
        <w:rPr>
          <w:rFonts w:ascii="Arial" w:cs="Arial" w:eastAsia="Arial" w:hAnsi="Arial"/>
          <w:sz w:val="18"/>
          <w:szCs w:val="18"/>
          <w:color w:val="auto"/>
        </w:rPr>
      </w:pPr>
    </w:p>
    <w:p>
      <w:pPr>
        <w:ind w:right="300" w:firstLine="3432"/>
        <w:spacing w:after="0" w:line="264" w:lineRule="auto"/>
        <w:tabs>
          <w:tab w:leader="none" w:pos="367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For distributions after December 31, 2009, a non-Spouse beneficiary who is a “designated beneficiary” under section 401(a)(9)(E) of the Code and the regulations thereunder, by a direct rollover, may rollover all or any portion of his or her distribution to an individual retirement account which the beneficiary establishes for purposes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270" w:name="page271"/>
    <w:bookmarkEnd w:id="270"/>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receiving the distribution. In order to be able to rollover the distribution, the distribution otherwise must satisfy the requirements for an eligible rollover distribution as described in the Plan.</w:t>
      </w:r>
    </w:p>
    <w:p>
      <w:pPr>
        <w:spacing w:after="0" w:line="170" w:lineRule="exact"/>
        <w:rPr>
          <w:sz w:val="20"/>
          <w:szCs w:val="20"/>
          <w:color w:val="auto"/>
        </w:rPr>
      </w:pPr>
    </w:p>
    <w:p>
      <w:pPr>
        <w:ind w:firstLine="3432"/>
        <w:spacing w:after="0" w:line="291" w:lineRule="auto"/>
        <w:tabs>
          <w:tab w:leader="none" w:pos="3678" w:val="left"/>
        </w:tabs>
        <w:numPr>
          <w:ilvl w:val="1"/>
          <w:numId w:val="178"/>
        </w:numPr>
        <w:rPr>
          <w:rFonts w:ascii="Arial" w:cs="Arial" w:eastAsia="Arial" w:hAnsi="Arial"/>
          <w:sz w:val="16"/>
          <w:szCs w:val="16"/>
          <w:color w:val="auto"/>
        </w:rPr>
      </w:pPr>
      <w:r>
        <w:rPr>
          <w:rFonts w:ascii="Arial" w:cs="Arial" w:eastAsia="Arial" w:hAnsi="Arial"/>
          <w:sz w:val="16"/>
          <w:szCs w:val="16"/>
          <w:color w:val="auto"/>
        </w:rPr>
        <w:t>If the Participant’s named beneficiary is a trust, the Plan may make a direct rollover to an individual retirement account on behalf of the trust, provided the trust satisfies the requirements to be a designated beneficiary within the meaning of section § 401(a)(9)</w:t>
      </w:r>
    </w:p>
    <w:p>
      <w:pPr>
        <w:ind w:left="280" w:hanging="272"/>
        <w:spacing w:after="0"/>
        <w:tabs>
          <w:tab w:leader="none" w:pos="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210" w:lineRule="exact"/>
        <w:rPr>
          <w:rFonts w:ascii="Arial" w:cs="Arial" w:eastAsia="Arial" w:hAnsi="Arial"/>
          <w:sz w:val="18"/>
          <w:szCs w:val="18"/>
          <w:color w:val="auto"/>
        </w:rPr>
      </w:pPr>
    </w:p>
    <w:p>
      <w:pPr>
        <w:ind w:right="180" w:firstLine="3432"/>
        <w:spacing w:after="0" w:line="276" w:lineRule="auto"/>
        <w:tabs>
          <w:tab w:leader="none" w:pos="3678"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 non-Spouse beneficiary may not rollover an amount which is a required minimum distribution, as determined under applicable Treasury regulations and other Revenue Service guidance. If the Participant dies before his or her required beginning date and the non-Spouse beneficiary rolls over to an individual retirement account the maximum amount eligible for rollover, the beneficiary may elect to use either the 5-year rule or the life expectancy rule, pursuant to Treas. Reg. §1.401(a)(9)-3, A-4(c), in determining the required minimum distributions from the individual retirement account that receives the non-Spouse beneficiary’s distribution.</w:t>
      </w:r>
    </w:p>
    <w:p>
      <w:pPr>
        <w:spacing w:after="0" w:line="173" w:lineRule="exact"/>
        <w:rPr>
          <w:sz w:val="20"/>
          <w:szCs w:val="20"/>
          <w:color w:val="auto"/>
        </w:rPr>
      </w:pPr>
    </w:p>
    <w:p>
      <w:pPr>
        <w:ind w:right="100" w:firstLine="1940"/>
        <w:spacing w:after="0" w:line="277" w:lineRule="auto"/>
        <w:rPr>
          <w:sz w:val="20"/>
          <w:szCs w:val="20"/>
          <w:color w:val="auto"/>
        </w:rPr>
      </w:pPr>
      <w:r>
        <w:rPr>
          <w:rFonts w:ascii="Arial" w:cs="Arial" w:eastAsia="Arial" w:hAnsi="Arial"/>
          <w:sz w:val="18"/>
          <w:szCs w:val="18"/>
          <w:color w:val="auto"/>
        </w:rPr>
        <w:t>5.13.2. The Participant or beneficiary must specify the name of the plan or account to which the Participant or beneficiary wishes to have the amount transferred, on a form and in a manner prescribed by the Committee.</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5.13.3. Section 5.13.1 shall not apply to the following distributions:</w:t>
      </w:r>
    </w:p>
    <w:p>
      <w:pPr>
        <w:spacing w:after="0" w:line="225" w:lineRule="exact"/>
        <w:rPr>
          <w:sz w:val="20"/>
          <w:szCs w:val="20"/>
          <w:color w:val="auto"/>
        </w:rPr>
      </w:pPr>
    </w:p>
    <w:p>
      <w:pPr>
        <w:ind w:left="3220" w:hanging="245"/>
        <w:spacing w:after="0"/>
        <w:tabs>
          <w:tab w:leader="none" w:pos="3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as provided in Section 5.13.3(f), any distribution of After-Tax Contributions;</w:t>
      </w:r>
    </w:p>
    <w:p>
      <w:pPr>
        <w:spacing w:after="0" w:line="225" w:lineRule="exact"/>
        <w:rPr>
          <w:rFonts w:ascii="Arial" w:cs="Arial" w:eastAsia="Arial" w:hAnsi="Arial"/>
          <w:sz w:val="18"/>
          <w:szCs w:val="18"/>
          <w:color w:val="auto"/>
        </w:rPr>
      </w:pPr>
    </w:p>
    <w:p>
      <w:pPr>
        <w:ind w:firstLine="2975"/>
        <w:spacing w:after="0" w:line="342" w:lineRule="auto"/>
        <w:tabs>
          <w:tab w:leader="none" w:pos="322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distribution which is made pursuant to the Participant’s election of installments over either (1) a period of 10 years or more, or (2) a period equal to the life or life expectancy of the Participant or the joint lives or life expectancy of the Participant and his beneficiary;</w:t>
      </w:r>
    </w:p>
    <w:p>
      <w:pPr>
        <w:spacing w:after="0" w:line="123" w:lineRule="exact"/>
        <w:rPr>
          <w:rFonts w:ascii="Arial" w:cs="Arial" w:eastAsia="Arial" w:hAnsi="Arial"/>
          <w:sz w:val="16"/>
          <w:szCs w:val="16"/>
          <w:color w:val="auto"/>
        </w:rPr>
      </w:pPr>
    </w:p>
    <w:p>
      <w:pPr>
        <w:ind w:right="120" w:firstLine="2975"/>
        <w:spacing w:after="0" w:line="277" w:lineRule="auto"/>
        <w:tabs>
          <w:tab w:leader="none" w:pos="321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that portion of any distribution after the Participant’s Required Beginning Date that is required to be distributed to the Participant by the minimum distribution rules of section 401(a)(9) of the Code;</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amount that is distributed on account of hardship; or</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such other distributions as may be exempted by applicable statute or regulation from the requirements of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401(a)(31) of the Code.</w:t>
      </w:r>
    </w:p>
    <w:p>
      <w:pPr>
        <w:spacing w:after="0" w:line="210" w:lineRule="exact"/>
        <w:rPr>
          <w:rFonts w:ascii="Arial" w:cs="Arial" w:eastAsia="Arial" w:hAnsi="Arial"/>
          <w:sz w:val="16"/>
          <w:szCs w:val="16"/>
          <w:color w:val="auto"/>
        </w:rPr>
      </w:pPr>
    </w:p>
    <w:p>
      <w:pPr>
        <w:ind w:firstLine="2975"/>
        <w:spacing w:after="0" w:line="257" w:lineRule="auto"/>
        <w:tabs>
          <w:tab w:leader="none" w:pos="319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portion of a distribution shall not fail to be eligible for rollover merely because the portion consists of after-tax employee contributions which are not includible in gross income. However, such portion may be transferred only to an individual retirement account or annuity described in section 408(a) or (b) of the Code, to a qualified plan described in section 401(a) or 403(a) of the Code, or to a 403(b) plan that agrees to separately account for amounts so transferred, including separately accounting for the portion of such distribution which is includible in gross income and the portion of such distribution which is not so includible.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271" w:name="page272"/>
    <w:bookmarkEnd w:id="27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Section 401(a)(9)</w:t>
      </w:r>
      <w:r>
        <w:rPr>
          <w:rFonts w:ascii="Arial" w:cs="Arial" w:eastAsia="Arial" w:hAnsi="Arial"/>
          <w:sz w:val="18"/>
          <w:szCs w:val="18"/>
          <w:color w:val="auto"/>
        </w:rPr>
        <w:t>. Required minimum distributions shall be made in accordance with section 401(a)(9) of the Code and the regulations thereunder, as provided in Schedule A attached hereto.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274" w:right="479" w:bottom="1440" w:gutter="0" w:footer="0" w:header="0"/>
        </w:sectPr>
      </w:pPr>
    </w:p>
    <w:bookmarkStart w:id="272" w:name="page273"/>
    <w:bookmarkEnd w:id="27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VESTING</w:t>
      </w:r>
    </w:p>
    <w:p>
      <w:pPr>
        <w:spacing w:after="0" w:line="22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Nonforfeitable Amounts</w:t>
      </w:r>
      <w:r>
        <w:rPr>
          <w:rFonts w:ascii="Arial" w:cs="Arial" w:eastAsia="Arial" w:hAnsi="Arial"/>
          <w:sz w:val="16"/>
          <w:szCs w:val="16"/>
          <w:color w:val="auto"/>
        </w:rPr>
        <w:t>. A Participant shall have a 100% nonforfeitable interest at all times in the following Accounts: (1) After-Tax Matched Contribution Account, (2) After-Tax Unmatched Contribution Account, (3) Catch-Up Contribution Account, (4) Matching Contribution Account,</w:t>
      </w:r>
    </w:p>
    <w:p>
      <w:pPr>
        <w:jc w:val="both"/>
        <w:ind w:right="260" w:firstLine="8"/>
        <w:spacing w:after="0" w:line="277" w:lineRule="auto"/>
        <w:tabs>
          <w:tab w:leader="none" w:pos="24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After-Tax Rollover Account, (6) Pre-Tax Matched Contribution Account, (7) Pre-Tax Unmatched Contribution Account, (8) Prior Company Matching Contribution Account (Vested), (9) DC Adder Contribution Account, (10) QNEC Account, (11) Roth Catch-Up Contribution Account, (12) Roth Matched Contribution Account, (13) Roth Rollover Account, (14) Roth Unmatched Contribution Account, and (15) Taxable Rollover Account.</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Vesting of Comcast Retirement Contributions</w:t>
      </w:r>
      <w:r>
        <w:rPr>
          <w:rFonts w:ascii="Arial" w:cs="Arial" w:eastAsia="Arial" w:hAnsi="Arial"/>
          <w:sz w:val="18"/>
          <w:szCs w:val="18"/>
          <w:color w:val="auto"/>
        </w:rPr>
        <w:t>. Each Participant shall become vested in the following portion of his Comcast Retirement Contribution Account:</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Years of Service</w:t>
            </w:r>
          </w:p>
        </w:tc>
        <w:tc>
          <w:tcPr>
            <w:tcW w:w="3300" w:type="dxa"/>
            <w:vAlign w:val="bottom"/>
          </w:tcPr>
          <w:p>
            <w:pPr>
              <w:spacing w:after="0"/>
              <w:rPr>
                <w:sz w:val="14"/>
                <w:szCs w:val="14"/>
                <w:color w:val="auto"/>
              </w:rPr>
            </w:pPr>
          </w:p>
        </w:tc>
        <w:tc>
          <w:tcPr>
            <w:tcW w:w="3500" w:type="dxa"/>
            <w:vAlign w:val="bottom"/>
            <w:gridSpan w:val="3"/>
          </w:tcPr>
          <w:p>
            <w:pPr>
              <w:jc w:val="right"/>
              <w:ind w:right="220"/>
              <w:spacing w:after="0"/>
              <w:rPr>
                <w:sz w:val="20"/>
                <w:szCs w:val="20"/>
                <w:color w:val="auto"/>
              </w:rPr>
            </w:pPr>
            <w:r>
              <w:rPr>
                <w:rFonts w:ascii="Arial" w:cs="Arial" w:eastAsia="Arial" w:hAnsi="Arial"/>
                <w:sz w:val="14"/>
                <w:szCs w:val="14"/>
                <w:color w:val="auto"/>
              </w:rPr>
              <w:t>Vested Percentage</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Less than 2 years</w:t>
            </w:r>
          </w:p>
        </w:tc>
        <w:tc>
          <w:tcPr>
            <w:tcW w:w="22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gridSpan w:val="2"/>
            <w:vMerge w:val="continue"/>
            <w:shd w:val="clear" w:color="auto" w:fill="CCEEFF"/>
          </w:tcPr>
          <w:p>
            <w:pPr>
              <w:spacing w:after="0"/>
              <w:rPr>
                <w:sz w:val="17"/>
                <w:szCs w:val="17"/>
                <w:color w:val="auto"/>
              </w:rPr>
            </w:pPr>
          </w:p>
        </w:tc>
        <w:tc>
          <w:tcPr>
            <w:tcW w:w="22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2 years but less than 3 years</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years but less than 4 years</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4 years but less than 5 years</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 but less than 6 years</w:t>
            </w:r>
          </w:p>
        </w:tc>
        <w:tc>
          <w:tcPr>
            <w:tcW w:w="3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35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Notwithstanding the foregoing, a Participant shall have a 100% nonforfeitable interest in his Comcast Retirement Contribution Account upon his attainment of his Normal Retirement Date, his death or his Total Disability, provided the Participant is an Active Participant at the time of the occurrence of such event.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Participant shall have such nonforfeitable interest in any Accounts not referenced in either Section 6.1 of 6.2 as determined pursuant to the rules of the Plan as in effect on December 31, 2009.</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Years of Service for Vesting</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64" w:lineRule="auto"/>
        <w:rPr>
          <w:sz w:val="20"/>
          <w:szCs w:val="20"/>
          <w:color w:val="auto"/>
        </w:rPr>
      </w:pPr>
      <w:r>
        <w:rPr>
          <w:rFonts w:ascii="Arial" w:cs="Arial" w:eastAsia="Arial" w:hAnsi="Arial"/>
          <w:sz w:val="18"/>
          <w:szCs w:val="18"/>
          <w:color w:val="auto"/>
        </w:rPr>
        <w:t>6.3.1. For the purposes of this Article, an Employee shall be credited with Years of Service equal to the number of whole years in all of the Employee’s Periods of Service. To determine the number of whole years in all of an Employee’s Periods of Service, non-contiguous periods shall be aggregated.</w:t>
      </w:r>
    </w:p>
    <w:p>
      <w:pPr>
        <w:spacing w:after="0" w:line="181" w:lineRule="exact"/>
        <w:rPr>
          <w:sz w:val="20"/>
          <w:szCs w:val="20"/>
          <w:color w:val="auto"/>
        </w:rPr>
      </w:pPr>
    </w:p>
    <w:p>
      <w:pPr>
        <w:ind w:right="160" w:firstLine="1940"/>
        <w:spacing w:after="0" w:line="277" w:lineRule="auto"/>
        <w:rPr>
          <w:sz w:val="20"/>
          <w:szCs w:val="20"/>
          <w:color w:val="auto"/>
        </w:rPr>
      </w:pPr>
      <w:r>
        <w:rPr>
          <w:rFonts w:ascii="Arial" w:cs="Arial" w:eastAsia="Arial" w:hAnsi="Arial"/>
          <w:sz w:val="18"/>
          <w:szCs w:val="18"/>
          <w:color w:val="auto"/>
        </w:rPr>
        <w:t>6.3.2. Years of Service shall be calculated on the basis that 30 days equals a completed month or one-twelfth (1/12) of a year and twelve completed months equal one year.</w:t>
      </w:r>
    </w:p>
    <w:p>
      <w:pPr>
        <w:spacing w:after="0" w:line="170" w:lineRule="exact"/>
        <w:rPr>
          <w:sz w:val="20"/>
          <w:szCs w:val="20"/>
          <w:color w:val="auto"/>
        </w:rPr>
      </w:pPr>
    </w:p>
    <w:p>
      <w:pPr>
        <w:ind w:right="100" w:firstLine="1940"/>
        <w:spacing w:after="0" w:line="264" w:lineRule="auto"/>
        <w:rPr>
          <w:sz w:val="20"/>
          <w:szCs w:val="20"/>
          <w:color w:val="auto"/>
        </w:rPr>
      </w:pPr>
      <w:r>
        <w:rPr>
          <w:rFonts w:ascii="Arial" w:cs="Arial" w:eastAsia="Arial" w:hAnsi="Arial"/>
          <w:sz w:val="18"/>
          <w:szCs w:val="18"/>
          <w:color w:val="auto"/>
        </w:rPr>
        <w:t>6.3.3. If a former Employee is reemployed by a Participating Company or an Affiliated Company before he incurs a One-Year Period of Severance and if such Employee’s Period of Severance commenced with a quit, discharge or retirement, the Employee shall be credited with Years of Service for the Period of Severance.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273" w:name="page274"/>
    <w:bookmarkEnd w:id="273"/>
    <w:p>
      <w:pPr>
        <w:ind w:right="8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6.3.4. If an Employee severs from service by reason of a quit, discharge, or retirement during an absence from service for 12 months or less for any reason other than a quit, discharge or retirement, and if he then performs an Hour of Service within 12 months of the date on which he was first absent from service, he shall be credited with Years of Service for his Period of Severance.</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6.3.5. Notwithstanding any provision of the Plan to the contrary, an Employee shall not be credited with Years of Service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same period twice.</w:t>
      </w:r>
    </w:p>
    <w:p>
      <w:pPr>
        <w:spacing w:after="0" w:line="211"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 xml:space="preserve">6.3.6. </w:t>
      </w:r>
      <w:r>
        <w:rPr>
          <w:rFonts w:ascii="Arial" w:cs="Arial" w:eastAsia="Arial" w:hAnsi="Arial"/>
          <w:sz w:val="18"/>
          <w:szCs w:val="18"/>
          <w:u w:val="single" w:color="auto"/>
          <w:color w:val="auto"/>
        </w:rPr>
        <w:t>CIC Development Corp</w:t>
      </w:r>
      <w:r>
        <w:rPr>
          <w:rFonts w:ascii="Arial" w:cs="Arial" w:eastAsia="Arial" w:hAnsi="Arial"/>
          <w:sz w:val="18"/>
          <w:szCs w:val="18"/>
          <w:color w:val="auto"/>
        </w:rPr>
        <w:t>. Effective December 14, 1999, any Active Participant who transfers employment directly from a Participating Company to CIC Development Corp., shall have his service with CIC Development Corp. credited for purposes of vesting under the Plan for the period commencing with the effective date of such individual’s direct transfer and ending on the earlier of (a) the date such individual is fully vested in his Matching Contribution and Vision Accounts (as applicable) or (b) the date such individual requests a distribution of any portion of his Matching Contribution or Vision Accounts.</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Breaks in Service and Loss of Service</w:t>
      </w:r>
      <w:r>
        <w:rPr>
          <w:rFonts w:ascii="Arial" w:cs="Arial" w:eastAsia="Arial" w:hAnsi="Arial"/>
          <w:sz w:val="18"/>
          <w:szCs w:val="18"/>
          <w:color w:val="auto"/>
        </w:rPr>
        <w:t>. An Employee’s Years of Service shall be canceled if he incurs a One-Year Period of Severance before his Normal Retirement Date and at a time when he has no Accounts under the Plan.</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Restoration of Service</w:t>
      </w:r>
      <w:r>
        <w:rPr>
          <w:rFonts w:ascii="Arial" w:cs="Arial" w:eastAsia="Arial" w:hAnsi="Arial"/>
          <w:sz w:val="16"/>
          <w:szCs w:val="16"/>
          <w:color w:val="auto"/>
        </w:rPr>
        <w:t>. The Years of Service of an Employee whose Years of Service have been canceled pursuant to Section 6.4 shall be restored to his credit if he thereafter completes an Hour of Service at a time when the number of his consecutive One-Year Periods of Severance is less than the greater of (a) the number of Years of Service to his credit when the first such One-Year Period of Severance occurred, or (b) five.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Forfeitures and Restoration of Forfeited Amounts upon Reemployment</w:t>
      </w:r>
      <w:r>
        <w:rPr>
          <w:rFonts w:ascii="Arial" w:cs="Arial" w:eastAsia="Arial" w:hAnsi="Arial"/>
          <w:sz w:val="18"/>
          <w:szCs w:val="18"/>
          <w:color w:val="auto"/>
        </w:rPr>
        <w:t>.</w:t>
      </w:r>
    </w:p>
    <w:p>
      <w:pPr>
        <w:spacing w:after="0" w:line="225"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6.6.1. If a Participant who has had a Severance from Service Date does not thereafter complete an Hour of Service before the end of the Plan Year in which occurs the earlier of:</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 the date on which he receives or is deemed to receive a distribution of his entire nonforfeitable interest in 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Account, which is less than 100%; or</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 the date on which he incurs his fifth consecutive One-Year Period of Severance,</w:t>
      </w:r>
    </w:p>
    <w:p>
      <w:pPr>
        <w:spacing w:after="0" w:line="22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his Broadband Heritage Matching Contribution Account, his Prior Company Matching Contribution Account (Unvested), his Comcast Retirement Contribution Account and his NBCU Retirement Contribution Account shall be closed, and the forfeitable amount held therein shall be forfeited. For purposes of this Section 6.6.1, a Participant who has a Severance from Service Date at a time when his nonforfeitable interest in the Plan is zero shall be deemed to have received a distribution described in Section 6.6.1(a) on such Severance from Service Date.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274" w:name="page275"/>
    <w:bookmarkEnd w:id="274"/>
    <w:p>
      <w:pPr>
        <w:ind w:right="100"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6.6.2. Amounts forfeited from a Participant’s Broadband Heritage Matching Contribution Account, Prior Company Matching Contribution Account (Unvested) and Comcast Retirement Contribution Account under Section 6.6.1 shall be used to reduce future Matching Contributions, Broadband Heritage Matching Contributions, and/or Comcast Retirement Contributions.</w:t>
      </w:r>
    </w:p>
    <w:p>
      <w:pPr>
        <w:spacing w:after="0" w:line="181" w:lineRule="exact"/>
        <w:rPr>
          <w:sz w:val="20"/>
          <w:szCs w:val="20"/>
          <w:color w:val="auto"/>
        </w:rPr>
      </w:pPr>
    </w:p>
    <w:p>
      <w:pPr>
        <w:ind w:firstLine="1940"/>
        <w:spacing w:after="0" w:line="283" w:lineRule="auto"/>
        <w:rPr>
          <w:sz w:val="20"/>
          <w:szCs w:val="20"/>
          <w:color w:val="auto"/>
        </w:rPr>
      </w:pPr>
      <w:r>
        <w:rPr>
          <w:rFonts w:ascii="Arial" w:cs="Arial" w:eastAsia="Arial" w:hAnsi="Arial"/>
          <w:sz w:val="16"/>
          <w:szCs w:val="16"/>
          <w:color w:val="auto"/>
        </w:rPr>
        <w:t>6.6.3. If a Participant who has received (or is deemed to have received) a distribution described in Section 6.6.1(a), whereby any part of his Account has been forfeited, again becomes a Covered Employee prior to incurring five consecutive One-Year Periods of Severance, the amount so forfeited shall be restored to his new Broadband Heritage Matching Contribution Account, Prior Company Matching Contribution Account, Comcast Retirement Contribution Account and/or NBCU Retirement Contribution Account, if, and only if, he repays the full amount of such distribution (if any) prior to the earlier of (1) the fifth anniversary of the date on which he subsequently becomes a Covered Employee or (2) the first date the Participant incurs five consecutive One-Year Periods of Severance following the date of the distribution; provided, however, that a Participant described in the preceding sentence who is deemed to receive a distribution of his entire nonforfeitable interest shall be deemed to repay such distribution on the date he again becomes a Covered Employee. Any amounts repaid pursuant to this Section 6.6.3 shall be credited to the Participant’s After-Tax Unmatched Contribution Account. Amounts restored under this Section shall be charged against the following amounts in the following order of priority: (A) forfeitures for the Plan Year and</w:t>
      </w:r>
    </w:p>
    <w:p>
      <w:pPr>
        <w:spacing w:after="0" w:line="7" w:lineRule="exact"/>
        <w:rPr>
          <w:sz w:val="20"/>
          <w:szCs w:val="20"/>
          <w:color w:val="auto"/>
        </w:rPr>
      </w:pPr>
    </w:p>
    <w:p>
      <w:pPr>
        <w:ind w:right="160" w:firstLine="8"/>
        <w:spacing w:after="0" w:line="261" w:lineRule="auto"/>
        <w:tabs>
          <w:tab w:leader="none" w:pos="2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Company contributions for the Plan Year. If the foregoing amounts are insufficient, the Participating Company by whom such Participant is reemployed shall make any additional contribution necessary to accomplish the restoration.</w:t>
      </w:r>
    </w:p>
    <w:p>
      <w:pPr>
        <w:spacing w:after="0" w:line="184" w:lineRule="exact"/>
        <w:rPr>
          <w:sz w:val="20"/>
          <w:szCs w:val="20"/>
          <w:color w:val="auto"/>
        </w:rPr>
      </w:pPr>
    </w:p>
    <w:p>
      <w:pPr>
        <w:ind w:right="40" w:firstLine="1940"/>
        <w:spacing w:after="0" w:line="259" w:lineRule="auto"/>
        <w:rPr>
          <w:sz w:val="20"/>
          <w:szCs w:val="20"/>
          <w:color w:val="auto"/>
        </w:rPr>
      </w:pPr>
      <w:r>
        <w:rPr>
          <w:rFonts w:ascii="Arial" w:cs="Arial" w:eastAsia="Arial" w:hAnsi="Arial"/>
          <w:sz w:val="18"/>
          <w:szCs w:val="18"/>
          <w:color w:val="auto"/>
        </w:rPr>
        <w:t>6.6.4. If a Participant has received a distribution under the Plan, other than a distribution of his entire nonforfeitable interest in his Account upon his Severance from Service Date, at a time when he has less than a 100% nonforfeitable interest in his entire Account and prior to the date on which he incurs his fifth consecutive One-Year Period of Severance, his nonforfeitable interest in his Account at all times prior to the date on which he incurs his fifth consecutive One-Year Period of Severance, shall be the difference between:</w:t>
      </w:r>
    </w:p>
    <w:p>
      <w:pPr>
        <w:spacing w:after="0" w:line="187" w:lineRule="exact"/>
        <w:rPr>
          <w:sz w:val="20"/>
          <w:szCs w:val="20"/>
          <w:color w:val="auto"/>
        </w:rPr>
      </w:pPr>
    </w:p>
    <w:p>
      <w:pPr>
        <w:ind w:left="3220" w:hanging="245"/>
        <w:spacing w:after="0"/>
        <w:tabs>
          <w:tab w:leader="none" w:pos="32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amount his nonforfeitable interest would have been if he had not received the distribution; and</w:t>
      </w:r>
    </w:p>
    <w:p>
      <w:pPr>
        <w:spacing w:after="0" w:line="225" w:lineRule="exact"/>
        <w:rPr>
          <w:rFonts w:ascii="Arial" w:cs="Arial" w:eastAsia="Arial" w:hAnsi="Arial"/>
          <w:sz w:val="18"/>
          <w:szCs w:val="18"/>
          <w:color w:val="auto"/>
        </w:rPr>
      </w:pPr>
    </w:p>
    <w:p>
      <w:pPr>
        <w:ind w:right="180" w:firstLine="2975"/>
        <w:spacing w:after="0" w:line="302" w:lineRule="auto"/>
        <w:tabs>
          <w:tab w:leader="none" w:pos="322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amount to which the distribution would have increased or decreased if it had remained in the Fund. Immediately after the Participant has five consecutive One-Year Periods of Severance, his nonforfeitable interest determined under this Section, if in excess of zero, shall be established as a separate account, and he shall at all times have a nonforfeitable interest therein. If the Participant is later reemployed as a Covered Employee, any allocations to him shall be credited to a new account, and his nonforfeitable interest therein shall be determined under Section 6.1.</w:t>
      </w:r>
    </w:p>
    <w:p>
      <w:pPr>
        <w:spacing w:after="0" w:line="154" w:lineRule="exact"/>
        <w:rPr>
          <w:sz w:val="20"/>
          <w:szCs w:val="20"/>
          <w:color w:val="auto"/>
        </w:rPr>
      </w:pPr>
    </w:p>
    <w:p>
      <w:pPr>
        <w:ind w:right="540" w:firstLine="1940"/>
        <w:spacing w:after="0" w:line="277" w:lineRule="auto"/>
        <w:rPr>
          <w:sz w:val="20"/>
          <w:szCs w:val="20"/>
          <w:color w:val="auto"/>
        </w:rPr>
      </w:pPr>
      <w:r>
        <w:rPr>
          <w:rFonts w:ascii="Arial" w:cs="Arial" w:eastAsia="Arial" w:hAnsi="Arial"/>
          <w:sz w:val="18"/>
          <w:szCs w:val="18"/>
          <w:color w:val="auto"/>
        </w:rPr>
        <w:t>6.6.5. If a Participant has had five consecutive One-Year Periods of Severance and again becomes a Covered Employee, the amount forfeited under Section 6.6.1 shall not be restored to his new Account under any circumstances.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275" w:name="page276"/>
    <w:bookmarkEnd w:id="27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ROLLOVER CONTRIBUTIONS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Rollover Contributions</w:t>
      </w:r>
      <w:r>
        <w:rPr>
          <w:rFonts w:ascii="Arial" w:cs="Arial" w:eastAsia="Arial" w:hAnsi="Arial"/>
          <w:sz w:val="18"/>
          <w:szCs w:val="18"/>
          <w:color w:val="auto"/>
        </w:rPr>
        <w:t>.</w:t>
      </w:r>
    </w:p>
    <w:p>
      <w:pPr>
        <w:spacing w:after="0" w:line="225" w:lineRule="exact"/>
        <w:rPr>
          <w:sz w:val="20"/>
          <w:szCs w:val="20"/>
          <w:color w:val="auto"/>
        </w:rPr>
      </w:pPr>
    </w:p>
    <w:p>
      <w:pPr>
        <w:ind w:right="180" w:firstLine="1940"/>
        <w:spacing w:after="0" w:line="259" w:lineRule="auto"/>
        <w:rPr>
          <w:sz w:val="20"/>
          <w:szCs w:val="20"/>
          <w:color w:val="auto"/>
        </w:rPr>
      </w:pPr>
      <w:r>
        <w:rPr>
          <w:rFonts w:ascii="Arial" w:cs="Arial" w:eastAsia="Arial" w:hAnsi="Arial"/>
          <w:sz w:val="18"/>
          <w:szCs w:val="18"/>
          <w:color w:val="auto"/>
        </w:rPr>
        <w:t>7.1.1. Subject to the restrictions set forth in Section 7.1.2, a Covered Employee may transfer or have transferred directly to the Fund, from any qualified retirement plan of a former employer, all or a portion of his interest in the distributing plan. In addition, a Covered Employee who has established an individual retirement account to hold distributions received from qualified retirement plans of former employers may transfer all of the assets of such individual retirement account to the Fund.</w:t>
      </w:r>
    </w:p>
    <w:p>
      <w:pPr>
        <w:spacing w:after="0" w:line="187" w:lineRule="exact"/>
        <w:rPr>
          <w:sz w:val="20"/>
          <w:szCs w:val="20"/>
          <w:color w:val="auto"/>
        </w:rPr>
      </w:pPr>
    </w:p>
    <w:p>
      <w:pPr>
        <w:ind w:right="60" w:firstLine="1940"/>
        <w:spacing w:after="0" w:line="277" w:lineRule="auto"/>
        <w:rPr>
          <w:sz w:val="20"/>
          <w:szCs w:val="20"/>
          <w:color w:val="auto"/>
        </w:rPr>
      </w:pPr>
      <w:r>
        <w:rPr>
          <w:rFonts w:ascii="Arial" w:cs="Arial" w:eastAsia="Arial" w:hAnsi="Arial"/>
          <w:sz w:val="18"/>
          <w:szCs w:val="18"/>
          <w:color w:val="auto"/>
        </w:rPr>
        <w:t>7.1.2. The Trustee shall not accept a distribution from any other qualified retirement plan or from an individual retirement account unless the following conditions are met:</w:t>
      </w:r>
    </w:p>
    <w:p>
      <w:pPr>
        <w:spacing w:after="0" w:line="170" w:lineRule="exact"/>
        <w:rPr>
          <w:sz w:val="20"/>
          <w:szCs w:val="20"/>
          <w:color w:val="auto"/>
        </w:rPr>
      </w:pPr>
    </w:p>
    <w:p>
      <w:pPr>
        <w:ind w:left="3220" w:hanging="245"/>
        <w:spacing w:after="0"/>
        <w:tabs>
          <w:tab w:leader="none" w:pos="32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(1) the distribution being transferred must come directly from the fiduciary of the plan of the former employer, or</w:t>
      </w:r>
    </w:p>
    <w:p>
      <w:pPr>
        <w:spacing w:after="0" w:line="248" w:lineRule="exact"/>
        <w:rPr>
          <w:rFonts w:ascii="Arial" w:cs="Arial" w:eastAsia="Arial" w:hAnsi="Arial"/>
          <w:sz w:val="16"/>
          <w:szCs w:val="16"/>
          <w:color w:val="auto"/>
        </w:rPr>
      </w:pPr>
    </w:p>
    <w:p>
      <w:pPr>
        <w:ind w:right="380" w:firstLine="3432"/>
        <w:spacing w:after="0" w:line="264" w:lineRule="auto"/>
        <w:tabs>
          <w:tab w:leader="none" w:pos="3678"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it must come from the Covered Employee within 60 days after the Covered Employee receives a distribution from such other qualified retirement plan or individual retirement account and must comply with the provisions of section 402(c), 403(a)(4), 408(d)(3) or 457(f)(16) of the Code, whichever applies;</w:t>
      </w:r>
    </w:p>
    <w:p>
      <w:pPr>
        <w:spacing w:after="0" w:line="181" w:lineRule="exact"/>
        <w:rPr>
          <w:rFonts w:ascii="Arial" w:cs="Arial" w:eastAsia="Arial" w:hAnsi="Arial"/>
          <w:sz w:val="18"/>
          <w:szCs w:val="18"/>
          <w:color w:val="auto"/>
        </w:rPr>
      </w:pPr>
    </w:p>
    <w:p>
      <w:pPr>
        <w:ind w:right="280" w:firstLine="2975"/>
        <w:spacing w:after="0" w:line="277" w:lineRule="auto"/>
        <w:tabs>
          <w:tab w:leader="none" w:pos="322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distributions from a plan for a self-employed person shall not be transferred to this Plan, unless the transfer is directly to the Fund from the funding agent of the distributing plan;</w:t>
      </w:r>
    </w:p>
    <w:p>
      <w:pPr>
        <w:spacing w:after="0" w:line="170" w:lineRule="exact"/>
        <w:rPr>
          <w:rFonts w:ascii="Arial" w:cs="Arial" w:eastAsia="Arial" w:hAnsi="Arial"/>
          <w:sz w:val="18"/>
          <w:szCs w:val="18"/>
          <w:color w:val="auto"/>
        </w:rPr>
      </w:pPr>
    </w:p>
    <w:p>
      <w:pPr>
        <w:ind w:right="140" w:firstLine="2975"/>
        <w:spacing w:after="0" w:line="291" w:lineRule="auto"/>
        <w:tabs>
          <w:tab w:leader="none" w:pos="321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interest being transferred shall not include assets from any plan to the extent that the Committee determines that the transfer of such interest (i) would impose upon this Plan requirements as to form of distribution that would not otherwise apply hereunder, or</w:t>
      </w:r>
    </w:p>
    <w:p>
      <w:pPr>
        <w:ind w:right="80" w:firstLine="8"/>
        <w:spacing w:after="0" w:line="261" w:lineRule="auto"/>
        <w:tabs>
          <w:tab w:leader="none" w:pos="26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would otherwise result in the elimination of Code section 411(d)(6) protected benefits, or (iii) would cause the Plan to be a direct or indirect transferee of a plan to which the joint and survivor annuity requirements of sections 401(a)(11) and 417 of the Code apply;</w:t>
      </w:r>
    </w:p>
    <w:p>
      <w:pPr>
        <w:spacing w:after="0" w:line="183" w:lineRule="exact"/>
        <w:rPr>
          <w:rFonts w:ascii="Arial" w:cs="Arial" w:eastAsia="Arial" w:hAnsi="Arial"/>
          <w:sz w:val="18"/>
          <w:szCs w:val="18"/>
          <w:color w:val="auto"/>
        </w:rPr>
      </w:pPr>
    </w:p>
    <w:p>
      <w:pPr>
        <w:ind w:left="3220" w:hanging="245"/>
        <w:spacing w:after="0"/>
        <w:tabs>
          <w:tab w:leader="none" w:pos="322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interest being transferred shall not contain nondeductible contributions made to the distributing plan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Covered Employee unless the transfer to the Fund is directly from the funding agent of the distributing plan; and</w:t>
      </w:r>
    </w:p>
    <w:p>
      <w:pPr>
        <w:spacing w:after="0" w:line="210" w:lineRule="exact"/>
        <w:rPr>
          <w:rFonts w:ascii="Arial" w:cs="Arial" w:eastAsia="Arial" w:hAnsi="Arial"/>
          <w:sz w:val="16"/>
          <w:szCs w:val="16"/>
          <w:color w:val="auto"/>
        </w:rPr>
      </w:pPr>
    </w:p>
    <w:p>
      <w:pPr>
        <w:ind w:left="3220" w:hanging="245"/>
        <w:spacing w:after="0"/>
        <w:tabs>
          <w:tab w:leader="none" w:pos="32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subject to Section 7.3, the interest being transferred shall be in the form of cash.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Vesting and Distribution of Rollover Account</w:t>
      </w:r>
      <w:r>
        <w:rPr>
          <w:rFonts w:ascii="Arial" w:cs="Arial" w:eastAsia="Arial" w:hAnsi="Arial"/>
          <w:sz w:val="18"/>
          <w:szCs w:val="18"/>
          <w:color w:val="auto"/>
        </w:rPr>
        <w:t>.</w:t>
      </w:r>
    </w:p>
    <w:p>
      <w:pPr>
        <w:spacing w:after="0" w:line="225" w:lineRule="exact"/>
        <w:rPr>
          <w:sz w:val="20"/>
          <w:szCs w:val="20"/>
          <w:color w:val="auto"/>
        </w:rPr>
      </w:pPr>
    </w:p>
    <w:p>
      <w:pPr>
        <w:ind w:right="80" w:firstLine="1940"/>
        <w:spacing w:after="0" w:line="312" w:lineRule="auto"/>
        <w:rPr>
          <w:sz w:val="20"/>
          <w:szCs w:val="20"/>
          <w:color w:val="auto"/>
        </w:rPr>
      </w:pPr>
      <w:r>
        <w:rPr>
          <w:rFonts w:ascii="Arial" w:cs="Arial" w:eastAsia="Arial" w:hAnsi="Arial"/>
          <w:sz w:val="16"/>
          <w:szCs w:val="16"/>
          <w:color w:val="auto"/>
        </w:rPr>
        <w:t>7.2.1. The distributions transferred by or for a Covered Employee from another qualified retirement plan or from an individual retirement account shall be credited to the Covered Employee’s After-Tax Rollover Account, Roth Rollover Account and/or Taxable Rollover Account, as applicable. A Covered Employee shall be fully vested at all times in his After-Tax Rollover Account, Roth Rollover Account and Taxable Rollover Account.</w:t>
      </w:r>
    </w:p>
    <w:p>
      <w:pPr>
        <w:spacing w:after="0" w:line="147" w:lineRule="exact"/>
        <w:rPr>
          <w:sz w:val="20"/>
          <w:szCs w:val="20"/>
          <w:color w:val="auto"/>
        </w:rPr>
      </w:pPr>
    </w:p>
    <w:p>
      <w:pPr>
        <w:ind w:right="600" w:firstLine="1940"/>
        <w:spacing w:after="0" w:line="277" w:lineRule="auto"/>
        <w:rPr>
          <w:sz w:val="20"/>
          <w:szCs w:val="20"/>
          <w:color w:val="auto"/>
        </w:rPr>
      </w:pPr>
      <w:r>
        <w:rPr>
          <w:rFonts w:ascii="Arial" w:cs="Arial" w:eastAsia="Arial" w:hAnsi="Arial"/>
          <w:sz w:val="18"/>
          <w:szCs w:val="18"/>
          <w:color w:val="auto"/>
        </w:rPr>
        <w:t>7.2.2. A Covered Employee’s After-Tax Rollover Account, Roth Rollover Account and Taxable Rollover Account shall be distributed as otherwise provided under the Plan.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276" w:name="page277"/>
    <w:bookmarkEnd w:id="276"/>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7.3. </w:t>
      </w:r>
      <w:r>
        <w:rPr>
          <w:rFonts w:ascii="Arial" w:cs="Arial" w:eastAsia="Arial" w:hAnsi="Arial"/>
          <w:sz w:val="16"/>
          <w:szCs w:val="16"/>
          <w:u w:val="single" w:color="auto"/>
          <w:color w:val="auto"/>
        </w:rPr>
        <w:t>Additional Rollover Amounts</w:t>
      </w:r>
      <w:r>
        <w:rPr>
          <w:rFonts w:ascii="Arial" w:cs="Arial" w:eastAsia="Arial" w:hAnsi="Arial"/>
          <w:sz w:val="16"/>
          <w:szCs w:val="16"/>
          <w:color w:val="auto"/>
        </w:rPr>
        <w:t>. If an individual becomes a Participant as a result of a corporate transaction and elects to roll over a benefit from the prior employer’s tax-qualified defined contribution plan, the Committee, in its sole discretion, may permit the rollover of outstanding loan balances. The Committee, in its sole discretion, may permit the rollover of an outstanding loan balance from the NBCU CAP by an Eligible Employee who transfers from a position at NBCUniversal that is not eligible to participate in the Plan to a position that is eligible to participate in the Plan.</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274" w:right="33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WITHDRAWALS</w:t>
      </w:r>
    </w:p>
    <w:p>
      <w:pPr>
        <w:spacing w:after="0" w:line="82" w:lineRule="exact"/>
        <w:rPr>
          <w:sz w:val="20"/>
          <w:szCs w:val="20"/>
          <w:color w:val="auto"/>
        </w:rPr>
      </w:pPr>
    </w:p>
    <w:p>
      <w:pPr>
        <w:ind w:right="400" w:firstLine="456"/>
        <w:spacing w:after="0" w:line="293"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Withdrawals Not Subject to Section 401(k) Restrictions</w:t>
      </w:r>
      <w:r>
        <w:rPr>
          <w:rFonts w:ascii="Arial" w:cs="Arial" w:eastAsia="Arial" w:hAnsi="Arial"/>
          <w:sz w:val="17"/>
          <w:szCs w:val="17"/>
          <w:color w:val="auto"/>
        </w:rPr>
        <w:t xml:space="preserve">. A Participant who is an active Employee and has not attained Age 59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may withdraw, in accordance with rules prescribed by the Committee and uniformly applied, up to the total value of the following Accounts:</w:t>
      </w:r>
    </w:p>
    <w:p>
      <w:pPr>
        <w:spacing w:after="0" w:line="159" w:lineRule="exact"/>
        <w:rPr>
          <w:sz w:val="20"/>
          <w:szCs w:val="20"/>
          <w:color w:val="auto"/>
        </w:rPr>
      </w:pPr>
    </w:p>
    <w:p>
      <w:pPr>
        <w:ind w:right="140" w:firstLine="1940"/>
        <w:spacing w:after="0" w:line="264" w:lineRule="auto"/>
        <w:rPr>
          <w:sz w:val="20"/>
          <w:szCs w:val="20"/>
          <w:color w:val="auto"/>
        </w:rPr>
      </w:pPr>
      <w:r>
        <w:rPr>
          <w:rFonts w:ascii="Arial" w:cs="Arial" w:eastAsia="Arial" w:hAnsi="Arial"/>
          <w:sz w:val="18"/>
          <w:szCs w:val="18"/>
          <w:color w:val="auto"/>
        </w:rPr>
        <w:t>8.1.1. After-Tax Matched Contribution Account; provided that, if a Participant withdraws any After-Tax Matched Contributions credited in the Plan Year of withdrawal or the two preceding Plan Years, the Participant shall be suspended from participation for three months from the date of the withdrawal.</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8.1.2. After-Tax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8.1.3. After-Tax Rollover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8.1.4. Roth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8.1.5. Taxable Rollover Contribution Account;</w:t>
      </w:r>
    </w:p>
    <w:p>
      <w:pPr>
        <w:spacing w:after="0" w:line="225" w:lineRule="exact"/>
        <w:rPr>
          <w:sz w:val="20"/>
          <w:szCs w:val="20"/>
          <w:color w:val="auto"/>
        </w:rPr>
      </w:pPr>
    </w:p>
    <w:p>
      <w:pPr>
        <w:ind w:right="180" w:firstLine="1940"/>
        <w:spacing w:after="0" w:line="264" w:lineRule="auto"/>
        <w:rPr>
          <w:sz w:val="20"/>
          <w:szCs w:val="20"/>
          <w:color w:val="auto"/>
        </w:rPr>
      </w:pPr>
      <w:r>
        <w:rPr>
          <w:rFonts w:ascii="Arial" w:cs="Arial" w:eastAsia="Arial" w:hAnsi="Arial"/>
          <w:sz w:val="18"/>
          <w:szCs w:val="18"/>
          <w:color w:val="auto"/>
        </w:rPr>
        <w:t>8.1.6. Broadband Heritage Matching Contribution Account, provided that Broadband Heritage Matching Contributions and Prior Broadband Heritage Matching Contributions are not eligible for withdrawal if they were credited in the Plan Year of withdrawal or the two preceding Plan Years; and</w:t>
      </w:r>
    </w:p>
    <w:p>
      <w:pPr>
        <w:spacing w:after="0" w:line="181" w:lineRule="exact"/>
        <w:rPr>
          <w:sz w:val="20"/>
          <w:szCs w:val="20"/>
          <w:color w:val="auto"/>
        </w:rPr>
      </w:pPr>
    </w:p>
    <w:p>
      <w:pPr>
        <w:ind w:right="140" w:firstLine="1940"/>
        <w:spacing w:after="0" w:line="277" w:lineRule="auto"/>
        <w:rPr>
          <w:sz w:val="20"/>
          <w:szCs w:val="20"/>
          <w:color w:val="auto"/>
        </w:rPr>
      </w:pPr>
      <w:r>
        <w:rPr>
          <w:rFonts w:ascii="Arial" w:cs="Arial" w:eastAsia="Arial" w:hAnsi="Arial"/>
          <w:sz w:val="18"/>
          <w:szCs w:val="18"/>
          <w:color w:val="auto"/>
        </w:rPr>
        <w:t>8.1.7. Prior Company Matching Contribution Account (Vested), provided that contributions are not eligible for withdrawal if they were credited in the Plan Year of withdrawal or the two preceding Plan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Withdrawals Subject to Section 401(k) Restrictions</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342" w:lineRule="auto"/>
        <w:rPr>
          <w:sz w:val="20"/>
          <w:szCs w:val="20"/>
          <w:color w:val="auto"/>
        </w:rPr>
      </w:pPr>
      <w:r>
        <w:rPr>
          <w:rFonts w:ascii="Arial" w:cs="Arial" w:eastAsia="Arial" w:hAnsi="Arial"/>
          <w:sz w:val="16"/>
          <w:szCs w:val="16"/>
          <w:color w:val="auto"/>
        </w:rPr>
        <w:t>8.2.1. In addition to the withdrawals permitted under Section 8.1, a Participant who is an active Employee may withdraw, under the rules set forth in Sections 8.2.2 through 8.2.5 and such other rules as may be prescribed by the Committee and uniformly applied, the following amounts:</w:t>
      </w:r>
    </w:p>
    <w:p>
      <w:pPr>
        <w:spacing w:after="0" w:line="124" w:lineRule="exact"/>
        <w:rPr>
          <w:sz w:val="20"/>
          <w:szCs w:val="20"/>
          <w:color w:val="auto"/>
        </w:rPr>
      </w:pPr>
    </w:p>
    <w:p>
      <w:pPr>
        <w:ind w:right="600" w:firstLine="2975"/>
        <w:spacing w:after="0" w:line="342" w:lineRule="auto"/>
        <w:tabs>
          <w:tab w:leader="none" w:pos="321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his Broadband Heritage Matching Contribution Account, to the extent that Broadband Heritage Matching Contributions and Prior Broadband Heritage Matching Contributions were made in the Plan Year of withdrawal or the two preceding Plan Years;</w:t>
      </w:r>
    </w:p>
    <w:p>
      <w:pPr>
        <w:spacing w:after="0" w:line="123" w:lineRule="exact"/>
        <w:rPr>
          <w:rFonts w:ascii="Arial" w:cs="Arial" w:eastAsia="Arial" w:hAnsi="Arial"/>
          <w:sz w:val="16"/>
          <w:szCs w:val="16"/>
          <w:color w:val="auto"/>
        </w:rPr>
      </w:pPr>
    </w:p>
    <w:p>
      <w:pPr>
        <w:jc w:val="both"/>
        <w:ind w:right="40" w:firstLine="2975"/>
        <w:spacing w:after="0" w:line="264" w:lineRule="auto"/>
        <w:tabs>
          <w:tab w:leader="none" w:pos="32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portion of his Prior Company Matching Contribution Account (Vested) consisting of matching contributions made under the CCCHI Plan prior to the Effective Date that were fully vested in accordance with the change of control vesting provisions of Section 6.3(c) of the CCCHI Plan and that were made in the Plan Year of withdrawal or the two preceding Plan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78" w:name="page279"/>
    <w:bookmarkEnd w:id="278"/>
    <w:p>
      <w:pPr>
        <w:ind w:left="3220" w:hanging="245"/>
        <w:spacing w:after="0"/>
        <w:tabs>
          <w:tab w:leader="none" w:pos="3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nonforfeitable portion of his Prior Company Matching Contribution Account (Unvested);</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his Catch-Up Contribution Account;</w:t>
      </w:r>
    </w:p>
    <w:p>
      <w:pPr>
        <w:spacing w:after="0" w:line="225" w:lineRule="exact"/>
        <w:rPr>
          <w:rFonts w:ascii="Arial" w:cs="Arial" w:eastAsia="Arial" w:hAnsi="Arial"/>
          <w:sz w:val="18"/>
          <w:szCs w:val="18"/>
          <w:color w:val="auto"/>
        </w:rPr>
      </w:pPr>
    </w:p>
    <w:p>
      <w:pPr>
        <w:ind w:firstLine="2975"/>
        <w:spacing w:after="0" w:line="277" w:lineRule="auto"/>
        <w:tabs>
          <w:tab w:leader="none" w:pos="321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his Pre-Tax Matched Contribution Account (consisting of all amounts credited as of December 31, 1988 plus the sum of his Pre-Tax Matched Contributions made after December 31, 1988);</w:t>
      </w:r>
    </w:p>
    <w:p>
      <w:pPr>
        <w:spacing w:after="0" w:line="170" w:lineRule="exact"/>
        <w:rPr>
          <w:rFonts w:ascii="Arial" w:cs="Arial" w:eastAsia="Arial" w:hAnsi="Arial"/>
          <w:sz w:val="18"/>
          <w:szCs w:val="18"/>
          <w:color w:val="auto"/>
        </w:rPr>
      </w:pPr>
    </w:p>
    <w:p>
      <w:pPr>
        <w:ind w:right="100" w:firstLine="2975"/>
        <w:spacing w:after="0" w:line="277" w:lineRule="auto"/>
        <w:tabs>
          <w:tab w:leader="none" w:pos="319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his Pre-Tax Unmatched Contribution Account (consisting of all amounts credited as of December 31, 1988 plus the sum of his Pre-Tax Matched Contributions made after December 31, 1988)</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his Roth Catch-Up Contribution Account;</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his Roth Matched Contribution Account; plus</w:t>
      </w:r>
    </w:p>
    <w:p>
      <w:pPr>
        <w:spacing w:after="0" w:line="225" w:lineRule="exact"/>
        <w:rPr>
          <w:rFonts w:ascii="Arial" w:cs="Arial" w:eastAsia="Arial" w:hAnsi="Arial"/>
          <w:sz w:val="18"/>
          <w:szCs w:val="18"/>
          <w:color w:val="auto"/>
        </w:rPr>
      </w:pPr>
    </w:p>
    <w:p>
      <w:pPr>
        <w:ind w:left="3180" w:hanging="205"/>
        <w:spacing w:after="0"/>
        <w:tabs>
          <w:tab w:leader="none" w:pos="3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his Roth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8.2.2. A withdrawal under Section 8.2.1 shall be permitted only if the Committee finds that:</w:t>
      </w:r>
    </w:p>
    <w:p>
      <w:pPr>
        <w:spacing w:after="0" w:line="225" w:lineRule="exact"/>
        <w:rPr>
          <w:sz w:val="20"/>
          <w:szCs w:val="20"/>
          <w:color w:val="auto"/>
        </w:rPr>
      </w:pPr>
    </w:p>
    <w:p>
      <w:pPr>
        <w:ind w:left="3220" w:hanging="245"/>
        <w:spacing w:after="0"/>
        <w:tabs>
          <w:tab w:leader="none" w:pos="322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it is made on account of the Participant’s immediate and heavy financial need (as defined in Section 8.2.3); and</w:t>
      </w:r>
    </w:p>
    <w:p>
      <w:pPr>
        <w:spacing w:after="0" w:line="248" w:lineRule="exact"/>
        <w:rPr>
          <w:rFonts w:ascii="Arial" w:cs="Arial" w:eastAsia="Arial" w:hAnsi="Arial"/>
          <w:sz w:val="16"/>
          <w:szCs w:val="16"/>
          <w:color w:val="auto"/>
        </w:rPr>
      </w:pPr>
    </w:p>
    <w:p>
      <w:pPr>
        <w:ind w:left="3220" w:hanging="245"/>
        <w:spacing w:after="0"/>
        <w:tabs>
          <w:tab w:leader="none" w:pos="32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is necessary (as defined in Section 8.2.4) to satisfy such immediate and heavy financial need.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8.2.3. A withdrawal under Section 8.2.1 will be deemed to be on account of an immediate and heavy financial need if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 requests such withdrawal on account of:</w:t>
      </w:r>
    </w:p>
    <w:p>
      <w:pPr>
        <w:spacing w:after="0" w:line="211" w:lineRule="exact"/>
        <w:rPr>
          <w:sz w:val="20"/>
          <w:szCs w:val="20"/>
          <w:color w:val="auto"/>
        </w:rPr>
      </w:pPr>
    </w:p>
    <w:p>
      <w:pPr>
        <w:jc w:val="both"/>
        <w:ind w:right="40" w:firstLine="2975"/>
        <w:spacing w:after="0" w:line="291" w:lineRule="auto"/>
        <w:tabs>
          <w:tab w:leader="none" w:pos="3212"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expenses for medical care described in section 213(d) of the Code and (i) previously incurred by the Participant, his Spouse, any of the Participant’s dependents (as defined in section 152 of the Code), or effective January 1, 2010, the Participant’s primary beneficiary, or</w:t>
      </w:r>
    </w:p>
    <w:p>
      <w:pPr>
        <w:ind w:left="280" w:hanging="272"/>
        <w:spacing w:after="0"/>
        <w:tabs>
          <w:tab w:leader="none" w:pos="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necessary for such individuals to obtain such medical care;</w:t>
      </w:r>
    </w:p>
    <w:p>
      <w:pPr>
        <w:spacing w:after="0" w:line="210" w:lineRule="exact"/>
        <w:rPr>
          <w:rFonts w:ascii="Arial" w:cs="Arial" w:eastAsia="Arial" w:hAnsi="Arial"/>
          <w:sz w:val="18"/>
          <w:szCs w:val="18"/>
          <w:color w:val="auto"/>
        </w:rPr>
      </w:pPr>
    </w:p>
    <w:p>
      <w:pPr>
        <w:ind w:left="3220" w:hanging="245"/>
        <w:spacing w:after="0"/>
        <w:tabs>
          <w:tab w:leader="none" w:pos="322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costs directly related to the purchase (excluding mortgage payments) of a principal residence of the Participant;</w:t>
      </w:r>
    </w:p>
    <w:p>
      <w:pPr>
        <w:spacing w:after="0" w:line="248" w:lineRule="exact"/>
        <w:rPr>
          <w:rFonts w:ascii="Arial" w:cs="Arial" w:eastAsia="Arial" w:hAnsi="Arial"/>
          <w:sz w:val="16"/>
          <w:szCs w:val="16"/>
          <w:color w:val="auto"/>
        </w:rPr>
      </w:pPr>
    </w:p>
    <w:p>
      <w:pPr>
        <w:ind w:right="200" w:firstLine="2975"/>
        <w:spacing w:after="0" w:line="342" w:lineRule="auto"/>
        <w:tabs>
          <w:tab w:leader="none" w:pos="3212"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payment of tuition and related educational fees for the next 12 months of post-secondary education for the Participant, his Spouse, children, dependents (as defined in section 152 of the Code) or effective January 1, 2010, the Participant’s primary beneficiary;</w:t>
      </w:r>
    </w:p>
    <w:p>
      <w:pPr>
        <w:spacing w:after="0" w:line="123" w:lineRule="exact"/>
        <w:rPr>
          <w:rFonts w:ascii="Arial" w:cs="Arial" w:eastAsia="Arial" w:hAnsi="Arial"/>
          <w:sz w:val="16"/>
          <w:szCs w:val="16"/>
          <w:color w:val="auto"/>
        </w:rPr>
      </w:pPr>
    </w:p>
    <w:p>
      <w:pPr>
        <w:ind w:left="3220" w:hanging="245"/>
        <w:spacing w:after="0"/>
        <w:tabs>
          <w:tab w:leader="none" w:pos="322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need to prevent the eviction of the Participant from his principal residence or foreclosure on the mortgage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his principal residence;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274" w:right="319" w:bottom="1440" w:gutter="0" w:footer="0" w:header="0"/>
        </w:sectPr>
      </w:pPr>
    </w:p>
    <w:bookmarkStart w:id="279" w:name="page280"/>
    <w:bookmarkEnd w:id="279"/>
    <w:p>
      <w:pPr>
        <w:ind w:right="160" w:firstLine="2975"/>
        <w:spacing w:after="0" w:line="342" w:lineRule="auto"/>
        <w:tabs>
          <w:tab w:leader="none" w:pos="3212"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Covered Union Employees (Broadband) only, payment for extensive home repairs or renovations related to fire, natural disaster or other similar unforeseeable event; extraordinary legal expenses; or funeral expenses for members of immediate family; or</w:t>
      </w:r>
    </w:p>
    <w:p>
      <w:pPr>
        <w:spacing w:after="0" w:line="123" w:lineRule="exact"/>
        <w:rPr>
          <w:rFonts w:ascii="Arial" w:cs="Arial" w:eastAsia="Arial" w:hAnsi="Arial"/>
          <w:sz w:val="16"/>
          <w:szCs w:val="16"/>
          <w:color w:val="auto"/>
        </w:rPr>
      </w:pPr>
    </w:p>
    <w:p>
      <w:pPr>
        <w:ind w:right="120" w:firstLine="2975"/>
        <w:spacing w:after="0" w:line="302" w:lineRule="auto"/>
        <w:tabs>
          <w:tab w:leader="none" w:pos="319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notwithstanding Section 8.2.3(e) above, effective June 1, 2006, payments for burial or funeral expenses for the Participant’s deceased parent, Spouse, children or dependents (as defined in Code Section 152 without regard to Code Section 152(d)(1)(B)) or effective January 1, 2010, the Participant’s primary beneficiary, and expenses for the repair of damage to a Participant’s principal residence that would qualify for the casualty deduction under Code Section 165 without regard to whether the loss exceeds 10% of the Participant’s adjusted gross income; or</w:t>
      </w:r>
    </w:p>
    <w:p>
      <w:pPr>
        <w:spacing w:after="0" w:line="154" w:lineRule="exact"/>
        <w:rPr>
          <w:rFonts w:ascii="Arial" w:cs="Arial" w:eastAsia="Arial" w:hAnsi="Arial"/>
          <w:sz w:val="16"/>
          <w:szCs w:val="16"/>
          <w:color w:val="auto"/>
        </w:rPr>
      </w:pPr>
    </w:p>
    <w:p>
      <w:pPr>
        <w:ind w:left="3220" w:hanging="245"/>
        <w:spacing w:after="0"/>
        <w:tabs>
          <w:tab w:leader="none" w:pos="322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such other circumstances or events as may be prescribed by the Secretary of the Treasury or his or her delegate.</w:t>
      </w:r>
    </w:p>
    <w:p>
      <w:pPr>
        <w:spacing w:after="0" w:line="248" w:lineRule="exact"/>
        <w:rPr>
          <w:sz w:val="20"/>
          <w:szCs w:val="20"/>
          <w:color w:val="auto"/>
        </w:rPr>
      </w:pPr>
    </w:p>
    <w:p>
      <w:pPr>
        <w:ind w:right="200" w:firstLine="1940"/>
        <w:spacing w:after="0" w:line="308" w:lineRule="auto"/>
        <w:rPr>
          <w:sz w:val="20"/>
          <w:szCs w:val="20"/>
          <w:color w:val="auto"/>
        </w:rPr>
      </w:pPr>
      <w:r>
        <w:rPr>
          <w:rFonts w:ascii="Arial" w:cs="Arial" w:eastAsia="Arial" w:hAnsi="Arial"/>
          <w:sz w:val="17"/>
          <w:szCs w:val="17"/>
          <w:color w:val="auto"/>
        </w:rPr>
        <w:t>Note that for purposes of this Section 8.2.3, “primary beneficiary” means an individual who is named as a beneficiary under the Plan and has an unconditional right to all or a portion of the Participant’s account balance under the Plan upon the Participant’s death.</w:t>
      </w:r>
    </w:p>
    <w:p>
      <w:pPr>
        <w:spacing w:after="0" w:line="14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8.2.4. A withdrawal under Section 8.2.2(a) shall be deemed to be necessary if:</w:t>
      </w:r>
    </w:p>
    <w:p>
      <w:pPr>
        <w:spacing w:after="0" w:line="225" w:lineRule="exact"/>
        <w:rPr>
          <w:sz w:val="20"/>
          <w:szCs w:val="20"/>
          <w:color w:val="auto"/>
        </w:rPr>
      </w:pPr>
    </w:p>
    <w:p>
      <w:pPr>
        <w:ind w:right="320" w:firstLine="2975"/>
        <w:spacing w:after="0" w:line="342" w:lineRule="auto"/>
        <w:tabs>
          <w:tab w:leader="none" w:pos="321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amount of the withdrawal does not exceed the amount of the Participant’s immediate and heavy financial need, including any amounts necessary to pay any federal, state or local income taxes or penalties reasonably anticipated to result from the withdrawal;</w:t>
      </w:r>
    </w:p>
    <w:p>
      <w:pPr>
        <w:spacing w:after="0" w:line="123" w:lineRule="exact"/>
        <w:rPr>
          <w:rFonts w:ascii="Arial" w:cs="Arial" w:eastAsia="Arial" w:hAnsi="Arial"/>
          <w:sz w:val="16"/>
          <w:szCs w:val="16"/>
          <w:color w:val="auto"/>
        </w:rPr>
      </w:pPr>
    </w:p>
    <w:p>
      <w:pPr>
        <w:ind w:right="600" w:firstLine="2975"/>
        <w:spacing w:after="0" w:line="308" w:lineRule="auto"/>
        <w:tabs>
          <w:tab w:leader="none" w:pos="322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Participant has obtained all currently permissible distributions (other than hardship distributions) and non-taxable loans, if any, under this and all other plans maintained by the Participating Company and all Affiliated Companies; and</w:t>
      </w:r>
    </w:p>
    <w:p>
      <w:pPr>
        <w:spacing w:after="0" w:line="146" w:lineRule="exact"/>
        <w:rPr>
          <w:rFonts w:ascii="Arial" w:cs="Arial" w:eastAsia="Arial" w:hAnsi="Arial"/>
          <w:sz w:val="17"/>
          <w:szCs w:val="17"/>
          <w:color w:val="auto"/>
        </w:rPr>
      </w:pPr>
    </w:p>
    <w:p>
      <w:pPr>
        <w:ind w:left="3220" w:hanging="245"/>
        <w:spacing w:after="0"/>
        <w:tabs>
          <w:tab w:leader="none" w:pos="32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Participant agrees in writing to be bound by the rules of Section 8.2.5.</w:t>
      </w:r>
    </w:p>
    <w:p>
      <w:pPr>
        <w:spacing w:after="0" w:line="225" w:lineRule="exact"/>
        <w:rPr>
          <w:sz w:val="20"/>
          <w:szCs w:val="20"/>
          <w:color w:val="auto"/>
        </w:rPr>
      </w:pPr>
    </w:p>
    <w:p>
      <w:pPr>
        <w:ind w:firstLine="1940"/>
        <w:spacing w:after="0" w:line="254" w:lineRule="auto"/>
        <w:rPr>
          <w:sz w:val="20"/>
          <w:szCs w:val="20"/>
          <w:color w:val="auto"/>
        </w:rPr>
      </w:pPr>
      <w:r>
        <w:rPr>
          <w:rFonts w:ascii="Arial" w:cs="Arial" w:eastAsia="Arial" w:hAnsi="Arial"/>
          <w:sz w:val="18"/>
          <w:szCs w:val="18"/>
          <w:color w:val="auto"/>
        </w:rPr>
        <w:t>8.2.5. If a Participant withdraws any amount from his Pre-Tax Matched Contribution Account, Pre-Tax Unmatched Contribution Account, Catch-Up Contribution Account, Roth Catch-Up Contribution Account, Roth Matched Contribution Account or Roth Unmatched Contribution Account pursuant to Section 8.2.1, or withdraws any elective deferrals under any other qualified retirement plan maintained by the Participating Company or any Affiliated Company, which other plan conditions such withdrawal upon the Participant’s being subject to rules similar to those stated in this Section 8.2.5 and Section 8.2.4, such Participant may not make Pre-Tax Contributions (and, in the case of a Covered Union Employee (Broadband), After-Tax Contributions), Catch-Up Contributions, Roth Contributions or Roth Catch-Up Contributions under this Plan or employee contributions (other than mandatory contributions under a defined benefit plan) or elective deferrals under any other qualified or non-qualified plan of deferred compensation (which does not include any health or welfare plan,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74" w:right="299" w:bottom="1440" w:gutter="0" w:footer="0" w:header="0"/>
        </w:sectPr>
      </w:pPr>
    </w:p>
    <w:bookmarkStart w:id="280" w:name="page281"/>
    <w:bookmarkEnd w:id="280"/>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including a health or welfare plan that is part of a cafeteria plan described in section 125 of the Code) or any qualified or non-qualified employee stock purchase plan maintained by the Participating Company or an Affiliated Company for a period of 6 months commencing on the date of the withdrawal (12 months for a Participant who is a Covered Union Employee (Broadband)); </w:t>
      </w:r>
      <w:r>
        <w:rPr>
          <w:rFonts w:ascii="Arial" w:cs="Arial" w:eastAsia="Arial" w:hAnsi="Arial"/>
          <w:sz w:val="18"/>
          <w:szCs w:val="18"/>
          <w:u w:val="single" w:color="auto"/>
          <w:color w:val="auto"/>
        </w:rPr>
        <w:t>provided, however</w:t>
      </w:r>
      <w:r>
        <w:rPr>
          <w:rFonts w:ascii="Arial" w:cs="Arial" w:eastAsia="Arial" w:hAnsi="Arial"/>
          <w:sz w:val="18"/>
          <w:szCs w:val="18"/>
          <w:color w:val="auto"/>
        </w:rPr>
        <w:t>:</w:t>
      </w:r>
    </w:p>
    <w:p>
      <w:pPr>
        <w:spacing w:after="0" w:line="181" w:lineRule="exact"/>
        <w:rPr>
          <w:sz w:val="20"/>
          <w:szCs w:val="20"/>
          <w:color w:val="auto"/>
        </w:rPr>
      </w:pPr>
    </w:p>
    <w:p>
      <w:pPr>
        <w:ind w:right="360" w:firstLine="2975"/>
        <w:spacing w:after="0" w:line="264" w:lineRule="auto"/>
        <w:tabs>
          <w:tab w:leader="none" w:pos="321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Participant who, immediately prior to the Effective Date, was a participant in the CCCHI Plan, was not an “Eligible Union Employee” as defined under the CCCHI Plan, and was serving a twelve-month suspension under the CCCHI Plan in connection with a hardship withdrawal taken in 2002, shall have the suspension period lifted effective September 15, 2003; and</w:t>
      </w:r>
    </w:p>
    <w:p>
      <w:pPr>
        <w:spacing w:after="0" w:line="181" w:lineRule="exact"/>
        <w:rPr>
          <w:rFonts w:ascii="Arial" w:cs="Arial" w:eastAsia="Arial" w:hAnsi="Arial"/>
          <w:sz w:val="18"/>
          <w:szCs w:val="18"/>
          <w:color w:val="auto"/>
        </w:rPr>
      </w:pPr>
    </w:p>
    <w:p>
      <w:pPr>
        <w:ind w:right="180" w:firstLine="2975"/>
        <w:spacing w:after="0" w:line="291" w:lineRule="auto"/>
        <w:tabs>
          <w:tab w:leader="none" w:pos="322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 Participant who is a Covered Union Employee (Broadband) for only a portion of a Plan Year and, thereafter, remains an Eligible Employee (other than a Covered Union Employee (Broadband)), shall have the twelve-month suspension period lifted on the latest of</w:t>
      </w:r>
    </w:p>
    <w:p>
      <w:pPr>
        <w:ind w:left="260" w:hanging="252"/>
        <w:spacing w:after="0"/>
        <w:tabs>
          <w:tab w:leader="none" w:pos="2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September 15, 2003, (2) completion of a six-month suspension period, or (3) decertification of such Covered Union Employee’s union.</w:t>
      </w:r>
    </w:p>
    <w:p>
      <w:pPr>
        <w:spacing w:after="0" w:line="211" w:lineRule="exact"/>
        <w:rPr>
          <w:sz w:val="20"/>
          <w:szCs w:val="20"/>
          <w:color w:val="auto"/>
        </w:rPr>
      </w:pPr>
    </w:p>
    <w:p>
      <w:pPr>
        <w:ind w:firstLine="1940"/>
        <w:spacing w:after="0" w:line="273" w:lineRule="auto"/>
        <w:rPr>
          <w:sz w:val="20"/>
          <w:szCs w:val="20"/>
          <w:color w:val="auto"/>
        </w:rPr>
      </w:pPr>
      <w:r>
        <w:rPr>
          <w:rFonts w:ascii="Arial" w:cs="Arial" w:eastAsia="Arial" w:hAnsi="Arial"/>
          <w:sz w:val="17"/>
          <w:szCs w:val="17"/>
          <w:color w:val="auto"/>
        </w:rPr>
        <w:t>8.2.6. If a Participant withdraws any elective deferrals under any other qualified retirement plan maintained by the Participating Company or any Affiliated Company, which other plan conditions such withdrawal upon the Participant’s being subject to rules similar to those stated in this Section 8.2, such Participant may not make Pre-Tax Contributions under this Plan or employee contributions (other than mandatory contributions under a defined benefit plan) or elective deferrals under any other qualified or non-qualified plan of deferred compensation (which does not include any health or welfare plan, including a health or welfare plan that is part of a cafeteria plan described in section 125 of the Code) maintained by the Participating Company or an Affiliated Company for the time period specified in Section 8.2.5.</w:t>
      </w:r>
    </w:p>
    <w:p>
      <w:pPr>
        <w:spacing w:after="0" w:line="17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Any Eligible Employee whose Pre-Tax Contributions (and, in the case of a Covered Union Employee (Broadband), After-Tax Contributions), Catch-Up Contributions, Roth Contributions and/or Roth Catch-Up Contributions are suspended pursuant to Section 8.2.5 or 8.2.6 will, upon the expiration of the required suspension period, automatically resume such contributions at the contribution rates in effect for such Employee immediately prior to the commencement of the required suspension period.</w:t>
      </w:r>
    </w:p>
    <w:p>
      <w:pPr>
        <w:spacing w:after="0" w:line="44" w:lineRule="exact"/>
        <w:rPr>
          <w:sz w:val="20"/>
          <w:szCs w:val="20"/>
          <w:color w:val="auto"/>
        </w:rPr>
      </w:pPr>
    </w:p>
    <w:p>
      <w:pPr>
        <w:jc w:val="both"/>
        <w:ind w:right="260" w:firstLine="456"/>
        <w:spacing w:after="0" w:line="28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Withdrawals On and After Attainment of Age 59</w:t>
      </w:r>
      <w:r>
        <w:rPr>
          <w:rFonts w:ascii="Arial" w:cs="Arial" w:eastAsia="Arial" w:hAnsi="Arial"/>
          <w:sz w:val="17"/>
          <w:szCs w:val="17"/>
          <w:color w:val="auto"/>
        </w:rPr>
        <w:t xml:space="preserve"> </w:t>
      </w:r>
      <w:r>
        <w:rPr>
          <w:rFonts w:ascii="Arial" w:cs="Arial" w:eastAsia="Arial" w:hAnsi="Arial"/>
          <w:sz w:val="27"/>
          <w:szCs w:val="27"/>
          <w:color w:val="auto"/>
          <w:vertAlign w:val="superscript"/>
        </w:rPr>
        <w:t>1</w:t>
      </w:r>
      <w:r>
        <w:rPr>
          <w:rFonts w:ascii="Arial" w:cs="Arial" w:eastAsia="Arial" w:hAnsi="Arial"/>
          <w:sz w:val="17"/>
          <w:szCs w:val="17"/>
          <w:u w:val="single" w:color="auto"/>
          <w:color w:val="auto"/>
        </w:rPr>
        <w:t>⁄</w:t>
      </w:r>
      <w:r>
        <w:rPr>
          <w:rFonts w:ascii="Arial" w:cs="Arial" w:eastAsia="Arial" w:hAnsi="Arial"/>
          <w:sz w:val="27"/>
          <w:szCs w:val="27"/>
          <w:u w:val="single" w:color="auto"/>
          <w:color w:val="auto"/>
          <w:vertAlign w:val="subscript"/>
        </w:rPr>
        <w:t>2</w:t>
      </w:r>
      <w:r>
        <w:rPr>
          <w:rFonts w:ascii="Arial" w:cs="Arial" w:eastAsia="Arial" w:hAnsi="Arial"/>
          <w:sz w:val="17"/>
          <w:szCs w:val="17"/>
          <w:color w:val="auto"/>
        </w:rPr>
        <w:t xml:space="preserve">. Upon his attainment of Age 59 </w:t>
      </w:r>
      <w:r>
        <w:rPr>
          <w:rFonts w:ascii="Arial" w:cs="Arial" w:eastAsia="Arial" w:hAnsi="Arial"/>
          <w:sz w:val="27"/>
          <w:szCs w:val="27"/>
          <w:color w:val="auto"/>
          <w:vertAlign w:val="superscript"/>
        </w:rPr>
        <w:t>1</w:t>
      </w:r>
      <w:r>
        <w:rPr>
          <w:rFonts w:ascii="Arial" w:cs="Arial" w:eastAsia="Arial" w:hAnsi="Arial"/>
          <w:sz w:val="17"/>
          <w:szCs w:val="17"/>
          <w:color w:val="auto"/>
        </w:rPr>
        <w:t>⁄</w:t>
      </w:r>
      <w:r>
        <w:rPr>
          <w:rFonts w:ascii="Arial" w:cs="Arial" w:eastAsia="Arial" w:hAnsi="Arial"/>
          <w:sz w:val="27"/>
          <w:szCs w:val="27"/>
          <w:color w:val="auto"/>
          <w:vertAlign w:val="subscript"/>
        </w:rPr>
        <w:t>2</w:t>
      </w:r>
      <w:r>
        <w:rPr>
          <w:rFonts w:ascii="Arial" w:cs="Arial" w:eastAsia="Arial" w:hAnsi="Arial"/>
          <w:sz w:val="17"/>
          <w:szCs w:val="17"/>
          <w:color w:val="auto"/>
        </w:rPr>
        <w:t>, a Participant who is an Active Participant may withdraw, in accordance with rules prescribed by the Committee and uniformly applied, less amounts previously withdrawn therefrom, by submitting his request to the Committee in accordance with Section 14.9, up to the vested portion in his Account in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-341630</wp:posOffset>
            </wp:positionV>
            <wp:extent cx="711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120" cy="8890"/>
                    </a:xfrm>
                    <a:prstGeom prst="rect">
                      <a:avLst/>
                    </a:prstGeom>
                    <a:noFill/>
                  </pic:spPr>
                </pic:pic>
              </a:graphicData>
            </a:graphic>
          </wp:anchor>
        </w:drawing>
      </w:r>
    </w:p>
    <w:p>
      <w:pPr>
        <w:spacing w:after="0" w:line="14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 After-Tax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8.3.2. After-Tax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8.3.3. After-Tax Rollover Account;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274" w:right="319" w:bottom="1440" w:gutter="0" w:footer="0" w:header="0"/>
        </w:sectPr>
      </w:pPr>
    </w:p>
    <w:bookmarkStart w:id="281" w:name="page282"/>
    <w:bookmarkEnd w:id="281"/>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8.3.4. Taxable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8.3.5. Prior Company Matching Contribution Account (Vested);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8.3.6. Prior Company Matching Contribution Account (Unvested);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8.3.7. Pre-Tax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8.3.8. Pre-Tax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8.3.9.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8.3.10. Broadband Heritage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8.3.11. DC Adder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8.3.12. Comcast Retirement Contributions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8.3.13. NBCU Retirement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8.3.14. Catch-Up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8.3.15. Roth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8.3.16. Roth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8.3.17. Roth Catch-Up Contribution Account;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8.3.18. Roth Rollover Account.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HEART Act Distributions</w:t>
      </w:r>
      <w:r>
        <w:rPr>
          <w:rFonts w:ascii="Arial" w:cs="Arial" w:eastAsia="Arial" w:hAnsi="Arial"/>
          <w:sz w:val="16"/>
          <w:szCs w:val="16"/>
          <w:color w:val="auto"/>
        </w:rPr>
        <w:t>. Pursuant to section 414(u)(12)(B) of the Code, an Active Participant who is performing active duty service in the uniformed services (as defined in chapter 43 of title 38, United States Code) for a period of more than 30 days shall, solely for purposes of section 401(k)</w:t>
      </w:r>
    </w:p>
    <w:p>
      <w:pPr>
        <w:ind w:right="120"/>
        <w:spacing w:after="0" w:line="255" w:lineRule="auto"/>
        <w:rPr>
          <w:sz w:val="20"/>
          <w:szCs w:val="20"/>
          <w:color w:val="auto"/>
        </w:rPr>
      </w:pPr>
      <w:r>
        <w:rPr>
          <w:rFonts w:ascii="Arial" w:cs="Arial" w:eastAsia="Arial" w:hAnsi="Arial"/>
          <w:sz w:val="18"/>
          <w:szCs w:val="18"/>
          <w:color w:val="auto"/>
        </w:rPr>
        <w:t>(2)(B)(i)(I), be treated as having had a severance from employment with the Participating Company and may withdraw, in accordance with rules prescribed by the Committee and uniformly applied, less amounts previously withdrawn therefrom, by submitting his request in accordance with Section 14.9 to the Committee, up to the vested portion in his Account in the following order:</w:t>
      </w:r>
    </w:p>
    <w:p>
      <w:pPr>
        <w:spacing w:after="0" w:line="1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 After-Tax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8.4.2. Taxable Rollover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8.4.3. Prior Company Matching Contribution Account (Vested);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8.4.4. Prior Company Matching Contribution Account (Unvested);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8.4.5. Pre-Tax Matched Contribution Account;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274" w:right="339" w:bottom="1440" w:gutter="0" w:footer="0" w:header="0"/>
        </w:sectPr>
      </w:pPr>
    </w:p>
    <w:bookmarkStart w:id="282" w:name="page283"/>
    <w:bookmarkEnd w:id="282"/>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8.4.6. Pre-Tax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8.4.7.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8.4.8. Broadband Heritage Matching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8.4.9. DC Adder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8.4.10. Comcast Retirement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8.4.11. NBCU Retirement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8.4.12. Catch-Up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8.4.13. Roth 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8.4.14. Roth Unmatched Contribution Account;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8.4.15. Roth Catch-Up Contribution Account; 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8.4.16. Roth Rollover Account.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Amount and Payment of Withdrawals</w:t>
      </w:r>
      <w:r>
        <w:rPr>
          <w:rFonts w:ascii="Arial" w:cs="Arial" w:eastAsia="Arial" w:hAnsi="Arial"/>
          <w:sz w:val="17"/>
          <w:szCs w:val="17"/>
          <w:color w:val="auto"/>
        </w:rPr>
        <w:t>. The amount of any withdrawal will be determined on the basis of the value of the Participant’s Account valued as of the Valuation Date coincident with or immediately preceding the date of the withdrawal. Any withdrawal requested under this Section shall be paid as soon as practicable following the Committee’s determination that the requested withdrawal complies with the terms and conditions set forth in this Section. Withdrawals shall be made in a single sum payment in cash, except that a Participant making a withdrawal pursuant to Section 8.1 or 8.3 may elect to receive all or a portion of the withdrawal in the form of shares of Company Stock and/or Investment Stock to the extent that the portion of the Account that is the subject of the withdrawal is invested in Company Stock and/or Investment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Withdrawals Not Subject to Replacement</w:t>
      </w:r>
      <w:r>
        <w:rPr>
          <w:rFonts w:ascii="Arial" w:cs="Arial" w:eastAsia="Arial" w:hAnsi="Arial"/>
          <w:sz w:val="17"/>
          <w:szCs w:val="17"/>
          <w:color w:val="auto"/>
        </w:rPr>
        <w:t>. A Participant may not replace any portion of his Accounts withdrawn under this Plan.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Pledged Amounts</w:t>
      </w:r>
      <w:r>
        <w:rPr>
          <w:rFonts w:ascii="Arial" w:cs="Arial" w:eastAsia="Arial" w:hAnsi="Arial"/>
          <w:sz w:val="17"/>
          <w:szCs w:val="17"/>
          <w:color w:val="auto"/>
        </w:rPr>
        <w:t>. No amount that has been pledged as security for a loan under Article IX may be withdrawn under this Article.</w:t>
      </w:r>
    </w:p>
    <w:p>
      <w:pPr>
        <w:spacing w:after="0" w:line="237"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Investment Medium to be Charged with Withdrawal</w:t>
      </w:r>
      <w:r>
        <w:rPr>
          <w:rFonts w:ascii="Arial" w:cs="Arial" w:eastAsia="Arial" w:hAnsi="Arial"/>
          <w:sz w:val="17"/>
          <w:szCs w:val="17"/>
          <w:color w:val="auto"/>
        </w:rPr>
        <w:t>. Any withdrawal by a Participant under this Article shall be charged against the Investment Media in which such Participant’s Accounts are invested in such priority as shall be established by the Committee.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LOANS TO PARTICIPANTS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Loan Application</w:t>
      </w:r>
      <w:r>
        <w:rPr>
          <w:rFonts w:ascii="Arial" w:cs="Arial" w:eastAsia="Arial" w:hAnsi="Arial"/>
          <w:sz w:val="18"/>
          <w:szCs w:val="18"/>
          <w:color w:val="auto"/>
        </w:rPr>
        <w:t>. Each Participant who is an Employee of a Participating Company may apply for a loan from the Plan. All applications shall be made to the Committee on forms which it prescribes, and the Committee shall rule upon such applications in a uniform and nondiscriminatory manner in accordance with the rules and guidelines established in this Article.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Loan Approval</w:t>
      </w:r>
      <w:r>
        <w:rPr>
          <w:rFonts w:ascii="Arial" w:cs="Arial" w:eastAsia="Arial" w:hAnsi="Arial"/>
          <w:sz w:val="18"/>
          <w:szCs w:val="18"/>
          <w:color w:val="auto"/>
        </w:rPr>
        <w:t>.</w:t>
      </w:r>
    </w:p>
    <w:p>
      <w:pPr>
        <w:spacing w:after="0" w:line="225" w:lineRule="exact"/>
        <w:rPr>
          <w:sz w:val="20"/>
          <w:szCs w:val="20"/>
          <w:color w:val="auto"/>
        </w:rPr>
      </w:pPr>
    </w:p>
    <w:p>
      <w:pPr>
        <w:ind w:right="20" w:firstLine="1940"/>
        <w:spacing w:after="0" w:line="277" w:lineRule="auto"/>
        <w:rPr>
          <w:sz w:val="20"/>
          <w:szCs w:val="20"/>
          <w:color w:val="auto"/>
        </w:rPr>
      </w:pPr>
      <w:r>
        <w:rPr>
          <w:rFonts w:ascii="Arial" w:cs="Arial" w:eastAsia="Arial" w:hAnsi="Arial"/>
          <w:sz w:val="18"/>
          <w:szCs w:val="18"/>
          <w:color w:val="auto"/>
        </w:rPr>
        <w:t>9.2.1. No application for a loan shall be approved for any Participant unless at least fifteen (15) days have elapsed since the date he has repaid in full any prior loan from the Plan.</w:t>
      </w:r>
    </w:p>
    <w:p>
      <w:pPr>
        <w:spacing w:after="0" w:line="170" w:lineRule="exact"/>
        <w:rPr>
          <w:sz w:val="20"/>
          <w:szCs w:val="20"/>
          <w:color w:val="auto"/>
        </w:rPr>
      </w:pPr>
    </w:p>
    <w:p>
      <w:pPr>
        <w:ind w:right="140" w:firstLine="1940"/>
        <w:spacing w:after="0" w:line="312" w:lineRule="auto"/>
        <w:rPr>
          <w:sz w:val="20"/>
          <w:szCs w:val="20"/>
          <w:color w:val="auto"/>
        </w:rPr>
      </w:pPr>
      <w:r>
        <w:rPr>
          <w:rFonts w:ascii="Arial" w:cs="Arial" w:eastAsia="Arial" w:hAnsi="Arial"/>
          <w:sz w:val="16"/>
          <w:szCs w:val="16"/>
          <w:color w:val="auto"/>
        </w:rPr>
        <w:t>9.2.2. The Committee shall have the right to reject a loan application if the Participant has the present intention to take a personal leave of absence during the period of loan repayment or on the basis of a Participant’s credit worthiness or such other factors as would be considered in a normal commercial setting by an entity in the business of making loans and as the Committee determines necessary to safeguard the Fund.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Amount of Loan</w:t>
      </w:r>
      <w:r>
        <w:rPr>
          <w:rFonts w:ascii="Arial" w:cs="Arial" w:eastAsia="Arial" w:hAnsi="Arial"/>
          <w:sz w:val="18"/>
          <w:szCs w:val="18"/>
          <w:color w:val="auto"/>
        </w:rPr>
        <w:t>.</w:t>
      </w:r>
    </w:p>
    <w:p>
      <w:pPr>
        <w:spacing w:after="0" w:line="225" w:lineRule="exact"/>
        <w:rPr>
          <w:sz w:val="20"/>
          <w:szCs w:val="20"/>
          <w:color w:val="auto"/>
        </w:rPr>
      </w:pPr>
    </w:p>
    <w:p>
      <w:pPr>
        <w:ind w:right="160" w:firstLine="1940"/>
        <w:spacing w:after="0" w:line="293" w:lineRule="auto"/>
        <w:rPr>
          <w:sz w:val="20"/>
          <w:szCs w:val="20"/>
          <w:color w:val="auto"/>
        </w:rPr>
      </w:pPr>
      <w:r>
        <w:rPr>
          <w:rFonts w:ascii="Arial" w:cs="Arial" w:eastAsia="Arial" w:hAnsi="Arial"/>
          <w:sz w:val="16"/>
          <w:szCs w:val="16"/>
          <w:color w:val="auto"/>
        </w:rPr>
        <w:t>9.3.1. Generally, a Participant shall not be permitted to have more than one loan outstanding at any time from this Plan; however, individuals who become Participants as a result of a corporate transaction and who have more than one loan transferred from a prior employer’s plan in connection with such transaction, may continue both loans but may not take a new loan from the Plan until all outstanding loans are paid in full. The minimum amount of any loan shall be $500. The amount of any loan must be an even multiple of $100, provided that loans for uneven amounts shall be permitted solely to accommodate loans to former employees of a business acquired by a Participating Company in connection with the commencement of such individual’s eligibility to participate in the Plan, provided that such rule shall be applied on a uniform and nondiscriminatory basis.</w:t>
      </w:r>
    </w:p>
    <w:p>
      <w:pPr>
        <w:spacing w:after="0" w:line="165" w:lineRule="exact"/>
        <w:rPr>
          <w:sz w:val="20"/>
          <w:szCs w:val="20"/>
          <w:color w:val="auto"/>
        </w:rPr>
      </w:pPr>
    </w:p>
    <w:p>
      <w:pPr>
        <w:ind w:right="60" w:firstLine="1940"/>
        <w:spacing w:after="0" w:line="308" w:lineRule="auto"/>
        <w:rPr>
          <w:sz w:val="20"/>
          <w:szCs w:val="20"/>
          <w:color w:val="auto"/>
        </w:rPr>
      </w:pPr>
      <w:r>
        <w:rPr>
          <w:rFonts w:ascii="Arial" w:cs="Arial" w:eastAsia="Arial" w:hAnsi="Arial"/>
          <w:sz w:val="17"/>
          <w:szCs w:val="17"/>
          <w:color w:val="auto"/>
        </w:rPr>
        <w:t>9.3.2. The amount of any loan, when added to the amount of a Participant’s outstanding loans under all other plans qualified under section 401(a) of the Code which are sponsored by the Participating Company or any Affiliated Company shall not exceed the lesser of:</w:t>
      </w:r>
    </w:p>
    <w:p>
      <w:pPr>
        <w:spacing w:after="0" w:line="147" w:lineRule="exact"/>
        <w:rPr>
          <w:sz w:val="20"/>
          <w:szCs w:val="20"/>
          <w:color w:val="auto"/>
        </w:rPr>
      </w:pPr>
    </w:p>
    <w:p>
      <w:pPr>
        <w:ind w:left="3220" w:hanging="245"/>
        <w:spacing w:after="0"/>
        <w:tabs>
          <w:tab w:leader="none" w:pos="32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$50,000, reduced by the excess (if any) of:</w:t>
      </w:r>
    </w:p>
    <w:p>
      <w:pPr>
        <w:spacing w:after="0" w:line="225" w:lineRule="exact"/>
        <w:rPr>
          <w:rFonts w:ascii="Arial" w:cs="Arial" w:eastAsia="Arial" w:hAnsi="Arial"/>
          <w:sz w:val="18"/>
          <w:szCs w:val="18"/>
          <w:color w:val="auto"/>
        </w:rPr>
      </w:pPr>
    </w:p>
    <w:p>
      <w:pPr>
        <w:ind w:right="100" w:firstLine="3432"/>
        <w:spacing w:after="0" w:line="277" w:lineRule="auto"/>
        <w:tabs>
          <w:tab w:leader="none" w:pos="367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Participant’s highest outstanding balance of loans during the one-year period ending on the day before the date on which such loan is made to the Participant, over</w:t>
      </w:r>
    </w:p>
    <w:p>
      <w:pPr>
        <w:spacing w:after="0" w:line="170" w:lineRule="exact"/>
        <w:rPr>
          <w:rFonts w:ascii="Arial" w:cs="Arial" w:eastAsia="Arial" w:hAnsi="Arial"/>
          <w:sz w:val="18"/>
          <w:szCs w:val="18"/>
          <w:color w:val="auto"/>
        </w:rPr>
      </w:pPr>
    </w:p>
    <w:p>
      <w:pPr>
        <w:ind w:left="3680" w:hanging="248"/>
        <w:spacing w:after="0"/>
        <w:tabs>
          <w:tab w:leader="none" w:pos="368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outstanding balance of loans made to the Participant on the date such loan is made to the Participant; or</w:t>
      </w:r>
    </w:p>
    <w:p>
      <w:pPr>
        <w:spacing w:after="0" w:line="248" w:lineRule="exact"/>
        <w:rPr>
          <w:rFonts w:ascii="Arial" w:cs="Arial" w:eastAsia="Arial" w:hAnsi="Arial"/>
          <w:sz w:val="16"/>
          <w:szCs w:val="16"/>
          <w:color w:val="auto"/>
        </w:rPr>
      </w:pPr>
    </w:p>
    <w:p>
      <w:pPr>
        <w:ind w:right="100" w:firstLine="2975"/>
        <w:spacing w:after="0" w:line="277" w:lineRule="auto"/>
        <w:tabs>
          <w:tab w:leader="none" w:pos="322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fifty percent (50%) of the value of the Participant’s nonforfeitable Account, determined as of the Valuation Date immediately preceding the date on which the loan application is received by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284" w:name="page285"/>
    <w:bookmarkEnd w:id="2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9.4. </w:t>
      </w:r>
      <w:r>
        <w:rPr>
          <w:rFonts w:ascii="Arial" w:cs="Arial" w:eastAsia="Arial" w:hAnsi="Arial"/>
          <w:sz w:val="18"/>
          <w:szCs w:val="18"/>
          <w:u w:val="single" w:color="auto"/>
          <w:color w:val="auto"/>
        </w:rPr>
        <w:t>Terms of Loan</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57" w:lineRule="auto"/>
        <w:rPr>
          <w:sz w:val="20"/>
          <w:szCs w:val="20"/>
          <w:color w:val="auto"/>
        </w:rPr>
      </w:pPr>
      <w:r>
        <w:rPr>
          <w:rFonts w:ascii="Arial" w:cs="Arial" w:eastAsia="Arial" w:hAnsi="Arial"/>
          <w:sz w:val="18"/>
          <w:szCs w:val="18"/>
          <w:color w:val="auto"/>
        </w:rPr>
        <w:t>9.4.1. The interest rate on loans shall be: (a) determined by the Committee, (b) at least commensurate with rates charged for similar loans by entities in the business of making loans, and (c) adjusted from time to time as circumstances warrant. Security for each loan granted pursuant to this Article shall be, to the extent necessary, the currently unpledged portion of the Participant’s Account. In no event shall more than fifty percent (50%) of the Participant’s vested Account as of the date the loan is made be used as security for the loan. In its sole discretion, the Committee may require such additional security as it deems necessary.</w:t>
      </w:r>
    </w:p>
    <w:p>
      <w:pPr>
        <w:spacing w:after="0" w:line="188" w:lineRule="exact"/>
        <w:rPr>
          <w:sz w:val="20"/>
          <w:szCs w:val="20"/>
          <w:color w:val="auto"/>
        </w:rPr>
      </w:pPr>
    </w:p>
    <w:p>
      <w:pPr>
        <w:jc w:val="both"/>
        <w:ind w:right="120" w:firstLine="1940"/>
        <w:spacing w:after="0" w:line="259" w:lineRule="auto"/>
        <w:rPr>
          <w:sz w:val="20"/>
          <w:szCs w:val="20"/>
          <w:color w:val="auto"/>
        </w:rPr>
      </w:pPr>
      <w:r>
        <w:rPr>
          <w:rFonts w:ascii="Arial" w:cs="Arial" w:eastAsia="Arial" w:hAnsi="Arial"/>
          <w:sz w:val="18"/>
          <w:szCs w:val="18"/>
          <w:color w:val="auto"/>
        </w:rPr>
        <w:t>9.4.2. Each loan shall be evidenced by the Participant’s execution of a personal demand note on such form as shall be supplied by the Committee. Each such note shall specify that, to the extent repayment is not demanded sooner, repayment shall be made in installments over a period of not less than 6 nor more than 60 months from the date on which the loan is distributed. All loans from the Plan shall be non-renewable. Each note shall also specify the interest rate as determined by the Committee at the time the loan is approved.</w:t>
      </w:r>
    </w:p>
    <w:p>
      <w:pPr>
        <w:spacing w:after="0" w:line="187" w:lineRule="exact"/>
        <w:rPr>
          <w:sz w:val="20"/>
          <w:szCs w:val="20"/>
          <w:color w:val="auto"/>
        </w:rPr>
      </w:pPr>
    </w:p>
    <w:p>
      <w:pPr>
        <w:ind w:right="100" w:firstLine="1940"/>
        <w:spacing w:after="0" w:line="272" w:lineRule="auto"/>
        <w:rPr>
          <w:sz w:val="20"/>
          <w:szCs w:val="20"/>
          <w:color w:val="auto"/>
        </w:rPr>
      </w:pPr>
      <w:r>
        <w:rPr>
          <w:rFonts w:ascii="Arial" w:cs="Arial" w:eastAsia="Arial" w:hAnsi="Arial"/>
          <w:sz w:val="17"/>
          <w:szCs w:val="17"/>
          <w:color w:val="auto"/>
        </w:rPr>
        <w:t>9.4.3. All loans shall be repaid in approximately equal installments (not less frequently than quarterly) through payroll deductions or in such other manner as the Committee may determine, including, without limitation, coupon repayment in the event the Committee determines that a Participant has incurred a Severance from Service Date or in the event a Participant is on an unpaid leave of absence. In addition, a Participant who is a Covered Union Employee (Broadband) on his Severance from Service Date may repay through coupon repayment following his Severance from Service Date. A Participant may repay the outstanding balance of any loan in one lump sum at any time by notifying the Committee of his intent to do so and by forwarding to the Committee payment in full of the then outstanding balance, plus interest accrued to the date of payment. The amount of principal and interest repaid by a Participant shall be credited to a Participant’s Account as each repayment is made.</w:t>
      </w:r>
    </w:p>
    <w:p>
      <w:pPr>
        <w:spacing w:after="0" w:line="178" w:lineRule="exact"/>
        <w:rPr>
          <w:sz w:val="20"/>
          <w:szCs w:val="20"/>
          <w:color w:val="auto"/>
        </w:rPr>
      </w:pPr>
    </w:p>
    <w:p>
      <w:pPr>
        <w:ind w:right="20" w:firstLine="1940"/>
        <w:spacing w:after="0" w:line="279" w:lineRule="auto"/>
        <w:rPr>
          <w:sz w:val="20"/>
          <w:szCs w:val="20"/>
          <w:color w:val="auto"/>
        </w:rPr>
      </w:pPr>
      <w:r>
        <w:rPr>
          <w:rFonts w:ascii="Arial" w:cs="Arial" w:eastAsia="Arial" w:hAnsi="Arial"/>
          <w:sz w:val="17"/>
          <w:szCs w:val="17"/>
          <w:color w:val="auto"/>
        </w:rPr>
        <w:t xml:space="preserve">9.4.4. Loan repayments shall be suspended under this Plan as permitted under section 414(u) of the Code. In such cases, (1) if the loan is for a period of less than 60 months, the period of repayments shall be extended for the period necessary to permit repayment, or (2) otherwise, the loan shall be re-amortized over its remaining term;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period of repayment for any loan shall not exceed a total of 60 months, unless an extension is permitted in accordance with section 72(p) of the Code and the regulations thereunder.</w:t>
      </w:r>
    </w:p>
    <w:p>
      <w:pPr>
        <w:spacing w:after="0" w:line="17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9.4.5. If, and only if:</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 the Participant dies;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285" w:name="page286"/>
    <w:bookmarkEnd w:id="285"/>
    <w:p>
      <w:pPr>
        <w:ind w:left="2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the Participant (other than a Participant who continues to be a party in interest) has a Severance from Service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 w:firstLine="2975"/>
        <w:spacing w:after="0" w:line="264" w:lineRule="auto"/>
        <w:tabs>
          <w:tab w:leader="none" w:pos="321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Compensation of a Participant who is an Employee is discontinued or decreased below the amount necessary to amortize the loan and such status continues beyond the last day of the calendar quarter following the calendar quarter in which the first required installment payment is due after such Compensation discontinuance or decrease;</w:t>
      </w:r>
    </w:p>
    <w:p>
      <w:pPr>
        <w:spacing w:after="0" w:line="181" w:lineRule="exact"/>
        <w:rPr>
          <w:rFonts w:ascii="Arial" w:cs="Arial" w:eastAsia="Arial" w:hAnsi="Arial"/>
          <w:sz w:val="18"/>
          <w:szCs w:val="18"/>
          <w:color w:val="auto"/>
        </w:rPr>
      </w:pPr>
    </w:p>
    <w:p>
      <w:pPr>
        <w:ind w:left="3220" w:hanging="245"/>
        <w:spacing w:after="0"/>
        <w:tabs>
          <w:tab w:leader="none" w:pos="32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loan is not repaid by the time the note matures including any extensions pursuant to Section 9.4.4;</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Participant attempts to revoke any payroll deduction authorization for repayment of the loan without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consent of the Committee;</w:t>
      </w:r>
    </w:p>
    <w:p>
      <w:pPr>
        <w:spacing w:after="0" w:line="210" w:lineRule="exact"/>
        <w:rPr>
          <w:rFonts w:ascii="Arial" w:cs="Arial" w:eastAsia="Arial" w:hAnsi="Arial"/>
          <w:sz w:val="17"/>
          <w:szCs w:val="17"/>
          <w:color w:val="auto"/>
        </w:rPr>
      </w:pPr>
    </w:p>
    <w:p>
      <w:pPr>
        <w:ind w:left="3200" w:hanging="225"/>
        <w:spacing w:after="0"/>
        <w:tabs>
          <w:tab w:leader="none" w:pos="3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Participant fails to pay any installment of the loan when due and the Committee elects to treat such failure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default; or</w:t>
      </w:r>
    </w:p>
    <w:p>
      <w:pPr>
        <w:spacing w:after="0" w:line="210" w:lineRule="exact"/>
        <w:rPr>
          <w:rFonts w:ascii="Arial" w:cs="Arial" w:eastAsia="Arial" w:hAnsi="Arial"/>
          <w:sz w:val="16"/>
          <w:szCs w:val="16"/>
          <w:color w:val="auto"/>
        </w:rPr>
      </w:pPr>
    </w:p>
    <w:p>
      <w:pPr>
        <w:ind w:left="3220" w:hanging="245"/>
        <w:spacing w:after="0"/>
        <w:tabs>
          <w:tab w:leader="none" w:pos="32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other event occurs which the Committee, in its sole discretion, believes may jeopardize the repayment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before a loan is repaid in full, the unpaid balance thereof, with interest due thereon, shall become immediately due and payable. The Participant (or his beneficiary, in the event of the Participant’s death) may satisfy the loan by paying the outstanding balance of the loan within such time as may be specified in the note which period shall not extend more than 30 days from a Severance from Service Date. If the loan and interest are not repaid within the time specified, the Committee shall satisfy the indebtedness from the amount of the Participant’s vested interest in his Account as provided in Section 9.5 before making any payments otherwise due hereunder to the Participant or his beneficiary.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right="280" w:firstLine="1940"/>
        <w:spacing w:after="0" w:line="279" w:lineRule="auto"/>
        <w:rPr>
          <w:sz w:val="20"/>
          <w:szCs w:val="20"/>
          <w:color w:val="auto"/>
        </w:rPr>
      </w:pPr>
      <w:r>
        <w:rPr>
          <w:rFonts w:ascii="Arial" w:cs="Arial" w:eastAsia="Arial" w:hAnsi="Arial"/>
          <w:sz w:val="17"/>
          <w:szCs w:val="17"/>
          <w:color w:val="auto"/>
        </w:rPr>
        <w:t>9.5.1. The Committee shall give written notice to the Participant (or his beneficiary in the event of the Participant’s death) of an event of default described in Section 9.4.5(d). If the loan and interest are not paid within the time period specified in the notice, the amount of the Participant’s vested interest in his Account, to the extent such Account is security for the loan, shall be reduced by the amount of the unpaid balance of the loan, with interest due thereon, and the Participant’s indebtedness shall thereupon be discharged to the extent of the reduction.</w:t>
      </w:r>
    </w:p>
    <w:p>
      <w:pPr>
        <w:spacing w:after="0" w:line="171" w:lineRule="exact"/>
        <w:rPr>
          <w:sz w:val="20"/>
          <w:szCs w:val="20"/>
          <w:color w:val="auto"/>
        </w:rPr>
      </w:pPr>
    </w:p>
    <w:p>
      <w:pPr>
        <w:ind w:right="60" w:firstLine="1940"/>
        <w:spacing w:after="0" w:line="257" w:lineRule="auto"/>
        <w:rPr>
          <w:sz w:val="20"/>
          <w:szCs w:val="20"/>
          <w:color w:val="auto"/>
        </w:rPr>
      </w:pPr>
      <w:r>
        <w:rPr>
          <w:rFonts w:ascii="Arial" w:cs="Arial" w:eastAsia="Arial" w:hAnsi="Arial"/>
          <w:sz w:val="18"/>
          <w:szCs w:val="18"/>
          <w:color w:val="auto"/>
        </w:rPr>
        <w:t>9.5.2. In addition, if the value of the Participant’s total vested interest in his Account pledged as security for the loan is insufficient to discharge fully the Participant’s indebtedness, the Participant’s Account shall be used to reduce the Participant’s indebtedness at such time as the Participant is entitled to a distribution under Article V or a withdrawal under Article VIII, and any remaining amounts in his Account shall be used to reduce the Participant’s indebtedness at such time as the Participant has a Severance from Service Date. Such action shall not operate as a waiver of the rights of the Company, the Committee, the Trustee, or the Plan under applicable law.</w:t>
      </w:r>
    </w:p>
    <w:p>
      <w:pPr>
        <w:spacing w:after="0" w:line="188" w:lineRule="exact"/>
        <w:rPr>
          <w:sz w:val="20"/>
          <w:szCs w:val="20"/>
          <w:color w:val="auto"/>
        </w:rPr>
      </w:pPr>
    </w:p>
    <w:p>
      <w:pPr>
        <w:ind w:right="520" w:firstLine="1940"/>
        <w:spacing w:after="0" w:line="342" w:lineRule="auto"/>
        <w:rPr>
          <w:sz w:val="20"/>
          <w:szCs w:val="20"/>
          <w:color w:val="auto"/>
        </w:rPr>
      </w:pPr>
      <w:r>
        <w:rPr>
          <w:rFonts w:ascii="Arial" w:cs="Arial" w:eastAsia="Arial" w:hAnsi="Arial"/>
          <w:sz w:val="16"/>
          <w:szCs w:val="16"/>
          <w:color w:val="auto"/>
        </w:rPr>
        <w:t>9.5.3. The Committee also shall be entitled to take any and all other actions necessary and appropriate to foreclose upon any property other than the Participant’s Account pledged as security for the loan or to otherwise enforce collection of the outstanding balance of the loan.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286" w:name="page287"/>
    <w:bookmarkEnd w:id="28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9.6. </w:t>
      </w:r>
      <w:r>
        <w:rPr>
          <w:rFonts w:ascii="Arial" w:cs="Arial" w:eastAsia="Arial" w:hAnsi="Arial"/>
          <w:sz w:val="18"/>
          <w:szCs w:val="18"/>
          <w:u w:val="single" w:color="auto"/>
          <w:color w:val="auto"/>
        </w:rPr>
        <w:t>Additional Rules</w:t>
      </w:r>
      <w:r>
        <w:rPr>
          <w:rFonts w:ascii="Arial" w:cs="Arial" w:eastAsia="Arial" w:hAnsi="Arial"/>
          <w:sz w:val="18"/>
          <w:szCs w:val="18"/>
          <w:color w:val="auto"/>
        </w:rPr>
        <w:t>. The Committee may establish additional rules relating to Participant loans under the Plan, which rules shall be applied on a uniform and non-discriminatory basis.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274" w:right="45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Committee</w:t>
      </w:r>
      <w:r>
        <w:rPr>
          <w:rFonts w:ascii="Arial" w:cs="Arial" w:eastAsia="Arial" w:hAnsi="Arial"/>
          <w:sz w:val="17"/>
          <w:szCs w:val="17"/>
          <w:color w:val="auto"/>
        </w:rPr>
        <w:t>. The Company’s Executive Vice President with supervisory responsibility for the Company’s Human Resources Department (“EVP”) shall appoint at least three (3) persons to serve as the Committee. The EVP may, but is not required to, appoint himself or herself to serve on the Committee and to act as Chairperson of such Committee. The Committee shall be the Administrator and the “named fiduciary” of the Plan, as defined in section 402(a)(2) of ERISA. Each member of the Committee may, but need not be, a director, officer or Employee of a Participating Company and each shall serve until his or her successor is appointed in like manner. Any member of the Committee may resign by delivering his or her written resignation to the EVP prior to the effective date of such resignation. In addition, if a member of the Committee is an Employee at the time of his or her appointment, he or she will automatically cease to be a member of the Committee when his or her employment with a Participating Company terminates. The EVP may remove any member of the Committee by written action of the EVP prior to the effective date of such removal. In the event a member of the Committee dies or is removed (automatically or by the EVP), the EVP shall appoint a successor member if necessary to assure that at least three persons are serving as members of the Committee. Until such time as such successor member’ or members’ appointment is effective, the Committee shall continue to act with full power until the vacancy is filled.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Duties and Powers of Committee</w:t>
      </w:r>
      <w:r>
        <w:rPr>
          <w:rFonts w:ascii="Arial" w:cs="Arial" w:eastAsia="Arial" w:hAnsi="Arial"/>
          <w:sz w:val="18"/>
          <w:szCs w:val="18"/>
          <w:color w:val="auto"/>
        </w:rPr>
        <w:t>.</w:t>
      </w:r>
    </w:p>
    <w:p>
      <w:pPr>
        <w:spacing w:after="0" w:line="117" w:lineRule="exact"/>
        <w:rPr>
          <w:sz w:val="20"/>
          <w:szCs w:val="20"/>
          <w:color w:val="auto"/>
        </w:rPr>
      </w:pPr>
    </w:p>
    <w:p>
      <w:pPr>
        <w:ind w:left="1940" w:right="540" w:firstLine="379"/>
        <w:spacing w:after="0" w:line="264" w:lineRule="auto"/>
        <w:rPr>
          <w:sz w:val="20"/>
          <w:szCs w:val="20"/>
          <w:color w:val="auto"/>
        </w:rPr>
      </w:pPr>
      <w:r>
        <w:rPr>
          <w:rFonts w:ascii="Arial" w:cs="Arial" w:eastAsia="Arial" w:hAnsi="Arial"/>
          <w:sz w:val="18"/>
          <w:szCs w:val="18"/>
          <w:color w:val="auto"/>
        </w:rPr>
        <w:t>10.2.1. The Committee shall have the general responsibility for the administration of the Plan and for carrying out its provisions. In addition to the duties and powers described elsewhere hereunder, the Committee shall have the discretion and authority to control and manage the operation and administration of the Plan.</w:t>
      </w:r>
    </w:p>
    <w:p>
      <w:pPr>
        <w:spacing w:after="0" w:line="73" w:lineRule="exact"/>
        <w:rPr>
          <w:sz w:val="20"/>
          <w:szCs w:val="20"/>
          <w:color w:val="auto"/>
        </w:rPr>
      </w:pPr>
    </w:p>
    <w:p>
      <w:pPr>
        <w:ind w:left="1940" w:right="60" w:firstLine="379"/>
        <w:spacing w:after="0" w:line="277" w:lineRule="auto"/>
        <w:rPr>
          <w:sz w:val="20"/>
          <w:szCs w:val="20"/>
          <w:color w:val="auto"/>
        </w:rPr>
      </w:pPr>
      <w:r>
        <w:rPr>
          <w:rFonts w:ascii="Arial" w:cs="Arial" w:eastAsia="Arial" w:hAnsi="Arial"/>
          <w:sz w:val="18"/>
          <w:szCs w:val="18"/>
          <w:color w:val="auto"/>
        </w:rPr>
        <w:t>10.2.2. The Committee shall have all other duties and powers necessary or desirable to administer the Plan, including, but not limited to, the following:</w:t>
      </w:r>
    </w:p>
    <w:p>
      <w:pPr>
        <w:spacing w:after="0" w:line="170" w:lineRule="exact"/>
        <w:rPr>
          <w:sz w:val="20"/>
          <w:szCs w:val="20"/>
          <w:color w:val="auto"/>
        </w:rPr>
      </w:pPr>
    </w:p>
    <w:p>
      <w:pPr>
        <w:ind w:left="3220" w:hanging="245"/>
        <w:spacing w:after="0"/>
        <w:tabs>
          <w:tab w:leader="none" w:pos="32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communicate the terms of the Plan to Participants and beneficiaries;</w:t>
      </w:r>
    </w:p>
    <w:p>
      <w:pPr>
        <w:spacing w:after="0" w:line="225" w:lineRule="exact"/>
        <w:rPr>
          <w:rFonts w:ascii="Arial" w:cs="Arial" w:eastAsia="Arial" w:hAnsi="Arial"/>
          <w:sz w:val="18"/>
          <w:szCs w:val="18"/>
          <w:color w:val="auto"/>
        </w:rPr>
      </w:pPr>
    </w:p>
    <w:p>
      <w:pPr>
        <w:ind w:right="80" w:firstLine="2975"/>
        <w:spacing w:after="0" w:line="277" w:lineRule="auto"/>
        <w:tabs>
          <w:tab w:leader="none" w:pos="322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including forms and procedures for making elections and contributions under the Plan;</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administration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10" w:lineRule="exact"/>
        <w:rPr>
          <w:rFonts w:ascii="Arial" w:cs="Arial" w:eastAsia="Arial" w:hAnsi="Arial"/>
          <w:sz w:val="16"/>
          <w:szCs w:val="16"/>
          <w:color w:val="auto"/>
        </w:rPr>
      </w:pPr>
    </w:p>
    <w:p>
      <w:pPr>
        <w:ind w:left="3220" w:hanging="245"/>
        <w:spacing w:after="0"/>
        <w:tabs>
          <w:tab w:leader="none" w:pos="32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keep records related to the Plan, including any other information required by ERISA or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288" w:name="page289"/>
    <w:bookmarkEnd w:id="288"/>
    <w:p>
      <w:pPr>
        <w:ind w:right="280" w:firstLine="2975"/>
        <w:spacing w:after="0" w:line="277" w:lineRule="auto"/>
        <w:tabs>
          <w:tab w:leader="none" w:pos="3212"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appoint, discharge and periodically monitor the performance of third party administrators, insurers, service providers, other agents, consultants, accountants and attorneys in the administration of the Plan;</w:t>
      </w:r>
    </w:p>
    <w:p>
      <w:pPr>
        <w:spacing w:after="0" w:line="170" w:lineRule="exact"/>
        <w:rPr>
          <w:rFonts w:ascii="Arial" w:cs="Arial" w:eastAsia="Arial" w:hAnsi="Arial"/>
          <w:sz w:val="18"/>
          <w:szCs w:val="18"/>
          <w:color w:val="auto"/>
        </w:rPr>
      </w:pPr>
    </w:p>
    <w:p>
      <w:pPr>
        <w:ind w:left="3200" w:hanging="225"/>
        <w:spacing w:after="0"/>
        <w:tabs>
          <w:tab w:leader="none" w:pos="32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determine whether any domestic relations order received by the Plan is a qualified domestic relations order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provided in section 414(p) of the Code;</w:t>
      </w:r>
    </w:p>
    <w:p>
      <w:pPr>
        <w:spacing w:after="0" w:line="210" w:lineRule="exact"/>
        <w:rPr>
          <w:rFonts w:ascii="Arial" w:cs="Arial" w:eastAsia="Arial" w:hAnsi="Arial"/>
          <w:sz w:val="16"/>
          <w:szCs w:val="16"/>
          <w:color w:val="auto"/>
        </w:rPr>
      </w:pPr>
    </w:p>
    <w:p>
      <w:pPr>
        <w:ind w:left="3220" w:hanging="245"/>
        <w:spacing w:after="0"/>
        <w:tabs>
          <w:tab w:leader="none" w:pos="32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prepare and file any reports or returns with respect to the Plan required by the Code, ERISA or any other law;</w:t>
      </w:r>
    </w:p>
    <w:p>
      <w:pPr>
        <w:spacing w:after="0" w:line="248" w:lineRule="exact"/>
        <w:rPr>
          <w:rFonts w:ascii="Arial" w:cs="Arial" w:eastAsia="Arial" w:hAnsi="Arial"/>
          <w:sz w:val="16"/>
          <w:szCs w:val="16"/>
          <w:color w:val="auto"/>
        </w:rPr>
      </w:pPr>
    </w:p>
    <w:p>
      <w:pPr>
        <w:ind w:left="3220" w:hanging="245"/>
        <w:spacing w:after="0"/>
        <w:tabs>
          <w:tab w:leader="none" w:pos="32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administration of the Plan;</w:t>
      </w:r>
    </w:p>
    <w:p>
      <w:pPr>
        <w:spacing w:after="0" w:line="225" w:lineRule="exact"/>
        <w:rPr>
          <w:rFonts w:ascii="Arial" w:cs="Arial" w:eastAsia="Arial" w:hAnsi="Arial"/>
          <w:sz w:val="18"/>
          <w:szCs w:val="18"/>
          <w:color w:val="auto"/>
        </w:rPr>
      </w:pPr>
    </w:p>
    <w:p>
      <w:pPr>
        <w:ind w:left="3180" w:hanging="205"/>
        <w:spacing w:after="0"/>
        <w:tabs>
          <w:tab w:leader="none" w:pos="31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issue rules and regulations necessary for the proper conduct and administration of the Plan and to change, alter,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amend such rules and regulations;</w:t>
      </w:r>
    </w:p>
    <w:p>
      <w:pPr>
        <w:spacing w:after="0" w:line="210" w:lineRule="exact"/>
        <w:rPr>
          <w:rFonts w:ascii="Arial" w:cs="Arial" w:eastAsia="Arial" w:hAnsi="Arial"/>
          <w:sz w:val="16"/>
          <w:szCs w:val="16"/>
          <w:color w:val="auto"/>
        </w:rPr>
      </w:pPr>
    </w:p>
    <w:p>
      <w:pPr>
        <w:ind w:right="440" w:firstLine="2975"/>
        <w:spacing w:after="0" w:line="277" w:lineRule="auto"/>
        <w:tabs>
          <w:tab w:leader="none" w:pos="318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determine all questions arising in the administration of the Plan, to the extent the determination is not the responsibility of a third party administrator, insurer or some other entity;</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propose and accept settlements of claims involving the Plan;</w:t>
      </w:r>
    </w:p>
    <w:p>
      <w:pPr>
        <w:spacing w:after="0" w:line="225" w:lineRule="exact"/>
        <w:rPr>
          <w:rFonts w:ascii="Arial" w:cs="Arial" w:eastAsia="Arial" w:hAnsi="Arial"/>
          <w:sz w:val="18"/>
          <w:szCs w:val="18"/>
          <w:color w:val="auto"/>
        </w:rPr>
      </w:pPr>
    </w:p>
    <w:p>
      <w:pPr>
        <w:ind w:left="3180" w:hanging="205"/>
        <w:spacing w:after="0"/>
        <w:tabs>
          <w:tab w:leader="none" w:pos="3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direct the Trustee to pay benefits and Plan expenses properly chargeable to the Plan; and</w:t>
      </w:r>
    </w:p>
    <w:p>
      <w:pPr>
        <w:spacing w:after="0" w:line="225" w:lineRule="exact"/>
        <w:rPr>
          <w:rFonts w:ascii="Arial" w:cs="Arial" w:eastAsia="Arial" w:hAnsi="Arial"/>
          <w:sz w:val="18"/>
          <w:szCs w:val="18"/>
          <w:color w:val="auto"/>
        </w:rPr>
      </w:pPr>
    </w:p>
    <w:p>
      <w:pPr>
        <w:ind w:left="3280" w:hanging="305"/>
        <w:spacing w:after="0"/>
        <w:tabs>
          <w:tab w:leader="none" w:pos="32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such other duties or powers provided in the Plan or necessary to administer the Plan.</w:t>
      </w:r>
    </w:p>
    <w:p>
      <w:pPr>
        <w:spacing w:after="0" w:line="117" w:lineRule="exact"/>
        <w:rPr>
          <w:sz w:val="20"/>
          <w:szCs w:val="20"/>
          <w:color w:val="auto"/>
        </w:rPr>
      </w:pPr>
    </w:p>
    <w:p>
      <w:pPr>
        <w:ind w:left="1940" w:right="120" w:firstLine="379"/>
        <w:spacing w:after="0" w:line="277" w:lineRule="auto"/>
        <w:rPr>
          <w:sz w:val="20"/>
          <w:szCs w:val="20"/>
          <w:color w:val="auto"/>
        </w:rPr>
      </w:pPr>
      <w:r>
        <w:rPr>
          <w:rFonts w:ascii="Arial" w:cs="Arial" w:eastAsia="Arial" w:hAnsi="Arial"/>
          <w:sz w:val="18"/>
          <w:szCs w:val="18"/>
          <w:color w:val="auto"/>
        </w:rPr>
        <w:t>10.2.3. The Committee shall have exclusive authority and discretion to manage and control the assets of the Plan, including, but not limited to the following</w:t>
      </w:r>
    </w:p>
    <w:p>
      <w:pPr>
        <w:spacing w:after="0" w:line="170"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(a) establish the Plan’s overall investment policy, including asset allocation, investment policy statement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 guidelines;</w:t>
      </w:r>
    </w:p>
    <w:p>
      <w:pPr>
        <w:spacing w:after="0" w:line="211" w:lineRule="exact"/>
        <w:rPr>
          <w:sz w:val="20"/>
          <w:szCs w:val="20"/>
          <w:color w:val="auto"/>
        </w:rPr>
      </w:pPr>
    </w:p>
    <w:p>
      <w:pPr>
        <w:ind w:left="3220" w:hanging="245"/>
        <w:spacing w:after="0"/>
        <w:tabs>
          <w:tab w:leader="none" w:pos="32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appoint and remove a Trustee or Trustees with respect to a portion of or all of the assets of the Trust;</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direct such Trustee(s) with respect to the investment and management of the Plan’s assets, including any voting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 for any securities held by the Trustee;</w:t>
      </w:r>
    </w:p>
    <w:p>
      <w:pPr>
        <w:spacing w:after="0" w:line="210" w:lineRule="exact"/>
        <w:rPr>
          <w:rFonts w:ascii="Arial" w:cs="Arial" w:eastAsia="Arial" w:hAnsi="Arial"/>
          <w:sz w:val="16"/>
          <w:szCs w:val="16"/>
          <w:color w:val="auto"/>
        </w:rPr>
      </w:pPr>
    </w:p>
    <w:p>
      <w:pPr>
        <w:ind w:left="3220" w:hanging="245"/>
        <w:spacing w:after="0"/>
        <w:tabs>
          <w:tab w:leader="none" w:pos="322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direct the Trustee to pay investment-related expenses properly chargeable to the Plan, including Trustee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expenses;</w:t>
      </w:r>
    </w:p>
    <w:p>
      <w:pPr>
        <w:spacing w:after="0" w:line="210" w:lineRule="exact"/>
        <w:rPr>
          <w:rFonts w:ascii="Arial" w:cs="Arial" w:eastAsia="Arial" w:hAnsi="Arial"/>
          <w:sz w:val="17"/>
          <w:szCs w:val="17"/>
          <w:color w:val="auto"/>
        </w:rPr>
      </w:pPr>
    </w:p>
    <w:p>
      <w:pPr>
        <w:ind w:right="40" w:firstLine="2975"/>
        <w:spacing w:after="0" w:line="277" w:lineRule="auto"/>
        <w:tabs>
          <w:tab w:leader="none" w:pos="321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enter into a trust agreement with such Trustee(s) on behalf of the Company, and approve any amendments to any such trust agreement, including single-client, common and collective trust arrangements;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289" w:name="page290"/>
    <w:bookmarkEnd w:id="289"/>
    <w:p>
      <w:pPr>
        <w:ind w:right="220" w:firstLine="2975"/>
        <w:spacing w:after="0" w:line="277" w:lineRule="auto"/>
        <w:tabs>
          <w:tab w:leader="none" w:pos="3192"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insurance contracts and arrangements, including contracts for participation in single-client or pooled separate accounts to facilitate the investment of plan assets; and</w:t>
      </w:r>
    </w:p>
    <w:p>
      <w:pPr>
        <w:spacing w:after="0" w:line="170" w:lineRule="exact"/>
        <w:rPr>
          <w:rFonts w:ascii="Arial" w:cs="Arial" w:eastAsia="Arial" w:hAnsi="Arial"/>
          <w:sz w:val="18"/>
          <w:szCs w:val="18"/>
          <w:color w:val="auto"/>
        </w:rPr>
      </w:pPr>
    </w:p>
    <w:p>
      <w:pPr>
        <w:ind w:right="460" w:firstLine="2975"/>
        <w:spacing w:after="0" w:line="264" w:lineRule="auto"/>
        <w:tabs>
          <w:tab w:leader="none" w:pos="322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appoint, monitor and remove one or more investment manager(s), as defined in section 3(38) of ERISA, to manage any portion of the Trust or an insurance company single-client or pooled separate account, including the exercise of any voting rights of any securities managed by the investment manager.</w:t>
      </w:r>
    </w:p>
    <w:p>
      <w:pPr>
        <w:spacing w:after="0" w:line="73" w:lineRule="exact"/>
        <w:rPr>
          <w:sz w:val="20"/>
          <w:szCs w:val="20"/>
          <w:color w:val="auto"/>
        </w:rPr>
      </w:pPr>
    </w:p>
    <w:p>
      <w:pPr>
        <w:ind w:left="1940" w:right="80" w:firstLine="379"/>
        <w:spacing w:after="0" w:line="257" w:lineRule="auto"/>
        <w:rPr>
          <w:sz w:val="20"/>
          <w:szCs w:val="20"/>
          <w:color w:val="auto"/>
        </w:rPr>
      </w:pPr>
      <w:r>
        <w:rPr>
          <w:rFonts w:ascii="Arial" w:cs="Arial" w:eastAsia="Arial" w:hAnsi="Arial"/>
          <w:sz w:val="18"/>
          <w:szCs w:val="18"/>
          <w:color w:val="auto"/>
        </w:rPr>
        <w:t>10.2.4. The Committee shall have complete discretion to interpret and construe the provisions of the Plan, make findings of fact, correct errors, and supply omissions. All decisions and interpretations of the Committee made pursuant to the Plan shall be final, conclusive and binding on all persons and may not be overturned unless found by a court to be arbitrary and capricious. The Committee shall have the powers necessary or desirable to carry out these responsibilities, including, but not limited to, the following:</w:t>
      </w:r>
    </w:p>
    <w:p>
      <w:pPr>
        <w:spacing w:after="0" w:line="188" w:lineRule="exact"/>
        <w:rPr>
          <w:sz w:val="20"/>
          <w:szCs w:val="20"/>
          <w:color w:val="auto"/>
        </w:rPr>
      </w:pPr>
    </w:p>
    <w:p>
      <w:pPr>
        <w:ind w:right="60" w:firstLine="2975"/>
        <w:spacing w:after="0" w:line="277" w:lineRule="auto"/>
        <w:tabs>
          <w:tab w:leader="none" w:pos="321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prescribe procedures and related forms (which may be electronic in nature) to be followed by Participants and beneficiaries filing claims for benefits under the Plan;</w:t>
      </w:r>
    </w:p>
    <w:p>
      <w:pPr>
        <w:spacing w:after="0" w:line="170" w:lineRule="exact"/>
        <w:rPr>
          <w:rFonts w:ascii="Arial" w:cs="Arial" w:eastAsia="Arial" w:hAnsi="Arial"/>
          <w:sz w:val="18"/>
          <w:szCs w:val="18"/>
          <w:color w:val="auto"/>
        </w:rPr>
      </w:pPr>
    </w:p>
    <w:p>
      <w:pPr>
        <w:ind w:left="3220" w:hanging="245"/>
        <w:spacing w:after="0"/>
        <w:tabs>
          <w:tab w:leader="none" w:pos="3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receive from Participants and beneficiaries such information as shall be necessary for the proper determination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benefits payable under the Plan;</w:t>
      </w:r>
    </w:p>
    <w:p>
      <w:pPr>
        <w:spacing w:after="0" w:line="210" w:lineRule="exact"/>
        <w:rPr>
          <w:rFonts w:ascii="Arial" w:cs="Arial" w:eastAsia="Arial" w:hAnsi="Arial"/>
          <w:sz w:val="16"/>
          <w:szCs w:val="16"/>
          <w:color w:val="auto"/>
        </w:rPr>
      </w:pPr>
    </w:p>
    <w:p>
      <w:pPr>
        <w:ind w:left="3220" w:hanging="245"/>
        <w:spacing w:after="0"/>
        <w:tabs>
          <w:tab w:leader="none" w:pos="32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keep records related to claims for benefits filed and paid under the Plan;</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determine and enforce any limits on benefit elections hereunder;</w:t>
      </w:r>
    </w:p>
    <w:p>
      <w:pPr>
        <w:spacing w:after="0" w:line="225" w:lineRule="exact"/>
        <w:rPr>
          <w:rFonts w:ascii="Arial" w:cs="Arial" w:eastAsia="Arial" w:hAnsi="Arial"/>
          <w:sz w:val="18"/>
          <w:szCs w:val="18"/>
          <w:color w:val="auto"/>
        </w:rPr>
      </w:pPr>
    </w:p>
    <w:p>
      <w:pPr>
        <w:ind w:firstLine="2975"/>
        <w:spacing w:after="0" w:line="259" w:lineRule="auto"/>
        <w:tabs>
          <w:tab w:leader="none" w:pos="321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correct errors and make equitable adjustments for mistakes made in the payment or nonpayment of benefits under the Plan, specifically, and without limitation, to recover erroneous overpayments made by the Plan to a Participant or beneficiary, in whatever manner the Committee deems appropriate, including suspensions or recoupment of, or offsets against, future payments, including benefit payments or wages, due that Participant, dependent or beneficiary;</w:t>
      </w:r>
    </w:p>
    <w:p>
      <w:pPr>
        <w:spacing w:after="0" w:line="186" w:lineRule="exact"/>
        <w:rPr>
          <w:rFonts w:ascii="Arial" w:cs="Arial" w:eastAsia="Arial" w:hAnsi="Arial"/>
          <w:sz w:val="18"/>
          <w:szCs w:val="18"/>
          <w:color w:val="auto"/>
        </w:rPr>
      </w:pPr>
    </w:p>
    <w:p>
      <w:pPr>
        <w:ind w:right="420" w:firstLine="2975"/>
        <w:spacing w:after="0" w:line="308" w:lineRule="auto"/>
        <w:tabs>
          <w:tab w:leader="none" w:pos="319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to determine questions relating to coverage and participation under the Plan and the rights of Participants or beneficiaries to the extent the determination is not the responsibility of a third party administrator, insurer or some other entity;</w:t>
      </w:r>
    </w:p>
    <w:p>
      <w:pPr>
        <w:spacing w:after="0" w:line="146" w:lineRule="exact"/>
        <w:rPr>
          <w:rFonts w:ascii="Arial" w:cs="Arial" w:eastAsia="Arial" w:hAnsi="Arial"/>
          <w:sz w:val="17"/>
          <w:szCs w:val="17"/>
          <w:color w:val="auto"/>
        </w:rPr>
      </w:pPr>
    </w:p>
    <w:p>
      <w:pPr>
        <w:ind w:left="3220" w:hanging="245"/>
        <w:spacing w:after="0"/>
        <w:tabs>
          <w:tab w:leader="none" w:pos="3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propose and accept settlements and offsets of claims, overpayments and other disputes involving claims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benefits under the Plan;</w:t>
      </w:r>
    </w:p>
    <w:p>
      <w:pPr>
        <w:spacing w:after="0" w:line="210" w:lineRule="exact"/>
        <w:rPr>
          <w:rFonts w:ascii="Arial" w:cs="Arial" w:eastAsia="Arial" w:hAnsi="Arial"/>
          <w:sz w:val="16"/>
          <w:szCs w:val="16"/>
          <w:color w:val="auto"/>
        </w:rPr>
      </w:pPr>
    </w:p>
    <w:p>
      <w:pPr>
        <w:ind w:right="700" w:firstLine="2975"/>
        <w:spacing w:after="0" w:line="277" w:lineRule="auto"/>
        <w:tabs>
          <w:tab w:leader="none" w:pos="322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to compute the amount and kind of benefits payable to Participants and beneficiaries, to the extent such determination is not the responsibility of a third party administrator, insurer, or some other entity;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4" w:right="279" w:bottom="1440" w:gutter="0" w:footer="0" w:header="0"/>
        </w:sectPr>
      </w:pPr>
    </w:p>
    <w:bookmarkStart w:id="290" w:name="page291"/>
    <w:bookmarkEnd w:id="290"/>
    <w:p>
      <w:pPr>
        <w:ind w:left="2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to direct the Trustee to pay benefits and any Plan expenses properly chargeable to the Plan that are related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claims for benefits.</w:t>
      </w:r>
    </w:p>
    <w:p>
      <w:pPr>
        <w:spacing w:after="0" w:line="103" w:lineRule="exact"/>
        <w:rPr>
          <w:sz w:val="20"/>
          <w:szCs w:val="20"/>
          <w:color w:val="auto"/>
        </w:rPr>
      </w:pPr>
    </w:p>
    <w:p>
      <w:pPr>
        <w:ind w:left="1940" w:right="100" w:firstLine="379"/>
        <w:spacing w:after="0" w:line="279" w:lineRule="auto"/>
        <w:rPr>
          <w:sz w:val="20"/>
          <w:szCs w:val="20"/>
          <w:color w:val="auto"/>
        </w:rPr>
      </w:pPr>
      <w:r>
        <w:rPr>
          <w:rFonts w:ascii="Arial" w:cs="Arial" w:eastAsia="Arial" w:hAnsi="Arial"/>
          <w:sz w:val="17"/>
          <w:szCs w:val="17"/>
          <w:color w:val="auto"/>
        </w:rPr>
        <w:t>10.2.5. The Committee shall be deemed to have delegated its responsibilities for determining benefits and eligibility for benefits to a third party administrator, insurer or other fiduciary where such person has been appointed by the Committee to make such determinations. In such case, such other person shall have the duties and powers as the Committee as set forth above, including the complete discretion to interpret and construe the provisions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Functioning of Committee</w:t>
      </w:r>
      <w:r>
        <w:rPr>
          <w:rFonts w:ascii="Arial" w:cs="Arial" w:eastAsia="Arial" w:hAnsi="Arial"/>
          <w:sz w:val="18"/>
          <w:szCs w:val="18"/>
          <w:color w:val="auto"/>
        </w:rPr>
        <w:t>.</w:t>
      </w:r>
    </w:p>
    <w:p>
      <w:pPr>
        <w:spacing w:after="0" w:line="117" w:lineRule="exact"/>
        <w:rPr>
          <w:sz w:val="20"/>
          <w:szCs w:val="20"/>
          <w:color w:val="auto"/>
        </w:rPr>
      </w:pPr>
    </w:p>
    <w:p>
      <w:pPr>
        <w:ind w:left="1940" w:right="40" w:firstLine="379"/>
        <w:spacing w:after="0" w:line="264" w:lineRule="auto"/>
        <w:rPr>
          <w:sz w:val="20"/>
          <w:szCs w:val="20"/>
          <w:color w:val="auto"/>
        </w:rPr>
      </w:pPr>
      <w:r>
        <w:rPr>
          <w:rFonts w:ascii="Arial" w:cs="Arial" w:eastAsia="Arial" w:hAnsi="Arial"/>
          <w:sz w:val="18"/>
          <w:szCs w:val="18"/>
          <w:color w:val="auto"/>
        </w:rPr>
        <w:t>10.3.1. The Committee shall meet on a periodic, as-needed basis and shall enact such rules and regulations as it may deem necessary and proper to carry out its responsibilities. The Committee shall periodically report to the EVP concerning the discharge of its responsibilities.</w:t>
      </w:r>
    </w:p>
    <w:p>
      <w:pPr>
        <w:spacing w:after="0" w:line="73" w:lineRule="exact"/>
        <w:rPr>
          <w:sz w:val="20"/>
          <w:szCs w:val="20"/>
          <w:color w:val="auto"/>
        </w:rPr>
      </w:pPr>
    </w:p>
    <w:p>
      <w:pPr>
        <w:ind w:left="1940" w:right="20" w:firstLine="379"/>
        <w:spacing w:after="0" w:line="253" w:lineRule="auto"/>
        <w:rPr>
          <w:sz w:val="20"/>
          <w:szCs w:val="20"/>
          <w:color w:val="auto"/>
        </w:rPr>
      </w:pPr>
      <w:r>
        <w:rPr>
          <w:rFonts w:ascii="Arial" w:cs="Arial" w:eastAsia="Arial" w:hAnsi="Arial"/>
          <w:sz w:val="18"/>
          <w:szCs w:val="18"/>
          <w:color w:val="auto"/>
        </w:rPr>
        <w:t>10.3.2. The EVP shall designate one member, which may be the EVP, to be the Chairperson. The Chairperson shall be responsible for conducting Committee meetings. The Committee will keep regular records of all meetings and decisions. Any act which the Plan authorizes or requires the Committee to do may be done by a vote of those persons serving as members of the Committee at a meeting at which a quorum is present or recorded in writing without a meeting. A quorum for the transaction of business at any meeting of the Committee shall consist of a majority of the members of the Committee then in office. Actions at a meeting of the Committee at which a quorum is present shall be taken by a majority of those members in attendance. The Committee may act in writing without a meeting provided such action has the written concurrence of a majority of the members of the Committee then serving. It shall have the same effect for all purposes as if assented to by all of the members in office at that time.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Allocation and Delegation of Duties</w:t>
      </w:r>
      <w:r>
        <w:rPr>
          <w:rFonts w:ascii="Arial" w:cs="Arial" w:eastAsia="Arial" w:hAnsi="Arial"/>
          <w:sz w:val="18"/>
          <w:szCs w:val="18"/>
          <w:color w:val="auto"/>
        </w:rPr>
        <w:t>. The Committee shall have the authority to:</w:t>
      </w:r>
    </w:p>
    <w:p>
      <w:pPr>
        <w:spacing w:after="0" w:line="117" w:lineRule="exact"/>
        <w:rPr>
          <w:sz w:val="20"/>
          <w:szCs w:val="20"/>
          <w:color w:val="auto"/>
        </w:rPr>
      </w:pPr>
    </w:p>
    <w:p>
      <w:pPr>
        <w:ind w:left="1940" w:firstLine="379"/>
        <w:spacing w:after="0" w:line="255" w:lineRule="auto"/>
        <w:rPr>
          <w:sz w:val="20"/>
          <w:szCs w:val="20"/>
          <w:color w:val="auto"/>
        </w:rPr>
      </w:pPr>
      <w:r>
        <w:rPr>
          <w:rFonts w:ascii="Arial" w:cs="Arial" w:eastAsia="Arial" w:hAnsi="Arial"/>
          <w:sz w:val="18"/>
          <w:szCs w:val="18"/>
          <w:color w:val="auto"/>
        </w:rPr>
        <w:t>10.4.1. allocate, from time-to- time, by a written instrument filed in its records, all or any part of its responsibilities under the Plan to one or more of its members, including a subcommittee, as may be deemed advisable, and in the same manner to revoke such allocation of responsibilities. In the exercise of such allocated responsibilities, any action of the member or subcommittee to whom responsibilities are allocated shall have the same force and effect for all purposes hereunder as if such action had been taken by the Committee. The Committee shall not be liable for any acts or omissions of such member or subcommittee. The member or subcommittee to whom responsibilities have been allocated shall periodically report to the Committee concerning the discharge of the allocated responsibilities.</w:t>
      </w:r>
    </w:p>
    <w:p>
      <w:pPr>
        <w:spacing w:after="0" w:line="81" w:lineRule="exact"/>
        <w:rPr>
          <w:sz w:val="20"/>
          <w:szCs w:val="20"/>
          <w:color w:val="auto"/>
        </w:rPr>
      </w:pPr>
    </w:p>
    <w:p>
      <w:pPr>
        <w:ind w:left="1940" w:right="60" w:firstLine="379"/>
        <w:spacing w:after="0" w:line="264" w:lineRule="auto"/>
        <w:rPr>
          <w:sz w:val="20"/>
          <w:szCs w:val="20"/>
          <w:color w:val="auto"/>
        </w:rPr>
      </w:pPr>
      <w:r>
        <w:rPr>
          <w:rFonts w:ascii="Arial" w:cs="Arial" w:eastAsia="Arial" w:hAnsi="Arial"/>
          <w:sz w:val="18"/>
          <w:szCs w:val="18"/>
          <w:color w:val="auto"/>
        </w:rPr>
        <w:t>10.4.2. delegate, from time-to-time, by a written instrument filed in its records, all or any part of its responsibilities under the Plan to such person or persons as the Committee may deem advisable (and may authorize such person to delegate such responsibilities to such other person or persons as the Committee shall authorize) and in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291" w:name="page292"/>
    <w:bookmarkEnd w:id="291"/>
    <w:p>
      <w:pPr>
        <w:ind w:left="19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same manner to revoke any such delegation of responsibilities. Any action of the delegate in the exercise of such delegated responsibilities shall have the same force and effect for all purposes hereunder as if such action had been taken by the Committee. The Committee shall not be liable for any acts or omissions of any such delegate. The delegate shall periodically report to Committee concerning the discharge of the delegated responsibilities.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Plan Expenses</w:t>
      </w:r>
      <w:r>
        <w:rPr>
          <w:rFonts w:ascii="Arial" w:cs="Arial" w:eastAsia="Arial" w:hAnsi="Arial"/>
          <w:sz w:val="18"/>
          <w:szCs w:val="18"/>
          <w:color w:val="auto"/>
        </w:rPr>
        <w:t>. All fees and expenses incurred in connection with the operation and administration of the Plan, including, but not limited to, Committee, legal, accounting, actuarial, investment, Trustee, management, and administrative fees and expenses may be paid out of the Trust or any other Plan asset to the extent that it is legally permissible for these fees and expenses to be so paid. A Participating Company may, but is not required, to pay such fees and expenses directly. A Participating Company may also advance amounts properly payable by the Plan or Trust and then obtain reimbursement from the Plan or Trust for these advances.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Information to be Supplied by a Participating Company</w:t>
      </w:r>
      <w:r>
        <w:rPr>
          <w:rFonts w:ascii="Arial" w:cs="Arial" w:eastAsia="Arial" w:hAnsi="Arial"/>
          <w:sz w:val="18"/>
          <w:szCs w:val="18"/>
          <w:color w:val="auto"/>
        </w:rPr>
        <w:t>. Each Participating Company shall provide the Committee or its delegates with such information as they shall from time-to-time need or reasonably request in the discharge of its duties. The Committee may rely conclusively on the information provided.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225" w:lineRule="exact"/>
        <w:rPr>
          <w:sz w:val="20"/>
          <w:szCs w:val="20"/>
          <w:color w:val="auto"/>
        </w:rPr>
      </w:pPr>
    </w:p>
    <w:p>
      <w:pPr>
        <w:ind w:right="200" w:firstLine="1940"/>
        <w:spacing w:after="0" w:line="277" w:lineRule="auto"/>
        <w:rPr>
          <w:sz w:val="20"/>
          <w:szCs w:val="20"/>
          <w:color w:val="auto"/>
        </w:rPr>
      </w:pPr>
      <w:r>
        <w:rPr>
          <w:rFonts w:ascii="Arial" w:cs="Arial" w:eastAsia="Arial" w:hAnsi="Arial"/>
          <w:sz w:val="18"/>
          <w:szCs w:val="18"/>
          <w:color w:val="auto"/>
        </w:rPr>
        <w:t>10.7.1. If the Committee denies, in whole or in part, a claim for benefits by a Participant or his beneficiary, the Committee shall furnish notice of the denial to the claimant, setting forth:</w:t>
      </w:r>
    </w:p>
    <w:p>
      <w:pPr>
        <w:spacing w:after="0" w:line="170" w:lineRule="exact"/>
        <w:rPr>
          <w:sz w:val="20"/>
          <w:szCs w:val="20"/>
          <w:color w:val="auto"/>
        </w:rPr>
      </w:pPr>
    </w:p>
    <w:p>
      <w:pPr>
        <w:ind w:left="3220" w:hanging="245"/>
        <w:spacing w:after="0"/>
        <w:tabs>
          <w:tab w:leader="none" w:pos="32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specific reference to the pertinent Plan provisions on which the denial is based;</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 description of any additional information necessary for the claimant to perfect the claim and an explanation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why such information is necessary; and</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(d) appropriate information as to the steps to be taken if the claimant wishes to submit his claim for review.</w:t>
      </w:r>
    </w:p>
    <w:p>
      <w:pPr>
        <w:spacing w:after="0" w:line="23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Such notice shall be forwarded to the claimant within 90 days of the Committee’s receipt of the claim; provided, however, that in special circumstances the Committee may extend the response period for up to an additional 90 days, in which event it shall notify the claimant in writing of the extension, and shall specify the reason or reasons for the extension.</w:t>
      </w:r>
    </w:p>
    <w:p>
      <w:pPr>
        <w:spacing w:after="0" w:line="181"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10.7.2. Within 60 days of receipt of a notice of claim denial, a claimant or his duly authorized representative may petition the Committee in writing for a full and fair review of the denial. The claimant or his duly authorized representative shall have the opportunity to review pertinent documents and to submit issues and comments in writing to the Committee. The Committee shall review the denial and shall communicate its decision and the reasons therefor to the claimant in writing within 60 days of receipt of the petition; provided,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274" w:right="319" w:bottom="1440" w:gutter="0" w:footer="0" w:header="0"/>
        </w:sectPr>
      </w:pPr>
    </w:p>
    <w:bookmarkStart w:id="292" w:name="page293"/>
    <w:bookmarkEnd w:id="292"/>
    <w:p>
      <w:pPr>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 that in special circumstances the Committee may extend the response period for up to an additional 60 days, in which event it shall notify the claimant in writing prior to the commencement of the extension. The appeals procedure set forth in this Section 10.7 shall be the exclusive means for contesting a decision denying benefits under the Plan.</w:t>
      </w:r>
    </w:p>
    <w:p>
      <w:pPr>
        <w:spacing w:after="0" w:line="181" w:lineRule="exact"/>
        <w:rPr>
          <w:sz w:val="20"/>
          <w:szCs w:val="20"/>
          <w:color w:val="auto"/>
        </w:rPr>
      </w:pPr>
    </w:p>
    <w:p>
      <w:pPr>
        <w:ind w:right="60" w:firstLine="1940"/>
        <w:spacing w:after="0" w:line="276" w:lineRule="auto"/>
        <w:rPr>
          <w:sz w:val="20"/>
          <w:szCs w:val="20"/>
          <w:color w:val="auto"/>
        </w:rPr>
      </w:pPr>
      <w:r>
        <w:rPr>
          <w:rFonts w:ascii="Arial" w:cs="Arial" w:eastAsia="Arial" w:hAnsi="Arial"/>
          <w:sz w:val="17"/>
          <w:szCs w:val="17"/>
          <w:color w:val="auto"/>
        </w:rPr>
        <w:t xml:space="preserve">10.7.3. </w:t>
      </w:r>
      <w:r>
        <w:rPr>
          <w:rFonts w:ascii="Arial" w:cs="Arial" w:eastAsia="Arial" w:hAnsi="Arial"/>
          <w:sz w:val="17"/>
          <w:szCs w:val="17"/>
          <w:u w:val="single" w:color="auto"/>
          <w:color w:val="auto"/>
        </w:rPr>
        <w:t>Exhaustion and Limitations Period</w:t>
      </w:r>
      <w:r>
        <w:rPr>
          <w:rFonts w:ascii="Arial" w:cs="Arial" w:eastAsia="Arial" w:hAnsi="Arial"/>
          <w:sz w:val="17"/>
          <w:szCs w:val="17"/>
          <w:color w:val="auto"/>
        </w:rPr>
        <w:t>. Claimants must exhaust the procedures described in Section 10.7 before taking action in any other forum regarding a claim for benefits under the Plan. Any suit or legal action initiated by a claimant under the Plan must be brought by the claimant no later than one (1) year following a final decision on the claim for benefits under these claims procedures. The one (1)-year statute of limitations on suits for benefits shall apply in any forum where a claimant initiates such suit or legal action. If a civil action is not filed within this period, the claimant’s benefit claim will be deemed permanently waived and abandoned, and the claimant will be precluded from reasserting it.</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member (or former member) of the Committee, and any other person who is an Employee or director of a Participating Company or an Affiliated Company (or a former employee or director of a Participating Company or an Affiliated Company) shall be indemnified and held harmless by the Company against and with respect to all damages, losses, obligations, liabilities, liens, deficiencies, costs and expenses, including without limitation, reasonable attorney’s fees and other costs incident to any suit, action, investigation, claim or proceedings to which he may be a party by reason of his performance of any functions and duties under the Plan, except in relation to matters as to which he shall be held liable for an act of gross negligence or willful misconduct in the performance of his duties. The foregoing right to indemnification shall be in addition to such other rights as the Committee member (or former member) or other person may enjoy as a matter of law or by reason of insurance coverage of any kind. Rights granted hereunder shall be in addition to and not in lieu of any rights to indemnification to which the Committee member (or former member) or other person may be entitled pursuant to the by-laws of the Participating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293" w:name="page294"/>
    <w:bookmarkEnd w:id="29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FUND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Designation of Trustee</w:t>
      </w:r>
      <w:r>
        <w:rPr>
          <w:rFonts w:ascii="Arial" w:cs="Arial" w:eastAsia="Arial" w:hAnsi="Arial"/>
          <w:sz w:val="18"/>
          <w:szCs w:val="18"/>
          <w:color w:val="auto"/>
        </w:rPr>
        <w:t>. The Committee shall name and designate a Trustee and shall enter into a Trust Agreement. The Committee shall have the power to amend the Trust Agreement, remove the Trustee, and designate a successor Trustee, as provided in the Trust Agreement. All of the assets of the Plan shall be held by the Trustee for use in accordance with the Plan.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Exclusive Benefit</w:t>
      </w:r>
      <w:r>
        <w:rPr>
          <w:rFonts w:ascii="Arial" w:cs="Arial" w:eastAsia="Arial" w:hAnsi="Arial"/>
          <w:sz w:val="18"/>
          <w:szCs w:val="18"/>
          <w:color w:val="auto"/>
        </w:rPr>
        <w:t>. Prior to the satisfaction of all liabilities under the Plan in the event of termination of the Plan, no part of the corpus or income of the Fund shall be used for or diverted to purposes other than for the exclusive benefit of Participants and their beneficiaries except as expressly provided in this Plan and in the Trust Agreement.</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assets or income of the Fund, except to the extent expressly provided in this Plan and in the Trust Agreement.</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Trustee</w:t>
      </w:r>
      <w:r>
        <w:rPr>
          <w:rFonts w:ascii="Arial" w:cs="Arial" w:eastAsia="Arial" w:hAnsi="Arial"/>
          <w:sz w:val="18"/>
          <w:szCs w:val="18"/>
          <w:color w:val="auto"/>
        </w:rPr>
        <w:t>. The Trustee shall be the named fiduciary with respect to management and control of Plan assets held by it and shall have exclusive and sole responsibility for the custody and investment thereof in accordance with the Trust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225" w:lineRule="exact"/>
        <w:rPr>
          <w:sz w:val="20"/>
          <w:szCs w:val="20"/>
          <w:color w:val="auto"/>
        </w:rPr>
      </w:pPr>
    </w:p>
    <w:p>
      <w:pPr>
        <w:ind w:right="20" w:firstLine="1940"/>
        <w:spacing w:after="0" w:line="279" w:lineRule="auto"/>
        <w:rPr>
          <w:sz w:val="20"/>
          <w:szCs w:val="20"/>
          <w:color w:val="auto"/>
        </w:rPr>
      </w:pPr>
      <w:r>
        <w:rPr>
          <w:rFonts w:ascii="Arial" w:cs="Arial" w:eastAsia="Arial" w:hAnsi="Arial"/>
          <w:sz w:val="17"/>
          <w:szCs w:val="17"/>
          <w:color w:val="auto"/>
        </w:rPr>
        <w:t>11.5.1. Except as provided in Section 11.5.5, the Trustee shall invest all contributions that are paid to it and income thereon in such Investment Media as each Participant may select in accordance with this Section. The Investment Media made available to Participants shall include Investment Media solely invested in Company Stock (except to the extent that cash or a cash equivalent is necessary to provide liquidity to comply with Participant investment direction). Such investments acquired in the manner prescribed by the Plan shall be held by or for the Trustee.</w:t>
      </w:r>
    </w:p>
    <w:p>
      <w:pPr>
        <w:spacing w:after="0" w:line="171" w:lineRule="exact"/>
        <w:rPr>
          <w:sz w:val="20"/>
          <w:szCs w:val="20"/>
          <w:color w:val="auto"/>
        </w:rPr>
      </w:pPr>
    </w:p>
    <w:p>
      <w:pPr>
        <w:ind w:right="20" w:firstLine="1940"/>
        <w:spacing w:after="0" w:line="291" w:lineRule="auto"/>
        <w:rPr>
          <w:sz w:val="20"/>
          <w:szCs w:val="20"/>
          <w:color w:val="auto"/>
        </w:rPr>
      </w:pPr>
      <w:r>
        <w:rPr>
          <w:rFonts w:ascii="Arial" w:cs="Arial" w:eastAsia="Arial" w:hAnsi="Arial"/>
          <w:sz w:val="16"/>
          <w:szCs w:val="16"/>
          <w:color w:val="auto"/>
        </w:rPr>
        <w:t>11.5.2. Except as provided in Sections 11.5.5 through 11.5.7, a Participant shall select one or more of the Investment Media in which his Accounts shall be invested, and the percentage thereof that shall be invested in each Investment Medium selected. In the event a Participant fails to make an election pursuant to this Section, amounts allocated to his Account shall be invested in such Investment Medium or Investment Media as determined by the Committee. In the event a Participant fails to make an election pursuant to this Section with respect to amounts allocated to his Account pursuant to his automatic enrollment in the Plan, such amounts allocated to his Account shall be invested in the Investment Media as determined by the Committee. A Participant may amend such selection by prior notice to the Committee, effective as of such dates determined by the Committee, by giving prior notice to the Committee. Such amendments will be subject to the other requirements which may be imposed by the Committee or the applicable Investment Medium.</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294" w:name="page295"/>
    <w:bookmarkEnd w:id="294"/>
    <w:p>
      <w:pPr>
        <w:ind w:right="120" w:firstLine="19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11.5.3. Subject to Section 11.5.7, a Participant may transfer, effective as of such dates determined by the Committee, such portion of the value of his interest in any Investment Medium to another Investment Medium, as may be permitted by the Committee.</w:t>
      </w:r>
    </w:p>
    <w:p>
      <w:pPr>
        <w:spacing w:after="0" w:line="14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11.5.4. The amounts contributed by all Participants to each Investment Medium shall be commingled for investment purposes.</w:t>
      </w:r>
    </w:p>
    <w:p>
      <w:pPr>
        <w:spacing w:after="0" w:line="248" w:lineRule="exact"/>
        <w:rPr>
          <w:sz w:val="20"/>
          <w:szCs w:val="20"/>
          <w:color w:val="auto"/>
        </w:rPr>
      </w:pPr>
    </w:p>
    <w:p>
      <w:pPr>
        <w:ind w:right="80" w:firstLine="1940"/>
        <w:spacing w:after="0" w:line="277" w:lineRule="auto"/>
        <w:rPr>
          <w:sz w:val="20"/>
          <w:szCs w:val="20"/>
          <w:color w:val="auto"/>
        </w:rPr>
      </w:pPr>
      <w:r>
        <w:rPr>
          <w:rFonts w:ascii="Arial" w:cs="Arial" w:eastAsia="Arial" w:hAnsi="Arial"/>
          <w:sz w:val="18"/>
          <w:szCs w:val="18"/>
          <w:color w:val="auto"/>
        </w:rPr>
        <w:t>11.5.5. The Trustee may hold assets of the Fund and make distributions therefrom in the form of cash without liability for interest, if for administrative purposes it becomes necessary or practical to do so.</w:t>
      </w:r>
    </w:p>
    <w:p>
      <w:pPr>
        <w:spacing w:after="0" w:line="170" w:lineRule="exact"/>
        <w:rPr>
          <w:sz w:val="20"/>
          <w:szCs w:val="20"/>
          <w:color w:val="auto"/>
        </w:rPr>
      </w:pPr>
    </w:p>
    <w:p>
      <w:pPr>
        <w:ind w:firstLine="1940"/>
        <w:spacing w:after="0" w:line="259" w:lineRule="auto"/>
        <w:rPr>
          <w:sz w:val="20"/>
          <w:szCs w:val="20"/>
          <w:color w:val="auto"/>
        </w:rPr>
      </w:pPr>
      <w:r>
        <w:rPr>
          <w:rFonts w:ascii="Arial" w:cs="Arial" w:eastAsia="Arial" w:hAnsi="Arial"/>
          <w:sz w:val="18"/>
          <w:szCs w:val="18"/>
          <w:color w:val="auto"/>
        </w:rPr>
        <w:t>11.5.6. The Committee may limit the right of a Participant (a) to increase or decrease his contribution to a particular Investment Medium, (b) to transfer amounts to or from a particular Investment Medium, or (c) to transfer amounts between particular Investment Media, if such limitation is required under the terms establishing an Investment Medium or to facilitate the merger of any other plan with and into this Plan, or the transfer or rollover of benefits into this Plan.</w:t>
      </w:r>
    </w:p>
    <w:p>
      <w:pPr>
        <w:spacing w:after="0" w:line="187" w:lineRule="exact"/>
        <w:rPr>
          <w:sz w:val="20"/>
          <w:szCs w:val="20"/>
          <w:color w:val="auto"/>
        </w:rPr>
      </w:pPr>
    </w:p>
    <w:p>
      <w:pPr>
        <w:ind w:right="140" w:firstLine="1940"/>
        <w:spacing w:after="0" w:line="288" w:lineRule="auto"/>
        <w:rPr>
          <w:sz w:val="20"/>
          <w:szCs w:val="20"/>
          <w:color w:val="auto"/>
        </w:rPr>
      </w:pPr>
      <w:r>
        <w:rPr>
          <w:rFonts w:ascii="Arial" w:cs="Arial" w:eastAsia="Arial" w:hAnsi="Arial"/>
          <w:sz w:val="16"/>
          <w:szCs w:val="16"/>
          <w:color w:val="auto"/>
        </w:rPr>
        <w:t>11.5.7. Prior to the AT&amp;T Broadband Transaction, individuals who were Participants in the Plan prior to the Effective Date could elect to invest all or a portion of their Accounts in Investment Stock. Effective after the AT&amp;T Broadband Transaction, Investment Stock is no longer available for new investments, and, except as provided in this Article, Participants may invest in Company Stock instead. Subject to Sections 11.5.5 and</w:t>
      </w:r>
    </w:p>
    <w:p>
      <w:pPr>
        <w:ind w:right="200"/>
        <w:spacing w:after="0" w:line="255" w:lineRule="auto"/>
        <w:rPr>
          <w:sz w:val="20"/>
          <w:szCs w:val="20"/>
          <w:color w:val="auto"/>
        </w:rPr>
      </w:pPr>
      <w:r>
        <w:rPr>
          <w:rFonts w:ascii="Arial" w:cs="Arial" w:eastAsia="Arial" w:hAnsi="Arial"/>
          <w:sz w:val="18"/>
          <w:szCs w:val="18"/>
          <w:color w:val="auto"/>
        </w:rPr>
        <w:t>11.5.6, all or a portion of the value of a Participant’s interest in Investment Stock may be transferred to a different Investment Medium, including Company Stock, at the election of such Participant; however, a Participant may not transfer a portion of the value of his interest in any Investment Medium to Investment Stock.</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295" w:name="page296"/>
    <w:bookmarkEnd w:id="29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AMENDMENT OR TERMINATION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Power of Amendment and Termination</w:t>
      </w:r>
      <w:r>
        <w:rPr>
          <w:rFonts w:ascii="Arial" w:cs="Arial" w:eastAsia="Arial" w:hAnsi="Arial"/>
          <w:sz w:val="18"/>
          <w:szCs w:val="18"/>
          <w:color w:val="auto"/>
        </w:rPr>
        <w:t>.</w:t>
      </w:r>
    </w:p>
    <w:p>
      <w:pPr>
        <w:spacing w:after="0" w:line="225" w:lineRule="exact"/>
        <w:rPr>
          <w:sz w:val="20"/>
          <w:szCs w:val="20"/>
          <w:color w:val="auto"/>
        </w:rPr>
      </w:pPr>
    </w:p>
    <w:p>
      <w:pPr>
        <w:ind w:right="100" w:firstLine="1940"/>
        <w:spacing w:after="0" w:line="286" w:lineRule="auto"/>
        <w:rPr>
          <w:sz w:val="20"/>
          <w:szCs w:val="20"/>
          <w:color w:val="auto"/>
        </w:rPr>
      </w:pPr>
      <w:r>
        <w:rPr>
          <w:rFonts w:ascii="Arial" w:cs="Arial" w:eastAsia="Arial" w:hAnsi="Arial"/>
          <w:sz w:val="17"/>
          <w:szCs w:val="17"/>
          <w:color w:val="auto"/>
        </w:rPr>
        <w:t>12.1.1. It is the intention of each Participating Company that this Plan will be permanent. However, each Participating Company reserves the right to terminate its participation in this Plan at any time by action of its board of directors or other governing body. Furthermore, the Company reserves the power to amend or terminate the Plan at any time and to any extent by action of the Board of Directors.</w:t>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12.1.2. In addition,</w:t>
      </w:r>
    </w:p>
    <w:p>
      <w:pPr>
        <w:spacing w:after="0" w:line="225" w:lineRule="exact"/>
        <w:rPr>
          <w:sz w:val="20"/>
          <w:szCs w:val="20"/>
          <w:color w:val="auto"/>
        </w:rPr>
      </w:pPr>
    </w:p>
    <w:p>
      <w:pPr>
        <w:ind w:left="3220" w:hanging="245"/>
        <w:spacing w:after="0"/>
        <w:tabs>
          <w:tab w:leader="none" w:pos="3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may approve any amendment to the Plan; and</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EVP may approve any amendment to the Plan:</w:t>
      </w:r>
    </w:p>
    <w:p>
      <w:pPr>
        <w:spacing w:after="0" w:line="225" w:lineRule="exact"/>
        <w:rPr>
          <w:rFonts w:ascii="Arial" w:cs="Arial" w:eastAsia="Arial" w:hAnsi="Arial"/>
          <w:sz w:val="18"/>
          <w:szCs w:val="18"/>
          <w:color w:val="auto"/>
        </w:rPr>
      </w:pPr>
    </w:p>
    <w:p>
      <w:pPr>
        <w:ind w:right="100" w:firstLine="3432"/>
        <w:spacing w:after="0" w:line="277" w:lineRule="auto"/>
        <w:tabs>
          <w:tab w:leader="none" w:pos="363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that is required by law or necessary or appropriate to maintain the Plan as a plan meeting the requirements of Code section 401(a), retroactively if necessary or appropriate;</w:t>
      </w:r>
    </w:p>
    <w:p>
      <w:pPr>
        <w:spacing w:after="0" w:line="170" w:lineRule="exact"/>
        <w:rPr>
          <w:rFonts w:ascii="Arial" w:cs="Arial" w:eastAsia="Arial" w:hAnsi="Arial"/>
          <w:sz w:val="18"/>
          <w:szCs w:val="18"/>
          <w:color w:val="auto"/>
        </w:rPr>
      </w:pPr>
    </w:p>
    <w:p>
      <w:pPr>
        <w:ind w:left="3700" w:hanging="268"/>
        <w:spacing w:after="0"/>
        <w:tabs>
          <w:tab w:leader="none" w:pos="37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that is necessary to make clarifying changes or to correct a drafting error;</w:t>
      </w:r>
    </w:p>
    <w:p>
      <w:pPr>
        <w:spacing w:after="0" w:line="225" w:lineRule="exact"/>
        <w:rPr>
          <w:rFonts w:ascii="Arial" w:cs="Arial" w:eastAsia="Arial" w:hAnsi="Arial"/>
          <w:sz w:val="18"/>
          <w:szCs w:val="18"/>
          <w:color w:val="auto"/>
        </w:rPr>
      </w:pPr>
    </w:p>
    <w:p>
      <w:pPr>
        <w:ind w:firstLine="3432"/>
        <w:spacing w:after="0" w:line="264" w:lineRule="auto"/>
        <w:tabs>
          <w:tab w:leader="none" w:pos="373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to designate as a Participating Company, any organization subject to the adoption of the Plan by action of such organization’s board of directors or other governing body, provided that as a result of such designation, the number of individuals reasonably expected to become eligible to participate in the Plan does not exceed 1,000;</w:t>
      </w:r>
    </w:p>
    <w:p>
      <w:pPr>
        <w:spacing w:after="0" w:line="181" w:lineRule="exact"/>
        <w:rPr>
          <w:rFonts w:ascii="Arial" w:cs="Arial" w:eastAsia="Arial" w:hAnsi="Arial"/>
          <w:sz w:val="18"/>
          <w:szCs w:val="18"/>
          <w:color w:val="auto"/>
        </w:rPr>
      </w:pPr>
    </w:p>
    <w:p>
      <w:pPr>
        <w:ind w:right="40" w:firstLine="3432"/>
        <w:spacing w:after="0" w:line="264" w:lineRule="auto"/>
        <w:tabs>
          <w:tab w:leader="none" w:pos="3729"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to exclude from status as a Participating Company any subsidiary of the Company which is eligible to file a consolidated federal income tax return with the Company, provided that as a result of such exclusion, the number of individuals reasonably expected to be excluded from eligibility to participate in the Plan does not exceed 1,000; or</w:t>
      </w:r>
    </w:p>
    <w:p>
      <w:pPr>
        <w:spacing w:after="0" w:line="181" w:lineRule="exact"/>
        <w:rPr>
          <w:rFonts w:ascii="Arial" w:cs="Arial" w:eastAsia="Arial" w:hAnsi="Arial"/>
          <w:sz w:val="18"/>
          <w:szCs w:val="18"/>
          <w:color w:val="auto"/>
        </w:rPr>
      </w:pPr>
    </w:p>
    <w:p>
      <w:pPr>
        <w:ind w:left="3680" w:hanging="248"/>
        <w:spacing w:after="0"/>
        <w:tabs>
          <w:tab w:leader="none" w:pos="36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that is not expected to increase the costs of the Plan by more than $10 million annually based on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reasonable actuarial or other estimate.</w:t>
      </w:r>
    </w:p>
    <w:p>
      <w:pPr>
        <w:spacing w:after="0" w:line="211" w:lineRule="exact"/>
        <w:rPr>
          <w:sz w:val="20"/>
          <w:szCs w:val="20"/>
          <w:color w:val="auto"/>
        </w:rPr>
      </w:pPr>
    </w:p>
    <w:p>
      <w:pPr>
        <w:ind w:right="60" w:firstLine="1940"/>
        <w:spacing w:after="0" w:line="257" w:lineRule="auto"/>
        <w:rPr>
          <w:sz w:val="20"/>
          <w:szCs w:val="20"/>
          <w:color w:val="auto"/>
        </w:rPr>
      </w:pPr>
      <w:r>
        <w:rPr>
          <w:rFonts w:ascii="Arial" w:cs="Arial" w:eastAsia="Arial" w:hAnsi="Arial"/>
          <w:sz w:val="18"/>
          <w:szCs w:val="18"/>
          <w:color w:val="auto"/>
        </w:rPr>
        <w:t>12.1.3 Any amendment or termination of the Plan shall become effective as of the date designated by the Board of Directors, the Compensation Committee of the Board of Directors or EVP; provided however, that an amendment to the Plan shall not be effective to the extent that it has the effect of decreasing a Participant’s accrued benefit under section 411(d)(6) of the Code. Except as expressly provided elsewhere in the Plan, prior to the satisfaction of all liabilities with respect to the benefits provided under this Plan, no amendment or termination shall cause any part of the monies contributed hereunder to revert to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296" w:name="page297"/>
    <w:bookmarkEnd w:id="29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Participating Companies or to be diverted to any purpose other than for the exclusive benefit of Participants and their beneficiaries. Upon termination or partial termination of the Plan, or upon complete discontinuance of contributions, the rights of all affected persons to benefits accrued to the date of such termination shall be nonforfeitable. Upon termination of the plan without establishment or maintenance of another defined contribution plan (other than an employee stock ownership plan as defined in section 4975(e)(7) of the Code or a simplified employee pension plan as defined in Section 408(k) of the Code), Accounts shall be distributed in accordance with applicable law.</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Merger</w:t>
      </w:r>
      <w:r>
        <w:rPr>
          <w:rFonts w:ascii="Arial" w:cs="Arial" w:eastAsia="Arial" w:hAnsi="Arial"/>
          <w:sz w:val="18"/>
          <w:szCs w:val="18"/>
          <w:color w:val="auto"/>
        </w:rPr>
        <w:t>. The Plan shall not be merged with or consolidated with, nor shall its assets be transferred to, any other qualified retirement plan unless each Participant would receive a benefit after such merger, consolidation, or transfer (assuming the Plan then terminated) which is of actuarial value equal to or greater than the benefit he would have received from his Account if the Plan had been terminated on the day before such merger, consolidation, or transfer.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274" w:right="299"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TOP-HEAVY PROVISIONS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General</w:t>
      </w:r>
      <w:r>
        <w:rPr>
          <w:rFonts w:ascii="Arial" w:cs="Arial" w:eastAsia="Arial" w:hAnsi="Arial"/>
          <w:sz w:val="18"/>
          <w:szCs w:val="18"/>
          <w:color w:val="auto"/>
        </w:rPr>
        <w:t>. The following provisions shall apply automatically to the Plan and shall supersede any contrary provisions for each Plan Year in which the Plan is a Top-Heavy Plan (as defined below). It is intended that this Article shall be construed in accordance with the provisions of section 416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supplement those set forth in Article I of the Plan:</w:t>
      </w:r>
    </w:p>
    <w:p>
      <w:pPr>
        <w:spacing w:after="0" w:line="225" w:lineRule="exact"/>
        <w:rPr>
          <w:sz w:val="20"/>
          <w:szCs w:val="20"/>
          <w:color w:val="auto"/>
        </w:rPr>
      </w:pPr>
    </w:p>
    <w:p>
      <w:pPr>
        <w:ind w:right="60" w:firstLine="1940"/>
        <w:spacing w:after="0" w:line="308" w:lineRule="auto"/>
        <w:rPr>
          <w:sz w:val="20"/>
          <w:szCs w:val="20"/>
          <w:color w:val="auto"/>
        </w:rPr>
      </w:pPr>
      <w:r>
        <w:rPr>
          <w:rFonts w:ascii="Arial" w:cs="Arial" w:eastAsia="Arial" w:hAnsi="Arial"/>
          <w:sz w:val="17"/>
          <w:szCs w:val="17"/>
          <w:color w:val="auto"/>
        </w:rPr>
        <w:t>13.2.1. “</w:t>
      </w:r>
      <w:r>
        <w:rPr>
          <w:rFonts w:ascii="Arial" w:cs="Arial" w:eastAsia="Arial" w:hAnsi="Arial"/>
          <w:sz w:val="17"/>
          <w:szCs w:val="17"/>
          <w:u w:val="single" w:color="auto"/>
          <w:color w:val="auto"/>
        </w:rPr>
        <w:t>Aggregation Group</w:t>
      </w:r>
      <w:r>
        <w:rPr>
          <w:rFonts w:ascii="Arial" w:cs="Arial" w:eastAsia="Arial" w:hAnsi="Arial"/>
          <w:sz w:val="17"/>
          <w:szCs w:val="17"/>
          <w:color w:val="auto"/>
        </w:rPr>
        <w:t>” means this plan and each other qualified retirement plan (including a frozen plan or a plan which has been terminated during the 60-month period ending on the Determination Date) of a Participating Company or an Affiliated Company:</w:t>
      </w:r>
    </w:p>
    <w:p>
      <w:pPr>
        <w:spacing w:after="0" w:line="147" w:lineRule="exact"/>
        <w:rPr>
          <w:sz w:val="20"/>
          <w:szCs w:val="20"/>
          <w:color w:val="auto"/>
        </w:rPr>
      </w:pPr>
    </w:p>
    <w:p>
      <w:pPr>
        <w:ind w:left="3220" w:hanging="245"/>
        <w:spacing w:after="0"/>
        <w:tabs>
          <w:tab w:leader="none" w:pos="32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which a Key Employee is a participant; or</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which enables any plan in which a Key Employee participates to meet the requirements of sections 401(a)(4)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410 of the Code; or</w:t>
      </w:r>
    </w:p>
    <w:p>
      <w:pPr>
        <w:spacing w:after="0" w:line="211" w:lineRule="exact"/>
        <w:rPr>
          <w:sz w:val="20"/>
          <w:szCs w:val="20"/>
          <w:color w:val="auto"/>
        </w:rPr>
      </w:pPr>
    </w:p>
    <w:p>
      <w:pPr>
        <w:ind w:right="140" w:firstLine="2975"/>
        <w:spacing w:after="0" w:line="264" w:lineRule="auto"/>
        <w:tabs>
          <w:tab w:leader="none" w:pos="321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without the inclusion of which, the plans in the Aggregation Group would be Top-Heavy Plans, but, with the inclusion of which, the plans in the Aggregation Group are not Top-Heavy Plans and, taken together, meet the requirements of sections 401(a)(4) and 410 of the Code.</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13.2.2. “</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for any Plan Year, the last day of the preceding Plan Year.</w:t>
      </w:r>
    </w:p>
    <w:p>
      <w:pPr>
        <w:spacing w:after="0" w:line="225"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13.2.3. “</w:t>
      </w:r>
      <w:r>
        <w:rPr>
          <w:rFonts w:ascii="Arial" w:cs="Arial" w:eastAsia="Arial" w:hAnsi="Arial"/>
          <w:sz w:val="18"/>
          <w:szCs w:val="18"/>
          <w:u w:val="single" w:color="auto"/>
          <w:color w:val="auto"/>
        </w:rPr>
        <w:t>Key Employee</w:t>
      </w:r>
      <w:r>
        <w:rPr>
          <w:rFonts w:ascii="Arial" w:cs="Arial" w:eastAsia="Arial" w:hAnsi="Arial"/>
          <w:sz w:val="18"/>
          <w:szCs w:val="18"/>
          <w:color w:val="auto"/>
        </w:rPr>
        <w:t>” means any Employee or former Employee (including any deceased Employee) who at any time during the Plan Year that includes the Determination Date was an officer of a Participating Company having Compensation for a Plan Year greater than $165,000 (as adjusted under section 415(i)(1) of the Code), a 5% owner of a Participating Company, or a 1% owner of a Participating Company having Compensation in excess of $150,000. For this purpose, Compensation means compensation within the meaning of section 415(c)(3) of the Code. The determination of who is a key employee will be made in accordance with section 416(i)(1) of the Code and the applicable regulations and other guidance of general applicability issued thereunder.</w:t>
      </w:r>
    </w:p>
    <w:p>
      <w:pPr>
        <w:spacing w:after="0" w:line="193" w:lineRule="exact"/>
        <w:rPr>
          <w:sz w:val="20"/>
          <w:szCs w:val="20"/>
          <w:color w:val="auto"/>
        </w:rPr>
      </w:pPr>
    </w:p>
    <w:p>
      <w:pPr>
        <w:ind w:right="280" w:firstLine="1940"/>
        <w:spacing w:after="0" w:line="308" w:lineRule="auto"/>
        <w:rPr>
          <w:sz w:val="20"/>
          <w:szCs w:val="20"/>
          <w:color w:val="auto"/>
        </w:rPr>
      </w:pPr>
      <w:r>
        <w:rPr>
          <w:rFonts w:ascii="Arial" w:cs="Arial" w:eastAsia="Arial" w:hAnsi="Arial"/>
          <w:sz w:val="17"/>
          <w:szCs w:val="17"/>
          <w:color w:val="auto"/>
        </w:rPr>
        <w:t>13.2.4. “</w:t>
      </w:r>
      <w:r>
        <w:rPr>
          <w:rFonts w:ascii="Arial" w:cs="Arial" w:eastAsia="Arial" w:hAnsi="Arial"/>
          <w:sz w:val="17"/>
          <w:szCs w:val="17"/>
          <w:u w:val="single" w:color="auto"/>
          <w:color w:val="auto"/>
        </w:rPr>
        <w:t>Key Employee Ratio</w:t>
      </w:r>
      <w:r>
        <w:rPr>
          <w:rFonts w:ascii="Arial" w:cs="Arial" w:eastAsia="Arial" w:hAnsi="Arial"/>
          <w:sz w:val="17"/>
          <w:szCs w:val="17"/>
          <w:color w:val="auto"/>
        </w:rPr>
        <w:t>” means, for any Determination Date, the ratio of the amount described in Section 13.2.4(a) to the amount described in Section 13.2.4(b), after deducting from each such amount any portion thereof described in Section 13.2.4(c), where:</w:t>
      </w:r>
    </w:p>
    <w:p>
      <w:pPr>
        <w:spacing w:after="0" w:line="147" w:lineRule="exact"/>
        <w:rPr>
          <w:sz w:val="20"/>
          <w:szCs w:val="20"/>
          <w:color w:val="auto"/>
        </w:rPr>
      </w:pPr>
    </w:p>
    <w:p>
      <w:pPr>
        <w:ind w:left="3220" w:hanging="245"/>
        <w:spacing w:after="0"/>
        <w:tabs>
          <w:tab w:leader="none" w:pos="32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the present value of all accrued benefits of Key Employees under all qualified defined benefit plans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Aggregation Group;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298" w:name="page299"/>
    <w:bookmarkEnd w:id="298"/>
    <w:p>
      <w:pPr>
        <w:ind w:left="3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the balances in all of the accounts of Key Employees under all qualified defined contribution plans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Aggregation Group; and</w:t>
      </w:r>
    </w:p>
    <w:p>
      <w:pPr>
        <w:spacing w:after="0" w:line="211" w:lineRule="exact"/>
        <w:rPr>
          <w:sz w:val="20"/>
          <w:szCs w:val="20"/>
          <w:color w:val="auto"/>
        </w:rPr>
      </w:pPr>
    </w:p>
    <w:p>
      <w:pPr>
        <w:ind w:right="160" w:firstLine="3432"/>
        <w:spacing w:after="0" w:line="259" w:lineRule="auto"/>
        <w:tabs>
          <w:tab w:leader="none" w:pos="367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Key Employee during the 1-year period (5-year period for distributions made for a reason other than incurring a Severance from Service Date, death or Total Disability) ending on the Determination Date, except any benefit paid on account of death to the extent it exceeds the accrued benefits or account balances immediately prior to death;</w:t>
      </w:r>
    </w:p>
    <w:p>
      <w:pPr>
        <w:spacing w:after="0" w:line="186" w:lineRule="exact"/>
        <w:rPr>
          <w:rFonts w:ascii="Arial" w:cs="Arial" w:eastAsia="Arial" w:hAnsi="Arial"/>
          <w:sz w:val="18"/>
          <w:szCs w:val="18"/>
          <w:color w:val="auto"/>
        </w:rPr>
      </w:pPr>
    </w:p>
    <w:p>
      <w:pPr>
        <w:ind w:left="3220" w:hanging="245"/>
        <w:spacing w:after="0"/>
        <w:tabs>
          <w:tab w:leader="none" w:pos="32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225" w:lineRule="exact"/>
        <w:rPr>
          <w:rFonts w:ascii="Arial" w:cs="Arial" w:eastAsia="Arial" w:hAnsi="Arial"/>
          <w:sz w:val="18"/>
          <w:szCs w:val="18"/>
          <w:color w:val="auto"/>
        </w:rPr>
      </w:pPr>
    </w:p>
    <w:p>
      <w:pPr>
        <w:ind w:left="3680" w:hanging="248"/>
        <w:spacing w:after="0"/>
        <w:tabs>
          <w:tab w:leader="none" w:pos="368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present value of all accrued benefits of all participants under all qualified defined benefit plans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included in the Aggregation Group;</w:t>
      </w:r>
    </w:p>
    <w:p>
      <w:pPr>
        <w:spacing w:after="0" w:line="210" w:lineRule="exact"/>
        <w:rPr>
          <w:rFonts w:ascii="Arial" w:cs="Arial" w:eastAsia="Arial" w:hAnsi="Arial"/>
          <w:sz w:val="17"/>
          <w:szCs w:val="17"/>
          <w:color w:val="auto"/>
        </w:rPr>
      </w:pPr>
    </w:p>
    <w:p>
      <w:pPr>
        <w:ind w:left="3680" w:hanging="248"/>
        <w:spacing w:after="0"/>
        <w:tabs>
          <w:tab w:leader="none" w:pos="368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the balances in all of the accounts of all participants under all qualified defined contribution plans included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Aggregation Group; and</w:t>
      </w:r>
    </w:p>
    <w:p>
      <w:pPr>
        <w:spacing w:after="0" w:line="210" w:lineRule="exact"/>
        <w:rPr>
          <w:rFonts w:ascii="Arial" w:cs="Arial" w:eastAsia="Arial" w:hAnsi="Arial"/>
          <w:sz w:val="16"/>
          <w:szCs w:val="16"/>
          <w:color w:val="auto"/>
        </w:rPr>
      </w:pPr>
    </w:p>
    <w:p>
      <w:pPr>
        <w:ind w:right="60" w:firstLine="3432"/>
        <w:spacing w:after="0" w:line="264" w:lineRule="auto"/>
        <w:tabs>
          <w:tab w:leader="none" w:pos="367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amounts distributed from all plans in such Aggregation Group to or on behalf of any participant during the 1-year period (5-year period for distributions made for a reason other than incurring a Severance from Service Date, death or Total Disability) ending on the Determination Date; and</w:t>
      </w:r>
    </w:p>
    <w:p>
      <w:pPr>
        <w:spacing w:after="0" w:line="181" w:lineRule="exact"/>
        <w:rPr>
          <w:rFonts w:ascii="Arial" w:cs="Arial" w:eastAsia="Arial" w:hAnsi="Arial"/>
          <w:sz w:val="18"/>
          <w:szCs w:val="18"/>
          <w:color w:val="auto"/>
        </w:rPr>
      </w:pPr>
    </w:p>
    <w:p>
      <w:pPr>
        <w:ind w:left="3220" w:hanging="245"/>
        <w:spacing w:after="0"/>
        <w:tabs>
          <w:tab w:leader="none" w:pos="32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amount described in this Paragraph is the sum of:</w:t>
      </w:r>
    </w:p>
    <w:p>
      <w:pPr>
        <w:spacing w:after="0" w:line="225" w:lineRule="exact"/>
        <w:rPr>
          <w:rFonts w:ascii="Arial" w:cs="Arial" w:eastAsia="Arial" w:hAnsi="Arial"/>
          <w:sz w:val="18"/>
          <w:szCs w:val="18"/>
          <w:color w:val="auto"/>
        </w:rPr>
      </w:pPr>
    </w:p>
    <w:p>
      <w:pPr>
        <w:ind w:right="160" w:firstLine="3432"/>
        <w:spacing w:after="0" w:line="277" w:lineRule="auto"/>
        <w:tabs>
          <w:tab w:leader="none" w:pos="367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rollover contributions (or fund to fund transfers) to the Plan by an Employee after December 31, 1983 from a plan sponsored by an employer which is not a Participating Company or an Affiliated Company;</w:t>
      </w:r>
    </w:p>
    <w:p>
      <w:pPr>
        <w:spacing w:after="0" w:line="170" w:lineRule="exact"/>
        <w:rPr>
          <w:rFonts w:ascii="Arial" w:cs="Arial" w:eastAsia="Arial" w:hAnsi="Arial"/>
          <w:sz w:val="18"/>
          <w:szCs w:val="18"/>
          <w:color w:val="auto"/>
        </w:rPr>
      </w:pPr>
    </w:p>
    <w:p>
      <w:pPr>
        <w:ind w:right="80" w:firstLine="3432"/>
        <w:spacing w:after="0" w:line="277" w:lineRule="auto"/>
        <w:tabs>
          <w:tab w:leader="none" w:pos="367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is a Non-Key Employee as to the Plan Year of reference but who was a Key Employee as to any earlier Plan Year; and</w:t>
      </w:r>
    </w:p>
    <w:p>
      <w:pPr>
        <w:spacing w:after="0" w:line="170" w:lineRule="exact"/>
        <w:rPr>
          <w:rFonts w:ascii="Arial" w:cs="Arial" w:eastAsia="Arial" w:hAnsi="Arial"/>
          <w:sz w:val="18"/>
          <w:szCs w:val="18"/>
          <w:color w:val="auto"/>
        </w:rPr>
      </w:pPr>
    </w:p>
    <w:p>
      <w:pPr>
        <w:ind w:right="400" w:firstLine="3432"/>
        <w:spacing w:after="0" w:line="277" w:lineRule="auto"/>
        <w:tabs>
          <w:tab w:leader="none" w:pos="367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amount that is included in Sections 13.2.4(a) or 13.2.4(b) for a person who has not performed any services for any Participating Company during the 1-year period ending on the Determination Date.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present value of accrued benefits under any defined benefit plan shall be determined under the method used for accrual purposes for all plans maintained by all Participating Companies and Affiliated Companies if a single method is used by all such plans, or, otherwise, the slowest accrual method permitted under section 411(b)(1)(C) of the Code.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purposes of Sections 13.2.4(a)(3) and (b)(3), distributions under a terminated plan which, had it not been terminated, would have been aggregated with the Plan under section 416(g)(2)(A)(i) of the Code shall also be included. The accrued benefits and accounts of any individual who has not performed services for a Participating Company during the 1-year period ending on the Determination Date shall not be taken into account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299" w:name="page300"/>
    <w:bookmarkEnd w:id="29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13.2.5. “</w:t>
      </w:r>
      <w:r>
        <w:rPr>
          <w:rFonts w:ascii="Arial" w:cs="Arial" w:eastAsia="Arial" w:hAnsi="Arial"/>
          <w:sz w:val="18"/>
          <w:szCs w:val="18"/>
          <w:u w:val="single" w:color="auto"/>
          <w:color w:val="auto"/>
        </w:rPr>
        <w:t>Non-Key Employee</w:t>
      </w:r>
      <w:r>
        <w:rPr>
          <w:rFonts w:ascii="Arial" w:cs="Arial" w:eastAsia="Arial" w:hAnsi="Arial"/>
          <w:sz w:val="18"/>
          <w:szCs w:val="18"/>
          <w:color w:val="auto"/>
        </w:rPr>
        <w:t>” means, for any Plan Year:</w:t>
      </w:r>
    </w:p>
    <w:p>
      <w:pPr>
        <w:spacing w:after="0" w:line="225" w:lineRule="exact"/>
        <w:rPr>
          <w:sz w:val="20"/>
          <w:szCs w:val="20"/>
          <w:color w:val="auto"/>
        </w:rPr>
      </w:pPr>
    </w:p>
    <w:p>
      <w:pPr>
        <w:ind w:left="3220" w:hanging="245"/>
        <w:spacing w:after="0"/>
        <w:tabs>
          <w:tab w:leader="none" w:pos="32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 Employee or former Employee who is not a Key Employee with respect to such Plan Year; or</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beneficiary of an individual described in Section 13.2.5(a).</w:t>
      </w:r>
    </w:p>
    <w:p>
      <w:pPr>
        <w:spacing w:after="0" w:line="225" w:lineRule="exact"/>
        <w:rPr>
          <w:sz w:val="20"/>
          <w:szCs w:val="20"/>
          <w:color w:val="auto"/>
        </w:rPr>
      </w:pPr>
    </w:p>
    <w:p>
      <w:pPr>
        <w:ind w:right="380" w:firstLine="1940"/>
        <w:spacing w:after="0" w:line="277" w:lineRule="auto"/>
        <w:rPr>
          <w:sz w:val="20"/>
          <w:szCs w:val="20"/>
          <w:color w:val="auto"/>
        </w:rPr>
      </w:pPr>
      <w:r>
        <w:rPr>
          <w:rFonts w:ascii="Arial" w:cs="Arial" w:eastAsia="Arial" w:hAnsi="Arial"/>
          <w:sz w:val="18"/>
          <w:szCs w:val="18"/>
          <w:color w:val="auto"/>
        </w:rPr>
        <w:t>13.2.6. “</w:t>
      </w:r>
      <w:r>
        <w:rPr>
          <w:rFonts w:ascii="Arial" w:cs="Arial" w:eastAsia="Arial" w:hAnsi="Arial"/>
          <w:sz w:val="18"/>
          <w:szCs w:val="18"/>
          <w:u w:val="single" w:color="auto"/>
          <w:color w:val="auto"/>
        </w:rPr>
        <w:t>Super 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ninety percent (90%).</w:t>
      </w:r>
    </w:p>
    <w:p>
      <w:pPr>
        <w:spacing w:after="0" w:line="170" w:lineRule="exact"/>
        <w:rPr>
          <w:sz w:val="20"/>
          <w:szCs w:val="20"/>
          <w:color w:val="auto"/>
        </w:rPr>
      </w:pPr>
    </w:p>
    <w:p>
      <w:pPr>
        <w:ind w:right="20" w:firstLine="1940"/>
        <w:spacing w:after="0" w:line="264" w:lineRule="auto"/>
        <w:rPr>
          <w:sz w:val="20"/>
          <w:szCs w:val="20"/>
          <w:color w:val="auto"/>
        </w:rPr>
      </w:pPr>
      <w:r>
        <w:rPr>
          <w:rFonts w:ascii="Arial" w:cs="Arial" w:eastAsia="Arial" w:hAnsi="Arial"/>
          <w:sz w:val="18"/>
          <w:szCs w:val="18"/>
          <w:color w:val="auto"/>
        </w:rPr>
        <w:t>13.2.7. “</w:t>
      </w:r>
      <w:r>
        <w:rPr>
          <w:rFonts w:ascii="Arial" w:cs="Arial" w:eastAsia="Arial" w:hAnsi="Arial"/>
          <w:sz w:val="18"/>
          <w:szCs w:val="18"/>
          <w:u w:val="single" w:color="auto"/>
          <w:color w:val="auto"/>
        </w:rPr>
        <w:t>Top-Heavy Compensation</w:t>
      </w:r>
      <w:r>
        <w:rPr>
          <w:rFonts w:ascii="Arial" w:cs="Arial" w:eastAsia="Arial" w:hAnsi="Arial"/>
          <w:sz w:val="18"/>
          <w:szCs w:val="18"/>
          <w:color w:val="auto"/>
        </w:rPr>
        <w:t>” means, for any Participant for any Plan Year, the average of his annual Compensation over the period of five consecutive Plan Years (or, if shorter, the longest period of consecutive Plan Years during which the Participant was in the employ of any Participating Company) yielding the highest average, disregarding:</w:t>
      </w:r>
    </w:p>
    <w:p>
      <w:pPr>
        <w:spacing w:after="0" w:line="181" w:lineRule="exact"/>
        <w:rPr>
          <w:sz w:val="20"/>
          <w:szCs w:val="20"/>
          <w:color w:val="auto"/>
        </w:rPr>
      </w:pPr>
    </w:p>
    <w:p>
      <w:pPr>
        <w:ind w:left="3220" w:hanging="245"/>
        <w:spacing w:after="0"/>
        <w:tabs>
          <w:tab w:leader="none" w:pos="32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Compensation for Plan Years ending prior to January 1, 1984; and</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Compensation for Plan Years after the close of the last Plan Year in which the Plan was a Top-Heavy Plan.</w:t>
      </w:r>
    </w:p>
    <w:p>
      <w:pPr>
        <w:spacing w:after="0" w:line="237" w:lineRule="exact"/>
        <w:rPr>
          <w:sz w:val="20"/>
          <w:szCs w:val="20"/>
          <w:color w:val="auto"/>
        </w:rPr>
      </w:pPr>
    </w:p>
    <w:p>
      <w:pPr>
        <w:ind w:right="60" w:firstLine="1940"/>
        <w:spacing w:after="0" w:line="277" w:lineRule="auto"/>
        <w:rPr>
          <w:sz w:val="20"/>
          <w:szCs w:val="20"/>
          <w:color w:val="auto"/>
        </w:rPr>
      </w:pPr>
      <w:r>
        <w:rPr>
          <w:rFonts w:ascii="Arial" w:cs="Arial" w:eastAsia="Arial" w:hAnsi="Arial"/>
          <w:sz w:val="18"/>
          <w:szCs w:val="18"/>
          <w:color w:val="auto"/>
        </w:rPr>
        <w:t>13.2.8. “</w:t>
      </w:r>
      <w:r>
        <w:rPr>
          <w:rFonts w:ascii="Arial" w:cs="Arial" w:eastAsia="Arial" w:hAnsi="Arial"/>
          <w:sz w:val="18"/>
          <w:szCs w:val="18"/>
          <w:u w:val="single" w:color="auto"/>
          <w:color w:val="auto"/>
        </w:rPr>
        <w:t>Top-Heavy Plan</w:t>
      </w:r>
      <w:r>
        <w:rPr>
          <w:rFonts w:ascii="Arial" w:cs="Arial" w:eastAsia="Arial" w:hAnsi="Arial"/>
          <w:sz w:val="18"/>
          <w:szCs w:val="18"/>
          <w:color w:val="auto"/>
        </w:rPr>
        <w:t>” means, for any Plan Year, each plan in the Aggregation Group for such Plan Year if, as of the applicable Determination Date, the Key Employee Ratio exceeds sixty percent (60%).</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13.2.9. “</w:t>
      </w:r>
      <w:r>
        <w:rPr>
          <w:rFonts w:ascii="Arial" w:cs="Arial" w:eastAsia="Arial" w:hAnsi="Arial"/>
          <w:sz w:val="17"/>
          <w:szCs w:val="17"/>
          <w:u w:val="single" w:color="auto"/>
          <w:color w:val="auto"/>
        </w:rPr>
        <w:t>Year of Top-Heavy Service</w:t>
      </w:r>
      <w:r>
        <w:rPr>
          <w:rFonts w:ascii="Arial" w:cs="Arial" w:eastAsia="Arial" w:hAnsi="Arial"/>
          <w:sz w:val="17"/>
          <w:szCs w:val="17"/>
          <w:color w:val="auto"/>
        </w:rPr>
        <w:t>” means, for any Participant, a Plan Year in which he completes 1,000 or more Hours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Service, excluding:</w:t>
      </w:r>
    </w:p>
    <w:p>
      <w:pPr>
        <w:spacing w:after="0" w:line="211" w:lineRule="exact"/>
        <w:rPr>
          <w:sz w:val="20"/>
          <w:szCs w:val="20"/>
          <w:color w:val="auto"/>
        </w:rPr>
      </w:pPr>
    </w:p>
    <w:p>
      <w:pPr>
        <w:ind w:left="3220" w:hanging="245"/>
        <w:spacing w:after="0"/>
        <w:tabs>
          <w:tab w:leader="none" w:pos="32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Plan Years commencing prior to January 1, 1984; and</w:t>
      </w:r>
    </w:p>
    <w:p>
      <w:pPr>
        <w:spacing w:after="0" w:line="225" w:lineRule="exact"/>
        <w:rPr>
          <w:rFonts w:ascii="Arial" w:cs="Arial" w:eastAsia="Arial" w:hAnsi="Arial"/>
          <w:sz w:val="18"/>
          <w:szCs w:val="18"/>
          <w:color w:val="auto"/>
        </w:rPr>
      </w:pPr>
    </w:p>
    <w:p>
      <w:pPr>
        <w:ind w:left="3220" w:hanging="245"/>
        <w:spacing w:after="0"/>
        <w:tabs>
          <w:tab w:leader="none" w:pos="32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Plan Years in which the Plan is not a Top-Heavy Plan.</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Minimum Contribution for Non-Key Employees</w:t>
      </w:r>
      <w:r>
        <w:rPr>
          <w:rFonts w:ascii="Arial" w:cs="Arial" w:eastAsia="Arial" w:hAnsi="Arial"/>
          <w:sz w:val="18"/>
          <w:szCs w:val="18"/>
          <w:color w:val="auto"/>
        </w:rPr>
        <w:t>.</w:t>
      </w:r>
    </w:p>
    <w:p>
      <w:pPr>
        <w:spacing w:after="0" w:line="225" w:lineRule="exact"/>
        <w:rPr>
          <w:sz w:val="20"/>
          <w:szCs w:val="20"/>
          <w:color w:val="auto"/>
        </w:rPr>
      </w:pPr>
    </w:p>
    <w:p>
      <w:pPr>
        <w:ind w:firstLine="1940"/>
        <w:spacing w:after="0" w:line="293" w:lineRule="auto"/>
        <w:rPr>
          <w:sz w:val="20"/>
          <w:szCs w:val="20"/>
          <w:color w:val="auto"/>
        </w:rPr>
      </w:pPr>
      <w:r>
        <w:rPr>
          <w:rFonts w:ascii="Arial" w:cs="Arial" w:eastAsia="Arial" w:hAnsi="Arial"/>
          <w:sz w:val="16"/>
          <w:szCs w:val="16"/>
          <w:color w:val="auto"/>
        </w:rPr>
        <w:t>13.3.1. In each Plan Year in which the Plan is a Top-Heavy Plan, each Eligible Employee who is a Non-Key Employee (except an Eligible Employee who is a Non-Key Employee as to the Plan Year of reference but who was a Key Employee as to any earlier Plan Year) and who is an Employee on the last day of such Plan Year will receive a total minimum Participating Company or Affiliated Company contribution (including forfeitures) under all plans described in Sections 13.2.1(a) and (b) of not less than three percent (3%) of the Eligible Employee’s Compensation for the Plan Year. Elective deferrals to such plans shall not be used to meet the minimum contribution requirements. However, employer matching contributions under the Plan shall be taken into account for purposes of satisfying the minimum contribution requirements of section 416(c)(2) of the Code and the Plan. Employer matching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300" w:name="page301"/>
    <w:bookmarkEnd w:id="30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contributions that are used to satisfy the minimum contribution requirements shall be treated as matching contributions for purposes of the actual contribution percentage test and other requirements of section 401(m) of the Code.</w:t>
      </w:r>
    </w:p>
    <w:p>
      <w:pPr>
        <w:spacing w:after="0" w:line="170" w:lineRule="exact"/>
        <w:rPr>
          <w:sz w:val="20"/>
          <w:szCs w:val="20"/>
          <w:color w:val="auto"/>
        </w:rPr>
      </w:pPr>
    </w:p>
    <w:p>
      <w:pPr>
        <w:ind w:right="40" w:firstLine="1940"/>
        <w:spacing w:after="0" w:line="255" w:lineRule="auto"/>
        <w:rPr>
          <w:sz w:val="20"/>
          <w:szCs w:val="20"/>
          <w:color w:val="auto"/>
        </w:rPr>
      </w:pPr>
      <w:r>
        <w:rPr>
          <w:rFonts w:ascii="Arial" w:cs="Arial" w:eastAsia="Arial" w:hAnsi="Arial"/>
          <w:sz w:val="18"/>
          <w:szCs w:val="18"/>
          <w:color w:val="auto"/>
        </w:rPr>
        <w:t>13.3.2. The percentage set forth in Section 13.3.1 shall be reduced to the percentage at which contributions, including forfeitures, are made (or are required to be made) for a Plan Year for the Key Employee for whom such percentage is the highest for that Plan Year. This percentage shall be determined for each Key Employee by dividing the contribution for such Key Employee by his Compensation for the Plan Year. All defined contribution plans required to be included in an Aggregation Group shall be treated as one plan for the purpose; however, this Section shall not apply to any plan which is required to be included in the Aggregation Group if such plan enables a defined benefit plan in the group to meet the requirements of section 401(a)(4) or section 410 of the Code.</w:t>
      </w:r>
    </w:p>
    <w:p>
      <w:pPr>
        <w:spacing w:after="0" w:line="193" w:lineRule="exact"/>
        <w:rPr>
          <w:sz w:val="20"/>
          <w:szCs w:val="20"/>
          <w:color w:val="auto"/>
        </w:rPr>
      </w:pPr>
    </w:p>
    <w:p>
      <w:pPr>
        <w:ind w:right="180" w:firstLine="1940"/>
        <w:spacing w:after="0" w:line="279" w:lineRule="auto"/>
        <w:rPr>
          <w:sz w:val="20"/>
          <w:szCs w:val="20"/>
          <w:color w:val="auto"/>
        </w:rPr>
      </w:pPr>
      <w:r>
        <w:rPr>
          <w:rFonts w:ascii="Arial" w:cs="Arial" w:eastAsia="Arial" w:hAnsi="Arial"/>
          <w:sz w:val="17"/>
          <w:szCs w:val="17"/>
          <w:color w:val="auto"/>
        </w:rPr>
        <w:t>13.3.3. If a Non-Key Employee described in Section 13.3.1 participates in both a defined benefit plan and a defined contribution plan described in Sections 13.2.1(a) and (b), the Participating Company is not required to provide such Employee with both the minimum benefit under the defined benefit plan and the minimum contribution. In such event, the Non-Key Employee shall not receive the minimum contribution described in this Section if he has the minimum benefit required by section 416 of the Code under the defined benefit Top-Heavy Plan.</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u w:val="single" w:color="auto"/>
          <w:color w:val="auto"/>
        </w:rPr>
        <w:t>Social Security</w:t>
      </w:r>
      <w:r>
        <w:rPr>
          <w:rFonts w:ascii="Arial" w:cs="Arial" w:eastAsia="Arial" w:hAnsi="Arial"/>
          <w:sz w:val="18"/>
          <w:szCs w:val="18"/>
          <w:color w:val="auto"/>
        </w:rPr>
        <w:t>. The Plan, for each Plan Year in which it is a Top-Heavy Plan, must meet the requirements of this Article without regard to any Social Security or similar contributions or benefits.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Neither the action of the Company in establishing the Plan, nor of any Participating Company in adopting the Plan, nor any provisions of the Plan, nor any action taken by the Company, any Participating Company or the Committee shall be construed as giving to any Employee the right to be retained in the employ of the Company or any Participating Company, or any right to payment except to the extent of the benefits provided in the Plan to be paid from the Fund.</w:t>
      </w:r>
    </w:p>
    <w:p>
      <w:pPr>
        <w:spacing w:after="0" w:line="18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 xml:space="preserve">Section 14.2. </w:t>
      </w:r>
      <w:r>
        <w:rPr>
          <w:rFonts w:ascii="Arial" w:cs="Arial" w:eastAsia="Arial" w:hAnsi="Arial"/>
          <w:sz w:val="17"/>
          <w:szCs w:val="17"/>
          <w:u w:val="single" w:color="auto"/>
          <w:color w:val="auto"/>
        </w:rPr>
        <w:t>Governing Law</w:t>
      </w:r>
      <w:r>
        <w:rPr>
          <w:rFonts w:ascii="Arial" w:cs="Arial" w:eastAsia="Arial" w:hAnsi="Arial"/>
          <w:sz w:val="17"/>
          <w:szCs w:val="17"/>
          <w:color w:val="auto"/>
        </w:rPr>
        <w:t>. Except to the extent superseded by ERISA, all questions pertaining to the validity, construction, and operation of the Plan shall be determined in accordance with the laws of the Commonwealth of Pennsylvania, without regard to its conflicts of law doctrine.</w:t>
      </w:r>
    </w:p>
    <w:p>
      <w:pPr>
        <w:spacing w:after="0" w:line="14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 xml:space="preserve">Section 14.3.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provisions determined to be void.</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u w:val="single" w:color="auto"/>
          <w:color w:val="auto"/>
        </w:rPr>
        <w:t>No Interest in Fund</w:t>
      </w:r>
      <w:r>
        <w:rPr>
          <w:rFonts w:ascii="Arial" w:cs="Arial" w:eastAsia="Arial" w:hAnsi="Arial"/>
          <w:sz w:val="18"/>
          <w:szCs w:val="18"/>
          <w:color w:val="auto"/>
        </w:rPr>
        <w:t>. No person shall have any interest in, or right to, any part of the principal or income of the Fund, except as and to the extent expressly provided in this Plan and in the Trust Agreement.</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14.5. </w:t>
      </w:r>
      <w:r>
        <w:rPr>
          <w:rFonts w:ascii="Arial" w:cs="Arial" w:eastAsia="Arial" w:hAnsi="Arial"/>
          <w:sz w:val="16"/>
          <w:szCs w:val="16"/>
          <w:u w:val="single" w:color="auto"/>
          <w:color w:val="auto"/>
        </w:rPr>
        <w:t>Spendthrift Clause</w:t>
      </w:r>
      <w:r>
        <w:rPr>
          <w:rFonts w:ascii="Arial" w:cs="Arial" w:eastAsia="Arial" w:hAnsi="Arial"/>
          <w:sz w:val="16"/>
          <w:szCs w:val="16"/>
          <w:color w:val="auto"/>
        </w:rPr>
        <w:t>. No benefit payable at any time under this Plan and no interest or expectancy herein shall be anticipated, assigned, or alienated by any Participant or beneficiary, or subject to attachment, garnishment, levy, execution, or other legal or equitable process, except for (1) a Federal tax levy made pursuant to section 6331 of the Code and (2) any benefit payable pursuant to a qualified domestic relations order. Any attempt to alienate or assign a benefit hereunder, whether currently or hereafter payable, shall be void. The Committee shall review any domestic relations order to determine whether it is qualified within the meaning of section 414(p) of the Code. An order shall not be qualified unless it complies with all applicable provisions of the Plan concerning mode of payment and manner of elections. Notwithstanding the preceding sentence and any restrictions on timing of distributions and withdrawals under the Plan, an order may provide for distribution at any time permitted under section 414(p)(10) of the Code.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14.6. </w:t>
      </w: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deems any Participant who is entitled to receive payments hereunder incapable of receiving or disbursing the same by reason of age, illness, infirmity, or incapacity of any kind, the Committee may direct the Trustee to apply such payments directly for the comfort, support, and maintenance of such Participant, or to pay the same to any responsible person caring for the Participant who is determined by the Committee to be qualified to receive and disburse such payments for the Participant’s benefit; and the receipt of such person shall be a complete acquittance for the payment of the benefit. Payments pursuant to this Section shall be complete discharge to the extent thereof of any and all liability of the Participating Companies, the Committee, the Administrator, the Trustee, and the Fund.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302" w:name="page303"/>
    <w:bookmarkEnd w:id="302"/>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14.7. </w:t>
      </w:r>
      <w:r>
        <w:rPr>
          <w:rFonts w:ascii="Arial" w:cs="Arial" w:eastAsia="Arial" w:hAnsi="Arial"/>
          <w:sz w:val="18"/>
          <w:szCs w:val="18"/>
          <w:u w:val="single" w:color="auto"/>
          <w:color w:val="auto"/>
        </w:rPr>
        <w:t>Withholding</w:t>
      </w:r>
      <w:r>
        <w:rPr>
          <w:rFonts w:ascii="Arial" w:cs="Arial" w:eastAsia="Arial" w:hAnsi="Arial"/>
          <w:sz w:val="18"/>
          <w:szCs w:val="18"/>
          <w:color w:val="auto"/>
        </w:rPr>
        <w:t>. The Committee and the Trustee shall have the right to withhold any and all state, local, and Federal taxes which may be withheld in accordance with applicable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14.8. </w:t>
      </w:r>
      <w:r>
        <w:rPr>
          <w:rFonts w:ascii="Arial" w:cs="Arial" w:eastAsia="Arial" w:hAnsi="Arial"/>
          <w:sz w:val="18"/>
          <w:szCs w:val="18"/>
          <w:u w:val="single" w:color="auto"/>
          <w:color w:val="auto"/>
        </w:rPr>
        <w:t>Missing Persons/Uncashed Checks</w:t>
      </w:r>
      <w:r>
        <w:rPr>
          <w:rFonts w:ascii="Arial" w:cs="Arial" w:eastAsia="Arial" w:hAnsi="Arial"/>
          <w:sz w:val="18"/>
          <w:szCs w:val="18"/>
          <w:color w:val="auto"/>
        </w:rPr>
        <w:t>.</w:t>
      </w:r>
    </w:p>
    <w:p>
      <w:pPr>
        <w:spacing w:after="0" w:line="225" w:lineRule="exact"/>
        <w:rPr>
          <w:sz w:val="20"/>
          <w:szCs w:val="20"/>
          <w:color w:val="auto"/>
        </w:rPr>
      </w:pPr>
    </w:p>
    <w:p>
      <w:pPr>
        <w:ind w:right="80" w:firstLine="1940"/>
        <w:spacing w:after="0" w:line="284" w:lineRule="auto"/>
        <w:rPr>
          <w:sz w:val="20"/>
          <w:szCs w:val="20"/>
          <w:color w:val="auto"/>
        </w:rPr>
      </w:pPr>
      <w:r>
        <w:rPr>
          <w:rFonts w:ascii="Arial" w:cs="Arial" w:eastAsia="Arial" w:hAnsi="Arial"/>
          <w:sz w:val="16"/>
          <w:szCs w:val="16"/>
          <w:color w:val="auto"/>
        </w:rPr>
        <w:t xml:space="preserve">14.8.1. </w:t>
      </w:r>
      <w:r>
        <w:rPr>
          <w:rFonts w:ascii="Arial" w:cs="Arial" w:eastAsia="Arial" w:hAnsi="Arial"/>
          <w:sz w:val="16"/>
          <w:szCs w:val="16"/>
          <w:u w:val="single" w:color="auto"/>
          <w:color w:val="auto"/>
        </w:rPr>
        <w:t>Missing Persons</w:t>
      </w:r>
      <w:r>
        <w:rPr>
          <w:rFonts w:ascii="Arial" w:cs="Arial" w:eastAsia="Arial" w:hAnsi="Arial"/>
          <w:sz w:val="16"/>
          <w:szCs w:val="16"/>
          <w:color w:val="auto"/>
        </w:rPr>
        <w:t>. Neither the Trustee nor any Participating Company shall be obliged to search for or ascertain the whereabouts of any individual entitled to benefits under the Plan. Any individual entitled to benefits under the Plan who does not file a timely claim for his benefits will be allowed to file a claim at any later date, and payment of his benefits will commence after that later date, except that, in the event the Participating Company is satisfied that a Participant has no Spouse or that a Participant’s Spouse cannot be located (as described in Section 5.11), and the Participant is in fact married or the Spouse is later located, whichever is applicable, such Spouse shall not be deemed an individual entitled to benefits under the Plan. In the event that a Participant or beneficiary does not claim his benefits by the applicable required beginning date in accordance with section 401(a)</w:t>
      </w:r>
    </w:p>
    <w:p>
      <w:pPr>
        <w:spacing w:after="0" w:line="5" w:lineRule="exact"/>
        <w:rPr>
          <w:sz w:val="20"/>
          <w:szCs w:val="20"/>
          <w:color w:val="auto"/>
        </w:rPr>
      </w:pPr>
    </w:p>
    <w:p>
      <w:pPr>
        <w:ind w:right="180" w:firstLine="8"/>
        <w:spacing w:after="0" w:line="261" w:lineRule="auto"/>
        <w:tabs>
          <w:tab w:leader="none" w:pos="2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of the Code and the regulations thereunder, the Plan shall forfeit the Account. If and when a claim for benefits is made after such forfeiture, the Account balance as of the date of forfeiture shall be subject to reinstatement.</w:t>
      </w:r>
    </w:p>
    <w:p>
      <w:pPr>
        <w:spacing w:after="0" w:line="184" w:lineRule="exact"/>
        <w:rPr>
          <w:sz w:val="20"/>
          <w:szCs w:val="20"/>
          <w:color w:val="auto"/>
        </w:rPr>
      </w:pPr>
    </w:p>
    <w:p>
      <w:pPr>
        <w:ind w:firstLine="1940"/>
        <w:spacing w:after="0" w:line="255" w:lineRule="auto"/>
        <w:rPr>
          <w:sz w:val="20"/>
          <w:szCs w:val="20"/>
          <w:color w:val="auto"/>
        </w:rPr>
      </w:pPr>
      <w:r>
        <w:rPr>
          <w:rFonts w:ascii="Arial" w:cs="Arial" w:eastAsia="Arial" w:hAnsi="Arial"/>
          <w:sz w:val="18"/>
          <w:szCs w:val="18"/>
          <w:color w:val="auto"/>
        </w:rPr>
        <w:t xml:space="preserve">14.8.2. </w:t>
      </w:r>
      <w:r>
        <w:rPr>
          <w:rFonts w:ascii="Arial" w:cs="Arial" w:eastAsia="Arial" w:hAnsi="Arial"/>
          <w:sz w:val="18"/>
          <w:szCs w:val="18"/>
          <w:u w:val="single" w:color="auto"/>
          <w:color w:val="auto"/>
        </w:rPr>
        <w:t>Uncashed Checks</w:t>
      </w:r>
      <w:r>
        <w:rPr>
          <w:rFonts w:ascii="Arial" w:cs="Arial" w:eastAsia="Arial" w:hAnsi="Arial"/>
          <w:sz w:val="18"/>
          <w:szCs w:val="18"/>
          <w:color w:val="auto"/>
        </w:rPr>
        <w:t>. If a Participant requests payment of his benefits or if the Participant is automatically cashed out pursuant to Section 5.6.1, and such Participant does not cash the distribution check, the distribution amount will be reinstated under the Plan and invested in the Plan’s default investment alternative, subject to the following: (a) if the distribution was not subject to withholding because it was intended to be a direct rollover, or if the distribution was subject to withholding and the reinstatement occurs within the same Plan Year as the initial check issuance, the distribution amount will be reinstated in the same Accounts as immediately preceding the distribution; (b) if the distribution was subject to withholding and the reinstatement occurs after the close of the Plan Year in which the initial check issuance occurred, the distribution amount will be reinstated as an amount in the After-Tax Rollover Account.</w:t>
      </w:r>
    </w:p>
    <w:p>
      <w:pPr>
        <w:spacing w:after="0" w:line="189"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 xml:space="preserve">Section 14.9. </w:t>
      </w:r>
      <w:r>
        <w:rPr>
          <w:rFonts w:ascii="Arial" w:cs="Arial" w:eastAsia="Arial" w:hAnsi="Arial"/>
          <w:sz w:val="17"/>
          <w:szCs w:val="17"/>
          <w:u w:val="single" w:color="auto"/>
          <w:color w:val="auto"/>
        </w:rPr>
        <w:t>Notice</w:t>
      </w:r>
      <w:r>
        <w:rPr>
          <w:rFonts w:ascii="Arial" w:cs="Arial" w:eastAsia="Arial" w:hAnsi="Arial"/>
          <w:sz w:val="17"/>
          <w:szCs w:val="17"/>
          <w:color w:val="auto"/>
        </w:rPr>
        <w:t>. Notices required to be given by Participants pursuant to the terms of the Plan must be in writing; provided, however, that the Company may approve, in lieu of written notice, alternative methods of notice, including electronic modes of communication.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303" w:name="page304"/>
    <w:bookmarkEnd w:id="30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SERVICE CREDIT FOR FORMER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EMPLOYEES OF CERTAIN ACQUIRED BUSINESSES</w:t>
      </w:r>
    </w:p>
    <w:p>
      <w:pPr>
        <w:spacing w:after="0" w:line="211"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Additional Service Credit</w:t>
      </w:r>
      <w:r>
        <w:rPr>
          <w:rFonts w:ascii="Arial" w:cs="Arial" w:eastAsia="Arial" w:hAnsi="Arial"/>
          <w:sz w:val="16"/>
          <w:szCs w:val="16"/>
          <w:color w:val="auto"/>
        </w:rPr>
        <w:t>. Notwithstanding any provision of the Plan to the contrary, each Employee who is described in Section 15.3 shall, for the purpose of determining his eligibility to participate in the Plan under Article II, and his vested status under Article VI, receive credit for his period of employment with a Listed Employer, as if such Listed Employer had been a Participating Company during such period of employment.</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Section 15.2. </w:t>
      </w:r>
      <w:r>
        <w:rPr>
          <w:rFonts w:ascii="Arial" w:cs="Arial" w:eastAsia="Arial" w:hAnsi="Arial"/>
          <w:sz w:val="17"/>
          <w:szCs w:val="17"/>
          <w:u w:val="single" w:color="auto"/>
          <w:color w:val="auto"/>
        </w:rPr>
        <w:t>Listed Employer</w:t>
      </w:r>
      <w:r>
        <w:rPr>
          <w:rFonts w:ascii="Arial" w:cs="Arial" w:eastAsia="Arial" w:hAnsi="Arial"/>
          <w:sz w:val="17"/>
          <w:szCs w:val="17"/>
          <w:color w:val="auto"/>
        </w:rPr>
        <w:t>. For purposes of this Article XV, a Listed Employer is an entity, with respect to which all or a portion of its stock and/or assets are purchased by an Affiliated Company, which is designated by the Board or its authorized delegate as a Listed Employer.</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15.3. </w:t>
      </w:r>
      <w:r>
        <w:rPr>
          <w:rFonts w:ascii="Arial" w:cs="Arial" w:eastAsia="Arial" w:hAnsi="Arial"/>
          <w:sz w:val="18"/>
          <w:szCs w:val="18"/>
          <w:u w:val="single" w:color="auto"/>
          <w:color w:val="auto"/>
        </w:rPr>
        <w:t>Applicability</w:t>
      </w:r>
      <w:r>
        <w:rPr>
          <w:rFonts w:ascii="Arial" w:cs="Arial" w:eastAsia="Arial" w:hAnsi="Arial"/>
          <w:sz w:val="18"/>
          <w:szCs w:val="18"/>
          <w:color w:val="auto"/>
        </w:rPr>
        <w:t>. This Article shall apply to any individual who becomes an employee of a Participating Company directly from a Listed Employer. Notwithstanding anything herein to the contrary, this Article XV shall apply to any individual who becomes an employee of a Participating Company directly from Susquehanna Cable Co. (“Susquehanna”) or any of the Selling Subsidiaries as defined in the Asset Purchase Agreement between Susquehanna and Comcast Corporation dated October 31, 2005 (the “Susquehanna APA”), during the period beginning on February 20, 2006 and ending on the date immediately following the date on which the transaction contemplated under the Susquehanna APA becomes effective (or December 31, 2006, if such transaction is not completed by that date).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(i) Adelphia Communications Corporation (“Adelphia”) only for the one year period following the date on which the transaction contemplated under the Asset Purchase Agreement between Adelphia and Comcast Corporation dated April 20, 2005 (the “Adelphia Transaction”) is completed and (ii) Time Warner NY Cable LLC (“Time Warner”) as of the date the transaction contemplated under the Asset Purchase Agreement between Time Warner and Adelphia dated April 20, 2005 (the “Time Warner Transaction”) is completed.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anything herein to the contrary, this Article XV shall apply to any individual who becomes an employee of a Participating Company directly from Time Warner Houston as of January 1, 2007 pursuant to the Employment Matters Agreement by and among Texas and Kansas City Cable Partners, LLP, Time Warner Entertainment-Advance/Newhouse Partnership, TWE-A/N Texas Cable Partners General Partners LLC, TCI Texas Cable Holdings LLC, TCI Texas Cable, LLC, Comcast TCP Holdings, Inc. and Comcast TCP Holdings, LLC. Notwithstanding anything herein to the contrary, this Article XV shall not apply for the period August 1, 2006 through December 17, 2006 to any individual who becomes an employee of a Participating Company directly from thePlatform for Media, Inc.</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Limitation</w:t>
      </w:r>
      <w:r>
        <w:rPr>
          <w:rFonts w:ascii="Arial" w:cs="Arial" w:eastAsia="Arial" w:hAnsi="Arial"/>
          <w:sz w:val="18"/>
          <w:szCs w:val="18"/>
          <w:color w:val="auto"/>
        </w:rPr>
        <w:t>. Notwithstanding any provision of this Article to the contrary, the application of this Article shall not cause any Employee to become a Participant in the Plan prior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304" w:name="page305"/>
    <w:bookmarkEnd w:id="30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effective date of an entity being designated as a Listed Employer with which he was employed, unless he would have become a Participant at an earlier date without regard to this Article.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273" w:right="29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SPORTS NETWORK (PHILADELPHIA) L.P.</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16.1. </w:t>
      </w:r>
      <w:r>
        <w:rPr>
          <w:rFonts w:ascii="Arial" w:cs="Arial" w:eastAsia="Arial" w:hAnsi="Arial"/>
          <w:sz w:val="18"/>
          <w:szCs w:val="18"/>
          <w:u w:val="single" w:color="auto"/>
          <w:color w:val="auto"/>
        </w:rPr>
        <w:t>General</w:t>
      </w:r>
      <w:r>
        <w:rPr>
          <w:rFonts w:ascii="Arial" w:cs="Arial" w:eastAsia="Arial" w:hAnsi="Arial"/>
          <w:sz w:val="18"/>
          <w:szCs w:val="18"/>
          <w:color w:val="auto"/>
        </w:rPr>
        <w:t>. Comcast Sports Network (Philadelphia) L.P., a Pennsylvania limited partnership (formerly known as Philadelphia Sports Media LP) (“CSN”) and each of its subsidiaries that are members of the controlled group of trades or businesses that includes CSN, became a Participating Company hereunder, effective July 1, 2001.</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 xml:space="preserve">Section 16.2. </w:t>
      </w:r>
      <w:r>
        <w:rPr>
          <w:rFonts w:ascii="Arial" w:cs="Arial" w:eastAsia="Arial" w:hAnsi="Arial"/>
          <w:sz w:val="16"/>
          <w:szCs w:val="16"/>
          <w:u w:val="single" w:color="auto"/>
          <w:color w:val="auto"/>
        </w:rPr>
        <w:t>Eligibility and Vesting Service</w:t>
      </w:r>
      <w:r>
        <w:rPr>
          <w:rFonts w:ascii="Arial" w:cs="Arial" w:eastAsia="Arial" w:hAnsi="Arial"/>
          <w:sz w:val="16"/>
          <w:szCs w:val="16"/>
          <w:color w:val="auto"/>
        </w:rPr>
        <w:t>. For purposes of determining a Covered Employee’s eligibility to participate and his vested status under the Plan, a Covered Employee’s period of employment with CSN before July 1, 2001 shall be counted as part of his Period of Service under this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16.3.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 Notwithstanding any provision of Article II to the contrary:</w:t>
      </w:r>
    </w:p>
    <w:p>
      <w:pPr>
        <w:spacing w:after="0" w:line="225" w:lineRule="exact"/>
        <w:rPr>
          <w:sz w:val="20"/>
          <w:szCs w:val="20"/>
          <w:color w:val="auto"/>
        </w:rPr>
      </w:pPr>
    </w:p>
    <w:p>
      <w:pPr>
        <w:jc w:val="both"/>
        <w:ind w:right="80" w:firstLine="1940"/>
        <w:spacing w:after="0" w:line="277" w:lineRule="auto"/>
        <w:rPr>
          <w:sz w:val="20"/>
          <w:szCs w:val="20"/>
          <w:color w:val="auto"/>
        </w:rPr>
      </w:pPr>
      <w:r>
        <w:rPr>
          <w:rFonts w:ascii="Arial" w:cs="Arial" w:eastAsia="Arial" w:hAnsi="Arial"/>
          <w:sz w:val="18"/>
          <w:szCs w:val="18"/>
          <w:color w:val="auto"/>
        </w:rPr>
        <w:t>16.3.1. Each Covered Employee of CSN who was eligible to participate in the Comcast-Spectacor 401(k) Plan as of June 30, 2001 was eligible to participate in the Plan as of July 1, 2001.</w:t>
      </w:r>
    </w:p>
    <w:p>
      <w:pPr>
        <w:spacing w:after="0" w:line="17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16.3.2. Each other CSN Covered Employee shall be eligible to participate in accordance with the provision of Article II.</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 xml:space="preserve">Section 16.4.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CSN and all entities which are Affiliated Companies with respect to CSN shall be treated, to the extent required by law, as a separate part of a multiple employer plan, unless and until CSN and its Affiliated Companies become members of the controlled group of employers (within the meaning of section 414(b) of section 414(c) of the Code) that includes the Company. For purposes of the Plan and this Article XVI, an individual shall be treated as an employee of CSN or its Affiliated Companies if such employee is listed as an employee of CSN or its Affiliated Companies as of the last day of a Plan Year.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3" w:right="239" w:bottom="1440" w:gutter="0" w:footer="0" w:header="0"/>
        </w:sectPr>
      </w:pPr>
    </w:p>
    <w:bookmarkStart w:id="306" w:name="page307"/>
    <w:bookmarkEnd w:id="30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Executed as of the 22nd of October, 2013</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263271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5660"/>
        <w:spacing w:after="0"/>
        <w:tabs>
          <w:tab w:leader="none" w:pos="6520" w:val="left"/>
        </w:tabs>
        <w:rPr>
          <w:sz w:val="20"/>
          <w:szCs w:val="20"/>
          <w:color w:val="auto"/>
        </w:rPr>
      </w:pPr>
      <w:r>
        <w:rPr>
          <w:rFonts w:ascii="Arial" w:cs="Arial" w:eastAsia="Arial" w:hAnsi="Arial"/>
          <w:sz w:val="18"/>
          <w:szCs w:val="18"/>
          <w:color w:val="auto"/>
        </w:rPr>
        <w:t>ATTEST:</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14605</wp:posOffset>
            </wp:positionV>
            <wp:extent cx="234124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9019"/>
          </w:cols>
          <w:pgMar w:left="1440" w:top="274" w:right="1440"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MINIMUM DISTRIBUTION REQUIREMENTS</w:t>
      </w:r>
    </w:p>
    <w:p>
      <w:pPr>
        <w:spacing w:after="0" w:line="211" w:lineRule="exact"/>
        <w:rPr>
          <w:sz w:val="20"/>
          <w:szCs w:val="20"/>
          <w:color w:val="auto"/>
        </w:rPr>
      </w:pPr>
    </w:p>
    <w:p>
      <w:pPr>
        <w:ind w:left="1620" w:hanging="188"/>
        <w:spacing w:after="0"/>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General Rules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40" w:firstLine="1948"/>
        <w:spacing w:after="0" w:line="277" w:lineRule="auto"/>
        <w:tabs>
          <w:tab w:leader="none" w:pos="217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provisions of this Schedule A will apply for purposes of determining required minimum distributions for calendar years beginning on or after January 1, 2003.</w:t>
      </w:r>
    </w:p>
    <w:p>
      <w:pPr>
        <w:spacing w:after="0" w:line="170" w:lineRule="exact"/>
        <w:rPr>
          <w:rFonts w:ascii="Arial" w:cs="Arial" w:eastAsia="Arial" w:hAnsi="Arial"/>
          <w:sz w:val="18"/>
          <w:szCs w:val="18"/>
          <w:color w:val="auto"/>
        </w:rPr>
      </w:pPr>
    </w:p>
    <w:p>
      <w:pPr>
        <w:ind w:left="2180" w:hanging="292"/>
        <w:spacing w:after="0"/>
        <w:tabs>
          <w:tab w:leader="none" w:pos="2180" w:val="left"/>
        </w:tabs>
        <w:numPr>
          <w:ilvl w:val="1"/>
          <w:numId w:val="213"/>
        </w:numPr>
        <w:rPr>
          <w:rFonts w:ascii="Arial" w:cs="Arial" w:eastAsia="Arial" w:hAnsi="Arial"/>
          <w:sz w:val="17"/>
          <w:szCs w:val="17"/>
          <w:color w:val="auto"/>
        </w:rPr>
      </w:pPr>
      <w:r>
        <w:rPr>
          <w:rFonts w:ascii="Arial" w:cs="Arial" w:eastAsia="Arial" w:hAnsi="Arial"/>
          <w:sz w:val="17"/>
          <w:szCs w:val="17"/>
          <w:u w:val="single" w:color="auto"/>
          <w:color w:val="auto"/>
        </w:rPr>
        <w:t>Precedence</w:t>
      </w:r>
      <w:r>
        <w:rPr>
          <w:rFonts w:ascii="Arial" w:cs="Arial" w:eastAsia="Arial" w:hAnsi="Arial"/>
          <w:sz w:val="17"/>
          <w:szCs w:val="17"/>
          <w:color w:val="auto"/>
        </w:rPr>
        <w:t>. The requirements of this Schedule A will take precedence over any inconsistent provisions of the Plan.</w:t>
      </w:r>
    </w:p>
    <w:p>
      <w:pPr>
        <w:spacing w:after="0" w:line="236" w:lineRule="exact"/>
        <w:rPr>
          <w:rFonts w:ascii="Arial" w:cs="Arial" w:eastAsia="Arial" w:hAnsi="Arial"/>
          <w:sz w:val="17"/>
          <w:szCs w:val="17"/>
          <w:color w:val="auto"/>
        </w:rPr>
      </w:pPr>
    </w:p>
    <w:p>
      <w:pPr>
        <w:ind w:left="-60" w:right="160" w:firstLine="1948"/>
        <w:spacing w:after="0" w:line="277" w:lineRule="auto"/>
        <w:tabs>
          <w:tab w:leader="none" w:pos="216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Requirements of Treasury Regulations Incorporated</w:t>
      </w:r>
      <w:r>
        <w:rPr>
          <w:rFonts w:ascii="Arial" w:cs="Arial" w:eastAsia="Arial" w:hAnsi="Arial"/>
          <w:sz w:val="18"/>
          <w:szCs w:val="18"/>
          <w:color w:val="auto"/>
        </w:rPr>
        <w:t>. All distributions required under this Schedule A will be determined and made in accordance with the Treasury Regulations under section 401(a)(9) of the Code.</w:t>
      </w:r>
    </w:p>
    <w:p>
      <w:pPr>
        <w:spacing w:after="0" w:line="170" w:lineRule="exact"/>
        <w:rPr>
          <w:rFonts w:ascii="Arial" w:cs="Arial" w:eastAsia="Arial" w:hAnsi="Arial"/>
          <w:sz w:val="18"/>
          <w:szCs w:val="18"/>
          <w:color w:val="auto"/>
        </w:rPr>
      </w:pPr>
    </w:p>
    <w:p>
      <w:pPr>
        <w:ind w:left="-60" w:right="320" w:firstLine="1948"/>
        <w:spacing w:after="0" w:line="264" w:lineRule="auto"/>
        <w:tabs>
          <w:tab w:leader="none" w:pos="217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TEFRA Section 242(b)(2) Elections</w:t>
      </w:r>
      <w:r>
        <w:rPr>
          <w:rFonts w:ascii="Arial" w:cs="Arial" w:eastAsia="Arial" w:hAnsi="Arial"/>
          <w:sz w:val="18"/>
          <w:szCs w:val="18"/>
          <w:color w:val="auto"/>
        </w:rPr>
        <w:t>. Notwithstanding the other provisions of this Schedule A, distributions may be made under a designation made before January 1, 1984, in accordance with section 242(b)(2) of the Tax Equity and Fiscal Responsibility Act (TEFRA) and the provisions of the Plan that relate to section 242(b)(2) of TEFRA.</w:t>
      </w:r>
    </w:p>
    <w:p>
      <w:pPr>
        <w:spacing w:after="0" w:line="181" w:lineRule="exact"/>
        <w:rPr>
          <w:rFonts w:ascii="Arial" w:cs="Arial" w:eastAsia="Arial" w:hAnsi="Arial"/>
          <w:sz w:val="18"/>
          <w:szCs w:val="18"/>
          <w:color w:val="auto"/>
        </w:rPr>
      </w:pPr>
    </w:p>
    <w:p>
      <w:pPr>
        <w:ind w:left="1620" w:hanging="188"/>
        <w:spacing w:after="0"/>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Time and Manner of Distribution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160" w:firstLine="1948"/>
        <w:spacing w:after="0" w:line="277" w:lineRule="auto"/>
        <w:tabs>
          <w:tab w:leader="none" w:pos="217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Participant’s entire interest will be distributed, or begin to be distributed, to the Participant no later than the Participant’s Required Beginning Date.</w:t>
      </w:r>
    </w:p>
    <w:p>
      <w:pPr>
        <w:spacing w:after="0" w:line="170" w:lineRule="exact"/>
        <w:rPr>
          <w:rFonts w:ascii="Arial" w:cs="Arial" w:eastAsia="Arial" w:hAnsi="Arial"/>
          <w:sz w:val="18"/>
          <w:szCs w:val="18"/>
          <w:color w:val="auto"/>
        </w:rPr>
      </w:pPr>
    </w:p>
    <w:p>
      <w:pPr>
        <w:ind w:left="-60" w:right="460" w:firstLine="1948"/>
        <w:spacing w:after="0" w:line="277" w:lineRule="auto"/>
        <w:tabs>
          <w:tab w:leader="none" w:pos="2165"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Death of Participant Before Distributions Begin</w:t>
      </w:r>
      <w:r>
        <w:rPr>
          <w:rFonts w:ascii="Arial" w:cs="Arial" w:eastAsia="Arial" w:hAnsi="Arial"/>
          <w:sz w:val="18"/>
          <w:szCs w:val="18"/>
          <w:color w:val="auto"/>
        </w:rPr>
        <w:t>. If the Participant dies before distributions begin, the Participant’s entire interest will be distributed, or begin to be distributed, no later than as follows:</w:t>
      </w:r>
    </w:p>
    <w:p>
      <w:pPr>
        <w:spacing w:after="0" w:line="170" w:lineRule="exact"/>
        <w:rPr>
          <w:rFonts w:ascii="Arial" w:cs="Arial" w:eastAsia="Arial" w:hAnsi="Arial"/>
          <w:sz w:val="18"/>
          <w:szCs w:val="18"/>
          <w:color w:val="auto"/>
        </w:rPr>
      </w:pPr>
    </w:p>
    <w:p>
      <w:pPr>
        <w:ind w:left="-60" w:right="100" w:firstLine="2975"/>
        <w:spacing w:after="0" w:line="269" w:lineRule="auto"/>
        <w:tabs>
          <w:tab w:leader="none" w:pos="3162" w:val="left"/>
        </w:tabs>
        <w:numPr>
          <w:ilvl w:val="2"/>
          <w:numId w:val="213"/>
        </w:numPr>
        <w:rPr>
          <w:rFonts w:ascii="Arial" w:cs="Arial" w:eastAsia="Arial" w:hAnsi="Arial"/>
          <w:sz w:val="18"/>
          <w:szCs w:val="18"/>
          <w:color w:val="auto"/>
        </w:rPr>
      </w:pPr>
      <w:r>
        <w:rPr>
          <w:rFonts w:ascii="Arial" w:cs="Arial" w:eastAsia="Arial" w:hAnsi="Arial"/>
          <w:sz w:val="18"/>
          <w:szCs w:val="18"/>
          <w:color w:val="auto"/>
        </w:rPr>
        <w:t xml:space="preserve">If the Participant’s surviving Spouse is the Participant’s sole Designated Beneficiary, then distributions to the surviving Spouse will begin by December 31 of the calendar year immediately following the calendar year in which the Participant died, or by December 31 of the calendar year in which the Participant would have attained Age 70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if later.</w:t>
      </w:r>
    </w:p>
    <w:p>
      <w:pPr>
        <w:spacing w:after="0" w:line="13" w:lineRule="exact"/>
        <w:rPr>
          <w:rFonts w:ascii="Arial" w:cs="Arial" w:eastAsia="Arial" w:hAnsi="Arial"/>
          <w:sz w:val="18"/>
          <w:szCs w:val="18"/>
          <w:color w:val="auto"/>
        </w:rPr>
      </w:pPr>
    </w:p>
    <w:p>
      <w:pPr>
        <w:ind w:left="-60" w:right="40" w:firstLine="2975"/>
        <w:spacing w:after="0" w:line="312" w:lineRule="auto"/>
        <w:tabs>
          <w:tab w:leader="none" w:pos="3162" w:val="left"/>
        </w:tabs>
        <w:numPr>
          <w:ilvl w:val="2"/>
          <w:numId w:val="213"/>
        </w:numPr>
        <w:rPr>
          <w:rFonts w:ascii="Arial" w:cs="Arial" w:eastAsia="Arial" w:hAnsi="Arial"/>
          <w:sz w:val="16"/>
          <w:szCs w:val="16"/>
          <w:color w:val="auto"/>
        </w:rPr>
      </w:pPr>
      <w:r>
        <w:rPr>
          <w:rFonts w:ascii="Arial" w:cs="Arial" w:eastAsia="Arial" w:hAnsi="Arial"/>
          <w:sz w:val="16"/>
          <w:szCs w:val="16"/>
          <w:color w:val="auto"/>
        </w:rPr>
        <w:t>If the Participant’s surviving Spouse is not the Participant’s sole Designated Beneficiary, then (a) distributions to the Designated Beneficiary will begin by December 31 of the calendar year immediately following the calendar year in which the Participant died or (b) the Designated Beneficiary’s entire interest shall be distributed by December 31 of the calendar year containing the fifth anniversary of the Participant’s death.</w:t>
      </w:r>
    </w:p>
    <w:p>
      <w:pPr>
        <w:spacing w:after="0" w:line="146" w:lineRule="exact"/>
        <w:rPr>
          <w:rFonts w:ascii="Arial" w:cs="Arial" w:eastAsia="Arial" w:hAnsi="Arial"/>
          <w:sz w:val="16"/>
          <w:szCs w:val="16"/>
          <w:color w:val="auto"/>
        </w:rPr>
      </w:pPr>
    </w:p>
    <w:p>
      <w:pPr>
        <w:ind w:left="-60" w:firstLine="2975"/>
        <w:spacing w:after="0" w:line="308" w:lineRule="auto"/>
        <w:tabs>
          <w:tab w:leader="none" w:pos="3162" w:val="left"/>
        </w:tabs>
        <w:numPr>
          <w:ilvl w:val="2"/>
          <w:numId w:val="213"/>
        </w:numPr>
        <w:rPr>
          <w:rFonts w:ascii="Arial" w:cs="Arial" w:eastAsia="Arial" w:hAnsi="Arial"/>
          <w:sz w:val="17"/>
          <w:szCs w:val="17"/>
          <w:color w:val="auto"/>
        </w:rPr>
      </w:pPr>
      <w:r>
        <w:rPr>
          <w:rFonts w:ascii="Arial" w:cs="Arial" w:eastAsia="Arial" w:hAnsi="Arial"/>
          <w:sz w:val="17"/>
          <w:szCs w:val="17"/>
          <w:color w:val="auto"/>
        </w:rPr>
        <w:t>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46" w:lineRule="exact"/>
        <w:rPr>
          <w:rFonts w:ascii="Arial" w:cs="Arial" w:eastAsia="Arial" w:hAnsi="Arial"/>
          <w:sz w:val="17"/>
          <w:szCs w:val="17"/>
          <w:color w:val="auto"/>
        </w:rPr>
      </w:pPr>
    </w:p>
    <w:p>
      <w:pPr>
        <w:jc w:val="both"/>
        <w:ind w:left="-60" w:right="220" w:firstLine="2975"/>
        <w:spacing w:after="0" w:line="264" w:lineRule="auto"/>
        <w:tabs>
          <w:tab w:leader="none" w:pos="3162" w:val="left"/>
        </w:tabs>
        <w:numPr>
          <w:ilvl w:val="2"/>
          <w:numId w:val="213"/>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and the surviving Spouse dies after the Participant but before distributions to the surviving Spouse begin, this Section 2(B), other than Section 2(B)(1), will apply as if the surviving Spouse were the Participant.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20"/>
          </w:cols>
          <w:pgMar w:left="300" w:top="274" w:right="279" w:bottom="1440" w:gutter="0" w:footer="0" w:header="0"/>
        </w:sectPr>
      </w:pPr>
    </w:p>
    <w:bookmarkStart w:id="308" w:name="page309"/>
    <w:bookmarkEnd w:id="308"/>
    <w:p>
      <w:pPr>
        <w:ind w:right="100" w:firstLine="1484"/>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2(B) and Section 4, unless Section 2(B)(4) applies, distributions are considered to begin on the Participant’s Required Beginning Date. If Section 2(B)(4) applies, distributions are considered to begin on the date distributions are required to begin to the surviving Spouse under Section 2(B)(1).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2(B)(1)), the date distributions are considered to begin is the date distributions actually commence.</w:t>
      </w:r>
    </w:p>
    <w:p>
      <w:pPr>
        <w:spacing w:after="0" w:line="173" w:lineRule="exact"/>
        <w:rPr>
          <w:sz w:val="20"/>
          <w:szCs w:val="20"/>
          <w:color w:val="auto"/>
        </w:rPr>
      </w:pPr>
    </w:p>
    <w:p>
      <w:pPr>
        <w:ind w:firstLine="1948"/>
        <w:spacing w:after="0" w:line="279" w:lineRule="auto"/>
        <w:tabs>
          <w:tab w:leader="none" w:pos="2225"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Forms of Distribution</w:t>
      </w:r>
      <w:r>
        <w:rPr>
          <w:rFonts w:ascii="Arial" w:cs="Arial" w:eastAsia="Arial" w:hAnsi="Arial"/>
          <w:sz w:val="17"/>
          <w:szCs w:val="17"/>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3 and 4 of this Schedule A. If the Participant’s interest is distributed in the form of an annuity purchased from an insurance company, distributions thereunder will be made in accordance with the requirements of section 401(a)(9) of the Code and the Treasury Regulations.</w:t>
      </w:r>
    </w:p>
    <w:p>
      <w:pPr>
        <w:spacing w:after="0" w:line="171" w:lineRule="exact"/>
        <w:rPr>
          <w:rFonts w:ascii="Arial" w:cs="Arial" w:eastAsia="Arial" w:hAnsi="Arial"/>
          <w:sz w:val="17"/>
          <w:szCs w:val="17"/>
          <w:color w:val="auto"/>
        </w:rPr>
      </w:pPr>
    </w:p>
    <w:p>
      <w:pPr>
        <w:ind w:left="1680" w:hanging="188"/>
        <w:spacing w:after="0"/>
        <w:tabs>
          <w:tab w:leader="none" w:pos="16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Required Minimum Distributions During Participant’s Lifetime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0" w:firstLine="1948"/>
        <w:spacing w:after="0" w:line="277" w:lineRule="auto"/>
        <w:tabs>
          <w:tab w:leader="none" w:pos="2235"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Amount of Required Minimum Distribution For Each Distribution Calendar Year</w:t>
      </w:r>
      <w:r>
        <w:rPr>
          <w:rFonts w:ascii="Arial" w:cs="Arial" w:eastAsia="Arial" w:hAnsi="Arial"/>
          <w:sz w:val="18"/>
          <w:szCs w:val="18"/>
          <w:color w:val="auto"/>
        </w:rPr>
        <w:t>. During the Participant’s lifetime, the minimum amount that will be distributed for each Distribution Calendar Year is the lesser of:</w:t>
      </w:r>
    </w:p>
    <w:p>
      <w:pPr>
        <w:spacing w:after="0" w:line="170" w:lineRule="exact"/>
        <w:rPr>
          <w:rFonts w:ascii="Arial" w:cs="Arial" w:eastAsia="Arial" w:hAnsi="Arial"/>
          <w:sz w:val="18"/>
          <w:szCs w:val="18"/>
          <w:color w:val="auto"/>
        </w:rPr>
      </w:pPr>
    </w:p>
    <w:p>
      <w:pPr>
        <w:jc w:val="both"/>
        <w:ind w:right="280" w:firstLine="2975"/>
        <w:spacing w:after="0" w:line="264" w:lineRule="auto"/>
        <w:tabs>
          <w:tab w:leader="none" w:pos="3222" w:val="left"/>
        </w:tabs>
        <w:numPr>
          <w:ilvl w:val="2"/>
          <w:numId w:val="215"/>
        </w:numPr>
        <w:rPr>
          <w:rFonts w:ascii="Arial" w:cs="Arial" w:eastAsia="Arial" w:hAnsi="Arial"/>
          <w:sz w:val="18"/>
          <w:szCs w:val="18"/>
          <w:color w:val="auto"/>
        </w:rPr>
      </w:pPr>
      <w:r>
        <w:rPr>
          <w:rFonts w:ascii="Arial" w:cs="Arial" w:eastAsia="Arial" w:hAnsi="Arial"/>
          <w:sz w:val="18"/>
          <w:szCs w:val="18"/>
          <w:color w:val="auto"/>
        </w:rPr>
        <w:t>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181" w:lineRule="exact"/>
        <w:rPr>
          <w:rFonts w:ascii="Arial" w:cs="Arial" w:eastAsia="Arial" w:hAnsi="Arial"/>
          <w:sz w:val="18"/>
          <w:szCs w:val="18"/>
          <w:color w:val="auto"/>
        </w:rPr>
      </w:pPr>
    </w:p>
    <w:p>
      <w:pPr>
        <w:ind w:right="40" w:firstLine="2975"/>
        <w:spacing w:after="0" w:line="312" w:lineRule="auto"/>
        <w:tabs>
          <w:tab w:leader="none" w:pos="3222" w:val="left"/>
        </w:tabs>
        <w:numPr>
          <w:ilvl w:val="2"/>
          <w:numId w:val="215"/>
        </w:numPr>
        <w:rPr>
          <w:rFonts w:ascii="Arial" w:cs="Arial" w:eastAsia="Arial" w:hAnsi="Arial"/>
          <w:sz w:val="16"/>
          <w:szCs w:val="16"/>
          <w:color w:val="auto"/>
        </w:rPr>
      </w:pPr>
      <w:r>
        <w:rPr>
          <w:rFonts w:ascii="Arial" w:cs="Arial" w:eastAsia="Arial" w:hAnsi="Arial"/>
          <w:sz w:val="16"/>
          <w:szCs w:val="16"/>
          <w:color w:val="auto"/>
        </w:rPr>
        <w:t>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46" w:lineRule="exact"/>
        <w:rPr>
          <w:rFonts w:ascii="Arial" w:cs="Arial" w:eastAsia="Arial" w:hAnsi="Arial"/>
          <w:sz w:val="16"/>
          <w:szCs w:val="16"/>
          <w:color w:val="auto"/>
        </w:rPr>
      </w:pPr>
    </w:p>
    <w:p>
      <w:pPr>
        <w:ind w:right="320" w:firstLine="1948"/>
        <w:spacing w:after="0" w:line="264" w:lineRule="auto"/>
        <w:tabs>
          <w:tab w:leader="none" w:pos="2225"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Lifetime Required Minimum Distributions Continue Through Year of Participant’s Death</w:t>
      </w:r>
      <w:r>
        <w:rPr>
          <w:rFonts w:ascii="Arial" w:cs="Arial" w:eastAsia="Arial" w:hAnsi="Arial"/>
          <w:sz w:val="18"/>
          <w:szCs w:val="18"/>
          <w:color w:val="auto"/>
        </w:rPr>
        <w:t>. Required minimum distributions will be determined under this Section 3 beginning with the first Distribution Calendar Year and up to and including the Distribution Calendar Year that includes the Participant’s date of death.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309" w:name="page310"/>
    <w:bookmarkEnd w:id="309"/>
    <w:p>
      <w:pPr>
        <w:ind w:left="1680" w:hanging="188"/>
        <w:spacing w:after="0"/>
        <w:tabs>
          <w:tab w:leader="none" w:pos="168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Minimum Distributions After Participant’s 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40" w:hanging="292"/>
        <w:spacing w:after="0"/>
        <w:tabs>
          <w:tab w:leader="none" w:pos="2240"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Death On or After Date Distributions Begin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975"/>
        <w:spacing w:after="0" w:line="259" w:lineRule="auto"/>
        <w:tabs>
          <w:tab w:leader="none" w:pos="3222"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on or after the date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86" w:lineRule="exact"/>
        <w:rPr>
          <w:rFonts w:ascii="Arial" w:cs="Arial" w:eastAsia="Arial" w:hAnsi="Arial"/>
          <w:sz w:val="18"/>
          <w:szCs w:val="18"/>
          <w:color w:val="auto"/>
        </w:rPr>
      </w:pPr>
    </w:p>
    <w:p>
      <w:pPr>
        <w:ind w:left="3680" w:hanging="248"/>
        <w:spacing w:after="0"/>
        <w:tabs>
          <w:tab w:leader="none" w:pos="3680" w:val="left"/>
        </w:tabs>
        <w:numPr>
          <w:ilvl w:val="3"/>
          <w:numId w:val="216"/>
        </w:numPr>
        <w:rPr>
          <w:rFonts w:ascii="Arial" w:cs="Arial" w:eastAsia="Arial" w:hAnsi="Arial"/>
          <w:sz w:val="17"/>
          <w:szCs w:val="17"/>
          <w:color w:val="auto"/>
        </w:rPr>
      </w:pPr>
      <w:r>
        <w:rPr>
          <w:rFonts w:ascii="Arial" w:cs="Arial" w:eastAsia="Arial" w:hAnsi="Arial"/>
          <w:sz w:val="17"/>
          <w:szCs w:val="17"/>
          <w:color w:val="auto"/>
        </w:rPr>
        <w:t>The Participant’s remaining Life Expectancy is calculated using the Age of the Participant in the year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death, reduced by one for each subsequent year.</w:t>
      </w:r>
    </w:p>
    <w:p>
      <w:pPr>
        <w:spacing w:after="0" w:line="210" w:lineRule="exact"/>
        <w:rPr>
          <w:rFonts w:ascii="Arial" w:cs="Arial" w:eastAsia="Arial" w:hAnsi="Arial"/>
          <w:sz w:val="17"/>
          <w:szCs w:val="17"/>
          <w:color w:val="auto"/>
        </w:rPr>
      </w:pPr>
    </w:p>
    <w:p>
      <w:pPr>
        <w:ind w:right="20" w:firstLine="3432"/>
        <w:spacing w:after="0" w:line="257" w:lineRule="auto"/>
        <w:tabs>
          <w:tab w:leader="none" w:pos="3678" w:val="left"/>
        </w:tabs>
        <w:numPr>
          <w:ilvl w:val="3"/>
          <w:numId w:val="216"/>
        </w:numPr>
        <w:rPr>
          <w:rFonts w:ascii="Arial" w:cs="Arial" w:eastAsia="Arial" w:hAnsi="Arial"/>
          <w:sz w:val="18"/>
          <w:szCs w:val="18"/>
          <w:color w:val="auto"/>
        </w:rPr>
      </w:pPr>
      <w:r>
        <w:rPr>
          <w:rFonts w:ascii="Arial" w:cs="Arial" w:eastAsia="Arial" w:hAnsi="Arial"/>
          <w:sz w:val="18"/>
          <w:szCs w:val="18"/>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188" w:lineRule="exact"/>
        <w:rPr>
          <w:rFonts w:ascii="Arial" w:cs="Arial" w:eastAsia="Arial" w:hAnsi="Arial"/>
          <w:sz w:val="18"/>
          <w:szCs w:val="18"/>
          <w:color w:val="auto"/>
        </w:rPr>
      </w:pPr>
    </w:p>
    <w:p>
      <w:pPr>
        <w:ind w:left="4240" w:hanging="238"/>
        <w:spacing w:after="0"/>
        <w:tabs>
          <w:tab w:leader="none" w:pos="4240" w:val="left"/>
        </w:tabs>
        <w:numPr>
          <w:ilvl w:val="4"/>
          <w:numId w:val="216"/>
        </w:numPr>
        <w:rPr>
          <w:rFonts w:ascii="Arial" w:cs="Arial" w:eastAsia="Arial" w:hAnsi="Arial"/>
          <w:sz w:val="17"/>
          <w:szCs w:val="17"/>
          <w:color w:val="auto"/>
        </w:rPr>
      </w:pPr>
      <w:r>
        <w:rPr>
          <w:rFonts w:ascii="Arial" w:cs="Arial" w:eastAsia="Arial" w:hAnsi="Arial"/>
          <w:sz w:val="17"/>
          <w:szCs w:val="17"/>
          <w:color w:val="auto"/>
        </w:rPr>
        <w:t>If the Participant’s surviving Spouse is not the Participant’s sole Designated Beneficiary, the</w:t>
      </w:r>
    </w:p>
    <w:p>
      <w:pPr>
        <w:spacing w:after="0" w:line="34" w:lineRule="exact"/>
        <w:rPr>
          <w:rFonts w:ascii="Arial" w:cs="Arial" w:eastAsia="Arial" w:hAnsi="Arial"/>
          <w:sz w:val="17"/>
          <w:szCs w:val="17"/>
          <w:color w:val="auto"/>
        </w:rPr>
      </w:pPr>
    </w:p>
    <w:p>
      <w:pPr>
        <w:ind w:right="300"/>
        <w:spacing w:after="0" w:line="261" w:lineRule="auto"/>
        <w:rPr>
          <w:rFonts w:ascii="Arial" w:cs="Arial" w:eastAsia="Arial" w:hAnsi="Arial"/>
          <w:sz w:val="17"/>
          <w:szCs w:val="17"/>
          <w:color w:val="auto"/>
        </w:rPr>
      </w:pPr>
      <w:r>
        <w:rPr>
          <w:rFonts w:ascii="Arial" w:cs="Arial" w:eastAsia="Arial" w:hAnsi="Arial"/>
          <w:sz w:val="18"/>
          <w:szCs w:val="18"/>
          <w:color w:val="auto"/>
        </w:rPr>
        <w:t>Designated Beneficiary’s remaining Life Expectancy is calculated using the age of the beneficiary in the year following the year of the Participant’s death, reduced by one for each subsequent year.</w:t>
      </w:r>
    </w:p>
    <w:p>
      <w:pPr>
        <w:spacing w:after="0" w:line="183" w:lineRule="exact"/>
        <w:rPr>
          <w:rFonts w:ascii="Arial" w:cs="Arial" w:eastAsia="Arial" w:hAnsi="Arial"/>
          <w:sz w:val="17"/>
          <w:szCs w:val="17"/>
          <w:color w:val="auto"/>
        </w:rPr>
      </w:pPr>
    </w:p>
    <w:p>
      <w:pPr>
        <w:jc w:val="both"/>
        <w:ind w:right="120" w:firstLine="2975"/>
        <w:spacing w:after="0" w:line="279" w:lineRule="auto"/>
        <w:tabs>
          <w:tab w:leader="none" w:pos="3222" w:val="left"/>
        </w:tabs>
        <w:numPr>
          <w:ilvl w:val="2"/>
          <w:numId w:val="216"/>
        </w:numPr>
        <w:rPr>
          <w:rFonts w:ascii="Arial" w:cs="Arial" w:eastAsia="Arial" w:hAnsi="Arial"/>
          <w:sz w:val="17"/>
          <w:szCs w:val="17"/>
          <w:color w:val="auto"/>
        </w:rPr>
      </w:pPr>
      <w:r>
        <w:rPr>
          <w:rFonts w:ascii="Arial" w:cs="Arial" w:eastAsia="Arial" w:hAnsi="Arial"/>
          <w:sz w:val="17"/>
          <w:szCs w:val="17"/>
          <w:u w:val="single" w:color="auto"/>
          <w:color w:val="auto"/>
        </w:rPr>
        <w:t>No Designated Beneficiary</w:t>
      </w:r>
      <w:r>
        <w:rPr>
          <w:rFonts w:ascii="Arial" w:cs="Arial" w:eastAsia="Arial" w:hAnsi="Arial"/>
          <w:sz w:val="17"/>
          <w:szCs w:val="17"/>
          <w:color w:val="auto"/>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71" w:lineRule="exact"/>
        <w:rPr>
          <w:rFonts w:ascii="Arial" w:cs="Arial" w:eastAsia="Arial" w:hAnsi="Arial"/>
          <w:sz w:val="17"/>
          <w:szCs w:val="17"/>
          <w:color w:val="auto"/>
        </w:rPr>
      </w:pPr>
    </w:p>
    <w:p>
      <w:pPr>
        <w:ind w:left="2240" w:hanging="292"/>
        <w:spacing w:after="0"/>
        <w:tabs>
          <w:tab w:leader="none" w:pos="2240" w:val="left"/>
        </w:tabs>
        <w:numPr>
          <w:ilvl w:val="1"/>
          <w:numId w:val="216"/>
        </w:numPr>
        <w:rPr>
          <w:rFonts w:ascii="Arial" w:cs="Arial" w:eastAsia="Arial" w:hAnsi="Arial"/>
          <w:sz w:val="18"/>
          <w:szCs w:val="18"/>
          <w:color w:val="auto"/>
        </w:rPr>
      </w:pPr>
      <w:r>
        <w:rPr>
          <w:rFonts w:ascii="Arial" w:cs="Arial" w:eastAsia="Arial" w:hAnsi="Arial"/>
          <w:sz w:val="18"/>
          <w:szCs w:val="18"/>
          <w:u w:val="single" w:color="auto"/>
          <w:color w:val="auto"/>
        </w:rPr>
        <w:t>Death Before Date Distributions Begin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975"/>
        <w:spacing w:after="0" w:line="259" w:lineRule="auto"/>
        <w:tabs>
          <w:tab w:leader="none" w:pos="3222"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Participant Survived by Designated Beneficiary</w:t>
      </w:r>
      <w:r>
        <w:rPr>
          <w:rFonts w:ascii="Arial" w:cs="Arial" w:eastAsia="Arial" w:hAnsi="Arial"/>
          <w:sz w:val="18"/>
          <w:szCs w:val="18"/>
          <w:color w:val="auto"/>
        </w:rPr>
        <w:t>. If the Participant dies before the date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4(A).</w:t>
      </w:r>
    </w:p>
    <w:p>
      <w:pPr>
        <w:spacing w:after="0" w:line="186" w:lineRule="exact"/>
        <w:rPr>
          <w:rFonts w:ascii="Arial" w:cs="Arial" w:eastAsia="Arial" w:hAnsi="Arial"/>
          <w:sz w:val="18"/>
          <w:szCs w:val="18"/>
          <w:color w:val="auto"/>
        </w:rPr>
      </w:pPr>
    </w:p>
    <w:p>
      <w:pPr>
        <w:ind w:right="140" w:firstLine="2975"/>
        <w:spacing w:after="0" w:line="264" w:lineRule="auto"/>
        <w:tabs>
          <w:tab w:leader="none" w:pos="3222"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No Designated Beneficiary</w:t>
      </w:r>
      <w:r>
        <w:rPr>
          <w:rFonts w:ascii="Arial" w:cs="Arial" w:eastAsia="Arial" w:hAnsi="Arial"/>
          <w:sz w:val="18"/>
          <w:szCs w:val="18"/>
          <w:color w:val="auto"/>
        </w:rPr>
        <w:t>. If the Participant dies before the date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81" w:lineRule="exact"/>
        <w:rPr>
          <w:rFonts w:ascii="Arial" w:cs="Arial" w:eastAsia="Arial" w:hAnsi="Arial"/>
          <w:sz w:val="18"/>
          <w:szCs w:val="18"/>
          <w:color w:val="auto"/>
        </w:rPr>
      </w:pPr>
    </w:p>
    <w:p>
      <w:pPr>
        <w:ind w:right="240" w:firstLine="2975"/>
        <w:spacing w:after="0" w:line="259" w:lineRule="auto"/>
        <w:tabs>
          <w:tab w:leader="none" w:pos="3222" w:val="left"/>
        </w:tabs>
        <w:numPr>
          <w:ilvl w:val="2"/>
          <w:numId w:val="216"/>
        </w:numPr>
        <w:rPr>
          <w:rFonts w:ascii="Arial" w:cs="Arial" w:eastAsia="Arial" w:hAnsi="Arial"/>
          <w:sz w:val="18"/>
          <w:szCs w:val="18"/>
          <w:color w:val="auto"/>
        </w:rPr>
      </w:pPr>
      <w:r>
        <w:rPr>
          <w:rFonts w:ascii="Arial" w:cs="Arial" w:eastAsia="Arial" w:hAnsi="Arial"/>
          <w:sz w:val="18"/>
          <w:szCs w:val="18"/>
          <w:u w:val="single" w:color="auto"/>
          <w:color w:val="auto"/>
        </w:rPr>
        <w:t>Death of Surviving Spouse Before Distributions to Surviving Spouse Are Required to Begin</w:t>
      </w:r>
      <w:r>
        <w:rPr>
          <w:rFonts w:ascii="Arial" w:cs="Arial" w:eastAsia="Arial" w:hAnsi="Arial"/>
          <w:sz w:val="18"/>
          <w:szCs w:val="18"/>
          <w:color w:val="auto"/>
        </w:rPr>
        <w:t>. If the Participant dies before the date distributions begin, the Participant’s surviving Spouse is the Participant’s sole Designated Beneficiary, and the surviving Spouse dies before distributions are required to begin to the surviving Spouse under Section 2(B)(1), this Section 4(B) will apply as if the surviving Spouse were the Participant.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3" w:right="239" w:bottom="1440" w:gutter="0" w:footer="0" w:header="0"/>
        </w:sectPr>
      </w:pPr>
    </w:p>
    <w:bookmarkStart w:id="310" w:name="page311"/>
    <w:bookmarkEnd w:id="310"/>
    <w:p>
      <w:pPr>
        <w:ind w:left="1680" w:hanging="188"/>
        <w:spacing w:after="0"/>
        <w:tabs>
          <w:tab w:leader="none" w:pos="168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color w:val="auto"/>
        </w:rPr>
        <w:t>. For purposes of this Schedule, the following definitions are used.</w:t>
      </w:r>
    </w:p>
    <w:p>
      <w:pPr>
        <w:spacing w:after="0" w:line="225" w:lineRule="exact"/>
        <w:rPr>
          <w:rFonts w:ascii="Arial" w:cs="Arial" w:eastAsia="Arial" w:hAnsi="Arial"/>
          <w:sz w:val="18"/>
          <w:szCs w:val="18"/>
          <w:color w:val="auto"/>
        </w:rPr>
      </w:pPr>
    </w:p>
    <w:p>
      <w:pPr>
        <w:ind w:right="60" w:firstLine="1948"/>
        <w:spacing w:after="0" w:line="276" w:lineRule="auto"/>
        <w:tabs>
          <w:tab w:leader="none" w:pos="2235"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Account Balance</w:t>
      </w:r>
      <w:r>
        <w:rPr>
          <w:rFonts w:ascii="Arial" w:cs="Arial" w:eastAsia="Arial" w:hAnsi="Arial"/>
          <w:sz w:val="17"/>
          <w:szCs w:val="17"/>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72" w:lineRule="exact"/>
        <w:rPr>
          <w:rFonts w:ascii="Arial" w:cs="Arial" w:eastAsia="Arial" w:hAnsi="Arial"/>
          <w:sz w:val="17"/>
          <w:szCs w:val="17"/>
          <w:color w:val="auto"/>
        </w:rPr>
      </w:pPr>
    </w:p>
    <w:p>
      <w:pPr>
        <w:ind w:right="120" w:firstLine="1948"/>
        <w:spacing w:after="0" w:line="277" w:lineRule="auto"/>
        <w:tabs>
          <w:tab w:leader="none" w:pos="2225"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Designated Beneficiary</w:t>
      </w:r>
      <w:r>
        <w:rPr>
          <w:rFonts w:ascii="Arial" w:cs="Arial" w:eastAsia="Arial" w:hAnsi="Arial"/>
          <w:sz w:val="18"/>
          <w:szCs w:val="18"/>
          <w:color w:val="auto"/>
        </w:rPr>
        <w:t>. The individual who is designated as the beneficiary under the Plan and is the designated beneficiary under section 401(a)(9) of the Code and section 1.401(a)(9)-1, Q&amp;A-4, of the Treasury Regulations.</w:t>
      </w:r>
    </w:p>
    <w:p>
      <w:pPr>
        <w:spacing w:after="0" w:line="170" w:lineRule="exact"/>
        <w:rPr>
          <w:rFonts w:ascii="Arial" w:cs="Arial" w:eastAsia="Arial" w:hAnsi="Arial"/>
          <w:sz w:val="18"/>
          <w:szCs w:val="18"/>
          <w:color w:val="auto"/>
        </w:rPr>
      </w:pPr>
    </w:p>
    <w:p>
      <w:pPr>
        <w:ind w:firstLine="1948"/>
        <w:spacing w:after="0" w:line="255" w:lineRule="auto"/>
        <w:tabs>
          <w:tab w:leader="none" w:pos="2225"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Distribution Calendar Year</w:t>
      </w:r>
      <w:r>
        <w:rPr>
          <w:rFonts w:ascii="Arial" w:cs="Arial" w:eastAsia="Arial" w:hAnsi="Arial"/>
          <w:sz w:val="18"/>
          <w:szCs w:val="18"/>
          <w:color w:val="auto"/>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2(B).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89" w:lineRule="exact"/>
        <w:rPr>
          <w:rFonts w:ascii="Arial" w:cs="Arial" w:eastAsia="Arial" w:hAnsi="Arial"/>
          <w:sz w:val="18"/>
          <w:szCs w:val="18"/>
          <w:color w:val="auto"/>
        </w:rPr>
      </w:pPr>
    </w:p>
    <w:p>
      <w:pPr>
        <w:ind w:left="2240" w:hanging="292"/>
        <w:spacing w:after="0"/>
        <w:tabs>
          <w:tab w:leader="none" w:pos="2240"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Life Expectancy</w:t>
      </w:r>
      <w:r>
        <w:rPr>
          <w:rFonts w:ascii="Arial" w:cs="Arial" w:eastAsia="Arial" w:hAnsi="Arial"/>
          <w:sz w:val="17"/>
          <w:szCs w:val="17"/>
          <w:color w:val="auto"/>
        </w:rPr>
        <w:t>. Life expectancy as computed by use of the Single Life Table in section 1.401(a)(9)-9 of the Treasury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Regulations.</w:t>
      </w:r>
    </w:p>
    <w:p>
      <w:pPr>
        <w:spacing w:after="0" w:line="210" w:lineRule="exact"/>
        <w:rPr>
          <w:rFonts w:ascii="Arial" w:cs="Arial" w:eastAsia="Arial" w:hAnsi="Arial"/>
          <w:sz w:val="17"/>
          <w:szCs w:val="17"/>
          <w:color w:val="auto"/>
        </w:rPr>
      </w:pPr>
    </w:p>
    <w:p>
      <w:pPr>
        <w:ind w:right="300" w:firstLine="1948"/>
        <w:spacing w:after="0" w:line="277" w:lineRule="auto"/>
        <w:tabs>
          <w:tab w:leader="none" w:pos="2215"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Required Beginning Date</w:t>
      </w:r>
      <w:r>
        <w:rPr>
          <w:rFonts w:ascii="Arial" w:cs="Arial" w:eastAsia="Arial" w:hAnsi="Arial"/>
          <w:sz w:val="18"/>
          <w:szCs w:val="18"/>
          <w:color w:val="auto"/>
        </w:rPr>
        <w:t>. The date by which the distribution of a Participant’s nonforfeitable interest in his Account must commence, as specified in Article I of the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273"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Union Location</w:t>
            </w:r>
          </w:p>
        </w:tc>
        <w:tc>
          <w:tcPr>
            <w:tcW w:w="430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Union Code</w:t>
            </w:r>
          </w:p>
        </w:tc>
        <w:tc>
          <w:tcPr>
            <w:tcW w:w="720" w:type="dxa"/>
            <w:vAlign w:val="bottom"/>
          </w:tcPr>
          <w:p>
            <w:pPr>
              <w:spacing w:after="0"/>
              <w:rPr>
                <w:sz w:val="14"/>
                <w:szCs w:val="14"/>
                <w:color w:val="auto"/>
              </w:rPr>
            </w:pPr>
          </w:p>
        </w:tc>
        <w:tc>
          <w:tcPr>
            <w:tcW w:w="1960" w:type="dxa"/>
            <w:vAlign w:val="bottom"/>
          </w:tcPr>
          <w:p>
            <w:pPr>
              <w:ind w:left="360"/>
              <w:spacing w:after="0"/>
              <w:rPr>
                <w:sz w:val="20"/>
                <w:szCs w:val="20"/>
                <w:color w:val="auto"/>
              </w:rPr>
            </w:pPr>
            <w:r>
              <w:rPr>
                <w:rFonts w:ascii="Arial" w:cs="Arial" w:eastAsia="Arial" w:hAnsi="Arial"/>
                <w:sz w:val="14"/>
                <w:szCs w:val="14"/>
                <w:b w:val="1"/>
                <w:bCs w:val="1"/>
                <w:color w:val="auto"/>
              </w:rPr>
              <w:t>Date of Cessation of</w:t>
            </w:r>
          </w:p>
        </w:tc>
        <w:tc>
          <w:tcPr>
            <w:tcW w:w="0" w:type="dxa"/>
            <w:vAlign w:val="bottom"/>
          </w:tcPr>
          <w:p>
            <w:pPr>
              <w:spacing w:after="0"/>
              <w:rPr>
                <w:sz w:val="1"/>
                <w:szCs w:val="1"/>
                <w:color w:val="auto"/>
              </w:rPr>
            </w:pPr>
          </w:p>
        </w:tc>
      </w:tr>
      <w:tr>
        <w:trPr>
          <w:trHeight w:val="165"/>
        </w:trPr>
        <w:tc>
          <w:tcPr>
            <w:tcW w:w="3700" w:type="dxa"/>
            <w:vAlign w:val="bottom"/>
            <w:tcBorders>
              <w:bottom w:val="single" w:sz="8" w:color="auto"/>
            </w:tcBorders>
            <w:gridSpan w:val="2"/>
            <w:vMerge w:val="continue"/>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2"/>
              </w:rPr>
              <w:t>Eligible Union Employee Status</w:t>
            </w:r>
          </w:p>
        </w:tc>
        <w:tc>
          <w:tcPr>
            <w:tcW w:w="0" w:type="dxa"/>
            <w:vAlign w:val="bottom"/>
          </w:tcPr>
          <w:p>
            <w:pPr>
              <w:spacing w:after="0"/>
              <w:rPr>
                <w:sz w:val="1"/>
                <w:szCs w:val="1"/>
                <w:color w:val="auto"/>
              </w:rPr>
            </w:pPr>
          </w:p>
        </w:tc>
      </w:tr>
      <w:tr>
        <w:trPr>
          <w:trHeight w:val="311"/>
        </w:trPr>
        <w:tc>
          <w:tcPr>
            <w:tcW w:w="3700" w:type="dxa"/>
            <w:vAlign w:val="bottom"/>
            <w:gridSpan w:val="2"/>
          </w:tcPr>
          <w:p>
            <w:pPr>
              <w:spacing w:after="0"/>
              <w:rPr>
                <w:sz w:val="20"/>
                <w:szCs w:val="20"/>
                <w:color w:val="auto"/>
              </w:rPr>
            </w:pPr>
            <w:r>
              <w:rPr>
                <w:rFonts w:ascii="Arial" w:cs="Arial" w:eastAsia="Arial" w:hAnsi="Arial"/>
                <w:sz w:val="18"/>
                <w:szCs w:val="18"/>
                <w:color w:val="auto"/>
              </w:rPr>
              <w:t>Modesto, CA</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P039</w:t>
            </w:r>
          </w:p>
        </w:tc>
        <w:tc>
          <w:tcPr>
            <w:tcW w:w="2680" w:type="dxa"/>
            <w:vAlign w:val="bottom"/>
            <w:gridSpan w:val="2"/>
          </w:tcPr>
          <w:p>
            <w:pPr>
              <w:ind w:left="720"/>
              <w:spacing w:after="0"/>
              <w:rPr>
                <w:sz w:val="20"/>
                <w:szCs w:val="20"/>
                <w:color w:val="auto"/>
              </w:rPr>
            </w:pPr>
            <w:r>
              <w:rPr>
                <w:rFonts w:ascii="Arial" w:cs="Arial" w:eastAsia="Arial" w:hAnsi="Arial"/>
                <w:sz w:val="18"/>
                <w:szCs w:val="18"/>
                <w:color w:val="auto"/>
              </w:rPr>
              <w:t>August 17, 2003</w:t>
            </w: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LA West/Bellflower</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P032</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Sacramento, CA</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P030</w:t>
            </w:r>
          </w:p>
        </w:tc>
        <w:tc>
          <w:tcPr>
            <w:tcW w:w="2680" w:type="dxa"/>
            <w:vAlign w:val="bottom"/>
            <w:gridSpan w:val="2"/>
          </w:tcPr>
          <w:p>
            <w:pPr>
              <w:ind w:left="720"/>
              <w:spacing w:after="0"/>
              <w:rPr>
                <w:sz w:val="20"/>
                <w:szCs w:val="20"/>
                <w:color w:val="auto"/>
              </w:rPr>
            </w:pPr>
            <w:r>
              <w:rPr>
                <w:rFonts w:ascii="Arial" w:cs="Arial" w:eastAsia="Arial" w:hAnsi="Arial"/>
                <w:sz w:val="18"/>
                <w:szCs w:val="18"/>
                <w:color w:val="auto"/>
              </w:rPr>
              <w:t>August 17, 2003</w:t>
            </w: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Needham, MA</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P028</w:t>
            </w:r>
          </w:p>
        </w:tc>
        <w:tc>
          <w:tcPr>
            <w:tcW w:w="2680" w:type="dxa"/>
            <w:vAlign w:val="bottom"/>
            <w:gridSpan w:val="2"/>
          </w:tcPr>
          <w:p>
            <w:pPr>
              <w:ind w:left="720"/>
              <w:spacing w:after="0"/>
              <w:rPr>
                <w:sz w:val="20"/>
                <w:szCs w:val="20"/>
                <w:color w:val="auto"/>
              </w:rPr>
            </w:pPr>
            <w:r>
              <w:rPr>
                <w:rFonts w:ascii="Arial" w:cs="Arial" w:eastAsia="Arial" w:hAnsi="Arial"/>
                <w:sz w:val="18"/>
                <w:szCs w:val="18"/>
                <w:color w:val="auto"/>
              </w:rPr>
              <w:t>July 25, 2003</w:t>
            </w: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Minneapolis (warehouse)</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P038</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Canonsburg (Techs)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P027</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Canonsburg (CSRs)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P040</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Coraopolis (Techs)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P024</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Corliss (CSRs)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P022</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Corliss (Techs)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P022</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East Hills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P033</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Pittsburgh (Call Center)</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P035</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South Hills (Techs)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P020</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00" w:type="dxa"/>
            <w:vAlign w:val="bottom"/>
            <w:gridSpan w:val="2"/>
          </w:tcPr>
          <w:p>
            <w:pPr>
              <w:spacing w:after="0"/>
              <w:rPr>
                <w:sz w:val="20"/>
                <w:szCs w:val="20"/>
                <w:color w:val="auto"/>
              </w:rPr>
            </w:pPr>
            <w:r>
              <w:rPr>
                <w:rFonts w:ascii="Arial" w:cs="Arial" w:eastAsia="Arial" w:hAnsi="Arial"/>
                <w:sz w:val="18"/>
                <w:szCs w:val="18"/>
                <w:color w:val="auto"/>
              </w:rPr>
              <w:t>South Hills (CSRs)</w:t>
            </w:r>
          </w:p>
        </w:tc>
        <w:tc>
          <w:tcPr>
            <w:tcW w:w="43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P021</w:t>
            </w: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300" w:type="dxa"/>
            <w:vAlign w:val="bottom"/>
          </w:tcPr>
          <w:p>
            <w:pPr>
              <w:jc w:val="right"/>
              <w:ind w:right="2050"/>
              <w:spacing w:after="0"/>
              <w:rPr>
                <w:sz w:val="20"/>
                <w:szCs w:val="20"/>
                <w:color w:val="auto"/>
              </w:rPr>
            </w:pPr>
            <w:r>
              <w:rPr>
                <w:rFonts w:ascii="Arial" w:cs="Arial" w:eastAsia="Arial" w:hAnsi="Arial"/>
                <w:sz w:val="18"/>
                <w:szCs w:val="18"/>
                <w:color w:val="auto"/>
              </w:rPr>
              <w:t>-78-</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2" w:name="page313"/>
    <w:bookmarkEnd w:id="31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PARTICIPATING COMPANIES/LISTED EMPLOYERS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230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94"/>
              </w:rPr>
              <w:t>Participating</w:t>
            </w:r>
          </w:p>
        </w:tc>
        <w:tc>
          <w:tcPr>
            <w:tcW w:w="20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Listed Employer</w:t>
            </w:r>
          </w:p>
        </w:tc>
        <w:tc>
          <w:tcPr>
            <w:tcW w:w="124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Company</w:t>
            </w:r>
          </w:p>
        </w:tc>
        <w:tc>
          <w:tcPr>
            <w:tcW w:w="20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40" w:type="dxa"/>
            <w:vAlign w:val="bottom"/>
            <w:gridSpan w:val="3"/>
          </w:tcPr>
          <w:p>
            <w:pPr>
              <w:spacing w:after="0"/>
              <w:rPr>
                <w:sz w:val="20"/>
                <w:szCs w:val="20"/>
                <w:color w:val="auto"/>
              </w:rPr>
            </w:pPr>
            <w:r>
              <w:rPr>
                <w:rFonts w:ascii="Arial" w:cs="Arial" w:eastAsia="Arial" w:hAnsi="Arial"/>
                <w:sz w:val="18"/>
                <w:szCs w:val="18"/>
                <w:color w:val="auto"/>
              </w:rPr>
              <w:t>Ad Sales Acquisitions</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YES</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December 29, 2003</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TeleMedia</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Charter Communications</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Mediacom</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Cox Communications</w:t>
            </w: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3"/>
          </w:tcPr>
          <w:p>
            <w:pPr>
              <w:spacing w:after="0"/>
              <w:rPr>
                <w:sz w:val="20"/>
                <w:szCs w:val="20"/>
                <w:color w:val="auto"/>
              </w:rPr>
            </w:pPr>
            <w:r>
              <w:rPr>
                <w:rFonts w:ascii="Arial" w:cs="Arial" w:eastAsia="Arial" w:hAnsi="Arial"/>
                <w:sz w:val="18"/>
                <w:szCs w:val="18"/>
                <w:color w:val="auto"/>
              </w:rPr>
              <w:t>Gemstar TV Guide</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YES</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April 1, 2004</w:t>
            </w:r>
          </w:p>
        </w:tc>
        <w:tc>
          <w:tcPr>
            <w:tcW w:w="0" w:type="dxa"/>
            <w:vAlign w:val="bottom"/>
          </w:tcPr>
          <w:p>
            <w:pPr>
              <w:spacing w:after="0"/>
              <w:rPr>
                <w:sz w:val="1"/>
                <w:szCs w:val="1"/>
                <w:color w:val="auto"/>
              </w:rPr>
            </w:pPr>
          </w:p>
        </w:tc>
      </w:tr>
      <w:tr>
        <w:trPr>
          <w:trHeight w:val="310"/>
        </w:trPr>
        <w:tc>
          <w:tcPr>
            <w:tcW w:w="4140" w:type="dxa"/>
            <w:vAlign w:val="bottom"/>
            <w:gridSpan w:val="3"/>
          </w:tcPr>
          <w:p>
            <w:pPr>
              <w:spacing w:after="0"/>
              <w:rPr>
                <w:sz w:val="20"/>
                <w:szCs w:val="20"/>
                <w:color w:val="auto"/>
              </w:rPr>
            </w:pPr>
            <w:r>
              <w:rPr>
                <w:rFonts w:ascii="Arial" w:cs="Arial" w:eastAsia="Arial" w:hAnsi="Arial"/>
                <w:sz w:val="18"/>
                <w:szCs w:val="18"/>
                <w:color w:val="auto"/>
              </w:rPr>
              <w:t>US Cable Coastal of Texas LP (Georgia and South</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YES</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Carolina properties only)</w:t>
            </w: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Tech TV, Inc. (formerly Tech TV LLC)</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NO</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May 10, 2004</w:t>
            </w:r>
          </w:p>
        </w:tc>
        <w:tc>
          <w:tcPr>
            <w:tcW w:w="0" w:type="dxa"/>
            <w:vAlign w:val="bottom"/>
          </w:tcPr>
          <w:p>
            <w:pPr>
              <w:spacing w:after="0"/>
              <w:rPr>
                <w:sz w:val="1"/>
                <w:szCs w:val="1"/>
                <w:color w:val="auto"/>
              </w:rPr>
            </w:pP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Insight Communications</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YES</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August 1, 2004</w:t>
            </w:r>
          </w:p>
        </w:tc>
        <w:tc>
          <w:tcPr>
            <w:tcW w:w="0" w:type="dxa"/>
            <w:vAlign w:val="bottom"/>
          </w:tcPr>
          <w:p>
            <w:pPr>
              <w:spacing w:after="0"/>
              <w:rPr>
                <w:sz w:val="1"/>
                <w:szCs w:val="1"/>
                <w:color w:val="auto"/>
              </w:rPr>
            </w:pP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The International Channel</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YES</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August 1, 2004</w:t>
            </w:r>
          </w:p>
        </w:tc>
        <w:tc>
          <w:tcPr>
            <w:tcW w:w="0" w:type="dxa"/>
            <w:vAlign w:val="bottom"/>
          </w:tcPr>
          <w:p>
            <w:pPr>
              <w:spacing w:after="0"/>
              <w:rPr>
                <w:sz w:val="1"/>
                <w:szCs w:val="1"/>
                <w:color w:val="auto"/>
              </w:rPr>
            </w:pP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Target TV</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YES</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January 1, 2005</w:t>
            </w:r>
          </w:p>
        </w:tc>
        <w:tc>
          <w:tcPr>
            <w:tcW w:w="0" w:type="dxa"/>
            <w:vAlign w:val="bottom"/>
          </w:tcPr>
          <w:p>
            <w:pPr>
              <w:spacing w:after="0"/>
              <w:rPr>
                <w:sz w:val="1"/>
                <w:szCs w:val="1"/>
                <w:color w:val="auto"/>
              </w:rPr>
            </w:pP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Motorola</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NO</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April 1, 2005</w:t>
            </w:r>
          </w:p>
        </w:tc>
        <w:tc>
          <w:tcPr>
            <w:tcW w:w="0" w:type="dxa"/>
            <w:vAlign w:val="bottom"/>
          </w:tcPr>
          <w:p>
            <w:pPr>
              <w:spacing w:after="0"/>
              <w:rPr>
                <w:sz w:val="1"/>
                <w:szCs w:val="1"/>
                <w:color w:val="auto"/>
              </w:rPr>
            </w:pPr>
          </w:p>
        </w:tc>
      </w:tr>
      <w:tr>
        <w:trPr>
          <w:trHeight w:val="324"/>
        </w:trPr>
        <w:tc>
          <w:tcPr>
            <w:tcW w:w="4140" w:type="dxa"/>
            <w:vAlign w:val="bottom"/>
            <w:gridSpan w:val="3"/>
          </w:tcPr>
          <w:p>
            <w:pPr>
              <w:spacing w:after="0"/>
              <w:rPr>
                <w:sz w:val="20"/>
                <w:szCs w:val="20"/>
                <w:color w:val="auto"/>
              </w:rPr>
            </w:pPr>
            <w:r>
              <w:rPr>
                <w:rFonts w:ascii="Arial" w:cs="Arial" w:eastAsia="Arial" w:hAnsi="Arial"/>
                <w:sz w:val="18"/>
                <w:szCs w:val="18"/>
                <w:color w:val="auto"/>
              </w:rPr>
              <w:t>Liberate Technologies (California employees only)</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NO</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April 8, 2005</w:t>
            </w:r>
          </w:p>
        </w:tc>
        <w:tc>
          <w:tcPr>
            <w:tcW w:w="0" w:type="dxa"/>
            <w:vAlign w:val="bottom"/>
          </w:tcPr>
          <w:p>
            <w:pPr>
              <w:spacing w:after="0"/>
              <w:rPr>
                <w:sz w:val="1"/>
                <w:szCs w:val="1"/>
                <w:color w:val="auto"/>
              </w:rPr>
            </w:pPr>
          </w:p>
        </w:tc>
      </w:tr>
      <w:tr>
        <w:trPr>
          <w:trHeight w:val="310"/>
        </w:trPr>
        <w:tc>
          <w:tcPr>
            <w:tcW w:w="4140" w:type="dxa"/>
            <w:vAlign w:val="bottom"/>
            <w:gridSpan w:val="3"/>
          </w:tcPr>
          <w:p>
            <w:pPr>
              <w:spacing w:after="0"/>
              <w:rPr>
                <w:sz w:val="20"/>
                <w:szCs w:val="20"/>
                <w:color w:val="auto"/>
              </w:rPr>
            </w:pPr>
            <w:r>
              <w:rPr>
                <w:rFonts w:ascii="Arial" w:cs="Arial" w:eastAsia="Arial" w:hAnsi="Arial"/>
                <w:sz w:val="18"/>
                <w:szCs w:val="18"/>
                <w:color w:val="auto"/>
              </w:rPr>
              <w:t>Susquehanna Cable Co.</w:t>
            </w:r>
          </w:p>
        </w:tc>
        <w:tc>
          <w:tcPr>
            <w:tcW w:w="2300" w:type="dxa"/>
            <w:vAlign w:val="bottom"/>
            <w:gridSpan w:val="3"/>
          </w:tcPr>
          <w:p>
            <w:pPr>
              <w:ind w:left="460"/>
              <w:spacing w:after="0"/>
              <w:rPr>
                <w:sz w:val="20"/>
                <w:szCs w:val="20"/>
                <w:color w:val="auto"/>
              </w:rPr>
            </w:pPr>
            <w:r>
              <w:rPr>
                <w:rFonts w:ascii="Arial" w:cs="Arial" w:eastAsia="Arial" w:hAnsi="Arial"/>
                <w:sz w:val="18"/>
                <w:szCs w:val="18"/>
                <w:color w:val="auto"/>
              </w:rPr>
              <w:t>NO</w:t>
            </w:r>
          </w:p>
        </w:tc>
        <w:tc>
          <w:tcPr>
            <w:tcW w:w="2060" w:type="dxa"/>
            <w:vAlign w:val="bottom"/>
            <w:gridSpan w:val="3"/>
          </w:tcPr>
          <w:p>
            <w:pPr>
              <w:ind w:left="560"/>
              <w:spacing w:after="0"/>
              <w:rPr>
                <w:sz w:val="20"/>
                <w:szCs w:val="20"/>
                <w:color w:val="auto"/>
              </w:rPr>
            </w:pPr>
            <w:r>
              <w:rPr>
                <w:rFonts w:ascii="Arial" w:cs="Arial" w:eastAsia="Arial" w:hAnsi="Arial"/>
                <w:sz w:val="18"/>
                <w:szCs w:val="18"/>
                <w:color w:val="auto"/>
              </w:rPr>
              <w:t>YES</w:t>
            </w: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rPr>
              <w:t>The period beginning 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w w:val="89"/>
              </w:rPr>
              <w:t>February 20, 2006 and ending 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w w:val="98"/>
              </w:rPr>
              <w:t>the date immediately following</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20" w:type="dxa"/>
            <w:vAlign w:val="bottom"/>
            <w:gridSpan w:val="3"/>
          </w:tcPr>
          <w:p>
            <w:pPr>
              <w:ind w:left="420"/>
              <w:spacing w:after="0"/>
              <w:rPr>
                <w:sz w:val="20"/>
                <w:szCs w:val="20"/>
                <w:color w:val="auto"/>
              </w:rPr>
            </w:pPr>
            <w:r>
              <w:rPr>
                <w:rFonts w:ascii="Arial" w:cs="Arial" w:eastAsia="Arial" w:hAnsi="Arial"/>
                <w:sz w:val="18"/>
                <w:szCs w:val="18"/>
                <w:color w:val="auto"/>
                <w:w w:val="90"/>
              </w:rPr>
              <w:t>the date on which the transaction</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00" w:type="dxa"/>
            <w:vAlign w:val="bottom"/>
            <w:gridSpan w:val="3"/>
          </w:tcPr>
          <w:p>
            <w:pPr>
              <w:ind w:left="1420"/>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69" w:right="339" w:bottom="1440" w:gutter="0" w:footer="0" w:header="0"/>
        </w:sectPr>
      </w:pPr>
    </w:p>
    <w:bookmarkStart w:id="313" w:name="page314"/>
    <w:bookmarkEnd w:id="3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2820" w:type="dxa"/>
            <w:vAlign w:val="bottom"/>
            <w:gridSpan w:val="3"/>
          </w:tcPr>
          <w:p>
            <w:pPr>
              <w:jc w:val="center"/>
              <w:ind w:left="371"/>
              <w:spacing w:after="0"/>
              <w:rPr>
                <w:sz w:val="20"/>
                <w:szCs w:val="20"/>
                <w:color w:val="auto"/>
              </w:rPr>
            </w:pPr>
            <w:r>
              <w:rPr>
                <w:rFonts w:ascii="Arial" w:cs="Arial" w:eastAsia="Arial" w:hAnsi="Arial"/>
                <w:sz w:val="14"/>
                <w:szCs w:val="14"/>
                <w:b w:val="1"/>
                <w:bCs w:val="1"/>
                <w:color w:val="auto"/>
                <w:w w:val="94"/>
              </w:rPr>
              <w:t>Participating</w:t>
            </w:r>
          </w:p>
        </w:tc>
        <w:tc>
          <w:tcPr>
            <w:tcW w:w="19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Listed Employer</w:t>
            </w:r>
          </w:p>
        </w:tc>
        <w:tc>
          <w:tcPr>
            <w:tcW w:w="1240" w:type="dxa"/>
            <w:vAlign w:val="bottom"/>
          </w:tcPr>
          <w:p>
            <w:pPr>
              <w:spacing w:after="0"/>
              <w:rPr>
                <w:sz w:val="14"/>
                <w:szCs w:val="14"/>
                <w:color w:val="auto"/>
              </w:rPr>
            </w:pPr>
          </w:p>
        </w:tc>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Company</w:t>
            </w:r>
          </w:p>
        </w:tc>
        <w:tc>
          <w:tcPr>
            <w:tcW w:w="192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contemplated under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Susquehanna APA becomes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3"/>
              </w:rPr>
              <w:t>effective (or December 31, 2006,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if such transaction is not</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completed by that date.</w:t>
            </w:r>
          </w:p>
        </w:tc>
        <w:tc>
          <w:tcPr>
            <w:tcW w:w="0" w:type="dxa"/>
            <w:vAlign w:val="bottom"/>
          </w:tcPr>
          <w:p>
            <w:pPr>
              <w:spacing w:after="0"/>
              <w:rPr>
                <w:sz w:val="1"/>
                <w:szCs w:val="1"/>
                <w:color w:val="auto"/>
              </w:rPr>
            </w:pP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Adelphia Communications Corporation</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NO</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The period beginning on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Closing Date of the Adelphia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Transaction and ending on the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first anniversary thereof.</w:t>
            </w:r>
          </w:p>
        </w:tc>
        <w:tc>
          <w:tcPr>
            <w:tcW w:w="0" w:type="dxa"/>
            <w:vAlign w:val="bottom"/>
          </w:tcPr>
          <w:p>
            <w:pPr>
              <w:spacing w:after="0"/>
              <w:rPr>
                <w:sz w:val="1"/>
                <w:szCs w:val="1"/>
                <w:color w:val="auto"/>
              </w:rPr>
            </w:pP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Time Warner NY Cable LLC</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NO</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9"/>
              </w:rPr>
              <w:t>The date immediately following</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the Closing Date of the Time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Warner Transaction</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thePlatform for Media, Inc.</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YES</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December 18, 2006</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Insight Media</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NO</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January 1, 2008</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E! Entertainment Television, Inc.</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NO</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January 1, 2008</w:t>
            </w:r>
          </w:p>
        </w:tc>
        <w:tc>
          <w:tcPr>
            <w:tcW w:w="0" w:type="dxa"/>
            <w:vAlign w:val="bottom"/>
          </w:tcPr>
          <w:p>
            <w:pPr>
              <w:spacing w:after="0"/>
              <w:rPr>
                <w:sz w:val="1"/>
                <w:szCs w:val="1"/>
                <w:color w:val="auto"/>
              </w:rPr>
            </w:pPr>
          </w:p>
        </w:tc>
      </w:tr>
      <w:tr>
        <w:trPr>
          <w:trHeight w:val="324"/>
        </w:trPr>
        <w:tc>
          <w:tcPr>
            <w:tcW w:w="3760" w:type="dxa"/>
            <w:vAlign w:val="bottom"/>
            <w:gridSpan w:val="2"/>
          </w:tcPr>
          <w:p>
            <w:pPr>
              <w:spacing w:after="0"/>
              <w:rPr>
                <w:sz w:val="20"/>
                <w:szCs w:val="20"/>
                <w:color w:val="auto"/>
              </w:rPr>
            </w:pPr>
            <w:r>
              <w:rPr>
                <w:rFonts w:ascii="Arial" w:cs="Arial" w:eastAsia="Arial" w:hAnsi="Arial"/>
                <w:sz w:val="18"/>
                <w:szCs w:val="18"/>
                <w:color w:val="auto"/>
              </w:rPr>
              <w:t>New England Cable News</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YES</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January 1, 2010</w:t>
            </w:r>
          </w:p>
        </w:tc>
        <w:tc>
          <w:tcPr>
            <w:tcW w:w="0" w:type="dxa"/>
            <w:vAlign w:val="bottom"/>
          </w:tcPr>
          <w:p>
            <w:pPr>
              <w:spacing w:after="0"/>
              <w:rPr>
                <w:sz w:val="1"/>
                <w:szCs w:val="1"/>
                <w:color w:val="auto"/>
              </w:rPr>
            </w:pPr>
          </w:p>
        </w:tc>
      </w:tr>
      <w:tr>
        <w:trPr>
          <w:trHeight w:val="310"/>
        </w:trPr>
        <w:tc>
          <w:tcPr>
            <w:tcW w:w="3760" w:type="dxa"/>
            <w:vAlign w:val="bottom"/>
            <w:gridSpan w:val="2"/>
          </w:tcPr>
          <w:p>
            <w:pPr>
              <w:spacing w:after="0"/>
              <w:rPr>
                <w:sz w:val="20"/>
                <w:szCs w:val="20"/>
                <w:color w:val="auto"/>
              </w:rPr>
            </w:pPr>
            <w:r>
              <w:rPr>
                <w:rFonts w:ascii="Arial" w:cs="Arial" w:eastAsia="Arial" w:hAnsi="Arial"/>
                <w:sz w:val="18"/>
                <w:szCs w:val="18"/>
                <w:color w:val="auto"/>
              </w:rPr>
              <w:t>NBCUniversal, LLC and its subsidiaries</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NO, except with</w:t>
            </w:r>
          </w:p>
        </w:tc>
        <w:tc>
          <w:tcPr>
            <w:tcW w:w="1920" w:type="dxa"/>
            <w:vAlign w:val="bottom"/>
            <w:gridSpan w:val="3"/>
          </w:tcPr>
          <w:p>
            <w:pPr>
              <w:ind w:left="420"/>
              <w:spacing w:after="0"/>
              <w:rPr>
                <w:sz w:val="20"/>
                <w:szCs w:val="20"/>
                <w:color w:val="auto"/>
              </w:rPr>
            </w:pPr>
            <w:r>
              <w:rPr>
                <w:rFonts w:ascii="Arial" w:cs="Arial" w:eastAsia="Arial" w:hAnsi="Arial"/>
                <w:sz w:val="18"/>
                <w:szCs w:val="18"/>
                <w:color w:val="auto"/>
              </w:rPr>
              <w:t>YES</w:t>
            </w: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9"/>
              </w:rPr>
              <w:t>The day after the closing of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respect to employees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3"/>
              </w:rPr>
              <w:t>transactions contemplated by the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who are on a payroll</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Master Agreement, dated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administered by</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0"/>
              </w:rPr>
              <w:t>December 3, 2009, by and among</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Comcast Corporation</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0"/>
              </w:rPr>
              <w:t>General Electric Company, a New</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(as determined by</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w w:val="92"/>
              </w:rPr>
              <w:t>York corporation, NBC Universal,</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Committee or its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gridSpan w:val="3"/>
          </w:tcPr>
          <w:p>
            <w:pPr>
              <w:ind w:left="420"/>
              <w:spacing w:after="0"/>
              <w:rPr>
                <w:sz w:val="20"/>
                <w:szCs w:val="20"/>
                <w:color w:val="auto"/>
              </w:rPr>
            </w:pPr>
            <w:r>
              <w:rPr>
                <w:rFonts w:ascii="Arial" w:cs="Arial" w:eastAsia="Arial" w:hAnsi="Arial"/>
                <w:sz w:val="18"/>
                <w:szCs w:val="18"/>
                <w:color w:val="auto"/>
              </w:rPr>
              <w:t>Inc., a Delaware</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delegate).</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Notwithstanding the</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foregoing,</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NBCUniversal shall</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be a Participating</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20" w:type="dxa"/>
            <w:vAlign w:val="bottom"/>
            <w:gridSpan w:val="3"/>
          </w:tcPr>
          <w:p>
            <w:pPr>
              <w:ind w:left="1800"/>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53" w:right="259" w:bottom="1440" w:gutter="0" w:footer="0" w:header="0"/>
        </w:sectPr>
      </w:pPr>
    </w:p>
    <w:bookmarkStart w:id="314" w:name="page315"/>
    <w:bookmarkEnd w:id="3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Entity</w:t>
            </w:r>
          </w:p>
        </w:tc>
        <w:tc>
          <w:tcPr>
            <w:tcW w:w="380" w:type="dxa"/>
            <w:vAlign w:val="bottom"/>
          </w:tcPr>
          <w:p>
            <w:pPr>
              <w:spacing w:after="0"/>
              <w:rPr>
                <w:sz w:val="14"/>
                <w:szCs w:val="14"/>
                <w:color w:val="auto"/>
              </w:rPr>
            </w:pPr>
          </w:p>
        </w:tc>
        <w:tc>
          <w:tcPr>
            <w:tcW w:w="20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Participating</w:t>
            </w:r>
          </w:p>
        </w:tc>
        <w:tc>
          <w:tcPr>
            <w:tcW w:w="19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Listed Employer</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Company</w:t>
            </w:r>
          </w:p>
        </w:tc>
        <w:tc>
          <w:tcPr>
            <w:tcW w:w="190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gridSpan w:val="5"/>
          </w:tcPr>
          <w:p>
            <w:pPr>
              <w:ind w:left="380"/>
              <w:spacing w:after="0"/>
              <w:rPr>
                <w:sz w:val="20"/>
                <w:szCs w:val="20"/>
                <w:color w:val="auto"/>
              </w:rPr>
            </w:pPr>
            <w:r>
              <w:rPr>
                <w:rFonts w:ascii="Arial" w:cs="Arial" w:eastAsia="Arial" w:hAnsi="Arial"/>
                <w:sz w:val="18"/>
                <w:szCs w:val="18"/>
                <w:color w:val="auto"/>
              </w:rPr>
              <w:t>Company pursuant to</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gridSpan w:val="7"/>
          </w:tcPr>
          <w:p>
            <w:pPr>
              <w:ind w:left="420"/>
              <w:spacing w:after="0"/>
              <w:rPr>
                <w:sz w:val="20"/>
                <w:szCs w:val="20"/>
                <w:color w:val="auto"/>
              </w:rPr>
            </w:pPr>
            <w:r>
              <w:rPr>
                <w:rFonts w:ascii="Arial" w:cs="Arial" w:eastAsia="Arial" w:hAnsi="Arial"/>
                <w:sz w:val="18"/>
                <w:szCs w:val="18"/>
                <w:color w:val="auto"/>
                <w:w w:val="94"/>
              </w:rPr>
              <w:t>corporation, Comcast and Navy,</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80" w:type="dxa"/>
            <w:vAlign w:val="bottom"/>
            <w:gridSpan w:val="5"/>
          </w:tcPr>
          <w:p>
            <w:pPr>
              <w:ind w:left="380"/>
              <w:spacing w:after="0"/>
              <w:rPr>
                <w:sz w:val="20"/>
                <w:szCs w:val="20"/>
                <w:color w:val="auto"/>
              </w:rPr>
            </w:pPr>
            <w:r>
              <w:rPr>
                <w:rFonts w:ascii="Arial" w:cs="Arial" w:eastAsia="Arial" w:hAnsi="Arial"/>
                <w:sz w:val="18"/>
                <w:szCs w:val="18"/>
                <w:color w:val="auto"/>
              </w:rPr>
              <w:t>the terms and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gridSpan w:val="7"/>
          </w:tcPr>
          <w:p>
            <w:pPr>
              <w:ind w:left="420"/>
              <w:spacing w:after="0"/>
              <w:rPr>
                <w:sz w:val="20"/>
                <w:szCs w:val="20"/>
                <w:color w:val="auto"/>
              </w:rPr>
            </w:pPr>
            <w:r>
              <w:rPr>
                <w:rFonts w:ascii="Arial" w:cs="Arial" w:eastAsia="Arial" w:hAnsi="Arial"/>
                <w:sz w:val="18"/>
                <w:szCs w:val="18"/>
                <w:color w:val="auto"/>
                <w:w w:val="97"/>
              </w:rPr>
              <w:t>LLC, a Delaware limited liability</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80" w:type="dxa"/>
            <w:vAlign w:val="bottom"/>
            <w:gridSpan w:val="5"/>
          </w:tcPr>
          <w:p>
            <w:pPr>
              <w:ind w:left="380"/>
              <w:spacing w:after="0"/>
              <w:rPr>
                <w:sz w:val="20"/>
                <w:szCs w:val="20"/>
                <w:color w:val="auto"/>
              </w:rPr>
            </w:pPr>
            <w:r>
              <w:rPr>
                <w:rFonts w:ascii="Arial" w:cs="Arial" w:eastAsia="Arial" w:hAnsi="Arial"/>
                <w:sz w:val="18"/>
                <w:szCs w:val="18"/>
                <w:color w:val="auto"/>
              </w:rPr>
              <w:t>conditions of</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gridSpan w:val="7"/>
          </w:tcPr>
          <w:p>
            <w:pPr>
              <w:ind w:left="4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80" w:type="dxa"/>
            <w:vAlign w:val="bottom"/>
            <w:gridSpan w:val="5"/>
          </w:tcPr>
          <w:p>
            <w:pPr>
              <w:ind w:left="380"/>
              <w:spacing w:after="0" w:line="190" w:lineRule="exact"/>
              <w:rPr>
                <w:sz w:val="20"/>
                <w:szCs w:val="20"/>
                <w:color w:val="auto"/>
              </w:rPr>
            </w:pPr>
            <w:r>
              <w:rPr>
                <w:rFonts w:ascii="Arial" w:cs="Arial" w:eastAsia="Arial" w:hAnsi="Arial"/>
                <w:sz w:val="18"/>
                <w:szCs w:val="18"/>
                <w:color w:val="auto"/>
              </w:rPr>
              <w:t>Exhibit B.</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gridSpan w:val="7"/>
            <w:vMerge w:val="restart"/>
          </w:tcPr>
          <w:p>
            <w:pPr>
              <w:ind w:left="420"/>
              <w:spacing w:after="0"/>
              <w:rPr>
                <w:sz w:val="20"/>
                <w:szCs w:val="20"/>
                <w:color w:val="auto"/>
              </w:rPr>
            </w:pPr>
            <w:r>
              <w:rPr>
                <w:rFonts w:ascii="Arial" w:cs="Arial" w:eastAsia="Arial" w:hAnsi="Arial"/>
                <w:sz w:val="18"/>
                <w:szCs w:val="18"/>
                <w:color w:val="auto"/>
                <w:w w:val="95"/>
              </w:rPr>
              <w:t>With respect to the provisions of</w:t>
            </w:r>
          </w:p>
        </w:tc>
        <w:tc>
          <w:tcPr>
            <w:tcW w:w="0" w:type="dxa"/>
            <w:vAlign w:val="bottom"/>
          </w:tcPr>
          <w:p>
            <w:pPr>
              <w:spacing w:after="0"/>
              <w:rPr>
                <w:sz w:val="1"/>
                <w:szCs w:val="1"/>
                <w:color w:val="auto"/>
              </w:rPr>
            </w:pPr>
          </w:p>
        </w:tc>
      </w:tr>
      <w:tr>
        <w:trPr>
          <w:trHeight w:val="128"/>
        </w:trPr>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gridSpan w:val="7"/>
          </w:tcPr>
          <w:p>
            <w:pPr>
              <w:ind w:left="420"/>
              <w:spacing w:after="0" w:line="190" w:lineRule="exact"/>
              <w:rPr>
                <w:sz w:val="20"/>
                <w:szCs w:val="20"/>
                <w:color w:val="auto"/>
              </w:rPr>
            </w:pPr>
            <w:r>
              <w:rPr>
                <w:rFonts w:ascii="Arial" w:cs="Arial" w:eastAsia="Arial" w:hAnsi="Arial"/>
                <w:sz w:val="18"/>
                <w:szCs w:val="18"/>
                <w:color w:val="auto"/>
              </w:rPr>
              <w:t>Exhibit B, January 1, 2013.</w:t>
            </w:r>
          </w:p>
        </w:tc>
        <w:tc>
          <w:tcPr>
            <w:tcW w:w="0" w:type="dxa"/>
            <w:vAlign w:val="bottom"/>
          </w:tcPr>
          <w:p>
            <w:pPr>
              <w:spacing w:after="0"/>
              <w:rPr>
                <w:sz w:val="1"/>
                <w:szCs w:val="1"/>
                <w:color w:val="auto"/>
              </w:rPr>
            </w:pPr>
          </w:p>
        </w:tc>
      </w:tr>
      <w:tr>
        <w:trPr>
          <w:trHeight w:val="642"/>
        </w:trPr>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80" w:type="dxa"/>
            <w:vAlign w:val="bottom"/>
            <w:gridSpan w:val="9"/>
          </w:tcPr>
          <w:p>
            <w:pPr>
              <w:spacing w:after="0"/>
              <w:rPr>
                <w:sz w:val="20"/>
                <w:szCs w:val="20"/>
                <w:color w:val="auto"/>
              </w:rPr>
            </w:pPr>
            <w:r>
              <w:rPr>
                <w:rFonts w:ascii="Arial" w:cs="Arial" w:eastAsia="Arial" w:hAnsi="Arial"/>
                <w:sz w:val="18"/>
                <w:szCs w:val="18"/>
                <w:b w:val="1"/>
                <w:bCs w:val="1"/>
                <w:color w:val="auto"/>
              </w:rPr>
              <w:t>NON-PARTICIPATING COMPANIES</w:t>
            </w: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ind w:left="540"/>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3"/>
          </w:tcPr>
          <w:p>
            <w:pPr>
              <w:spacing w:after="0"/>
              <w:rPr>
                <w:sz w:val="20"/>
                <w:szCs w:val="20"/>
                <w:color w:val="auto"/>
              </w:rPr>
            </w:pPr>
            <w:r>
              <w:rPr>
                <w:rFonts w:ascii="Arial" w:cs="Arial" w:eastAsia="Arial" w:hAnsi="Arial"/>
                <w:sz w:val="18"/>
                <w:szCs w:val="18"/>
                <w:color w:val="auto"/>
              </w:rPr>
              <w:t>THOG Productions, LLC</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4"/>
          </w:tcPr>
          <w:p>
            <w:pPr>
              <w:ind w:left="440"/>
              <w:spacing w:after="0"/>
              <w:rPr>
                <w:sz w:val="20"/>
                <w:szCs w:val="20"/>
                <w:color w:val="auto"/>
              </w:rPr>
            </w:pPr>
            <w:r>
              <w:rPr>
                <w:rFonts w:ascii="Arial" w:cs="Arial" w:eastAsia="Arial" w:hAnsi="Arial"/>
                <w:sz w:val="18"/>
                <w:szCs w:val="18"/>
                <w:color w:val="auto"/>
                <w:w w:val="92"/>
              </w:rPr>
              <w:t>August 1, 2002*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Previously excluded by action of the Board.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52" w:right="279" w:bottom="1440" w:gutter="0" w:footer="0" w:header="0"/>
        </w:sectPr>
      </w:pPr>
    </w:p>
    <w:bookmarkStart w:id="315" w:name="page316"/>
    <w:bookmarkEnd w:id="3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NBCUNIVERSAL, LLC</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NBCUniversal, LLC, a Delaware limited liability company (“NBCUniversal”) and each of its subsidiaries that are members of the controlled group of trades or businesses that includes NBCUniversal (within the meaning of section 414(b) and section 414(c) of the Code), shall become a Participating Company hereunder effective January 1, 2013. The terms and conditions of the Plan shall generally apply to Covered Employees of NBCUniversal and its participating subsidiaries, except to the extent such provisions contradict with the terms and conditions set forth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For avoidance of doubt, the provisions of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only apply to Covered Employees of NBCUniversal and its participating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Eligibility to Participate</w:t>
      </w:r>
      <w:r>
        <w:rPr>
          <w:rFonts w:ascii="Arial" w:cs="Arial" w:eastAsia="Arial" w:hAnsi="Arial"/>
          <w:sz w:val="18"/>
          <w:szCs w:val="18"/>
          <w:color w:val="auto"/>
        </w:rPr>
        <w:t>.</w:t>
      </w:r>
    </w:p>
    <w:p>
      <w:pPr>
        <w:spacing w:after="0" w:line="225" w:lineRule="exact"/>
        <w:rPr>
          <w:sz w:val="20"/>
          <w:szCs w:val="20"/>
          <w:color w:val="auto"/>
        </w:rPr>
      </w:pPr>
    </w:p>
    <w:p>
      <w:pPr>
        <w:ind w:right="400" w:firstLine="1484"/>
        <w:spacing w:after="0" w:line="277" w:lineRule="auto"/>
        <w:rPr>
          <w:sz w:val="20"/>
          <w:szCs w:val="20"/>
          <w:color w:val="auto"/>
        </w:rPr>
      </w:pPr>
      <w:r>
        <w:rPr>
          <w:rFonts w:ascii="Arial" w:cs="Arial" w:eastAsia="Arial" w:hAnsi="Arial"/>
          <w:sz w:val="18"/>
          <w:szCs w:val="18"/>
          <w:color w:val="auto"/>
        </w:rPr>
        <w:t>2.1. Each Covered Employee as of the Restatement Date who was eligible to participate in the NBCU CAP immediately prior to the Restatement Date shall be an Eligible Employee as of the Restatement Date.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2.2. Each other Covered Employee shall become an Eligible Employee on the Entry Date next following:</w:t>
      </w:r>
    </w:p>
    <w:p>
      <w:pPr>
        <w:spacing w:after="0" w:line="225" w:lineRule="exact"/>
        <w:rPr>
          <w:sz w:val="20"/>
          <w:szCs w:val="20"/>
          <w:color w:val="auto"/>
        </w:rPr>
      </w:pPr>
    </w:p>
    <w:p>
      <w:pPr>
        <w:ind w:left="2200" w:hanging="252"/>
        <w:spacing w:after="0"/>
        <w:tabs>
          <w:tab w:leader="none" w:pos="2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upon his Employment Commencement Date, if he is other than a Temporary Employee or a Paid Intern; or</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his completion of a Period of Service of three (3) months, if he is a Temporary Employee (other than a Paid Intern).</w:t>
      </w:r>
    </w:p>
    <w:p>
      <w:pPr>
        <w:spacing w:after="0" w:line="225" w:lineRule="exact"/>
        <w:rPr>
          <w:sz w:val="20"/>
          <w:szCs w:val="20"/>
          <w:color w:val="auto"/>
        </w:rPr>
      </w:pPr>
    </w:p>
    <w:p>
      <w:pPr>
        <w:ind w:right="220" w:firstLine="1484"/>
        <w:spacing w:after="0" w:line="277" w:lineRule="auto"/>
        <w:rPr>
          <w:sz w:val="20"/>
          <w:szCs w:val="20"/>
          <w:color w:val="auto"/>
        </w:rPr>
      </w:pPr>
      <w:r>
        <w:rPr>
          <w:rFonts w:ascii="Arial" w:cs="Arial" w:eastAsia="Arial" w:hAnsi="Arial"/>
          <w:sz w:val="18"/>
          <w:szCs w:val="18"/>
          <w:color w:val="auto"/>
        </w:rPr>
        <w:t>2.3 If an individual is not a Covered Employee on the Entry Date next following the date he meets the requirements of Section 2.2., he shall become an Eligible Employee as of the first date thereafter on which he is a Covered Employee.</w:t>
      </w:r>
    </w:p>
    <w:p>
      <w:pPr>
        <w:spacing w:after="0" w:line="170" w:lineRule="exact"/>
        <w:rPr>
          <w:sz w:val="20"/>
          <w:szCs w:val="20"/>
          <w:color w:val="auto"/>
        </w:rPr>
      </w:pPr>
    </w:p>
    <w:p>
      <w:pPr>
        <w:ind w:right="360" w:firstLine="1484"/>
        <w:spacing w:after="0" w:line="259" w:lineRule="auto"/>
        <w:rPr>
          <w:sz w:val="20"/>
          <w:szCs w:val="20"/>
          <w:color w:val="auto"/>
        </w:rPr>
      </w:pPr>
      <w:r>
        <w:rPr>
          <w:rFonts w:ascii="Arial" w:cs="Arial" w:eastAsia="Arial" w:hAnsi="Arial"/>
          <w:sz w:val="18"/>
          <w:szCs w:val="18"/>
          <w:color w:val="auto"/>
        </w:rPr>
        <w:t>2.4. If a Covered Employee does not satisfy the requirements of Section 2.2. prior to incurring a Severance from Service Date, but is rehired prior to incurring a One-Year Period of Severance, the prior Period of Service shall be considered for purposes of satisfying the requirements of Section 2.2. If the Covered Employee incurs a One-Year Period of Severance, his prior Period of Service shall not be considered upon a subsequent Reemployment Commencement Date.</w:t>
      </w:r>
    </w:p>
    <w:p>
      <w:pPr>
        <w:spacing w:after="0" w:line="187"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2.5. Notwithstanding anything herein to the contrary and for avoidance of doubt, Employees who are Paid Interns and Employees who are eligible to participate in the following plans (including any Employee who would be eligible but for the fact that such Employee has not yet met the plan’s age and/or service eligibility requirements) shall not be eligible to participate in the Plan: (i) E! Entertainment Television, Inc. Profit Sharing/401(k) Plan,</w:t>
      </w:r>
    </w:p>
    <w:p>
      <w:pPr>
        <w:ind w:right="340" w:firstLine="8"/>
        <w:spacing w:after="0" w:line="261" w:lineRule="auto"/>
        <w:tabs>
          <w:tab w:leader="none" w:pos="26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NBCUniversal Capital Accumulation Plan, (iii) Universal Studios Hollywood 401(k) Plan, (iv) Wet N’ Wild 401(k) Plan, (v) Savings Plan for WNJU Union Employees of Telemundo, or (vi) Universal Orlando 401(k) Plan.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69" w:right="259" w:bottom="1440" w:gutter="0" w:footer="0" w:header="0"/>
        </w:sectPr>
      </w:pPr>
    </w:p>
    <w:bookmarkStart w:id="316" w:name="page317"/>
    <w:bookmarkEnd w:id="316"/>
    <w:p>
      <w:pPr>
        <w:ind w:right="80" w:firstLine="148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For purposes of this </w:t>
      </w:r>
      <w:r>
        <w:rPr>
          <w:rFonts w:ascii="Arial" w:cs="Arial" w:eastAsia="Arial" w:hAnsi="Arial"/>
          <w:sz w:val="18"/>
          <w:szCs w:val="18"/>
          <w:u w:val="single" w:color="auto"/>
          <w:color w:val="auto"/>
        </w:rPr>
        <w:t>Exhibit B</w:t>
      </w:r>
      <w:r>
        <w:rPr>
          <w:rFonts w:ascii="Arial" w:cs="Arial" w:eastAsia="Arial" w:hAnsi="Arial"/>
          <w:sz w:val="18"/>
          <w:szCs w:val="18"/>
          <w:color w:val="auto"/>
        </w:rPr>
        <w:t>, (a) “Temporary Employee” means an Employee whose employment is classified by the Participating Company to which such Employee is employed as “temporary” or “intermittent,” both in accordance with uniformly applied personnel policies; (b) “Paid Intern” means an Employee whose employment is classified by the Participating Company to which such Employee is employed as pursuant to an internship and such Employee receives regular wages from the Participating Company in consideration for such employment; and (c) “Entry Date” means the first day of each Payroll Period.</w:t>
      </w:r>
    </w:p>
    <w:p>
      <w:pPr>
        <w:spacing w:after="0" w:line="188"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Automatic Enrollment</w:t>
      </w:r>
      <w:r>
        <w:rPr>
          <w:rFonts w:ascii="Arial" w:cs="Arial" w:eastAsia="Arial" w:hAnsi="Arial"/>
          <w:sz w:val="17"/>
          <w:szCs w:val="17"/>
          <w:color w:val="auto"/>
        </w:rPr>
        <w:t xml:space="preserve">. Each Covered Employee who does not affirmatively elect to make Pre-Tax Contributions or Roth Contributions and become an Active Participant pursuant to Section 2.3 of the Plan (and does not affirmatively elect to decline to make Pre-Tax Contributions or Roth Contributions and become an Active Participant) will be automatically enrolled in the Plan on the Entry Date next following the date on which such Covered Employee meets the eligibility requirements of Section 2.2 of this </w:t>
      </w:r>
      <w:r>
        <w:rPr>
          <w:rFonts w:ascii="Arial" w:cs="Arial" w:eastAsia="Arial" w:hAnsi="Arial"/>
          <w:sz w:val="17"/>
          <w:szCs w:val="17"/>
          <w:u w:val="single" w:color="auto"/>
          <w:color w:val="auto"/>
        </w:rPr>
        <w:t>Exhibit B</w:t>
      </w:r>
      <w:r>
        <w:rPr>
          <w:rFonts w:ascii="Arial" w:cs="Arial" w:eastAsia="Arial" w:hAnsi="Arial"/>
          <w:sz w:val="17"/>
          <w:szCs w:val="17"/>
          <w:color w:val="auto"/>
        </w:rPr>
        <w:t>, provided that such automatic enrollment will not occur until the expiration of the 30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such Covered Employee is provided notice of his rights and obligations under the Plan as required by Treas. Reg. 1.401(k)-3(d). Covered Employees who are designated by the Committee or its delegate as having been reemployed by a Participating Company following a One-Year Period of Severance are considered newly Eligible Employees for purposes of the automatic enrollment provisions described in this Section 2.7. Covered Employees who are designated by the Committee or its delegate as having been reemployed by a Participating Company prior to having incurred a One-Year Period of Severance will be automatically re-enrolled in the Plan at the Pre-Tax Contribution rate in effect for such Employee on his Severance from Service Date.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Pre-Tax Contributions, Catch-Up Contributions and Roth Contributions</w:t>
      </w:r>
      <w:r>
        <w:rPr>
          <w:rFonts w:ascii="Arial" w:cs="Arial" w:eastAsia="Arial" w:hAnsi="Arial"/>
          <w:sz w:val="18"/>
          <w:szCs w:val="18"/>
          <w:color w:val="auto"/>
        </w:rPr>
        <w:t>.</w:t>
      </w:r>
    </w:p>
    <w:p>
      <w:pPr>
        <w:spacing w:after="0" w:line="225" w:lineRule="exact"/>
        <w:rPr>
          <w:sz w:val="20"/>
          <w:szCs w:val="20"/>
          <w:color w:val="auto"/>
        </w:rPr>
      </w:pPr>
    </w:p>
    <w:p>
      <w:pPr>
        <w:ind w:right="160" w:firstLine="1948"/>
        <w:spacing w:after="0" w:line="268" w:lineRule="auto"/>
        <w:tabs>
          <w:tab w:leader="none" w:pos="2185"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Pre-Tax Contributions</w:t>
      </w:r>
      <w:r>
        <w:rPr>
          <w:rFonts w:ascii="Arial" w:cs="Arial" w:eastAsia="Arial" w:hAnsi="Arial"/>
          <w:sz w:val="16"/>
          <w:szCs w:val="16"/>
          <w:color w:val="auto"/>
        </w:rPr>
        <w:t xml:space="preserve">. When an Eligible Employee files an election under Section 2.3 of the Plan to have Pre-Tax Contributions made on his behalf, he shall elect the percentage by which his Compensation shall be reduced on account of such Pre-Tax Contributions. Subject to Section 3.10 of the Plan, this percentage may be between one percent (1%) and fifty percent (50%) of such Compensation, rounded to the nearer one-half percentage (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An automatically enrolled Eligible Employee’s Pre-Tax Contributions will, unless and until changed or discontinued by the Eligible Employee in accordance with Sections 3.2 or 3.3 of the Plan and subject to Section 3.10 of the Plan, be equal to three percent (3%) of the Eligible Employee’s Compensation in the first Plan Year in which such Eligible Employee is automatically enrolled in the Plan (the contribution percentages of Participants that were automatically enrolled in the NBCU CAP with an initial contribution percentage 3.5% will not change unless and until changed or discontinued by the Participants). An Eligible Employee’s Pre-Tax Contribution percentage will, unless otherwise elected by the Employee, increase by one percent (1%), up to a maximum of ten percent (10%) of the Eligible Employee’s Compensation,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317" w:name="page318"/>
    <w:bookmarkEnd w:id="317"/>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subsequent Plan Year beginning on the anniversary occurring in that subsequent Plan Year of the date on which such Eligible Employee was first enrolled in the Plan. The Participating Company shall contribute an amount equal to such percentage of the Eligible Employee’s Compensation to the Fund for credit to the Eligible Employee’s Pre-Tax Contribution Account.</w:t>
      </w:r>
    </w:p>
    <w:p>
      <w:pPr>
        <w:spacing w:after="0" w:line="181" w:lineRule="exact"/>
        <w:rPr>
          <w:sz w:val="20"/>
          <w:szCs w:val="20"/>
          <w:color w:val="auto"/>
        </w:rPr>
      </w:pPr>
    </w:p>
    <w:p>
      <w:pPr>
        <w:ind w:right="160" w:firstLine="1948"/>
        <w:spacing w:after="0" w:line="248" w:lineRule="auto"/>
        <w:tabs>
          <w:tab w:leader="none" w:pos="2195" w:val="left"/>
        </w:tabs>
        <w:numPr>
          <w:ilvl w:val="1"/>
          <w:numId w:val="221"/>
        </w:numPr>
        <w:rPr>
          <w:rFonts w:ascii="Arial" w:cs="Arial" w:eastAsia="Arial" w:hAnsi="Arial"/>
          <w:sz w:val="17"/>
          <w:szCs w:val="17"/>
          <w:color w:val="auto"/>
        </w:rPr>
      </w:pPr>
      <w:r>
        <w:rPr>
          <w:rFonts w:ascii="Arial" w:cs="Arial" w:eastAsia="Arial" w:hAnsi="Arial"/>
          <w:sz w:val="17"/>
          <w:szCs w:val="17"/>
          <w:u w:val="single" w:color="auto"/>
          <w:color w:val="auto"/>
        </w:rPr>
        <w:t>Catch-Up Contributions</w:t>
      </w:r>
      <w:r>
        <w:rPr>
          <w:rFonts w:ascii="Arial" w:cs="Arial" w:eastAsia="Arial" w:hAnsi="Arial"/>
          <w:sz w:val="17"/>
          <w:szCs w:val="17"/>
          <w:color w:val="auto"/>
        </w:rPr>
        <w:t xml:space="preserve">. Eligible Employees who have attained Age 50 before the close of any Plan Year and who have previously contributed at least 4.5% of their Compensation as Pre-Tax Contributions or Roth Contributions during such Plan Year shall be eligible to make Catch-Up Contributions during that Plan Year. Catch-Up Contributions shall be expressed as a percentage of Compensation between one percent (1%) and thirty percent (30%) (rounded to the nearer one-half percentage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xml:space="preserve">%)) and may be designated as either Pre-Tax Catch-Up Contributions or Roth Catch-Up Contributions. Catch-Up Contributions shall not be taken into account for purposes of the provisions of the Plan implementing the required limitations of sections 402(g) and 415 of the Code. The Plan shall not be treated as failing to satisfy the provisions of the Plan implementing the requirements of section 401(k)(3), 401(k)(11), 401(m)(12), 410(b) or 416 of the Code, as applicable, by reason of the making of such Catch-Up contributions. Catch-Up Contributions shall not be matched pursuant to Section 3.2 of this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98" w:lineRule="exact"/>
        <w:rPr>
          <w:rFonts w:ascii="Arial" w:cs="Arial" w:eastAsia="Arial" w:hAnsi="Arial"/>
          <w:sz w:val="17"/>
          <w:szCs w:val="17"/>
          <w:color w:val="auto"/>
        </w:rPr>
      </w:pPr>
    </w:p>
    <w:p>
      <w:pPr>
        <w:ind w:right="100" w:firstLine="1948"/>
        <w:spacing w:after="0" w:line="286" w:lineRule="auto"/>
        <w:tabs>
          <w:tab w:leader="none" w:pos="2185"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Roth Contributions</w:t>
      </w:r>
      <w:r>
        <w:rPr>
          <w:rFonts w:ascii="Arial" w:cs="Arial" w:eastAsia="Arial" w:hAnsi="Arial"/>
          <w:sz w:val="16"/>
          <w:szCs w:val="16"/>
          <w:color w:val="auto"/>
        </w:rPr>
        <w:t>. An Eligible Employee may elect, on a form prescribed by the Committee, to contribute, in lieu of all or a portion of the Pre-Tax Contributions and/or Pre-Tax Catch-Up Contributions the Participant is otherwise eligible to make under the Plan, Roth Contributions and/or Roth Catch-Up Contributions to the Plan. Such Roth Contributions and Roth Catch-Up Contributions shall be allocated to the Eligible Employee’s Roth Contribution Account or Roth Catch-Up Contribution Account, as applicable. Roth Contributions and Roth Catch-Up Contributions shall be:</w:t>
      </w:r>
    </w:p>
    <w:p>
      <w:pPr>
        <w:spacing w:after="0" w:line="1" w:lineRule="exact"/>
        <w:rPr>
          <w:rFonts w:ascii="Arial" w:cs="Arial" w:eastAsia="Arial" w:hAnsi="Arial"/>
          <w:sz w:val="16"/>
          <w:szCs w:val="16"/>
          <w:color w:val="auto"/>
        </w:rPr>
      </w:pPr>
    </w:p>
    <w:p>
      <w:pPr>
        <w:ind w:right="120" w:firstLine="8"/>
        <w:spacing w:after="0" w:line="281" w:lineRule="auto"/>
        <w:tabs>
          <w:tab w:leader="none" w:pos="21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irrevocably designated as such by the Eligible Employee at the time of the election described in Sections 3.1(a) or (b) that is being made in lieu of all or a portion of the Pre-Tax Contribution and/or Pre-Tax Catch-Up Contributions the Eligible Employee is otherwise eligible to make under the Plan; and</w:t>
      </w:r>
    </w:p>
    <w:p>
      <w:pPr>
        <w:spacing w:after="0" w:line="1" w:lineRule="exact"/>
        <w:rPr>
          <w:rFonts w:ascii="Arial" w:cs="Arial" w:eastAsia="Arial" w:hAnsi="Arial"/>
          <w:sz w:val="16"/>
          <w:szCs w:val="16"/>
          <w:color w:val="auto"/>
        </w:rPr>
      </w:pPr>
    </w:p>
    <w:p>
      <w:pPr>
        <w:jc w:val="both"/>
        <w:ind w:right="20" w:firstLine="8"/>
        <w:spacing w:after="0" w:line="254" w:lineRule="auto"/>
        <w:tabs>
          <w:tab w:leader="none" w:pos="26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treated by the Participating Company as includible in the Eligible Employee’s income at the time the Participant would have received that amount in cash if the Eligible Employee had not made an election described in Sections 3.1(a) or (b). Unless specifically stated otherwise, Roth Contributions shall be treated as Pre-Tax Contributions for all purposes of the Plan (including, without limitation, Matching Contributions under Section 3.2) and Roth Catch-Up Contributions shall be treated as Pre-Tax Catch-Up Contributions for all purposes of the Plan.</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Matching Contributions</w:t>
      </w:r>
      <w:r>
        <w:rPr>
          <w:rFonts w:ascii="Arial" w:cs="Arial" w:eastAsia="Arial" w:hAnsi="Arial"/>
          <w:sz w:val="16"/>
          <w:szCs w:val="16"/>
          <w:color w:val="auto"/>
        </w:rPr>
        <w:t>. Subject to Sections 3.2(b) below and 3.10 of the Plan, the Participating Company shall contribute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 for each Payroll Period:</w:t>
      </w:r>
    </w:p>
    <w:p>
      <w:pPr>
        <w:spacing w:after="0" w:line="211" w:lineRule="exact"/>
        <w:rPr>
          <w:sz w:val="20"/>
          <w:szCs w:val="20"/>
          <w:color w:val="auto"/>
        </w:rPr>
      </w:pPr>
    </w:p>
    <w:p>
      <w:pPr>
        <w:ind w:right="740" w:firstLine="1948"/>
        <w:spacing w:after="0" w:line="322" w:lineRule="auto"/>
        <w:tabs>
          <w:tab w:leader="none" w:pos="218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with respect to each Active Participant, an amount equal to one hundred percent (100%) of such Participant’s Pre-Tax Contributions for such Payroll Period not in excess of four and one-half percent (4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of his Compensation for such Payroll Period.</w:t>
      </w:r>
    </w:p>
    <w:p>
      <w:pPr>
        <w:ind w:firstLine="1948"/>
        <w:spacing w:after="0" w:line="264" w:lineRule="auto"/>
        <w:tabs>
          <w:tab w:leader="none" w:pos="219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True-Up Contribution</w:t>
      </w:r>
      <w:r>
        <w:rPr>
          <w:rFonts w:ascii="Arial" w:cs="Arial" w:eastAsia="Arial" w:hAnsi="Arial"/>
          <w:sz w:val="18"/>
          <w:szCs w:val="18"/>
          <w:color w:val="auto"/>
        </w:rPr>
        <w:t>. Notwithstanding Section 3.2(a), if the sum of the Matching Contributions made for an Active Participant on a Payroll Period basis for any Plan Year fails to provide the maximum amount of Matching Contributions to which such Active Participant would be entitled except for the Matching Contributions being made on a Payroll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3" w:right="259" w:bottom="1440" w:gutter="0" w:footer="0" w:header="0"/>
        </w:sectPr>
      </w:pPr>
    </w:p>
    <w:bookmarkStart w:id="318" w:name="page319"/>
    <w:bookmarkEnd w:id="31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basis for such Plan Year or because of Catch-Up Contributions being re-designated as Pre-Tax Contributions, a Participating Company shall make an additional Matching Contribution for the benefit of such Participant for such Plan Year in an amount equal to the amount which, when added to the Matching Contributions made pursuant to Section 3.2(a), would have been contributed had the Matching Contribution been based on the amount of the Participant’s annual Pre-Tax Contributions and annual Compensation.</w:t>
      </w:r>
    </w:p>
    <w:p>
      <w:pPr>
        <w:spacing w:after="0" w:line="187" w:lineRule="exact"/>
        <w:rPr>
          <w:sz w:val="20"/>
          <w:szCs w:val="20"/>
          <w:color w:val="auto"/>
        </w:rPr>
      </w:pPr>
    </w:p>
    <w:p>
      <w:pPr>
        <w:ind w:firstLine="1948"/>
        <w:spacing w:after="0" w:line="291" w:lineRule="auto"/>
        <w:tabs>
          <w:tab w:leader="none" w:pos="218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Notwithstanding the forgoing, the maximum total Matching Contribution for any Plan Year shall be $10,000 for any Participant who (i) is a Highly Compensated Employee and (ii) and is either (A) eligible to participate in the Comcast Corporation 2005 Deferred Compensation Plan or</w:t>
      </w:r>
    </w:p>
    <w:p>
      <w:pPr>
        <w:ind w:right="200" w:firstLine="8"/>
        <w:spacing w:after="0" w:line="254" w:lineRule="auto"/>
        <w:tabs>
          <w:tab w:leader="none" w:pos="28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a Committee Member. For purposes of Sections 3.2(c) and 3.3 of this </w:t>
      </w:r>
      <w:r>
        <w:rPr>
          <w:rFonts w:ascii="Arial" w:cs="Arial" w:eastAsia="Arial" w:hAnsi="Arial"/>
          <w:sz w:val="18"/>
          <w:szCs w:val="18"/>
          <w:u w:val="single" w:color="auto"/>
          <w:color w:val="auto"/>
        </w:rPr>
        <w:t>Exhibit B</w:t>
      </w:r>
      <w:r>
        <w:rPr>
          <w:rFonts w:ascii="Arial" w:cs="Arial" w:eastAsia="Arial" w:hAnsi="Arial"/>
          <w:sz w:val="18"/>
          <w:szCs w:val="18"/>
          <w:color w:val="auto"/>
        </w:rPr>
        <w:t>, a “Committee Member” means any Employee who is a member of the group of senior management employees of the NBCUniversal and its subsidiaries who have been appointed as members of the NBCUniversal Executive Committee, NBCUniversal Management Committee or NBCUniversal Operating Committee by the Chief Executive Officer of NBCUniversal, LLC and whose membership has been approved by the EVP.</w:t>
      </w:r>
    </w:p>
    <w:p>
      <w:pPr>
        <w:spacing w:after="0" w:line="190" w:lineRule="exact"/>
        <w:rPr>
          <w:sz w:val="20"/>
          <w:szCs w:val="20"/>
          <w:color w:val="auto"/>
        </w:rPr>
      </w:pPr>
    </w:p>
    <w:p>
      <w:pPr>
        <w:ind w:right="60" w:firstLine="1484"/>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NBCU Retirement Contributions</w:t>
      </w:r>
      <w:r>
        <w:rPr>
          <w:rFonts w:ascii="Arial" w:cs="Arial" w:eastAsia="Arial" w:hAnsi="Arial"/>
          <w:sz w:val="17"/>
          <w:szCs w:val="17"/>
          <w:color w:val="auto"/>
        </w:rPr>
        <w:t>. With respect to each Plan Year, the Participating Companies will, subject to the limitations of Section 3.11 of the Plan, contribute to the Fund for each Eligible Employee who is an Employee on the last day of the applicable Plan Year an additional amount equal to least 3% of such Eligible Employee’s Compensation for that Plan Year. In the event that an Employee is eligible to receive an allocation of the NBCU Retirement Contribution for a particular Plan Year and such Employee is employed by the Company or one of its subsidiaries (other than NBCUniversal and its subsidiaries) as of the last day of the Plan Year due to a transfer of employment from NBCUniversal or one of its subsidiaries during such Plan Year, such eligible Employee’s allocation of the NBCU Retirement Contribution will be limited to 3% of such Eligible Employee’s Compensation for the portion of the Plan Year he or she was employed by NBCUniversal or one of its subsidiaries. Notwithstanding the foregoing, no Eligible Employee shall be eligible to receive an NBCU Retirement Contribution pursuant to this Section 3.3 if such Employee is either (i) eligible to participate in the Comcast Corporation 2005 Deferred Compensation Plan or (B) a Committee Member.</w:t>
      </w:r>
    </w:p>
    <w:p>
      <w:pPr>
        <w:spacing w:after="0" w:line="182"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For avoidance of doubt, the provisions of Sections 3.1.2, 3.3, 3.4, 3.7, 3.8, 3.9, 3.10, 3.11, 3.12 and 3.13 of the Plan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Vesting</w:t>
      </w:r>
      <w:r>
        <w:rPr>
          <w:rFonts w:ascii="Arial" w:cs="Arial" w:eastAsia="Arial" w:hAnsi="Arial"/>
          <w:sz w:val="18"/>
          <w:szCs w:val="18"/>
          <w:color w:val="auto"/>
        </w:rPr>
        <w:t>. Each Participant shall become vested in that portion of his NBCU Retirement Contribution Account in accordance with the following schedule:</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Years of Service</w:t>
            </w:r>
          </w:p>
        </w:tc>
        <w:tc>
          <w:tcPr>
            <w:tcW w:w="1920" w:type="dxa"/>
            <w:vAlign w:val="bottom"/>
          </w:tcPr>
          <w:p>
            <w:pPr>
              <w:spacing w:after="0"/>
              <w:rPr>
                <w:sz w:val="14"/>
                <w:szCs w:val="14"/>
                <w:color w:val="auto"/>
              </w:rPr>
            </w:pPr>
          </w:p>
        </w:tc>
        <w:tc>
          <w:tcPr>
            <w:tcW w:w="4880" w:type="dxa"/>
            <w:vAlign w:val="bottom"/>
            <w:gridSpan w:val="3"/>
          </w:tcPr>
          <w:p>
            <w:pPr>
              <w:jc w:val="right"/>
              <w:ind w:right="220"/>
              <w:spacing w:after="0"/>
              <w:rPr>
                <w:sz w:val="20"/>
                <w:szCs w:val="20"/>
                <w:color w:val="auto"/>
              </w:rPr>
            </w:pPr>
            <w:r>
              <w:rPr>
                <w:rFonts w:ascii="Arial" w:cs="Arial" w:eastAsia="Arial" w:hAnsi="Arial"/>
                <w:sz w:val="14"/>
                <w:szCs w:val="14"/>
                <w:color w:val="auto"/>
              </w:rPr>
              <w:t>Vested Percentage</w:t>
            </w:r>
          </w:p>
        </w:tc>
        <w:tc>
          <w:tcPr>
            <w:tcW w:w="0" w:type="dxa"/>
            <w:vAlign w:val="bottom"/>
          </w:tcPr>
          <w:p>
            <w:pPr>
              <w:spacing w:after="0"/>
              <w:rPr>
                <w:sz w:val="1"/>
                <w:szCs w:val="1"/>
                <w:color w:val="auto"/>
              </w:rPr>
            </w:pPr>
          </w:p>
        </w:tc>
      </w:tr>
      <w:tr>
        <w:trPr>
          <w:trHeight w:val="20"/>
        </w:trPr>
        <w:tc>
          <w:tcPr>
            <w:tcW w:w="2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Less than 2 years</w:t>
            </w:r>
          </w:p>
        </w:tc>
        <w:tc>
          <w:tcPr>
            <w:tcW w:w="362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2 years but less than 3 years</w:t>
            </w: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years but less than 4 years</w:t>
            </w:r>
          </w:p>
        </w:tc>
        <w:tc>
          <w:tcPr>
            <w:tcW w:w="4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4 years but less than 5 years</w:t>
            </w: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years but less than 6 years</w:t>
            </w:r>
          </w:p>
        </w:tc>
        <w:tc>
          <w:tcPr>
            <w:tcW w:w="4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6 years or more</w:t>
            </w:r>
          </w:p>
        </w:tc>
        <w:tc>
          <w:tcPr>
            <w:tcW w:w="48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50"/>
        </w:trPr>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20" w:type="dxa"/>
            <w:vAlign w:val="bottom"/>
          </w:tcPr>
          <w:p>
            <w:pPr>
              <w:jc w:val="right"/>
              <w:ind w:right="2393"/>
              <w:spacing w:after="0"/>
              <w:rPr>
                <w:sz w:val="20"/>
                <w:szCs w:val="20"/>
                <w:color w:val="auto"/>
              </w:rPr>
            </w:pPr>
            <w:r>
              <w:rPr>
                <w:rFonts w:ascii="Arial" w:cs="Arial" w:eastAsia="Arial" w:hAnsi="Arial"/>
                <w:sz w:val="18"/>
                <w:szCs w:val="18"/>
                <w:color w:val="auto"/>
              </w:rPr>
              <w:t>-85-</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319" w:name="page320"/>
    <w:bookmarkEnd w:id="319"/>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a Participant shall have a 100% nonforfeitable interest in his NBCU Retirement Contribution Account upon his attainment of his Normal Retirement Date, his death or his Total Disability, provided the Participant is an Active Participant at the time of the occurrence of such event. Amounts forfeited from a Participant’s NBCU Retirement Contribution Account under Section 6 of the Plan shall be used to reduce future Matching Contributions and/or NBCU Retirement Contributions or to pay plan expenses. The remaining provisions of Article VI of the Plan (to the extent not contradicted by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apply to Participants subject to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Withdrawals</w:t>
      </w:r>
      <w:r>
        <w:rPr>
          <w:rFonts w:ascii="Arial" w:cs="Arial" w:eastAsia="Arial" w:hAnsi="Arial"/>
          <w:sz w:val="16"/>
          <w:szCs w:val="16"/>
          <w:color w:val="auto"/>
        </w:rPr>
        <w:t xml:space="preserve">. In addition to Active Participants, the following Participants (as determined by the Committee) shall be eligible to receive withdrawals pursuant to Article VIII of the Plan (provided such Participant otherwise meets the eligibility requirements for such withdrawals set forth in the applicable subsection of Article VIII of the Plan): (1) any Participant who is on an unpaid leave of absence without pay; (2) any Participant who is a leave of absence as a result of pregnancy; (3) any Participant who is on a leave of absence while receiving workers’ compensation benefits; (4) any Participant who is on a leave of absence as a result of performing active duty service in the uniformed services (as defined in chapter 43 of title 38, United States Code); (5) any Participant who is not actively employed with a Participating Company as a result of an involuntary layoff; and (6) any Participant who is no longer eligible to actively participate in the Plan solely as a result of transferring to a collectively bargained unit that does not participate in the Plan. The remaining provisions of Article VIII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Loans to Participants</w:t>
      </w:r>
      <w:r>
        <w:rPr>
          <w:rFonts w:ascii="Arial" w:cs="Arial" w:eastAsia="Arial" w:hAnsi="Arial"/>
          <w:sz w:val="16"/>
          <w:szCs w:val="16"/>
          <w:color w:val="auto"/>
        </w:rPr>
        <w:t xml:space="preserve">. In addition to Active Participants, the following Participants (as determined by the Committee) shall be eligible to apply for a loan from the Plan pursuant to Article IX of the Plan: (1) any Participant who is on a leave of absence as a result of pregnancy; (2) any Participant who is on a paid leave of absence as a result of performing active duty service in the uniformed services (as defined in chapter 43 of title 38, United States Code); and (3) any Participant who is no longer eligible to actively participate in the Plan solely as a result of transferring to a collectively bargained unit that does not participate in the Plan. Notwithstanding Section 9.3.1 to the contrary, a Participant who has more than one loan transferred from his account under the NBCU CAP may continue have both loans outstanding under the Plan but may not take a new loan from the Plan until all outstanding loans are paid in full. The remaining provisions of Article IX of the Plan (to the extent not contradicted by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apply to Participants subject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Separate Testing</w:t>
      </w:r>
      <w:r>
        <w:rPr>
          <w:rFonts w:ascii="Arial" w:cs="Arial" w:eastAsia="Arial" w:hAnsi="Arial"/>
          <w:sz w:val="18"/>
          <w:szCs w:val="18"/>
          <w:color w:val="auto"/>
        </w:rPr>
        <w:t>. The portion of the Plan that benefits employees of NBCUniversal and all entities which are Affiliated Companies with respect to NBCUniversal shall be treated, to the extent required by law, as a separate part of a multiple employer plan, unless and until NBCUniversal and its Affiliated Companies become members of the controlled group of employers (within the meaning of section 414(b) and section 414(c) of the Code) that includes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11 TO EMPLOYMENT AGREEMENT</w:t>
      </w:r>
    </w:p>
    <w:p>
      <w:pPr>
        <w:spacing w:after="0" w:line="229" w:lineRule="exact"/>
        <w:rPr>
          <w:sz w:val="20"/>
          <w:szCs w:val="20"/>
          <w:color w:val="auto"/>
        </w:rPr>
      </w:pPr>
    </w:p>
    <w:p>
      <w:pPr>
        <w:ind w:right="1060" w:firstLine="456"/>
        <w:spacing w:after="0" w:line="342" w:lineRule="auto"/>
        <w:rPr>
          <w:sz w:val="20"/>
          <w:szCs w:val="20"/>
          <w:color w:val="auto"/>
        </w:rPr>
      </w:pPr>
      <w:r>
        <w:rPr>
          <w:rFonts w:ascii="Arial" w:cs="Arial" w:eastAsia="Arial" w:hAnsi="Arial"/>
          <w:sz w:val="16"/>
          <w:szCs w:val="16"/>
          <w:color w:val="auto"/>
        </w:rPr>
        <w:t>This AMENDMENT NO. 11 TO EMPLOYMENT AGREEMENT is entered as of the 18</w:t>
      </w:r>
      <w:r>
        <w:rPr>
          <w:rFonts w:ascii="Arial" w:cs="Arial" w:eastAsia="Arial" w:hAnsi="Arial"/>
          <w:sz w:val="13"/>
          <w:szCs w:val="13"/>
          <w:color w:val="auto"/>
        </w:rPr>
        <w:t>th</w:t>
      </w:r>
      <w:r>
        <w:rPr>
          <w:rFonts w:ascii="Arial" w:cs="Arial" w:eastAsia="Arial" w:hAnsi="Arial"/>
          <w:sz w:val="16"/>
          <w:szCs w:val="16"/>
          <w:color w:val="auto"/>
        </w:rPr>
        <w:t xml:space="preserve"> day of December, 2013, between COMCAST CORPORATION, a Pennsylvania corporation (together with its subsidiaries, the “Company”), and BRIAN L. ROBERTS (“Employee”).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right="400" w:firstLine="464"/>
        <w:spacing w:after="0" w:line="286" w:lineRule="auto"/>
        <w:tabs>
          <w:tab w:leader="none" w:pos="63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Subparagraph 5(b) of the Agreement is hereby amended to add the following year and amount thereto: “Year – 2014; Amount - $3,646,519.” Employee hereby elects January 2, 2017 as the scheduled payment date with respect to such amount, provided that Employee may elect to postpone such scheduled payment date to the extent permitted under the Company’s 2005 Deferred Compensation Plan.</w:t>
      </w:r>
    </w:p>
    <w:p>
      <w:pPr>
        <w:spacing w:after="0" w:line="165" w:lineRule="exact"/>
        <w:rPr>
          <w:rFonts w:ascii="Arial" w:cs="Arial" w:eastAsia="Arial" w:hAnsi="Arial"/>
          <w:sz w:val="17"/>
          <w:szCs w:val="17"/>
          <w:color w:val="auto"/>
        </w:rPr>
      </w:pPr>
    </w:p>
    <w:p>
      <w:pPr>
        <w:ind w:left="640" w:hanging="176"/>
        <w:spacing w:after="0"/>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Amendment No. 11 as of the date first-above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u w:val="single" w:color="auto"/>
          <w:color w:val="auto"/>
        </w:rPr>
        <w:t>12/18/13</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u w:val="single" w:color="auto"/>
          <w:color w:val="auto"/>
        </w:rPr>
        <w:t>12/18/13</w:t>
      </w:r>
    </w:p>
    <w:p>
      <w:pPr>
        <w:sectPr>
          <w:pgSz w:w="11900" w:h="16838" w:orient="portrait"/>
          <w:cols w:equalWidth="0" w:num="1">
            <w:col w:w="11420"/>
          </w:cols>
          <w:pgMar w:left="240" w:top="121"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12.1</w:t>
      </w:r>
    </w:p>
    <w:p>
      <w:pPr>
        <w:spacing w:after="0" w:line="11"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9" w:lineRule="exact"/>
        <w:rPr>
          <w:sz w:val="20"/>
          <w:szCs w:val="20"/>
          <w:color w:val="auto"/>
        </w:rPr>
      </w:pPr>
    </w:p>
    <w:p>
      <w:pPr>
        <w:ind w:right="880"/>
        <w:spacing w:after="0" w:line="260" w:lineRule="auto"/>
        <w:rPr>
          <w:sz w:val="20"/>
          <w:szCs w:val="20"/>
          <w:color w:val="auto"/>
        </w:rPr>
      </w:pPr>
      <w:r>
        <w:rPr>
          <w:rFonts w:ascii="Arial" w:cs="Arial" w:eastAsia="Arial" w:hAnsi="Arial"/>
          <w:sz w:val="24"/>
          <w:szCs w:val="24"/>
          <w:color w:val="auto"/>
        </w:rPr>
        <w:t>Statement Regarding Computation of Ratio of Earnings to Fixed Charges and Ratio of Earnings to Combined Fixed Charges and Preferred Dividends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 Ended December 31 (in millions)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2011</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2010</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9"/>
        </w:trPr>
        <w:tc>
          <w:tcPr>
            <w:tcW w:w="690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22"/>
                <w:szCs w:val="22"/>
                <w:b w:val="1"/>
                <w:bCs w:val="1"/>
                <w:color w:val="auto"/>
                <w:vertAlign w:val="superscript"/>
              </w:rPr>
              <w:t>(a)</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w w:val="98"/>
              </w:rPr>
              <w:t>Pretax income from continuing operations before adjustment for noncontrolling interests</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11,201</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00" w:type="dxa"/>
            <w:vAlign w:val="bottom"/>
          </w:tcPr>
          <w:p>
            <w:pPr>
              <w:ind w:left="220"/>
              <w:spacing w:after="0" w:line="181" w:lineRule="exact"/>
              <w:rPr>
                <w:sz w:val="20"/>
                <w:szCs w:val="20"/>
                <w:color w:val="auto"/>
              </w:rPr>
            </w:pPr>
            <w:r>
              <w:rPr>
                <w:rFonts w:ascii="Arial" w:cs="Arial" w:eastAsia="Arial" w:hAnsi="Arial"/>
                <w:sz w:val="18"/>
                <w:szCs w:val="18"/>
                <w:color w:val="auto"/>
              </w:rPr>
              <w:t>in consolidated subsidiaries or income or loss from equity investees</w:t>
            </w:r>
          </w:p>
        </w:tc>
        <w:tc>
          <w:tcPr>
            <w:tcW w:w="2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181" w:lineRule="exact"/>
              <w:rPr>
                <w:sz w:val="20"/>
                <w:szCs w:val="20"/>
                <w:color w:val="auto"/>
              </w:rPr>
            </w:pPr>
            <w:r>
              <w:rPr>
                <w:rFonts w:ascii="Arial" w:cs="Arial" w:eastAsia="Arial" w:hAnsi="Arial"/>
                <w:sz w:val="18"/>
                <w:szCs w:val="18"/>
                <w:color w:val="auto"/>
                <w:w w:val="98"/>
              </w:rPr>
              <w:t>10,650</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line="181" w:lineRule="exact"/>
              <w:rPr>
                <w:sz w:val="20"/>
                <w:szCs w:val="20"/>
                <w:color w:val="auto"/>
              </w:rPr>
            </w:pPr>
            <w:r>
              <w:rPr>
                <w:rFonts w:ascii="Arial" w:cs="Arial" w:eastAsia="Arial" w:hAnsi="Arial"/>
                <w:sz w:val="18"/>
                <w:szCs w:val="18"/>
                <w:color w:val="auto"/>
              </w:rPr>
              <w:t>8,242</w:t>
            </w:r>
          </w:p>
        </w:tc>
        <w:tc>
          <w:tcPr>
            <w:tcW w:w="840" w:type="dxa"/>
            <w:vAlign w:val="bottom"/>
          </w:tcPr>
          <w:p>
            <w:pPr>
              <w:jc w:val="right"/>
              <w:ind w:right="74"/>
              <w:spacing w:after="0" w:line="181" w:lineRule="exact"/>
              <w:rPr>
                <w:sz w:val="20"/>
                <w:szCs w:val="20"/>
                <w:color w:val="auto"/>
              </w:rPr>
            </w:pPr>
            <w:r>
              <w:rPr>
                <w:rFonts w:ascii="Arial" w:cs="Arial" w:eastAsia="Arial" w:hAnsi="Arial"/>
                <w:sz w:val="18"/>
                <w:szCs w:val="18"/>
                <w:color w:val="auto"/>
              </w:rPr>
              <w:t>$ 6,245</w:t>
            </w:r>
          </w:p>
        </w:tc>
        <w:tc>
          <w:tcPr>
            <w:tcW w:w="84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$ 5,170</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Fixed charges</w:t>
            </w:r>
          </w:p>
        </w:tc>
        <w:tc>
          <w:tcPr>
            <w:tcW w:w="20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2,882</w:t>
            </w:r>
          </w:p>
        </w:tc>
        <w:tc>
          <w:tcPr>
            <w:tcW w:w="220" w:type="dxa"/>
            <w:vAlign w:val="bottom"/>
          </w:tcPr>
          <w:p>
            <w:pPr>
              <w:spacing w:after="0"/>
              <w:rPr>
                <w:sz w:val="17"/>
                <w:szCs w:val="17"/>
                <w:color w:val="auto"/>
              </w:rPr>
            </w:pP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2,798</w:t>
            </w:r>
          </w:p>
        </w:tc>
        <w:tc>
          <w:tcPr>
            <w:tcW w:w="22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2,755</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2,366</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Distributed income of equity investees</w:t>
            </w:r>
          </w:p>
        </w:tc>
        <w:tc>
          <w:tcPr>
            <w:tcW w:w="20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120</w:t>
            </w:r>
          </w:p>
        </w:tc>
        <w:tc>
          <w:tcPr>
            <w:tcW w:w="220" w:type="dxa"/>
            <w:vAlign w:val="bottom"/>
          </w:tcPr>
          <w:p>
            <w:pPr>
              <w:spacing w:after="0"/>
              <w:rPr>
                <w:sz w:val="17"/>
                <w:szCs w:val="17"/>
                <w:color w:val="auto"/>
              </w:rPr>
            </w:pP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195</w:t>
            </w:r>
          </w:p>
        </w:tc>
        <w:tc>
          <w:tcPr>
            <w:tcW w:w="22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311</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(211)</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(166)</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(173)</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Earnings</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13,992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w w:val="98"/>
              </w:rPr>
              <w:t>13,488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w w:val="98"/>
              </w:rPr>
              <w:t>11,142</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$ 8,458</w:t>
            </w:r>
          </w:p>
        </w:tc>
        <w:tc>
          <w:tcPr>
            <w:tcW w:w="8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$ 7,602</w:t>
            </w:r>
          </w:p>
        </w:tc>
        <w:tc>
          <w:tcPr>
            <w:tcW w:w="0" w:type="dxa"/>
            <w:vAlign w:val="bottom"/>
          </w:tcPr>
          <w:p>
            <w:pPr>
              <w:spacing w:after="0"/>
              <w:rPr>
                <w:sz w:val="1"/>
                <w:szCs w:val="1"/>
                <w:color w:val="auto"/>
              </w:rPr>
            </w:pPr>
          </w:p>
        </w:tc>
      </w:tr>
      <w:tr>
        <w:trPr>
          <w:trHeight w:val="199"/>
        </w:trPr>
        <w:tc>
          <w:tcPr>
            <w:tcW w:w="690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22"/>
                <w:szCs w:val="22"/>
                <w:b w:val="1"/>
                <w:bCs w:val="1"/>
                <w:color w:val="auto"/>
                <w:vertAlign w:val="superscript"/>
              </w:rPr>
              <w:t>(a)</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2,559</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900" w:type="dxa"/>
            <w:vAlign w:val="bottom"/>
          </w:tcPr>
          <w:p>
            <w:pPr>
              <w:spacing w:after="0" w:line="181" w:lineRule="exact"/>
              <w:rPr>
                <w:sz w:val="20"/>
                <w:szCs w:val="20"/>
                <w:color w:val="auto"/>
              </w:rPr>
            </w:pPr>
            <w:r>
              <w:rPr>
                <w:rFonts w:ascii="Arial" w:cs="Arial" w:eastAsia="Arial" w:hAnsi="Arial"/>
                <w:sz w:val="18"/>
                <w:szCs w:val="18"/>
                <w:color w:val="auto"/>
              </w:rPr>
              <w:t>Interest expensed and capitalized</w:t>
            </w:r>
          </w:p>
        </w:tc>
        <w:tc>
          <w:tcPr>
            <w:tcW w:w="2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181" w:lineRule="exact"/>
              <w:rPr>
                <w:sz w:val="20"/>
                <w:szCs w:val="20"/>
                <w:color w:val="auto"/>
              </w:rPr>
            </w:pPr>
            <w:r>
              <w:rPr>
                <w:rFonts w:ascii="Arial" w:cs="Arial" w:eastAsia="Arial" w:hAnsi="Arial"/>
                <w:sz w:val="18"/>
                <w:szCs w:val="18"/>
                <w:color w:val="auto"/>
              </w:rPr>
              <w:t>2,508</w:t>
            </w:r>
          </w:p>
        </w:tc>
        <w:tc>
          <w:tcPr>
            <w:tcW w:w="22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4"/>
              <w:spacing w:after="0" w:line="181" w:lineRule="exact"/>
              <w:rPr>
                <w:sz w:val="20"/>
                <w:szCs w:val="20"/>
                <w:color w:val="auto"/>
              </w:rPr>
            </w:pPr>
            <w:r>
              <w:rPr>
                <w:rFonts w:ascii="Arial" w:cs="Arial" w:eastAsia="Arial" w:hAnsi="Arial"/>
                <w:sz w:val="18"/>
                <w:szCs w:val="18"/>
                <w:color w:val="auto"/>
              </w:rPr>
              <w:t>2,477</w:t>
            </w:r>
          </w:p>
        </w:tc>
        <w:tc>
          <w:tcPr>
            <w:tcW w:w="840" w:type="dxa"/>
            <w:vAlign w:val="bottom"/>
          </w:tcPr>
          <w:p>
            <w:pPr>
              <w:jc w:val="right"/>
              <w:ind w:right="74"/>
              <w:spacing w:after="0" w:line="181" w:lineRule="exact"/>
              <w:rPr>
                <w:sz w:val="20"/>
                <w:szCs w:val="20"/>
                <w:color w:val="auto"/>
              </w:rPr>
            </w:pPr>
            <w:r>
              <w:rPr>
                <w:rFonts w:ascii="Arial" w:cs="Arial" w:eastAsia="Arial" w:hAnsi="Arial"/>
                <w:sz w:val="18"/>
                <w:szCs w:val="18"/>
                <w:color w:val="auto"/>
              </w:rPr>
              <w:t>$ 2,134</w:t>
            </w:r>
          </w:p>
        </w:tc>
        <w:tc>
          <w:tcPr>
            <w:tcW w:w="840" w:type="dxa"/>
            <w:vAlign w:val="bottom"/>
          </w:tcPr>
          <w:p>
            <w:pPr>
              <w:jc w:val="right"/>
              <w:ind w:right="54"/>
              <w:spacing w:after="0" w:line="181" w:lineRule="exact"/>
              <w:rPr>
                <w:sz w:val="20"/>
                <w:szCs w:val="20"/>
                <w:color w:val="auto"/>
              </w:rPr>
            </w:pPr>
            <w:r>
              <w:rPr>
                <w:rFonts w:ascii="Arial" w:cs="Arial" w:eastAsia="Arial" w:hAnsi="Arial"/>
                <w:sz w:val="18"/>
                <w:szCs w:val="18"/>
                <w:color w:val="auto"/>
              </w:rPr>
              <w:t>$ 2,267</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Amortized premiums, discounts and capitalized expenses related to indebtedness</w:t>
            </w:r>
          </w:p>
        </w:tc>
        <w:tc>
          <w:tcPr>
            <w:tcW w:w="20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7"/>
                <w:szCs w:val="17"/>
                <w:color w:val="auto"/>
              </w:rPr>
            </w:pP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13</w:t>
            </w:r>
          </w:p>
        </w:tc>
        <w:tc>
          <w:tcPr>
            <w:tcW w:w="22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28</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22</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Less: preferred dividends in interest expense</w:t>
            </w:r>
          </w:p>
        </w:tc>
        <w:tc>
          <w:tcPr>
            <w:tcW w:w="200" w:type="dxa"/>
            <w:vAlign w:val="bottom"/>
          </w:tcPr>
          <w:p>
            <w:pPr>
              <w:spacing w:after="0"/>
              <w:rPr>
                <w:sz w:val="17"/>
                <w:szCs w:val="17"/>
                <w:color w:val="auto"/>
              </w:rPr>
            </w:pP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(104)</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(103)</w:t>
            </w: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Portion of rents representative of an interest factor</w:t>
            </w:r>
          </w:p>
        </w:tc>
        <w:tc>
          <w:tcPr>
            <w:tcW w:w="20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203</w:t>
            </w:r>
          </w:p>
        </w:tc>
        <w:tc>
          <w:tcPr>
            <w:tcW w:w="220" w:type="dxa"/>
            <w:vAlign w:val="bottom"/>
          </w:tcPr>
          <w:p>
            <w:pPr>
              <w:spacing w:after="0"/>
              <w:rPr>
                <w:sz w:val="17"/>
                <w:szCs w:val="17"/>
                <w:color w:val="auto"/>
              </w:rPr>
            </w:pP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227</w:t>
            </w:r>
          </w:p>
        </w:tc>
        <w:tc>
          <w:tcPr>
            <w:tcW w:w="220" w:type="dxa"/>
            <w:vAlign w:val="bottom"/>
          </w:tcPr>
          <w:p>
            <w:pPr>
              <w:spacing w:after="0"/>
              <w:rPr>
                <w:sz w:val="17"/>
                <w:szCs w:val="17"/>
                <w:color w:val="auto"/>
              </w:rPr>
            </w:pPr>
          </w:p>
        </w:tc>
        <w:tc>
          <w:tcPr>
            <w:tcW w:w="7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188</w:t>
            </w:r>
          </w:p>
        </w:tc>
        <w:tc>
          <w:tcPr>
            <w:tcW w:w="8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140</w:t>
            </w:r>
          </w:p>
        </w:tc>
        <w:tc>
          <w:tcPr>
            <w:tcW w:w="8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211</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166</w:t>
            </w: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173</w:t>
            </w: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Fixed Charges</w:t>
            </w: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b w:val="1"/>
                <w:bCs w:val="1"/>
                <w:color w:val="auto"/>
              </w:rPr>
              <w:t>2,882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2,798</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2,755</w:t>
            </w:r>
          </w:p>
        </w:tc>
        <w:tc>
          <w:tcPr>
            <w:tcW w:w="8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$ 2,366</w:t>
            </w:r>
          </w:p>
        </w:tc>
        <w:tc>
          <w:tcPr>
            <w:tcW w:w="8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$ 2,529</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0C6DFF"/>
            </w:tcBorders>
          </w:tcPr>
          <w:p>
            <w:pPr>
              <w:spacing w:after="0" w:line="19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(a)</w:t>
            </w:r>
          </w:p>
        </w:tc>
        <w:tc>
          <w:tcPr>
            <w:tcW w:w="200" w:type="dxa"/>
            <w:vAlign w:val="bottom"/>
            <w:tcBorders>
              <w:bottom w:val="single" w:sz="8" w:color="0C6DFF"/>
            </w:tcBorders>
          </w:tcPr>
          <w:p>
            <w:pPr>
              <w:spacing w:after="0"/>
              <w:rPr>
                <w:sz w:val="17"/>
                <w:szCs w:val="17"/>
                <w:color w:val="auto"/>
              </w:rPr>
            </w:pP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b w:val="1"/>
                <w:bCs w:val="1"/>
                <w:color w:val="auto"/>
              </w:rPr>
              <w:t>4.85x</w:t>
            </w:r>
          </w:p>
        </w:tc>
        <w:tc>
          <w:tcPr>
            <w:tcW w:w="220" w:type="dxa"/>
            <w:vAlign w:val="bottom"/>
            <w:tcBorders>
              <w:bottom w:val="single" w:sz="8" w:color="0C6DFF"/>
            </w:tcBorders>
          </w:tcPr>
          <w:p>
            <w:pPr>
              <w:spacing w:after="0"/>
              <w:rPr>
                <w:sz w:val="17"/>
                <w:szCs w:val="17"/>
                <w:color w:val="auto"/>
              </w:rPr>
            </w:pPr>
          </w:p>
        </w:tc>
        <w:tc>
          <w:tcPr>
            <w:tcW w:w="72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4.82x</w:t>
            </w:r>
          </w:p>
        </w:tc>
        <w:tc>
          <w:tcPr>
            <w:tcW w:w="220" w:type="dxa"/>
            <w:vAlign w:val="bottom"/>
            <w:tcBorders>
              <w:bottom w:val="single" w:sz="8" w:color="0C6DFF"/>
            </w:tcBorders>
          </w:tcPr>
          <w:p>
            <w:pPr>
              <w:spacing w:after="0"/>
              <w:rPr>
                <w:sz w:val="17"/>
                <w:szCs w:val="17"/>
                <w:color w:val="auto"/>
              </w:rPr>
            </w:pPr>
          </w:p>
        </w:tc>
        <w:tc>
          <w:tcPr>
            <w:tcW w:w="7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4.04x</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3.57x</w:t>
            </w:r>
          </w:p>
        </w:tc>
        <w:tc>
          <w:tcPr>
            <w:tcW w:w="840" w:type="dxa"/>
            <w:vAlign w:val="bottom"/>
            <w:tcBorders>
              <w:bottom w:val="single" w:sz="8" w:color="0C6DFF"/>
            </w:tcBorders>
          </w:tcPr>
          <w:p>
            <w:pPr>
              <w:jc w:val="right"/>
              <w:spacing w:after="0" w:line="196" w:lineRule="exact"/>
              <w:rPr>
                <w:sz w:val="20"/>
                <w:szCs w:val="20"/>
                <w:color w:val="auto"/>
              </w:rPr>
            </w:pPr>
            <w:r>
              <w:rPr>
                <w:rFonts w:ascii="Arial" w:cs="Arial" w:eastAsia="Arial" w:hAnsi="Arial"/>
                <w:sz w:val="18"/>
                <w:szCs w:val="18"/>
                <w:color w:val="auto"/>
              </w:rPr>
              <w:t>3.01x</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4" w:lineRule="auto"/>
        <w:tabs>
          <w:tab w:leader="none" w:pos="30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ectPr>
          <w:pgSz w:w="11900" w:h="16838" w:orient="portrait"/>
          <w:cols w:equalWidth="0" w:num="1">
            <w:col w:w="11420"/>
          </w:cols>
          <w:pgMar w:left="240" w:top="121" w:right="23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40" w:type="dxa"/>
            <w:vAlign w:val="bottom"/>
            <w:gridSpan w:val="2"/>
          </w:tcPr>
          <w:p>
            <w:pPr>
              <w:ind w:left="104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392"/>
        </w:trPr>
        <w:tc>
          <w:tcPr>
            <w:tcW w:w="360" w:type="dxa"/>
            <w:vAlign w:val="bottom"/>
          </w:tcPr>
          <w:p>
            <w:pPr>
              <w:spacing w:after="0"/>
              <w:rPr>
                <w:sz w:val="20"/>
                <w:szCs w:val="20"/>
                <w:color w:val="auto"/>
              </w:rPr>
            </w:pPr>
            <w:r>
              <w:rPr>
                <w:rFonts w:ascii="Arial" w:cs="Arial" w:eastAsia="Arial" w:hAnsi="Arial"/>
                <w:sz w:val="14"/>
                <w:szCs w:val="14"/>
                <w:color w:val="auto"/>
                <w:w w:val="90"/>
              </w:rPr>
              <w:t>Name</w:t>
            </w:r>
          </w:p>
        </w:tc>
        <w:tc>
          <w:tcPr>
            <w:tcW w:w="7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w w:val="98"/>
              </w:rPr>
              <w:t>State/Country of Organization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7240" w:type="dxa"/>
            <w:vAlign w:val="bottom"/>
            <w:vMerge w:val="restart"/>
          </w:tcPr>
          <w:p>
            <w:pPr>
              <w:ind w:left="140"/>
              <w:spacing w:after="0"/>
              <w:rPr>
                <w:sz w:val="20"/>
                <w:szCs w:val="20"/>
                <w:color w:val="auto"/>
              </w:rPr>
            </w:pPr>
            <w:r>
              <w:rPr>
                <w:rFonts w:ascii="Arial" w:cs="Arial" w:eastAsia="Arial" w:hAnsi="Arial"/>
                <w:sz w:val="18"/>
                <w:szCs w:val="18"/>
                <w:color w:val="auto"/>
              </w:rPr>
              <w:t>Holding LLC</w:t>
            </w:r>
          </w:p>
        </w:tc>
        <w:tc>
          <w:tcPr>
            <w:tcW w:w="19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72"/>
              </w:rPr>
              <w:t>Bravo</w:t>
            </w:r>
          </w:p>
        </w:tc>
        <w:tc>
          <w:tcPr>
            <w:tcW w:w="7240" w:type="dxa"/>
            <w:vAlign w:val="bottom"/>
            <w:vMerge w:val="continue"/>
          </w:tcPr>
          <w:p>
            <w:pPr>
              <w:spacing w:after="0"/>
              <w:rPr>
                <w:sz w:val="16"/>
                <w:szCs w:val="16"/>
                <w:color w:val="auto"/>
              </w:rPr>
            </w:pPr>
          </w:p>
        </w:tc>
        <w:tc>
          <w:tcPr>
            <w:tcW w:w="3720" w:type="dxa"/>
            <w:vAlign w:val="bottom"/>
            <w:gridSpan w:val="2"/>
          </w:tcPr>
          <w:p>
            <w:pPr>
              <w:ind w:left="1880"/>
              <w:spacing w:after="0" w:line="195" w:lineRule="exact"/>
              <w:rPr>
                <w:sz w:val="20"/>
                <w:szCs w:val="20"/>
                <w:color w:val="auto"/>
              </w:rPr>
            </w:pPr>
            <w:r>
              <w:rPr>
                <w:rFonts w:ascii="Arial" w:cs="Arial" w:eastAsia="Arial" w:hAnsi="Arial"/>
                <w:sz w:val="18"/>
                <w:szCs w:val="18"/>
                <w:color w:val="auto"/>
              </w:rPr>
              <w:t>DE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Bravo Media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CA Holding C.V.</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CCF Management Services,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Centaur Funding Corporation</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Century-TCI California Communications, L.P.</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CNBC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CNBC/MSNBC,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A/TW Note Holdings,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ABB Note Consolidation,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ABB Note Sub Consolidation I,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Broadband Security,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Cable Communications Canada,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Cable Communications Management,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Cable Communications,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Cable Funding I,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Cable Holdings,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Cablevision of Southeast Michigan,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Capital Corporation</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Funding I,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IP Phone II,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IP Phone,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PA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IP Services,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JR Holdings,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Metatv,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Communications Holding Company,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Express Midwest,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OH</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Express of Florida,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Express of New England,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Express of Virginia,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VA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Group,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Holdings I,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Information Technology Systems,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International Programming,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Investments,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of Delaware,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MO Telecommunications Corp.</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Navy Acquisition,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Navy Contribution,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Navy Holdings, LLC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Newco 13,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rPr>
              <w:t>Comcast of Arkansas/Florida/Louisiana/Minnesota/Mississippi/Tennessee,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Comcast of Boston, Inc.</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NY</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of Brockton,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IX,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 XII,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California/Colorado/Illinois/Indiana/Michigan,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California/Maryland/Pennsylvania/Virginia/West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California/Massachusetts/Michigan/Utah,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California/Pennsylvania/Utah/Washington,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 IX,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Colorado/Pennsylvania/West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Connecticut,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of Connecticut/Georgia/Massachusetts/New Hampshire/New York/North Carolina/Virginia/Vermont,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Florida/Georgia/Illinois/Michigan,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Florida/Georgia/Pennsylvania,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Garden State,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Georgia/Massachusetts,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Georgia/Virginia,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Harford County,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Houston,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Illinois/Indiana/Ohio,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Maine/New Hampshire,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Maryland,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 III,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Massachusetts/New Hampshire,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Michigan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Milton,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Needham,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New Jersey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Oregon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Pennsylvania/Washington/West Virginia,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Philadelphia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Potomac,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Chicago,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Southeast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Southern New England,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St. Paul,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Taylor,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the South,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of Washington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w:t>
      </w:r>
    </w:p>
    <w:p>
      <w:pPr>
        <w:sectPr>
          <w:pgSz w:w="11900" w:h="16838" w:orient="portrait"/>
          <w:cols w:equalWidth="0" w:num="2">
            <w:col w:w="8760" w:space="720"/>
            <w:col w:w="739"/>
          </w:cols>
          <w:pgMar w:left="240" w:top="273" w:right="1440"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of Washington IV,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Central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D.C.,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Phone of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Programming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QVC,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Chicago,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Comcast SportsNet New England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Comcast Spotlight,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TCP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Telephony Services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Visible World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Wireless Investment,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Australia Programming,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Cablevision Asia Pacific,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Teleport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Entertainment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Heritage Cablevision of Massachusetts,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Finance,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SportsNet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Jones Cable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MSNBC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 Cable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NBC-Rainbow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Acquisition Sub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 Dutch Holding (Bermuda)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Enterprise,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NBCUniversal,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England Microwave,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Belmont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Parnassos Communications,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Preview Magazine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Sparrowhawk Media Services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Stage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Central,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Council Bluffs,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of Indiana Insgt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Northeast,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ectPr>
          <w:pgSz w:w="11900" w:h="16838" w:orient="portrait"/>
          <w:cols w:equalWidth="0" w:num="2">
            <w:col w:w="8760" w:space="720"/>
            <w:col w:w="739"/>
          </w:cols>
          <w:pgMar w:left="240" w:top="274" w:right="1440"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TCI Pacific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TCI Realty,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South Carolina IP-I,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Southeast,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TCI West,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TGC,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UACC Midwest Insgt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UA-Columbia Cablevision of Massachusetts,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UCDP Finance,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Artists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Development Partners,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Florida Holding Co.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Property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Studios Productions LLLP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City Travel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Network Television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Orlando Online Merchandise Store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International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Studios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Television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TV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Networks Partner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 Entertainment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VUE NewCo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Range Insurance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WLT Systems,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w:t>
      </w:r>
    </w:p>
    <w:p>
      <w:pPr>
        <w:sectPr>
          <w:pgSz w:w="11900" w:h="16838" w:orient="portrait"/>
          <w:cols w:equalWidth="0" w:num="2">
            <w:col w:w="8760" w:space="720"/>
            <w:col w:w="1200"/>
          </w:cols>
          <w:pgMar w:left="240" w:top="274" w:right="979" w:bottom="1440" w:gutter="0" w:footer="0" w:header="0"/>
        </w:sectPr>
      </w:pPr>
    </w:p>
    <w:bookmarkStart w:id="326" w:name="page327"/>
    <w:bookmarkEnd w:id="326"/>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23.1</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consent to the incorporation by reference in Registration Statement on Form S-8 (Nos. 333-101645, 333-101295, 333-104385, 333-121082, 333-123059, 333-130844, 333-130845, 333-130847, 333-150976, 333-161468, 333-174416, 333-174417, 333-179638, and 333-183008) and Form S-3 (Nos. 333-179678 and 333-191239) of our reports dated February 12, 2014, relating to the consolidated financial statements and consolidated financial statement schedule of Comcast Corporation, and the effectiveness of Comcast Corporation’s internal control over financial reporting, appearing in this Annual Report on Form 10-K of Comcast Corporation for the year ended December 31, 2013.</w:t>
      </w:r>
    </w:p>
    <w:p>
      <w:pPr>
        <w:spacing w:after="0" w:line="198"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Philadelphia, Pennsylvania</w:t>
      </w:r>
    </w:p>
    <w:p>
      <w:pPr>
        <w:jc w:val="center"/>
        <w:ind w:right="6840"/>
        <w:spacing w:after="0"/>
        <w:rPr>
          <w:sz w:val="20"/>
          <w:szCs w:val="20"/>
          <w:color w:val="auto"/>
        </w:rPr>
      </w:pPr>
      <w:r>
        <w:rPr>
          <w:rFonts w:ascii="Arial" w:cs="Arial" w:eastAsia="Arial" w:hAnsi="Arial"/>
          <w:sz w:val="18"/>
          <w:szCs w:val="18"/>
          <w:color w:val="auto"/>
        </w:rPr>
        <w:t>February 12, 2014</w:t>
      </w:r>
    </w:p>
    <w:p>
      <w:pPr>
        <w:sectPr>
          <w:pgSz w:w="11900" w:h="16838" w:orient="portrait"/>
          <w:cols w:equalWidth="0" w:num="1">
            <w:col w:w="11420"/>
          </w:cols>
          <w:pgMar w:left="240" w:top="121" w:right="239" w:bottom="1440" w:gutter="0" w:footer="0" w:header="0"/>
        </w:sectPr>
      </w:pPr>
    </w:p>
    <w:bookmarkStart w:id="327" w:name="page328"/>
    <w:bookmarkEnd w:id="327"/>
    <w:p>
      <w:pPr>
        <w:spacing w:after="0"/>
        <w:tabs>
          <w:tab w:leader="none" w:pos="10320" w:val="left"/>
        </w:tabs>
        <w:rPr>
          <w:sz w:val="20"/>
          <w:szCs w:val="20"/>
          <w:color w:val="auto"/>
        </w:rPr>
      </w:pPr>
      <w:r>
        <w:rPr>
          <w:rFonts w:ascii="Arial" w:cs="Arial" w:eastAsia="Arial" w:hAnsi="Arial"/>
          <w:sz w:val="24"/>
          <w:szCs w:val="24"/>
          <w:color w:val="auto"/>
        </w:rPr>
        <w:t>Consent of Independent Registered Public Accounting Firm</w:t>
      </w:r>
      <w:r>
        <w:rPr>
          <w:sz w:val="20"/>
          <w:szCs w:val="20"/>
          <w:color w:val="auto"/>
        </w:rPr>
        <w:tab/>
      </w:r>
      <w:r>
        <w:rPr>
          <w:rFonts w:ascii="Arial" w:cs="Arial" w:eastAsia="Arial" w:hAnsi="Arial"/>
          <w:sz w:val="26"/>
          <w:szCs w:val="26"/>
          <w:b w:val="1"/>
          <w:bCs w:val="1"/>
          <w:color w:val="auto"/>
          <w:vertAlign w:val="superscript"/>
        </w:rPr>
        <w:t>Exhibit 23.2</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consent to the incorporation by reference in Registration Statement on Form S-8 (No. 333-177681) and Form S-3 (No. 333-184145) of our reports dated February 12, 2014, relating to the consolidated financial statements and consolidated financial statement schedule of NBC Universal, Inc. and subsidiaries (predecessor) and NBCUniversal Media, LLC (successor) appearing in this Annual Report on Form 10-K of NBCUniversal Media, LLC and subsidiaries for the year ended December 31, 2013.</w:t>
      </w:r>
    </w:p>
    <w:p>
      <w:pPr>
        <w:spacing w:after="0" w:line="19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New York, NY</w:t>
      </w:r>
    </w:p>
    <w:p>
      <w:pPr>
        <w:jc w:val="center"/>
        <w:ind w:right="6840"/>
        <w:spacing w:after="0"/>
        <w:rPr>
          <w:sz w:val="20"/>
          <w:szCs w:val="20"/>
          <w:color w:val="auto"/>
        </w:rPr>
      </w:pPr>
      <w:r>
        <w:rPr>
          <w:rFonts w:ascii="Arial" w:cs="Arial" w:eastAsia="Arial" w:hAnsi="Arial"/>
          <w:sz w:val="18"/>
          <w:szCs w:val="18"/>
          <w:color w:val="auto"/>
        </w:rPr>
        <w:t>February 12, 2014</w:t>
      </w:r>
    </w:p>
    <w:p>
      <w:pPr>
        <w:sectPr>
          <w:pgSz w:w="11900" w:h="16838" w:orient="portrait"/>
          <w:cols w:equalWidth="0" w:num="1">
            <w:col w:w="11420"/>
          </w:cols>
          <w:pgMar w:left="240" w:top="120" w:right="239" w:bottom="1440" w:gutter="0" w:footer="0" w:header="0"/>
        </w:sectPr>
      </w:pPr>
    </w:p>
    <w:bookmarkStart w:id="328" w:name="page329"/>
    <w:bookmarkEnd w:id="328"/>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2014</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0" w:right="2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17" w:lineRule="exact"/>
        <w:rPr>
          <w:sz w:val="20"/>
          <w:szCs w:val="20"/>
          <w:color w:val="auto"/>
        </w:rPr>
      </w:pPr>
    </w:p>
    <w:p>
      <w:pPr>
        <w:ind w:left="260" w:hanging="252"/>
        <w:spacing w:after="0"/>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2014</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Name: Michael J. Angelakis</w:t>
      </w:r>
    </w:p>
    <w:p>
      <w:pPr>
        <w:ind w:left="122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91" w:right="239" w:bottom="1440" w:gutter="0" w:footer="0" w:header="0"/>
        </w:sectPr>
      </w:pPr>
    </w:p>
    <w:bookmarkStart w:id="330" w:name="page331"/>
    <w:bookmarkEnd w:id="330"/>
    <w:p>
      <w:pPr>
        <w:spacing w:after="0"/>
        <w:tabs>
          <w:tab w:leader="none" w:pos="10320" w:val="left"/>
        </w:tabs>
        <w:rPr>
          <w:sz w:val="20"/>
          <w:szCs w:val="20"/>
          <w:color w:val="auto"/>
        </w:rPr>
      </w:pPr>
      <w:r>
        <w:rPr>
          <w:rFonts w:ascii="Arial" w:cs="Arial" w:eastAsia="Arial" w:hAnsi="Arial"/>
          <w:sz w:val="20"/>
          <w:szCs w:val="20"/>
          <w:color w:val="auto"/>
        </w:rPr>
        <w:t>Certifications</w:t>
      </w:r>
      <w:r>
        <w:rPr>
          <w:sz w:val="20"/>
          <w:szCs w:val="20"/>
          <w:color w:val="auto"/>
        </w:rPr>
        <w:tab/>
      </w:r>
      <w:r>
        <w:rPr>
          <w:rFonts w:ascii="Arial" w:cs="Arial" w:eastAsia="Arial" w:hAnsi="Arial"/>
          <w:sz w:val="29"/>
          <w:szCs w:val="29"/>
          <w:b w:val="1"/>
          <w:bCs w:val="1"/>
          <w:color w:val="auto"/>
          <w:vertAlign w:val="superscript"/>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260" w:hanging="252"/>
        <w:spacing w:after="0"/>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2014</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Brian L. Roberts</w:t>
      </w:r>
    </w:p>
    <w:p>
      <w:pPr>
        <w:jc w:val="center"/>
        <w:ind w:right="68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1" w:right="2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17" w:lineRule="exact"/>
        <w:rPr>
          <w:sz w:val="20"/>
          <w:szCs w:val="20"/>
          <w:color w:val="auto"/>
        </w:rPr>
      </w:pPr>
    </w:p>
    <w:p>
      <w:pPr>
        <w:ind w:left="260" w:hanging="252"/>
        <w:spacing w:after="0"/>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NBCUniversal Media, LLC;</w:t>
      </w:r>
    </w:p>
    <w:p>
      <w:pPr>
        <w:spacing w:after="0" w:line="117" w:lineRule="exact"/>
        <w:rPr>
          <w:rFonts w:ascii="Arial" w:cs="Arial" w:eastAsia="Arial" w:hAnsi="Arial"/>
          <w:sz w:val="18"/>
          <w:szCs w:val="18"/>
          <w:color w:val="auto"/>
        </w:rPr>
      </w:pPr>
    </w:p>
    <w:p>
      <w:pPr>
        <w:jc w:val="both"/>
        <w:ind w:left="260" w:hanging="252"/>
        <w:spacing w:after="0" w:line="238" w:lineRule="auto"/>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260" w:hanging="252"/>
        <w:spacing w:after="0" w:line="239" w:lineRule="auto"/>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8"/>
          <w:szCs w:val="18"/>
          <w:color w:val="auto"/>
        </w:rPr>
      </w:pPr>
    </w:p>
    <w:p>
      <w:pPr>
        <w:jc w:val="both"/>
        <w:ind w:left="260" w:hanging="252"/>
        <w:spacing w:after="0" w:line="264" w:lineRule="auto"/>
        <w:tabs>
          <w:tab w:leader="none" w:pos="2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2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7"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800" w:hanging="454"/>
        <w:spacing w:after="0" w:line="238" w:lineRule="auto"/>
        <w:tabs>
          <w:tab w:leader="none" w:pos="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jc w:val="both"/>
        <w:ind w:left="800" w:hanging="454"/>
        <w:spacing w:after="0" w:line="299" w:lineRule="auto"/>
        <w:tabs>
          <w:tab w:leader="none" w:pos="8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6"/>
          <w:szCs w:val="16"/>
          <w:color w:val="auto"/>
        </w:rPr>
      </w:pPr>
    </w:p>
    <w:p>
      <w:pPr>
        <w:jc w:val="both"/>
        <w:ind w:left="800" w:hanging="454"/>
        <w:spacing w:after="0" w:line="238" w:lineRule="auto"/>
        <w:tabs>
          <w:tab w:leader="none" w:pos="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800" w:hanging="454"/>
        <w:spacing w:after="0" w:line="239" w:lineRule="auto"/>
        <w:tabs>
          <w:tab w:leader="none" w:pos="8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2014</w:t>
      </w:r>
    </w:p>
    <w:p>
      <w:pPr>
        <w:spacing w:after="0" w:line="21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8"/>
          <w:szCs w:val="18"/>
          <w:color w:val="auto"/>
        </w:rPr>
        <w:t>Name: Michael J. Angelakis</w:t>
      </w:r>
    </w:p>
    <w:p>
      <w:pPr>
        <w:jc w:val="center"/>
        <w:ind w:right="684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91" w:right="239" w:bottom="1440" w:gutter="0" w:footer="0" w:header="0"/>
        </w:sectPr>
      </w:pPr>
    </w:p>
    <w:bookmarkStart w:id="332" w:name="page333"/>
    <w:bookmarkEnd w:id="332"/>
    <w:p>
      <w:pPr>
        <w:spacing w:after="0"/>
        <w:tabs>
          <w:tab w:leader="none" w:pos="1026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6"/>
          <w:szCs w:val="26"/>
          <w:b w:val="1"/>
          <w:bCs w:val="1"/>
          <w:color w:val="auto"/>
          <w:vertAlign w:val="superscript"/>
        </w:rPr>
        <w:t>Exhibit 32.1</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114" w:lineRule="exact"/>
        <w:rPr>
          <w:sz w:val="20"/>
          <w:szCs w:val="20"/>
          <w:color w:val="auto"/>
        </w:rPr>
      </w:pPr>
    </w:p>
    <w:p>
      <w:pPr>
        <w:ind w:left="260" w:hanging="252"/>
        <w:spacing w:after="0"/>
        <w:tabs>
          <w:tab w:leader="none" w:pos="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Chief Executive Officer</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8"/>
          <w:szCs w:val="18"/>
          <w:color w:val="auto"/>
        </w:rPr>
        <w:t>Name: Michael J. Angelakis</w:t>
      </w:r>
    </w:p>
    <w:p>
      <w:pPr>
        <w:ind w:left="8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0" w:right="239" w:bottom="1440" w:gutter="0" w:footer="0" w:header="0"/>
        </w:sectPr>
      </w:pPr>
    </w:p>
    <w:bookmarkStart w:id="333" w:name="page334"/>
    <w:bookmarkEnd w:id="333"/>
    <w:p>
      <w:pPr>
        <w:spacing w:after="0"/>
        <w:tabs>
          <w:tab w:leader="none" w:pos="10380" w:val="left"/>
        </w:tabs>
        <w:rPr>
          <w:sz w:val="20"/>
          <w:szCs w:val="20"/>
          <w:color w:val="auto"/>
        </w:rPr>
      </w:pPr>
      <w:r>
        <w:rPr>
          <w:rFonts w:ascii="Arial" w:cs="Arial" w:eastAsia="Arial" w:hAnsi="Arial"/>
          <w:sz w:val="24"/>
          <w:szCs w:val="24"/>
          <w:color w:val="auto"/>
        </w:rPr>
        <w:t>Certification Pursuant to Section 906 of the Sarbanes-Oxley Act</w:t>
      </w:r>
      <w:r>
        <w:rPr>
          <w:sz w:val="20"/>
          <w:szCs w:val="20"/>
          <w:color w:val="auto"/>
        </w:rPr>
        <w:tab/>
      </w:r>
      <w:r>
        <w:rPr>
          <w:rFonts w:ascii="Arial" w:cs="Arial" w:eastAsia="Arial" w:hAnsi="Arial"/>
          <w:sz w:val="25"/>
          <w:szCs w:val="25"/>
          <w:b w:val="1"/>
          <w:bCs w:val="1"/>
          <w:color w:val="auto"/>
          <w:vertAlign w:val="superscript"/>
        </w:rPr>
        <w:t>Exhibit 32.2</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NBCUniversal Media, LLC (the “Report”) for the purpose of complying with Rule 13a-14(b) or Rule 15d-14(b) of the Securities Exchange Act of 1934 (the “Exchange Act”) and Section 1350 of Chapter 63 of Title 18 of the United States Code.</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114" w:lineRule="exact"/>
        <w:rPr>
          <w:sz w:val="20"/>
          <w:szCs w:val="20"/>
          <w:color w:val="auto"/>
        </w:rPr>
      </w:pPr>
    </w:p>
    <w:p>
      <w:pPr>
        <w:ind w:left="260" w:hanging="252"/>
        <w:spacing w:after="0"/>
        <w:tabs>
          <w:tab w:leader="none" w:pos="2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260" w:right="20" w:hanging="252"/>
        <w:spacing w:after="0" w:line="239" w:lineRule="auto"/>
        <w:tabs>
          <w:tab w:leader="none" w:pos="2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19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Brian L. Roberts</w:t>
      </w:r>
    </w:p>
    <w:p>
      <w:pPr>
        <w:jc w:val="center"/>
        <w:ind w:left="6860"/>
        <w:spacing w:after="0"/>
        <w:rPr>
          <w:sz w:val="20"/>
          <w:szCs w:val="20"/>
          <w:color w:val="auto"/>
        </w:rPr>
      </w:pPr>
      <w:r>
        <w:rPr>
          <w:rFonts w:ascii="Arial" w:cs="Arial" w:eastAsia="Arial" w:hAnsi="Arial"/>
          <w:sz w:val="18"/>
          <w:szCs w:val="18"/>
          <w:color w:val="auto"/>
        </w:rPr>
        <w:t>Title: Principal Executive Officer</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8"/>
          <w:szCs w:val="18"/>
          <w:color w:val="auto"/>
        </w:rPr>
        <w:t>Name: Michael J. Angelakis</w:t>
      </w:r>
    </w:p>
    <w:p>
      <w:pPr>
        <w:jc w:val="cente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80EC70"/>
    <w:multiLevelType w:val="hybridMultilevel"/>
    <w:lvl w:ilvl="0">
      <w:lvlJc w:val="left"/>
      <w:lvlText w:val="☒"/>
      <w:numFmt w:val="bullet"/>
      <w:start w:val="1"/>
    </w:lvl>
  </w:abstractNum>
  <w:abstractNum w:abstractNumId="1">
    <w:nsid w:val="379E21B5"/>
    <w:multiLevelType w:val="hybridMultilevel"/>
    <w:lvl w:ilvl="0">
      <w:lvlJc w:val="left"/>
      <w:lvlText w:val="☐"/>
      <w:numFmt w:val="bullet"/>
      <w:start w:val="1"/>
    </w:lvl>
  </w:abstractNum>
  <w:abstractNum w:abstractNumId="2">
    <w:nsid w:val="69E373"/>
    <w:multiLevelType w:val="hybridMultilevel"/>
    <w:lvl w:ilvl="0">
      <w:lvlJc w:val="left"/>
      <w:lvlText w:val="•"/>
      <w:numFmt w:val="bullet"/>
      <w:start w:val="1"/>
    </w:lvl>
  </w:abstractNum>
  <w:abstractNum w:abstractNumId="3">
    <w:nsid w:val="2C27173B"/>
    <w:multiLevelType w:val="hybridMultilevel"/>
    <w:lvl w:ilvl="0">
      <w:lvlJc w:val="left"/>
      <w:lvlText w:val="•"/>
      <w:numFmt w:val="bullet"/>
      <w:start w:val="1"/>
    </w:lvl>
  </w:abstractNum>
  <w:abstractNum w:abstractNumId="4">
    <w:nsid w:val="4C9B0904"/>
    <w:multiLevelType w:val="hybridMultilevel"/>
    <w:lvl w:ilvl="0">
      <w:lvlJc w:val="left"/>
      <w:lvlText w:val="•"/>
      <w:numFmt w:val="bullet"/>
      <w:start w:val="1"/>
    </w:lvl>
  </w:abstractNum>
  <w:abstractNum w:abstractNumId="5">
    <w:nsid w:val="6AA7B75C"/>
    <w:multiLevelType w:val="hybridMultilevel"/>
    <w:lvl w:ilvl="0">
      <w:lvlJc w:val="left"/>
      <w:lvlText w:val="•"/>
      <w:numFmt w:val="bullet"/>
      <w:start w:val="1"/>
    </w:lvl>
  </w:abstractNum>
  <w:abstractNum w:abstractNumId="6">
    <w:nsid w:val="1DF029D3"/>
    <w:multiLevelType w:val="hybridMultilevel"/>
    <w:lvl w:ilvl="0">
      <w:lvlJc w:val="left"/>
      <w:lvlText w:val="(%1)"/>
      <w:numFmt w:val="lowerLetter"/>
      <w:start w:val="1"/>
    </w:lvl>
  </w:abstractNum>
  <w:abstractNum w:abstractNumId="7">
    <w:nsid w:val="5675FF36"/>
    <w:multiLevelType w:val="hybridMultilevel"/>
    <w:lvl w:ilvl="0">
      <w:lvlJc w:val="left"/>
      <w:lvlText w:val="•"/>
      <w:numFmt w:val="bullet"/>
      <w:start w:val="1"/>
    </w:lvl>
  </w:abstractNum>
  <w:abstractNum w:abstractNumId="8">
    <w:nsid w:val="3DD15094"/>
    <w:multiLevelType w:val="hybridMultilevel"/>
    <w:lvl w:ilvl="0">
      <w:lvlJc w:val="left"/>
      <w:lvlText w:val="(%1)"/>
      <w:numFmt w:val="lowerLetter"/>
      <w:start w:val="1"/>
    </w:lvl>
  </w:abstractNum>
  <w:abstractNum w:abstractNumId="9">
    <w:nsid w:val="3DB012B3"/>
    <w:multiLevelType w:val="hybridMultilevel"/>
    <w:lvl w:ilvl="0">
      <w:lvlJc w:val="left"/>
      <w:lvlText w:val="(%1)"/>
      <w:numFmt w:val="lowerLetter"/>
      <w:start w:val="1"/>
    </w:lvl>
  </w:abstractNum>
  <w:abstractNum w:abstractNumId="10">
    <w:nsid w:val="2708C9AF"/>
    <w:multiLevelType w:val="hybridMultilevel"/>
    <w:lvl w:ilvl="0">
      <w:lvlJc w:val="left"/>
      <w:lvlText w:val="(%1)"/>
      <w:numFmt w:val="lowerLetter"/>
      <w:start w:val="1"/>
    </w:lvl>
  </w:abstractNum>
  <w:abstractNum w:abstractNumId="11">
    <w:nsid w:val="5B25ACE2"/>
    <w:multiLevelType w:val="hybridMultilevel"/>
    <w:lvl w:ilvl="0">
      <w:lvlJc w:val="left"/>
      <w:lvlText w:val="•"/>
      <w:numFmt w:val="bullet"/>
      <w:start w:val="1"/>
    </w:lvl>
  </w:abstractNum>
  <w:abstractNum w:abstractNumId="12">
    <w:nsid w:val="175DFCF0"/>
    <w:multiLevelType w:val="hybridMultilevel"/>
    <w:lvl w:ilvl="0">
      <w:lvlJc w:val="left"/>
      <w:lvlText w:val="•"/>
      <w:numFmt w:val="bullet"/>
      <w:start w:val="1"/>
    </w:lvl>
  </w:abstractNum>
  <w:abstractNum w:abstractNumId="13">
    <w:nsid w:val="4F97E3E4"/>
    <w:multiLevelType w:val="hybridMultilevel"/>
    <w:lvl w:ilvl="0">
      <w:lvlJc w:val="left"/>
      <w:lvlText w:val="(%1)"/>
      <w:numFmt w:val="lowerLetter"/>
      <w:start w:val="1"/>
    </w:lvl>
  </w:abstractNum>
  <w:abstractNum w:abstractNumId="14">
    <w:nsid w:val="53B0A9E"/>
    <w:multiLevelType w:val="hybridMultilevel"/>
    <w:lvl w:ilvl="0">
      <w:lvlJc w:val="left"/>
      <w:lvlText w:val="(%1)"/>
      <w:numFmt w:val="lowerLetter"/>
      <w:start w:val="1"/>
    </w:lvl>
  </w:abstractNum>
  <w:abstractNum w:abstractNumId="15">
    <w:nsid w:val="34FD6B4F"/>
    <w:multiLevelType w:val="hybridMultilevel"/>
    <w:lvl w:ilvl="0">
      <w:lvlJc w:val="left"/>
      <w:lvlText w:val="•"/>
      <w:numFmt w:val="bullet"/>
      <w:start w:val="1"/>
    </w:lvl>
  </w:abstractNum>
  <w:abstractNum w:abstractNumId="16">
    <w:nsid w:val="5915FF32"/>
    <w:multiLevelType w:val="hybridMultilevel"/>
    <w:lvl w:ilvl="0">
      <w:lvlJc w:val="left"/>
      <w:lvlText w:val="•"/>
      <w:numFmt w:val="bullet"/>
      <w:start w:val="1"/>
    </w:lvl>
  </w:abstractNum>
  <w:abstractNum w:abstractNumId="17">
    <w:nsid w:val="56438D15"/>
    <w:multiLevelType w:val="hybridMultilevel"/>
    <w:lvl w:ilvl="0">
      <w:lvlJc w:val="left"/>
      <w:lvlText w:val="•"/>
      <w:numFmt w:val="bullet"/>
      <w:start w:val="1"/>
    </w:lvl>
  </w:abstractNum>
  <w:abstractNum w:abstractNumId="18">
    <w:nsid w:val="519E3149"/>
    <w:multiLevelType w:val="hybridMultilevel"/>
    <w:lvl w:ilvl="0">
      <w:lvlJc w:val="left"/>
      <w:lvlText w:val="(%1)"/>
      <w:numFmt w:val="lowerLetter"/>
      <w:start w:val="1"/>
    </w:lvl>
  </w:abstractNum>
  <w:abstractNum w:abstractNumId="19">
    <w:nsid w:val="2C6E4AFD"/>
    <w:multiLevelType w:val="hybridMultilevel"/>
    <w:lvl w:ilvl="0">
      <w:lvlJc w:val="left"/>
      <w:lvlText w:val="(%1)"/>
      <w:numFmt w:val="lowerLetter"/>
      <w:start w:val="1"/>
    </w:lvl>
  </w:abstractNum>
  <w:abstractNum w:abstractNumId="20">
    <w:nsid w:val="17A1B582"/>
    <w:multiLevelType w:val="hybridMultilevel"/>
    <w:lvl w:ilvl="0">
      <w:lvlJc w:val="left"/>
      <w:lvlText w:val="(%1)"/>
      <w:numFmt w:val="lowerLetter"/>
      <w:start w:val="3"/>
    </w:lvl>
  </w:abstractNum>
  <w:abstractNum w:abstractNumId="21">
    <w:nsid w:val="4DF72E4E"/>
    <w:multiLevelType w:val="hybridMultilevel"/>
    <w:lvl w:ilvl="0">
      <w:lvlJc w:val="left"/>
      <w:lvlText w:val="•"/>
      <w:numFmt w:val="bullet"/>
      <w:start w:val="1"/>
    </w:lvl>
  </w:abstractNum>
  <w:abstractNum w:abstractNumId="22">
    <w:nsid w:val="5046B5A9"/>
    <w:multiLevelType w:val="hybridMultilevel"/>
    <w:lvl w:ilvl="0">
      <w:lvlJc w:val="left"/>
      <w:lvlText w:val="•"/>
      <w:numFmt w:val="bullet"/>
      <w:start w:val="1"/>
    </w:lvl>
  </w:abstractNum>
  <w:abstractNum w:abstractNumId="23">
    <w:nsid w:val="5D888A08"/>
    <w:multiLevelType w:val="hybridMultilevel"/>
    <w:lvl w:ilvl="0">
      <w:lvlJc w:val="left"/>
      <w:lvlText w:val="•"/>
      <w:numFmt w:val="bullet"/>
      <w:start w:val="1"/>
    </w:lvl>
  </w:abstractNum>
  <w:abstractNum w:abstractNumId="24">
    <w:nsid w:val="2A082C70"/>
    <w:multiLevelType w:val="hybridMultilevel"/>
    <w:lvl w:ilvl="0">
      <w:lvlJc w:val="left"/>
      <w:lvlText w:val="(%1)"/>
      <w:numFmt w:val="lowerRoman"/>
      <w:start w:val="4"/>
    </w:lvl>
  </w:abstractNum>
  <w:abstractNum w:abstractNumId="25">
    <w:nsid w:val="5EC6AFD4"/>
    <w:multiLevelType w:val="hybridMultilevel"/>
    <w:lvl w:ilvl="0">
      <w:lvlJc w:val="left"/>
      <w:lvlText w:val="(%1)"/>
      <w:numFmt w:val="lowerLetter"/>
      <w:start w:val="1"/>
    </w:lvl>
  </w:abstractNum>
  <w:abstractNum w:abstractNumId="26">
    <w:nsid w:val="19E21BB2"/>
    <w:multiLevelType w:val="hybridMultilevel"/>
    <w:lvl w:ilvl="0">
      <w:lvlJc w:val="left"/>
      <w:lvlText w:val="(%1)"/>
      <w:numFmt w:val="lowerLetter"/>
      <w:start w:val="1"/>
    </w:lvl>
  </w:abstractNum>
  <w:abstractNum w:abstractNumId="27">
    <w:nsid w:val="75E0858A"/>
    <w:multiLevelType w:val="hybridMultilevel"/>
    <w:lvl w:ilvl="0">
      <w:lvlJc w:val="left"/>
      <w:lvlText w:val="•"/>
      <w:numFmt w:val="bullet"/>
      <w:start w:val="1"/>
    </w:lvl>
  </w:abstractNum>
  <w:abstractNum w:abstractNumId="28">
    <w:nsid w:val="57A61A29"/>
    <w:multiLevelType w:val="hybridMultilevel"/>
    <w:lvl w:ilvl="0">
      <w:lvlJc w:val="left"/>
      <w:lvlText w:val="(%1)"/>
      <w:numFmt w:val="lowerLetter"/>
      <w:start w:val="1"/>
    </w:lvl>
  </w:abstractNum>
  <w:abstractNum w:abstractNumId="29">
    <w:nsid w:val="5399C654"/>
    <w:multiLevelType w:val="hybridMultilevel"/>
    <w:lvl w:ilvl="0">
      <w:lvlJc w:val="left"/>
      <w:lvlText w:val="(%1)"/>
      <w:numFmt w:val="lowerLetter"/>
      <w:start w:val="1"/>
    </w:lvl>
  </w:abstractNum>
  <w:abstractNum w:abstractNumId="30">
    <w:nsid w:val="20EE1348"/>
    <w:multiLevelType w:val="hybridMultilevel"/>
    <w:lvl w:ilvl="0">
      <w:lvlJc w:val="left"/>
      <w:lvlText w:val="•"/>
      <w:numFmt w:val="bullet"/>
      <w:start w:val="1"/>
    </w:lvl>
  </w:abstractNum>
  <w:abstractNum w:abstractNumId="31">
    <w:nsid w:val="4427069A"/>
    <w:multiLevelType w:val="hybridMultilevel"/>
    <w:lvl w:ilvl="0">
      <w:lvlJc w:val="left"/>
      <w:lvlText w:val="•"/>
      <w:numFmt w:val="bullet"/>
      <w:start w:val="1"/>
    </w:lvl>
  </w:abstractNum>
  <w:abstractNum w:abstractNumId="32">
    <w:nsid w:val="B37E80A"/>
    <w:multiLevelType w:val="hybridMultilevel"/>
    <w:lvl w:ilvl="0">
      <w:lvlJc w:val="left"/>
      <w:lvlText w:val="•"/>
      <w:numFmt w:val="bullet"/>
      <w:start w:val="1"/>
    </w:lvl>
  </w:abstractNum>
  <w:abstractNum w:abstractNumId="33">
    <w:nsid w:val="2157F6BC"/>
    <w:multiLevelType w:val="hybridMultilevel"/>
    <w:lvl w:ilvl="0">
      <w:lvlJc w:val="left"/>
      <w:lvlText w:val="(%1)"/>
      <w:numFmt w:val="lowerLetter"/>
      <w:start w:val="2"/>
    </w:lvl>
    <w:lvl w:ilvl="1">
      <w:lvlJc w:val="left"/>
      <w:lvlText w:val="•"/>
      <w:numFmt w:val="bullet"/>
      <w:start w:val="1"/>
    </w:lvl>
  </w:abstractNum>
  <w:abstractNum w:abstractNumId="34">
    <w:nsid w:val="704E1DD5"/>
    <w:multiLevelType w:val="hybridMultilevel"/>
    <w:lvl w:ilvl="0">
      <w:lvlJc w:val="left"/>
      <w:lvlText w:val="(%1)"/>
      <w:numFmt w:val="lowerLetter"/>
      <w:start w:val="6"/>
    </w:lvl>
  </w:abstractNum>
  <w:abstractNum w:abstractNumId="35">
    <w:nsid w:val="57D2F10E"/>
    <w:multiLevelType w:val="hybridMultilevel"/>
    <w:lvl w:ilvl="0">
      <w:lvlJc w:val="left"/>
      <w:lvlText w:val="(%1)"/>
      <w:numFmt w:val="lowerLetter"/>
      <w:start w:val="4"/>
    </w:lvl>
  </w:abstractNum>
  <w:abstractNum w:abstractNumId="36">
    <w:nsid w:val="BFFAE18"/>
    <w:multiLevelType w:val="hybridMultilevel"/>
    <w:lvl w:ilvl="0">
      <w:lvlJc w:val="left"/>
      <w:lvlText w:val="•"/>
      <w:numFmt w:val="bullet"/>
      <w:start w:val="1"/>
    </w:lvl>
  </w:abstractNum>
  <w:abstractNum w:abstractNumId="37">
    <w:nsid w:val="E3E47A8"/>
    <w:multiLevelType w:val="hybridMultilevel"/>
    <w:lvl w:ilvl="0">
      <w:lvlJc w:val="left"/>
      <w:lvlText w:val="(%1)"/>
      <w:numFmt w:val="lowerLetter"/>
      <w:start w:val="1"/>
    </w:lvl>
  </w:abstractNum>
  <w:abstractNum w:abstractNumId="38">
    <w:nsid w:val="2E48F044"/>
    <w:multiLevelType w:val="hybridMultilevel"/>
    <w:lvl w:ilvl="0">
      <w:lvlJc w:val="left"/>
      <w:lvlText w:val="%1"/>
      <w:numFmt w:val="decimal"/>
      <w:start w:val="101"/>
    </w:lvl>
  </w:abstractNum>
  <w:abstractNum w:abstractNumId="39">
    <w:nsid w:val="49D0FEAC"/>
    <w:multiLevelType w:val="hybridMultilevel"/>
    <w:lvl w:ilvl="0">
      <w:lvlJc w:val="left"/>
      <w:lvlText w:val="*"/>
      <w:numFmt w:val="bullet"/>
      <w:start w:val="1"/>
    </w:lvl>
  </w:abstractNum>
  <w:abstractNum w:abstractNumId="40">
    <w:nsid w:val="4BEE5A5B"/>
    <w:multiLevelType w:val="hybridMultilevel"/>
    <w:lvl w:ilvl="0">
      <w:lvlJc w:val="left"/>
      <w:lvlText w:val="(%1)"/>
      <w:numFmt w:val="lowerLetter"/>
      <w:start w:val="1"/>
    </w:lvl>
  </w:abstractNum>
  <w:abstractNum w:abstractNumId="41">
    <w:nsid w:val="5551B9F3"/>
    <w:multiLevelType w:val="hybridMultilevel"/>
    <w:lvl w:ilvl="0">
      <w:lvlJc w:val="left"/>
      <w:lvlText w:val="%1"/>
      <w:numFmt w:val="decimal"/>
      <w:start w:val="101"/>
    </w:lvl>
  </w:abstractNum>
  <w:abstractNum w:abstractNumId="42">
    <w:nsid w:val="24F6AB8E"/>
    <w:multiLevelType w:val="hybridMultilevel"/>
    <w:lvl w:ilvl="0">
      <w:lvlJc w:val="left"/>
      <w:lvlText w:val="†"/>
      <w:numFmt w:val="bullet"/>
      <w:start w:val="1"/>
    </w:lvl>
  </w:abstractNum>
  <w:abstractNum w:abstractNumId="43">
    <w:nsid w:val="634C574C"/>
    <w:multiLevelType w:val="hybridMultilevel"/>
    <w:lvl w:ilvl="0">
      <w:lvlJc w:val="left"/>
      <w:lvlText w:val="*"/>
      <w:numFmt w:val="bullet"/>
      <w:start w:val="1"/>
    </w:lvl>
  </w:abstractNum>
  <w:abstractNum w:abstractNumId="44">
    <w:nsid w:val="24E99DD7"/>
    <w:multiLevelType w:val="hybridMultilevel"/>
    <w:lvl w:ilvl="0">
      <w:lvlJc w:val="left"/>
      <w:lvlText w:val="•"/>
      <w:numFmt w:val="bullet"/>
      <w:start w:val="1"/>
    </w:lvl>
  </w:abstractNum>
  <w:abstractNum w:abstractNumId="45">
    <w:nsid w:val="2A31B62D"/>
    <w:multiLevelType w:val="hybridMultilevel"/>
    <w:lvl w:ilvl="0">
      <w:lvlJc w:val="left"/>
      <w:lvlText w:val="(%1)"/>
      <w:numFmt w:val="lowerRoman"/>
      <w:start w:val="4"/>
    </w:lvl>
  </w:abstractNum>
  <w:abstractNum w:abstractNumId="46">
    <w:nsid w:val="1849C29B"/>
    <w:multiLevelType w:val="hybridMultilevel"/>
    <w:lvl w:ilvl="0">
      <w:lvlJc w:val="left"/>
      <w:lvlText w:val="(%1)"/>
      <w:numFmt w:val="lowerLetter"/>
      <w:start w:val="1"/>
    </w:lvl>
  </w:abstractNum>
  <w:abstractNum w:abstractNumId="47">
    <w:nsid w:val="7DFF9D09"/>
    <w:multiLevelType w:val="hybridMultilevel"/>
    <w:lvl w:ilvl="0">
      <w:lvlJc w:val="left"/>
      <w:lvlText w:val="(%1)"/>
      <w:numFmt w:val="lowerLetter"/>
      <w:start w:val="1"/>
    </w:lvl>
  </w:abstractNum>
  <w:abstractNum w:abstractNumId="48">
    <w:nsid w:val="754342"/>
    <w:multiLevelType w:val="hybridMultilevel"/>
    <w:lvl w:ilvl="0">
      <w:lvlJc w:val="left"/>
      <w:lvlText w:val="•"/>
      <w:numFmt w:val="bullet"/>
      <w:start w:val="1"/>
    </w:lvl>
  </w:abstractNum>
  <w:abstractNum w:abstractNumId="49">
    <w:nsid w:val="69E7F3E5"/>
    <w:multiLevelType w:val="hybridMultilevel"/>
    <w:lvl w:ilvl="0">
      <w:lvlJc w:val="left"/>
      <w:lvlText w:val="•"/>
      <w:numFmt w:val="bullet"/>
      <w:start w:val="1"/>
    </w:lvl>
  </w:abstractNum>
  <w:abstractNum w:abstractNumId="50">
    <w:nsid w:val="2A6DE806"/>
    <w:multiLevelType w:val="hybridMultilevel"/>
    <w:lvl w:ilvl="0">
      <w:lvlJc w:val="left"/>
      <w:lvlText w:val="(%1)"/>
      <w:numFmt w:val="lowerLetter"/>
      <w:start w:val="1"/>
    </w:lvl>
  </w:abstractNum>
  <w:abstractNum w:abstractNumId="51">
    <w:nsid w:val="1816F8C4"/>
    <w:multiLevelType w:val="hybridMultilevel"/>
    <w:lvl w:ilvl="0">
      <w:lvlJc w:val="left"/>
      <w:lvlText w:val="(%1)"/>
      <w:numFmt w:val="lowerLetter"/>
      <w:start w:val="3"/>
    </w:lvl>
  </w:abstractNum>
  <w:abstractNum w:abstractNumId="52">
    <w:nsid w:val="37DF2233"/>
    <w:multiLevelType w:val="hybridMultilevel"/>
    <w:lvl w:ilvl="0">
      <w:lvlJc w:val="left"/>
      <w:lvlText w:val="%1."/>
      <w:numFmt w:val="decimal"/>
      <w:start w:val="1"/>
    </w:lvl>
    <w:lvl w:ilvl="1">
      <w:lvlJc w:val="left"/>
      <w:lvlText w:val="(%2)"/>
      <w:numFmt w:val="lowerLetter"/>
      <w:start w:val="1"/>
    </w:lvl>
  </w:abstractNum>
  <w:abstractNum w:abstractNumId="53">
    <w:nsid w:val="7AB49DAF"/>
    <w:multiLevelType w:val="hybridMultilevel"/>
    <w:lvl w:ilvl="0">
      <w:lvlJc w:val="left"/>
      <w:lvlText w:val="(%1)"/>
      <w:numFmt w:val="lowerRoman"/>
      <w:start w:val="6"/>
    </w:lvl>
    <w:lvl w:ilvl="1">
      <w:lvlJc w:val="left"/>
      <w:lvlText w:val="(%2)"/>
      <w:numFmt w:val="lowerLetter"/>
      <w:start w:val="6"/>
    </w:lvl>
  </w:abstractNum>
  <w:abstractNum w:abstractNumId="54">
    <w:nsid w:val="759F82CD"/>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5">
    <w:nsid w:val="61E74EA3"/>
    <w:multiLevelType w:val="hybridMultilevel"/>
    <w:lvl w:ilvl="0">
      <w:lvlJc w:val="left"/>
      <w:lvlText w:val="(%1)"/>
      <w:numFmt w:val="lowerLetter"/>
      <w:start w:val="15"/>
    </w:lvl>
    <w:lvl w:ilvl="1">
      <w:lvlJc w:val="left"/>
      <w:lvlText w:val="(%2)"/>
      <w:numFmt w:val="lowerRoman"/>
      <w:start w:val="1"/>
    </w:lvl>
  </w:abstractNum>
  <w:abstractNum w:abstractNumId="56">
    <w:nsid w:val="597B4D84"/>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7">
    <w:nsid w:val="F819E7F"/>
    <w:multiLevelType w:val="hybridMultilevel"/>
    <w:lvl w:ilvl="0">
      <w:lvlJc w:val="left"/>
      <w:lvlText w:val="(%1)"/>
      <w:numFmt w:val="decimal"/>
      <w:start w:val="3"/>
    </w:lvl>
  </w:abstractNum>
  <w:abstractNum w:abstractNumId="58">
    <w:nsid w:val="57C7D42D"/>
    <w:multiLevelType w:val="hybridMultilevel"/>
    <w:lvl w:ilvl="0">
      <w:lvlJc w:val="left"/>
      <w:lvlText w:val="(%1)"/>
      <w:numFmt w:val="lowerLetter"/>
      <w:start w:val="24"/>
    </w:lvl>
  </w:abstractNum>
  <w:abstractNum w:abstractNumId="59">
    <w:nsid w:val="312167AD"/>
    <w:multiLevelType w:val="hybridMultilevel"/>
    <w:lvl w:ilvl="0">
      <w:lvlJc w:val="left"/>
      <w:lvlText w:val="(%1)"/>
      <w:numFmt w:val="lowerLetter"/>
      <w:start w:val="27"/>
    </w:lvl>
    <w:lvl w:ilvl="1">
      <w:lvlJc w:val="left"/>
      <w:lvlText w:val="(%2)"/>
      <w:numFmt w:val="lowerLetter"/>
      <w:start w:val="9"/>
    </w:lvl>
  </w:abstractNum>
  <w:abstractNum w:abstractNumId="60">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1">
    <w:nsid w:val="78B5E776"/>
    <w:multiLevelType w:val="hybridMultilevel"/>
    <w:lvl w:ilvl="0">
      <w:lvlJc w:val="left"/>
      <w:lvlText w:val="%1"/>
      <w:numFmt w:val="decimal"/>
      <w:start w:val="1"/>
    </w:lvl>
    <w:lvl w:ilvl="1">
      <w:lvlJc w:val="left"/>
      <w:lvlText w:val="(%2)"/>
      <w:numFmt w:val="lowerLetter"/>
      <w:start w:val="28"/>
    </w:lvl>
    <w:lvl w:ilvl="2">
      <w:lvlJc w:val="left"/>
      <w:lvlText w:val="(%3)"/>
      <w:numFmt w:val="lowerRoman"/>
      <w:start w:val="1"/>
    </w:lvl>
  </w:abstractNum>
  <w:abstractNum w:abstractNumId="62">
    <w:nsid w:val="75486E4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3">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4">
    <w:nsid w:val="1A0DDE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65968C1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6">
    <w:nsid w:val="46263D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7">
    <w:nsid w:val="260D8C4A"/>
    <w:multiLevelType w:val="hybridMultilevel"/>
    <w:lvl w:ilvl="0">
      <w:lvlJc w:val="left"/>
      <w:lvlText w:val="%1."/>
      <w:numFmt w:val="decimal"/>
      <w:start w:val="6"/>
    </w:lvl>
    <w:lvl w:ilvl="1">
      <w:lvlJc w:val="left"/>
      <w:lvlText w:val="(%2)"/>
      <w:numFmt w:val="lowerLetter"/>
      <w:start w:val="1"/>
    </w:lvl>
  </w:abstractNum>
  <w:abstractNum w:abstractNumId="68">
    <w:nsid w:val="73D4D3C4"/>
    <w:multiLevelType w:val="hybridMultilevel"/>
    <w:lvl w:ilvl="0">
      <w:lvlJc w:val="left"/>
      <w:lvlText w:val="(%1)"/>
      <w:numFmt w:val="lowerLetter"/>
      <w:start w:val="1"/>
    </w:lvl>
  </w:abstractNum>
  <w:abstractNum w:abstractNumId="69">
    <w:nsid w:val="746F2E30"/>
    <w:multiLevelType w:val="hybridMultilevel"/>
    <w:lvl w:ilvl="0">
      <w:lvlJc w:val="left"/>
      <w:lvlText w:val="(%1)"/>
      <w:numFmt w:val="lowerLetter"/>
      <w:start w:val="4"/>
    </w:lvl>
    <w:lvl w:ilvl="1">
      <w:lvlJc w:val="left"/>
      <w:lvlText w:val="(%2)"/>
      <w:numFmt w:val="lowerRoman"/>
      <w:start w:val="1"/>
    </w:lvl>
  </w:abstractNum>
  <w:abstractNum w:abstractNumId="70">
    <w:nsid w:val="6FDE8AF6"/>
    <w:multiLevelType w:val="hybridMultilevel"/>
    <w:lvl w:ilvl="0">
      <w:lvlJc w:val="left"/>
      <w:lvlText w:val="(%1)"/>
      <w:numFmt w:val="lowerRoman"/>
      <w:start w:val="4"/>
    </w:lvl>
  </w:abstractNum>
  <w:abstractNum w:abstractNumId="71">
    <w:nsid w:val="3FC32E20"/>
    <w:multiLevelType w:val="hybridMultilevel"/>
    <w:lvl w:ilvl="0">
      <w:lvlJc w:val="left"/>
      <w:lvlText w:val="(%1)"/>
      <w:numFmt w:val="lowerLetter"/>
      <w:start w:val="5"/>
    </w:lvl>
  </w:abstractNum>
  <w:abstractNum w:abstractNumId="72">
    <w:nsid w:val="49C0E823"/>
    <w:multiLevelType w:val="hybridMultilevel"/>
    <w:lvl w:ilvl="0">
      <w:lvlJc w:val="left"/>
      <w:lvlText w:val="(%1)"/>
      <w:numFmt w:val="lowerLetter"/>
      <w:start w:val="6"/>
    </w:lvl>
    <w:lvl w:ilvl="1">
      <w:lvlJc w:val="left"/>
      <w:lvlText w:val="(%2)"/>
      <w:numFmt w:val="lowerRoman"/>
      <w:start w:val="1"/>
    </w:lvl>
  </w:abstractNum>
  <w:abstractNum w:abstractNumId="73">
    <w:nsid w:val="14D53685"/>
    <w:multiLevelType w:val="hybridMultilevel"/>
    <w:lvl w:ilvl="0">
      <w:lvlJc w:val="left"/>
      <w:lvlText w:val="%1"/>
      <w:numFmt w:val="lowerLetter"/>
      <w:start w:val="1"/>
    </w:lvl>
    <w:lvl w:ilvl="1">
      <w:lvlJc w:val="left"/>
      <w:lvlText w:val="(%2)"/>
      <w:numFmt w:val="lowerRoman"/>
      <w:start w:val="2"/>
    </w:lvl>
  </w:abstractNum>
  <w:abstractNum w:abstractNumId="74">
    <w:nsid w:val="230F856C"/>
    <w:multiLevelType w:val="hybridMultilevel"/>
    <w:lvl w:ilvl="0">
      <w:lvlJc w:val="left"/>
      <w:lvlText w:val="(%1)"/>
      <w:numFmt w:val="lowerLetter"/>
      <w:start w:val="8"/>
    </w:lvl>
    <w:lvl w:ilvl="1">
      <w:lvlJc w:val="left"/>
      <w:lvlText w:val="(%2)"/>
      <w:numFmt w:val="lowerRoman"/>
      <w:start w:val="1"/>
    </w:lvl>
  </w:abstractNum>
  <w:abstractNum w:abstractNumId="75">
    <w:nsid w:val="6EAA85FB"/>
    <w:multiLevelType w:val="hybridMultilevel"/>
    <w:lvl w:ilvl="0">
      <w:lvlJc w:val="left"/>
      <w:lvlText w:val="(%1)"/>
      <w:numFmt w:val="lowerRoman"/>
      <w:start w:val="2"/>
    </w:lvl>
    <w:lvl w:ilvl="1">
      <w:lvlJc w:val="left"/>
      <w:lvlText w:val="(%2)"/>
      <w:numFmt w:val="upperLetter"/>
      <w:start w:val="1"/>
    </w:lvl>
  </w:abstractNum>
  <w:abstractNum w:abstractNumId="76">
    <w:nsid w:val="3F06ECB2"/>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77">
    <w:nsid w:val="3B594807"/>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78">
    <w:nsid w:val="6CAA2304"/>
    <w:multiLevelType w:val="hybridMultilevel"/>
    <w:lvl w:ilvl="0">
      <w:lvlJc w:val="left"/>
      <w:lvlText w:val="%1"/>
      <w:numFmt w:val="decimal"/>
      <w:start w:val="1"/>
    </w:lvl>
    <w:lvl w:ilvl="1">
      <w:lvlJc w:val="left"/>
      <w:lvlText w:val="(%2)"/>
      <w:numFmt w:val="lowerRoman"/>
      <w:start w:val="3"/>
    </w:lvl>
  </w:abstractNum>
  <w:abstractNum w:abstractNumId="79">
    <w:nsid w:val="3F7C2FF4"/>
    <w:multiLevelType w:val="hybridMultilevel"/>
    <w:lvl w:ilvl="0">
      <w:lvlJc w:val="left"/>
      <w:lvlText w:val="%1."/>
      <w:numFmt w:val="decimal"/>
      <w:start w:val="8"/>
    </w:lvl>
    <w:lvl w:ilvl="1">
      <w:lvlJc w:val="left"/>
      <w:lvlText w:val="%2"/>
      <w:numFmt w:val="lowerRoman"/>
      <w:start w:val="1"/>
    </w:lvl>
  </w:abstractNum>
  <w:abstractNum w:abstractNumId="80">
    <w:nsid w:val="25413BEC"/>
    <w:multiLevelType w:val="hybridMultilevel"/>
    <w:lvl w:ilvl="0">
      <w:lvlJc w:val="left"/>
      <w:lvlText w:val="%1."/>
      <w:numFmt w:val="decimal"/>
      <w:start w:val="9"/>
    </w:lvl>
  </w:abstractNum>
  <w:abstractNum w:abstractNumId="81">
    <w:nsid w:val="17180B0B"/>
    <w:multiLevelType w:val="hybridMultilevel"/>
    <w:lvl w:ilvl="0">
      <w:lvlJc w:val="left"/>
      <w:lvlText w:val="%1."/>
      <w:numFmt w:val="decimal"/>
      <w:start w:val="10"/>
    </w:lvl>
  </w:abstractNum>
  <w:abstractNum w:abstractNumId="82">
    <w:nsid w:val="579328B9"/>
    <w:multiLevelType w:val="hybridMultilevel"/>
    <w:lvl w:ilvl="0">
      <w:lvlJc w:val="left"/>
      <w:lvlText w:val="%1."/>
      <w:numFmt w:val="decimal"/>
      <w:start w:val="11"/>
    </w:lvl>
    <w:lvl w:ilvl="1">
      <w:lvlJc w:val="left"/>
      <w:lvlText w:val="(%2)"/>
      <w:numFmt w:val="lowerLetter"/>
      <w:start w:val="1"/>
    </w:lvl>
  </w:abstractNum>
  <w:abstractNum w:abstractNumId="83">
    <w:nsid w:val="5D205E20"/>
    <w:multiLevelType w:val="hybridMultilevel"/>
    <w:lvl w:ilvl="0">
      <w:lvlJc w:val="left"/>
      <w:lvlText w:val="%1."/>
      <w:numFmt w:val="decimal"/>
      <w:start w:val="13"/>
    </w:lvl>
    <w:lvl w:ilvl="1">
      <w:lvlJc w:val="left"/>
      <w:lvlText w:val="(%2)"/>
      <w:numFmt w:val="lowerLetter"/>
      <w:start w:val="1"/>
    </w:lvl>
  </w:abstractNum>
  <w:abstractNum w:abstractNumId="84">
    <w:nsid w:val="11CCA8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
    <w:nsid w:val="4D32AB8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6">
    <w:nsid w:val="3F07ACC3"/>
    <w:multiLevelType w:val="hybridMultilevel"/>
    <w:lvl w:ilvl="0">
      <w:lvlJc w:val="left"/>
      <w:lvlText w:val="%1"/>
      <w:numFmt w:val="decimal"/>
      <w:start w:val="1"/>
    </w:lvl>
    <w:lvl w:ilvl="1">
      <w:lvlJc w:val="left"/>
      <w:lvlText w:val="(%2)"/>
      <w:numFmt w:val="lowerLetter"/>
      <w:start w:val="3"/>
    </w:lvl>
  </w:abstractNum>
  <w:abstractNum w:abstractNumId="87">
    <w:nsid w:val="6B47F63E"/>
    <w:multiLevelType w:val="hybridMultilevel"/>
    <w:lvl w:ilvl="0">
      <w:lvlJc w:val="left"/>
      <w:lvlText w:val="%1."/>
      <w:numFmt w:val="decimal"/>
      <w:start w:val="15"/>
    </w:lvl>
    <w:lvl w:ilvl="1">
      <w:lvlJc w:val="left"/>
      <w:lvlText w:val="(%2)"/>
      <w:numFmt w:val="lowerLetter"/>
      <w:start w:val="1"/>
    </w:lvl>
  </w:abstractNum>
  <w:abstractNum w:abstractNumId="88">
    <w:nsid w:val="5CB44A05"/>
    <w:multiLevelType w:val="hybridMultilevel"/>
    <w:lvl w:ilvl="0">
      <w:lvlJc w:val="left"/>
      <w:lvlText w:val="%1"/>
      <w:numFmt w:val="decimal"/>
      <w:start w:val="1"/>
    </w:lvl>
    <w:lvl w:ilvl="1">
      <w:lvlJc w:val="left"/>
      <w:lvlText w:val="(%2)"/>
      <w:numFmt w:val="lowerLetter"/>
      <w:start w:val="3"/>
    </w:lvl>
  </w:abstractNum>
  <w:abstractNum w:abstractNumId="89">
    <w:nsid w:val="16CF80F1"/>
    <w:multiLevelType w:val="hybridMultilevel"/>
    <w:lvl w:ilvl="0">
      <w:lvlJc w:val="left"/>
      <w:lvlText w:val="%1."/>
      <w:numFmt w:val="decimal"/>
      <w:start w:val="16"/>
    </w:lvl>
    <w:lvl w:ilvl="1">
      <w:lvlJc w:val="left"/>
      <w:lvlText w:val="%2"/>
      <w:numFmt w:val="lowerLetter"/>
      <w:start w:val="1"/>
    </w:lvl>
  </w:abstractNum>
  <w:abstractNum w:abstractNumId="90">
    <w:nsid w:val="1C695DEC"/>
    <w:multiLevelType w:val="hybridMultilevel"/>
    <w:lvl w:ilvl="0">
      <w:lvlJc w:val="left"/>
      <w:lvlText w:val="%1."/>
      <w:numFmt w:val="decimal"/>
      <w:start w:val="17"/>
    </w:lvl>
  </w:abstractNum>
  <w:abstractNum w:abstractNumId="91">
    <w:nsid w:val="3FCFAED9"/>
    <w:multiLevelType w:val="hybridMultilevel"/>
    <w:lvl w:ilvl="0">
      <w:lvlJc w:val="left"/>
      <w:lvlText w:val="(%1)"/>
      <w:numFmt w:val="lowerLetter"/>
      <w:start w:val="1"/>
    </w:lvl>
  </w:abstractNum>
  <w:abstractNum w:abstractNumId="92">
    <w:nsid w:val="F8568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
    <w:nsid w:val="11B1CC33"/>
    <w:multiLevelType w:val="hybridMultilevel"/>
    <w:lvl w:ilvl="0">
      <w:lvlJc w:val="left"/>
      <w:lvlText w:val="%1"/>
      <w:numFmt w:val="lowerLetter"/>
      <w:start w:val="1"/>
    </w:lvl>
    <w:lvl w:ilvl="1">
      <w:lvlJc w:val="left"/>
      <w:lvlText w:val="(%2)"/>
      <w:numFmt w:val="upperLetter"/>
      <w:start w:val="2"/>
    </w:lvl>
  </w:abstractNum>
  <w:abstractNum w:abstractNumId="94">
    <w:nsid w:val="2E22FBB7"/>
    <w:multiLevelType w:val="hybridMultilevel"/>
    <w:lvl w:ilvl="0">
      <w:lvlJc w:val="left"/>
      <w:lvlText w:val="(%1)"/>
      <w:numFmt w:val="lowerLetter"/>
      <w:start w:val="2"/>
    </w:lvl>
    <w:lvl w:ilvl="1">
      <w:lvlJc w:val="left"/>
      <w:lvlText w:val="%2"/>
      <w:numFmt w:val="upperLetter"/>
      <w:start w:val="1"/>
    </w:lvl>
  </w:abstractNum>
  <w:abstractNum w:abstractNumId="95">
    <w:nsid w:val="29934699"/>
    <w:multiLevelType w:val="hybridMultilevel"/>
    <w:lvl w:ilvl="0">
      <w:lvlJc w:val="left"/>
      <w:lvlText w:val="(%1)"/>
      <w:numFmt w:val="lowerLetter"/>
      <w:start w:val="1"/>
    </w:lvl>
  </w:abstractNum>
  <w:abstractNum w:abstractNumId="96">
    <w:nsid w:val="77485850"/>
    <w:multiLevelType w:val="hybridMultilevel"/>
    <w:lvl w:ilvl="0">
      <w:lvlJc w:val="left"/>
      <w:lvlText w:val="(%1)"/>
      <w:numFmt w:val="lowerLetter"/>
      <w:start w:val="1"/>
    </w:lvl>
  </w:abstractNum>
  <w:abstractNum w:abstractNumId="97">
    <w:nsid w:val="744939A3"/>
    <w:multiLevelType w:val="hybridMultilevel"/>
    <w:lvl w:ilvl="0">
      <w:lvlJc w:val="left"/>
      <w:lvlText w:val="(%1)"/>
      <w:numFmt w:val="lowerLetter"/>
      <w:start w:val="1"/>
    </w:lvl>
  </w:abstractNum>
  <w:abstractNum w:abstractNumId="98">
    <w:nsid w:val="4FA0D2E3"/>
    <w:multiLevelType w:val="hybridMultilevel"/>
    <w:lvl w:ilvl="0">
      <w:lvlJc w:val="left"/>
      <w:lvlText w:val="(%1)"/>
      <w:numFmt w:val="lowerLetter"/>
      <w:start w:val="1"/>
    </w:lvl>
  </w:abstractNum>
  <w:abstractNum w:abstractNumId="99">
    <w:nsid w:val="6B1D2C14"/>
    <w:multiLevelType w:val="hybridMultilevel"/>
    <w:lvl w:ilvl="0">
      <w:lvlJc w:val="left"/>
      <w:lvlText w:val="(%1)"/>
      <w:numFmt w:val="lowerLetter"/>
      <w:start w:val="1"/>
    </w:lvl>
  </w:abstractNum>
  <w:abstractNum w:abstractNumId="100">
    <w:nsid w:val="68B867D3"/>
    <w:multiLevelType w:val="hybridMultilevel"/>
    <w:lvl w:ilvl="0">
      <w:lvlJc w:val="left"/>
      <w:lvlText w:val="(%1)"/>
      <w:numFmt w:val="lowerLetter"/>
      <w:start w:val="1"/>
    </w:lvl>
  </w:abstractNum>
  <w:abstractNum w:abstractNumId="101">
    <w:nsid w:val="3F7F5DD9"/>
    <w:multiLevelType w:val="hybridMultilevel"/>
    <w:lvl w:ilvl="0">
      <w:lvlJc w:val="left"/>
      <w:lvlText w:val="(%1)"/>
      <w:numFmt w:val="lowerLetter"/>
      <w:start w:val="1"/>
    </w:lvl>
    <w:lvl w:ilvl="1">
      <w:lvlJc w:val="left"/>
      <w:lvlText w:val="(%2)"/>
      <w:numFmt w:val="lowerRoman"/>
      <w:start w:val="1"/>
    </w:lvl>
  </w:abstractNum>
  <w:abstractNum w:abstractNumId="102">
    <w:nsid w:val="2AE05A34"/>
    <w:multiLevelType w:val="hybridMultilevel"/>
    <w:lvl w:ilvl="0">
      <w:lvlJc w:val="left"/>
      <w:lvlText w:val="(%1)"/>
      <w:numFmt w:val="lowerLetter"/>
      <w:start w:val="4"/>
    </w:lvl>
  </w:abstractNum>
  <w:abstractNum w:abstractNumId="103">
    <w:nsid w:val="32794FF7"/>
    <w:multiLevelType w:val="hybridMultilevel"/>
    <w:lvl w:ilvl="0">
      <w:lvlJc w:val="left"/>
      <w:lvlText w:val="(%1)"/>
      <w:numFmt w:val="lowerLetter"/>
      <w:start w:val="1"/>
    </w:lvl>
  </w:abstractNum>
  <w:abstractNum w:abstractNumId="104">
    <w:nsid w:val="5454945E"/>
    <w:multiLevelType w:val="hybridMultilevel"/>
    <w:lvl w:ilvl="0">
      <w:lvlJc w:val="left"/>
      <w:lvlText w:val="(%1)"/>
      <w:numFmt w:val="lowerLetter"/>
      <w:start w:val="1"/>
    </w:lvl>
    <w:lvl w:ilvl="1">
      <w:lvlJc w:val="left"/>
      <w:lvlText w:val="(%2)"/>
      <w:numFmt w:val="lowerRoman"/>
      <w:start w:val="1"/>
    </w:lvl>
  </w:abstractNum>
  <w:abstractNum w:abstractNumId="105">
    <w:nsid w:val="4DEFDFA0"/>
    <w:multiLevelType w:val="hybridMultilevel"/>
    <w:lvl w:ilvl="0">
      <w:lvlJc w:val="left"/>
      <w:lvlText w:val="(%1)"/>
      <w:numFmt w:val="lowerLetter"/>
      <w:start w:val="2"/>
    </w:lvl>
    <w:lvl w:ilvl="1">
      <w:lvlJc w:val="left"/>
      <w:lvlText w:val="(%2)"/>
      <w:numFmt w:val="lowerRoman"/>
      <w:start w:val="1"/>
    </w:lvl>
  </w:abstractNum>
  <w:abstractNum w:abstractNumId="106">
    <w:nsid w:val="2123D5F2"/>
    <w:multiLevelType w:val="hybridMultilevel"/>
    <w:lvl w:ilvl="0">
      <w:lvlJc w:val="left"/>
      <w:lvlText w:val="(%1)"/>
      <w:numFmt w:val="lowerRoman"/>
      <w:start w:val="3"/>
    </w:lvl>
  </w:abstractNum>
  <w:abstractNum w:abstractNumId="107">
    <w:nsid w:val="135B8110"/>
    <w:multiLevelType w:val="hybridMultilevel"/>
    <w:lvl w:ilvl="0">
      <w:lvlJc w:val="left"/>
      <w:lvlText w:val="(%1)"/>
      <w:numFmt w:val="lowerLetter"/>
      <w:start w:val="1"/>
    </w:lvl>
    <w:lvl w:ilvl="1">
      <w:lvlJc w:val="left"/>
      <w:lvlText w:val="(%2)"/>
      <w:numFmt w:val="lowerRoman"/>
      <w:start w:val="1"/>
    </w:lvl>
  </w:abstractNum>
  <w:abstractNum w:abstractNumId="108">
    <w:nsid w:val="94927A8"/>
    <w:multiLevelType w:val="hybridMultilevel"/>
    <w:lvl w:ilvl="0">
      <w:lvlJc w:val="left"/>
      <w:lvlText w:val="(%1)"/>
      <w:numFmt w:val="lowerRoman"/>
      <w:start w:val="2"/>
    </w:lvl>
  </w:abstractNum>
  <w:abstractNum w:abstractNumId="109">
    <w:nsid w:val="DCDF8F6"/>
    <w:multiLevelType w:val="hybridMultilevel"/>
    <w:lvl w:ilvl="0">
      <w:lvlJc w:val="left"/>
      <w:lvlText w:val="(%1)"/>
      <w:numFmt w:val="lowerLetter"/>
      <w:start w:val="1"/>
    </w:lvl>
    <w:lvl w:ilvl="1">
      <w:lvlJc w:val="left"/>
      <w:lvlText w:val="(%2)"/>
      <w:numFmt w:val="lowerRoman"/>
      <w:start w:val="1"/>
    </w:lvl>
  </w:abstractNum>
  <w:abstractNum w:abstractNumId="110">
    <w:nsid w:val="52D7B105"/>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11">
    <w:nsid w:val="2E8A6394"/>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12">
    <w:nsid w:val="24E60401"/>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3">
    <w:nsid w:val="2A6AD9BE"/>
    <w:multiLevelType w:val="hybridMultilevel"/>
    <w:lvl w:ilvl="0">
      <w:lvlJc w:val="left"/>
      <w:lvlText w:val="(%1)"/>
      <w:numFmt w:val="lowerLetter"/>
      <w:start w:val="1"/>
    </w:lvl>
    <w:lvl w:ilvl="1">
      <w:lvlJc w:val="left"/>
      <w:lvlText w:val="(%2)"/>
      <w:numFmt w:val="lowerRoman"/>
      <w:start w:val="1"/>
    </w:lvl>
  </w:abstractNum>
  <w:abstractNum w:abstractNumId="114">
    <w:nsid w:val="BAAC1B4"/>
    <w:multiLevelType w:val="hybridMultilevel"/>
    <w:lvl w:ilvl="0">
      <w:lvlJc w:val="left"/>
      <w:lvlText w:val="(%1)"/>
      <w:numFmt w:val="lowerLetter"/>
      <w:start w:val="2"/>
    </w:lvl>
    <w:lvl w:ilvl="1">
      <w:lvlJc w:val="left"/>
      <w:lvlText w:val="(%2)"/>
      <w:numFmt w:val="lowerRoman"/>
      <w:start w:val="1"/>
    </w:lvl>
  </w:abstractNum>
  <w:abstractNum w:abstractNumId="115">
    <w:nsid w:val="36B2ACBC"/>
    <w:multiLevelType w:val="hybridMultilevel"/>
    <w:lvl w:ilvl="0">
      <w:lvlJc w:val="left"/>
      <w:lvlText w:val="(%1)"/>
      <w:numFmt w:val="lowerLetter"/>
      <w:start w:val="1"/>
    </w:lvl>
  </w:abstractNum>
  <w:abstractNum w:abstractNumId="116">
    <w:nsid w:val="779D8544"/>
    <w:multiLevelType w:val="hybridMultilevel"/>
    <w:lvl w:ilvl="0">
      <w:lvlJc w:val="left"/>
      <w:lvlText w:val="(%1)"/>
      <w:numFmt w:val="lowerLetter"/>
      <w:start w:val="1"/>
    </w:lvl>
  </w:abstractNum>
  <w:abstractNum w:abstractNumId="117">
    <w:nsid w:val="4AB26E78"/>
    <w:multiLevelType w:val="hybridMultilevel"/>
    <w:lvl w:ilvl="0">
      <w:lvlJc w:val="left"/>
      <w:lvlText w:val="(%1)"/>
      <w:numFmt w:val="lowerLetter"/>
      <w:start w:val="3"/>
    </w:lvl>
    <w:lvl w:ilvl="1">
      <w:lvlJc w:val="left"/>
      <w:lvlText w:val="(%2)"/>
      <w:numFmt w:val="lowerRoman"/>
      <w:start w:val="1"/>
    </w:lvl>
  </w:abstractNum>
  <w:abstractNum w:abstractNumId="118">
    <w:nsid w:val="21FAA2FA"/>
    <w:multiLevelType w:val="hybridMultilevel"/>
    <w:lvl w:ilvl="0">
      <w:lvlJc w:val="left"/>
      <w:lvlText w:val="(%1)"/>
      <w:numFmt w:val="lowerLetter"/>
      <w:start w:val="4"/>
    </w:lvl>
  </w:abstractNum>
  <w:abstractNum w:abstractNumId="119">
    <w:nsid w:val="5451CF49"/>
    <w:multiLevelType w:val="hybridMultilevel"/>
    <w:lvl w:ilvl="0">
      <w:lvlJc w:val="left"/>
      <w:lvlText w:val="(%1)"/>
      <w:numFmt w:val="lowerLetter"/>
      <w:start w:val="2"/>
    </w:lvl>
  </w:abstractNum>
  <w:abstractNum w:abstractNumId="120">
    <w:nsid w:val="6181EF69"/>
    <w:multiLevelType w:val="hybridMultilevel"/>
    <w:lvl w:ilvl="0">
      <w:lvlJc w:val="left"/>
      <w:lvlText w:val="(%1)"/>
      <w:numFmt w:val="lowerLetter"/>
      <w:start w:val="1"/>
    </w:lvl>
  </w:abstractNum>
  <w:abstractNum w:abstractNumId="121">
    <w:nsid w:val="3E6400E6"/>
    <w:multiLevelType w:val="hybridMultilevel"/>
    <w:lvl w:ilvl="0">
      <w:lvlJc w:val="left"/>
      <w:lvlText w:val="(%1)"/>
      <w:numFmt w:val="lowerLetter"/>
      <w:start w:val="2"/>
    </w:lvl>
  </w:abstractNum>
  <w:abstractNum w:abstractNumId="122">
    <w:nsid w:val="14217E23"/>
    <w:multiLevelType w:val="hybridMultilevel"/>
    <w:lvl w:ilvl="0">
      <w:lvlJc w:val="left"/>
      <w:lvlText w:val="%1"/>
      <w:numFmt w:val="lowerLetter"/>
      <w:start w:val="1"/>
    </w:lvl>
    <w:lvl w:ilvl="1">
      <w:lvlJc w:val="left"/>
      <w:lvlText w:val="(%2)"/>
      <w:numFmt w:val="lowerLetter"/>
      <w:start w:val="1"/>
    </w:lvl>
  </w:abstractNum>
  <w:abstractNum w:abstractNumId="123">
    <w:nsid w:val="710757D0"/>
    <w:multiLevelType w:val="hybridMultilevel"/>
    <w:lvl w:ilvl="0">
      <w:lvlJc w:val="left"/>
      <w:lvlText w:val="(%1)"/>
      <w:numFmt w:val="lowerLetter"/>
      <w:start w:val="9"/>
    </w:lvl>
    <w:lvl w:ilvl="1">
      <w:lvlJc w:val="left"/>
      <w:lvlText w:val="%2"/>
      <w:numFmt w:val="lowerLetter"/>
      <w:start w:val="1"/>
    </w:lvl>
  </w:abstractNum>
  <w:abstractNum w:abstractNumId="124">
    <w:nsid w:val="5015CD1A"/>
    <w:multiLevelType w:val="hybridMultilevel"/>
    <w:lvl w:ilvl="0">
      <w:lvlJc w:val="left"/>
      <w:lvlText w:val="(%1)"/>
      <w:numFmt w:val="lowerLetter"/>
      <w:start w:val="1"/>
    </w:lvl>
    <w:lvl w:ilvl="1">
      <w:lvlJc w:val="left"/>
      <w:lvlText w:val="(%2)"/>
      <w:numFmt w:val="lowerRoman"/>
      <w:start w:val="1"/>
    </w:lvl>
  </w:abstractNum>
  <w:abstractNum w:abstractNumId="125">
    <w:nsid w:val="424479DA"/>
    <w:multiLevelType w:val="hybridMultilevel"/>
    <w:lvl w:ilvl="0">
      <w:lvlJc w:val="left"/>
      <w:lvlText w:val="(%1)"/>
      <w:numFmt w:val="lowerLetter"/>
      <w:start w:val="2"/>
    </w:lvl>
  </w:abstractNum>
  <w:abstractNum w:abstractNumId="126">
    <w:nsid w:val="1A9A9E69"/>
    <w:multiLevelType w:val="hybridMultilevel"/>
    <w:lvl w:ilvl="0">
      <w:lvlJc w:val="left"/>
      <w:lvlText w:val="(%1)"/>
      <w:numFmt w:val="lowerLetter"/>
      <w:start w:val="1"/>
    </w:lvl>
  </w:abstractNum>
  <w:abstractNum w:abstractNumId="127">
    <w:nsid w:val="475E256A"/>
    <w:multiLevelType w:val="hybridMultilevel"/>
    <w:lvl w:ilvl="0">
      <w:lvlJc w:val="left"/>
      <w:lvlText w:val="(%1)"/>
      <w:numFmt w:val="lowerLetter"/>
      <w:start w:val="1"/>
    </w:lvl>
  </w:abstractNum>
  <w:abstractNum w:abstractNumId="128">
    <w:nsid w:val="368DB37E"/>
    <w:multiLevelType w:val="hybridMultilevel"/>
    <w:lvl w:ilvl="0">
      <w:lvlJc w:val="left"/>
      <w:lvlText w:val="%1"/>
      <w:numFmt w:val="decimal"/>
      <w:start w:val="1"/>
    </w:lvl>
    <w:lvl w:ilvl="1">
      <w:lvlJc w:val="left"/>
      <w:lvlText w:val="(%2)"/>
      <w:numFmt w:val="lowerLetter"/>
      <w:start w:val="3"/>
    </w:lvl>
  </w:abstractNum>
  <w:abstractNum w:abstractNumId="129">
    <w:nsid w:val="6A3B714C"/>
    <w:multiLevelType w:val="hybridMultilevel"/>
    <w:lvl w:ilvl="0">
      <w:lvlJc w:val="left"/>
      <w:lvlText w:val="(%1)"/>
      <w:numFmt w:val="decimal"/>
      <w:start w:val="10"/>
    </w:lvl>
    <w:lvl w:ilvl="1">
      <w:lvlJc w:val="left"/>
      <w:lvlText w:val="(%2)"/>
      <w:numFmt w:val="lowerLetter"/>
      <w:start w:val="6"/>
    </w:lvl>
  </w:abstractNum>
  <w:abstractNum w:abstractNumId="130">
    <w:nsid w:val="327B517E"/>
    <w:multiLevelType w:val="hybridMultilevel"/>
    <w:lvl w:ilvl="0">
      <w:lvlJc w:val="left"/>
      <w:lvlText w:val="(%1)"/>
      <w:numFmt w:val="lowerLetter"/>
      <w:start w:val="1"/>
    </w:lvl>
    <w:lvl w:ilvl="1">
      <w:lvlJc w:val="left"/>
      <w:lvlText w:val="(%2)"/>
      <w:numFmt w:val="lowerRoman"/>
      <w:start w:val="1"/>
    </w:lvl>
  </w:abstractNum>
  <w:abstractNum w:abstractNumId="131">
    <w:nsid w:val="1F461B51"/>
    <w:multiLevelType w:val="hybridMultilevel"/>
    <w:lvl w:ilvl="0">
      <w:lvlJc w:val="left"/>
      <w:lvlText w:val="(%1)"/>
      <w:numFmt w:val="lowerRoman"/>
      <w:start w:val="5"/>
    </w:lvl>
  </w:abstractNum>
  <w:abstractNum w:abstractNumId="132">
    <w:nsid w:val="29BACF25"/>
    <w:multiLevelType w:val="hybridMultilevel"/>
    <w:lvl w:ilvl="0">
      <w:lvlJc w:val="left"/>
      <w:lvlText w:val="(%1)"/>
      <w:numFmt w:val="lowerLetter"/>
      <w:start w:val="1"/>
    </w:lvl>
  </w:abstractNum>
  <w:abstractNum w:abstractNumId="133">
    <w:nsid w:val="5D5BABB3"/>
    <w:multiLevelType w:val="hybridMultilevel"/>
    <w:lvl w:ilvl="0">
      <w:lvlJc w:val="left"/>
      <w:lvlText w:val="(%1)"/>
      <w:numFmt w:val="lowerLetter"/>
      <w:start w:val="1"/>
    </w:lvl>
    <w:lvl w:ilvl="1">
      <w:lvlJc w:val="left"/>
      <w:lvlText w:val="(%2)"/>
      <w:numFmt w:val="lowerRoman"/>
      <w:start w:val="1"/>
    </w:lvl>
  </w:abstractNum>
  <w:abstractNum w:abstractNumId="134">
    <w:nsid w:val="51BF6B48"/>
    <w:multiLevelType w:val="hybridMultilevel"/>
    <w:lvl w:ilvl="0">
      <w:lvlJc w:val="left"/>
      <w:lvlText w:val="(%1)"/>
      <w:numFmt w:val="lowerLetter"/>
      <w:start w:val="1"/>
    </w:lvl>
  </w:abstractNum>
  <w:abstractNum w:abstractNumId="135">
    <w:nsid w:val="7E0F6384"/>
    <w:multiLevelType w:val="hybridMultilevel"/>
    <w:lvl w:ilvl="0">
      <w:lvlJc w:val="left"/>
      <w:lvlText w:val="(%1)"/>
      <w:numFmt w:val="lowerLetter"/>
      <w:start w:val="2"/>
    </w:lvl>
  </w:abstractNum>
  <w:abstractNum w:abstractNumId="136">
    <w:nsid w:val="2B4B8B53"/>
    <w:multiLevelType w:val="hybridMultilevel"/>
    <w:lvl w:ilvl="0">
      <w:lvlJc w:val="left"/>
      <w:lvlText w:val="(%1)"/>
      <w:numFmt w:val="lowerLetter"/>
      <w:start w:val="1"/>
    </w:lvl>
  </w:abstractNum>
  <w:abstractNum w:abstractNumId="137">
    <w:nsid w:val="72E3413A"/>
    <w:multiLevelType w:val="hybridMultilevel"/>
    <w:lvl w:ilvl="0">
      <w:lvlJc w:val="left"/>
      <w:lvlText w:val="(%1)"/>
      <w:numFmt w:val="lowerLetter"/>
      <w:start w:val="1"/>
    </w:lvl>
  </w:abstractNum>
  <w:abstractNum w:abstractNumId="138">
    <w:nsid w:val="116AE494"/>
    <w:multiLevelType w:val="hybridMultilevel"/>
    <w:lvl w:ilvl="0">
      <w:lvlJc w:val="left"/>
      <w:lvlText w:val="(%1)"/>
      <w:numFmt w:val="lowerLetter"/>
      <w:start w:val="4"/>
    </w:lvl>
  </w:abstractNum>
  <w:abstractNum w:abstractNumId="139">
    <w:nsid w:val="3494B2FB"/>
    <w:multiLevelType w:val="hybridMultilevel"/>
    <w:lvl w:ilvl="0">
      <w:lvlJc w:val="left"/>
      <w:lvlText w:val="(%1)"/>
      <w:numFmt w:val="lowerLetter"/>
      <w:start w:val="1"/>
    </w:lvl>
  </w:abstractNum>
  <w:abstractNum w:abstractNumId="140">
    <w:nsid w:val="B13A31"/>
    <w:multiLevelType w:val="hybridMultilevel"/>
    <w:lvl w:ilvl="0">
      <w:lvlJc w:val="left"/>
      <w:lvlText w:val="(%1)"/>
      <w:numFmt w:val="decimal"/>
      <w:start w:val="1"/>
    </w:lvl>
  </w:abstractNum>
  <w:abstractNum w:abstractNumId="141">
    <w:nsid w:val="64429599"/>
    <w:multiLevelType w:val="hybridMultilevel"/>
    <w:lvl w:ilvl="0">
      <w:lvlJc w:val="left"/>
      <w:lvlText w:val="(%1)"/>
      <w:numFmt w:val="decimal"/>
      <w:start w:val="1"/>
    </w:lvl>
  </w:abstractNum>
  <w:abstractNum w:abstractNumId="142">
    <w:nsid w:val="631F1690"/>
    <w:multiLevelType w:val="hybridMultilevel"/>
    <w:lvl w:ilvl="0">
      <w:lvlJc w:val="left"/>
      <w:lvlText w:val="(%1)"/>
      <w:numFmt w:val="lowerLetter"/>
      <w:start w:val="1"/>
    </w:lvl>
    <w:lvl w:ilvl="1">
      <w:lvlJc w:val="left"/>
      <w:lvlText w:val="(%2)"/>
      <w:numFmt w:val="decimal"/>
      <w:start w:val="1"/>
    </w:lvl>
  </w:abstractNum>
  <w:abstractNum w:abstractNumId="143">
    <w:nsid w:val="25973E32"/>
    <w:multiLevelType w:val="hybridMultilevel"/>
    <w:lvl w:ilvl="0">
      <w:lvlJc w:val="left"/>
      <w:lvlText w:val="(%1)"/>
      <w:numFmt w:val="lowerLetter"/>
      <w:start w:val="1"/>
    </w:lvl>
    <w:lvl w:ilvl="1">
      <w:lvlJc w:val="left"/>
      <w:lvlText w:val="(%2)"/>
      <w:numFmt w:val="decimal"/>
      <w:start w:val="1"/>
    </w:lvl>
  </w:abstractNum>
  <w:abstractNum w:abstractNumId="144">
    <w:nsid w:val="EAD6F57"/>
    <w:multiLevelType w:val="hybridMultilevel"/>
    <w:lvl w:ilvl="0">
      <w:lvlJc w:val="left"/>
      <w:lvlText w:val="(%1)"/>
      <w:numFmt w:val="lowerLetter"/>
      <w:start w:val="1"/>
    </w:lvl>
  </w:abstractNum>
  <w:abstractNum w:abstractNumId="145">
    <w:nsid w:val="6EC9D844"/>
    <w:multiLevelType w:val="hybridMultilevel"/>
    <w:lvl w:ilvl="0">
      <w:lvlJc w:val="left"/>
      <w:lvlText w:val="(%1)"/>
      <w:numFmt w:val="lowerLetter"/>
      <w:start w:val="2"/>
    </w:lvl>
  </w:abstractNum>
  <w:abstractNum w:abstractNumId="146">
    <w:nsid w:val="5C49EAEE"/>
    <w:multiLevelType w:val="hybridMultilevel"/>
    <w:lvl w:ilvl="0">
      <w:lvlJc w:val="left"/>
      <w:lvlText w:val="(%1)"/>
      <w:numFmt w:val="lowerLetter"/>
      <w:start w:val="1"/>
    </w:lvl>
    <w:lvl w:ilvl="1">
      <w:lvlJc w:val="left"/>
      <w:lvlText w:val="(%2)"/>
      <w:numFmt w:val="decimal"/>
      <w:start w:val="1"/>
    </w:lvl>
  </w:abstractNum>
  <w:abstractNum w:abstractNumId="147">
    <w:nsid w:val="64AF49B"/>
    <w:multiLevelType w:val="hybridMultilevel"/>
    <w:lvl w:ilvl="0">
      <w:lvlJc w:val="left"/>
      <w:lvlText w:val="(%1)"/>
      <w:numFmt w:val="lowerLetter"/>
      <w:start w:val="1"/>
    </w:lvl>
  </w:abstractNum>
  <w:abstractNum w:abstractNumId="148">
    <w:nsid w:val="397C46BC"/>
    <w:multiLevelType w:val="hybridMultilevel"/>
    <w:lvl w:ilvl="0">
      <w:lvlJc w:val="left"/>
      <w:lvlText w:val="(%1)"/>
      <w:numFmt w:val="lowerLetter"/>
      <w:start w:val="1"/>
    </w:lvl>
    <w:lvl w:ilvl="1">
      <w:lvlJc w:val="left"/>
      <w:lvlText w:val="(%2)"/>
      <w:numFmt w:val="decimal"/>
      <w:start w:val="1"/>
    </w:lvl>
  </w:abstractNum>
  <w:abstractNum w:abstractNumId="149">
    <w:nsid w:val="7E448DE9"/>
    <w:multiLevelType w:val="hybridMultilevel"/>
    <w:lvl w:ilvl="0">
      <w:lvlJc w:val="left"/>
      <w:lvlText w:val="(%1)"/>
      <w:numFmt w:val="decimal"/>
      <w:start w:val="2"/>
    </w:lvl>
  </w:abstractNum>
  <w:abstractNum w:abstractNumId="150">
    <w:nsid w:val="5A9CC3E5"/>
    <w:multiLevelType w:val="hybridMultilevel"/>
    <w:lvl w:ilvl="0">
      <w:lvlJc w:val="left"/>
      <w:lvlText w:val="(%1)"/>
      <w:numFmt w:val="lowerLetter"/>
      <w:start w:val="1"/>
    </w:lvl>
  </w:abstractNum>
  <w:abstractNum w:abstractNumId="151">
    <w:nsid w:val="1AFE3625"/>
    <w:multiLevelType w:val="hybridMultilevel"/>
    <w:lvl w:ilvl="0">
      <w:lvlJc w:val="left"/>
      <w:lvlText w:val="(%1)"/>
      <w:numFmt w:val="lowerLetter"/>
      <w:start w:val="2"/>
    </w:lvl>
  </w:abstractNum>
  <w:abstractNum w:abstractNumId="152">
    <w:nsid w:val="3CA88ECF"/>
    <w:multiLevelType w:val="hybridMultilevel"/>
    <w:lvl w:ilvl="0">
      <w:lvlJc w:val="left"/>
      <w:lvlText w:val="(%1)"/>
      <w:numFmt w:val="lowerLetter"/>
      <w:start w:val="1"/>
    </w:lvl>
  </w:abstractNum>
  <w:abstractNum w:abstractNumId="153">
    <w:nsid w:val="6EBE4208"/>
    <w:multiLevelType w:val="hybridMultilevel"/>
    <w:lvl w:ilvl="0">
      <w:lvlJc w:val="left"/>
      <w:lvlText w:val="(%1)"/>
      <w:numFmt w:val="lowerLetter"/>
      <w:start w:val="1"/>
    </w:lvl>
  </w:abstractNum>
  <w:abstractNum w:abstractNumId="154">
    <w:nsid w:val="C058DF5"/>
    <w:multiLevelType w:val="hybridMultilevel"/>
    <w:lvl w:ilvl="0">
      <w:lvlJc w:val="left"/>
      <w:lvlText w:val="(%1)"/>
      <w:numFmt w:val="lowerLetter"/>
      <w:start w:val="1"/>
    </w:lvl>
  </w:abstractNum>
  <w:abstractNum w:abstractNumId="155">
    <w:nsid w:val="CBE5BE9"/>
    <w:multiLevelType w:val="hybridMultilevel"/>
    <w:lvl w:ilvl="0">
      <w:lvlJc w:val="left"/>
      <w:lvlText w:val="(%1)"/>
      <w:numFmt w:val="lowerLetter"/>
      <w:start w:val="1"/>
    </w:lvl>
  </w:abstractNum>
  <w:abstractNum w:abstractNumId="156">
    <w:nsid w:val="3102BBE2"/>
    <w:multiLevelType w:val="hybridMultilevel"/>
    <w:lvl w:ilvl="0">
      <w:lvlJc w:val="left"/>
      <w:lvlText w:val="%1"/>
      <w:numFmt w:val="lowerLetter"/>
      <w:start w:val="1"/>
    </w:lvl>
    <w:lvl w:ilvl="1">
      <w:lvlJc w:val="left"/>
      <w:lvlText w:val="(%2)"/>
      <w:numFmt w:val="lowerLetter"/>
      <w:start w:val="1"/>
    </w:lvl>
  </w:abstractNum>
  <w:abstractNum w:abstractNumId="157">
    <w:nsid w:val="26A02C5E"/>
    <w:multiLevelType w:val="hybridMultilevel"/>
    <w:lvl w:ilvl="0">
      <w:lvlJc w:val="left"/>
      <w:lvlText w:val="(%1)"/>
      <w:numFmt w:val="lowerLetter"/>
      <w:start w:val="9"/>
    </w:lvl>
    <w:lvl w:ilvl="1">
      <w:lvlJc w:val="left"/>
      <w:lvlText w:val="%2"/>
      <w:numFmt w:val="lowerLetter"/>
      <w:start w:val="1"/>
    </w:lvl>
  </w:abstractNum>
  <w:abstractNum w:abstractNumId="158">
    <w:nsid w:val="541C8153"/>
    <w:multiLevelType w:val="hybridMultilevel"/>
    <w:lvl w:ilvl="0">
      <w:lvlJc w:val="left"/>
      <w:lvlText w:val="(%1)"/>
      <w:numFmt w:val="lowerLetter"/>
      <w:start w:val="1"/>
    </w:lvl>
  </w:abstractNum>
  <w:abstractNum w:abstractNumId="159">
    <w:nsid w:val="67906F60"/>
    <w:multiLevelType w:val="hybridMultilevel"/>
    <w:lvl w:ilvl="0">
      <w:lvlJc w:val="left"/>
      <w:lvlText w:val="(%1)"/>
      <w:numFmt w:val="lowerLetter"/>
      <w:start w:val="1"/>
    </w:lvl>
    <w:lvl w:ilvl="1">
      <w:lvlJc w:val="left"/>
      <w:lvlText w:val="(%2)"/>
      <w:numFmt w:val="decimal"/>
      <w:start w:val="1"/>
    </w:lvl>
  </w:abstractNum>
  <w:abstractNum w:abstractNumId="160">
    <w:nsid w:val="10DB9DAA"/>
    <w:multiLevelType w:val="hybridMultilevel"/>
    <w:lvl w:ilvl="0">
      <w:lvlJc w:val="left"/>
      <w:lvlText w:val="(%1)"/>
      <w:numFmt w:val="lowerLetter"/>
      <w:start w:val="1"/>
    </w:lvl>
  </w:abstractNum>
  <w:abstractNum w:abstractNumId="161">
    <w:nsid w:val="697D2D2"/>
    <w:multiLevelType w:val="hybridMultilevel"/>
    <w:lvl w:ilvl="0">
      <w:lvlJc w:val="left"/>
      <w:lvlText w:val="(%1)"/>
      <w:numFmt w:val="lowerLetter"/>
      <w:start w:val="2"/>
    </w:lvl>
    <w:lvl w:ilvl="1">
      <w:lvlJc w:val="left"/>
      <w:lvlText w:val="(%2)"/>
      <w:numFmt w:val="decimal"/>
      <w:start w:val="1"/>
    </w:lvl>
  </w:abstractNum>
  <w:abstractNum w:abstractNumId="162">
    <w:nsid w:val="6D68AB2"/>
    <w:multiLevelType w:val="hybridMultilevel"/>
    <w:lvl w:ilvl="0">
      <w:lvlJc w:val="left"/>
      <w:lvlText w:val="(%1)"/>
      <w:numFmt w:val="lowerLetter"/>
      <w:start w:val="2"/>
    </w:lvl>
  </w:abstractNum>
  <w:abstractNum w:abstractNumId="163">
    <w:nsid w:val="3A966CD0"/>
    <w:multiLevelType w:val="hybridMultilevel"/>
    <w:lvl w:ilvl="0">
      <w:lvlJc w:val="left"/>
      <w:lvlText w:val="(%1)"/>
      <w:numFmt w:val="lowerLetter"/>
      <w:start w:val="3"/>
    </w:lvl>
  </w:abstractNum>
  <w:abstractNum w:abstractNumId="164">
    <w:nsid w:val="63F37E85"/>
    <w:multiLevelType w:val="hybridMultilevel"/>
    <w:lvl w:ilvl="0">
      <w:lvlJc w:val="left"/>
      <w:lvlText w:val="(%1)"/>
      <w:numFmt w:val="lowerLetter"/>
      <w:start w:val="2"/>
    </w:lvl>
  </w:abstractNum>
  <w:abstractNum w:abstractNumId="165">
    <w:nsid w:val="5895F5FA"/>
    <w:multiLevelType w:val="hybridMultilevel"/>
    <w:lvl w:ilvl="0">
      <w:lvlJc w:val="left"/>
      <w:lvlText w:val="(%1)"/>
      <w:numFmt w:val="lowerLetter"/>
      <w:start w:val="1"/>
    </w:lvl>
  </w:abstractNum>
  <w:abstractNum w:abstractNumId="166">
    <w:nsid w:val="38A5D054"/>
    <w:multiLevelType w:val="hybridMultilevel"/>
    <w:lvl w:ilvl="0">
      <w:lvlJc w:val="left"/>
      <w:lvlText w:val="(%1)"/>
      <w:numFmt w:val="lowerLetter"/>
      <w:start w:val="35"/>
    </w:lvl>
    <w:lvl w:ilvl="1">
      <w:lvlJc w:val="left"/>
      <w:lvlText w:val="(%2)"/>
      <w:numFmt w:val="lowerLetter"/>
      <w:start w:val="3"/>
    </w:lvl>
  </w:abstractNum>
  <w:abstractNum w:abstractNumId="167">
    <w:nsid w:val="F3F09D8"/>
    <w:multiLevelType w:val="hybridMultilevel"/>
    <w:lvl w:ilvl="0">
      <w:lvlJc w:val="left"/>
      <w:lvlText w:val="(%1)"/>
      <w:numFmt w:val="lowerLetter"/>
      <w:start w:val="1"/>
    </w:lvl>
    <w:lvl w:ilvl="1">
      <w:lvlJc w:val="left"/>
      <w:lvlText w:val="(%2)"/>
      <w:numFmt w:val="decimal"/>
      <w:start w:val="1"/>
    </w:lvl>
  </w:abstractNum>
  <w:abstractNum w:abstractNumId="168">
    <w:nsid w:val="4B793735"/>
    <w:multiLevelType w:val="hybridMultilevel"/>
    <w:lvl w:ilvl="0">
      <w:lvlJc w:val="left"/>
      <w:lvlText w:val="(%1)"/>
      <w:numFmt w:val="lowerLetter"/>
      <w:start w:val="4"/>
    </w:lvl>
  </w:abstractNum>
  <w:abstractNum w:abstractNumId="169">
    <w:nsid w:val="4A10B4E8"/>
    <w:multiLevelType w:val="hybridMultilevel"/>
    <w:lvl w:ilvl="0">
      <w:lvlJc w:val="left"/>
      <w:lvlText w:val="(%1)"/>
      <w:numFmt w:val="lowerLetter"/>
      <w:start w:val="2"/>
    </w:lvl>
    <w:lvl w:ilvl="1">
      <w:lvlJc w:val="left"/>
      <w:lvlText w:val="(%2)"/>
      <w:numFmt w:val="decimal"/>
      <w:start w:val="1"/>
    </w:lvl>
  </w:abstractNum>
  <w:abstractNum w:abstractNumId="170">
    <w:nsid w:val="43D3BCD4"/>
    <w:multiLevelType w:val="hybridMultilevel"/>
    <w:lvl w:ilvl="0">
      <w:lvlJc w:val="left"/>
      <w:lvlText w:val="(%1)"/>
      <w:numFmt w:val="lowerLetter"/>
      <w:start w:val="1"/>
    </w:lvl>
    <w:lvl w:ilvl="1">
      <w:lvlJc w:val="left"/>
      <w:lvlText w:val="(%2)"/>
      <w:numFmt w:val="lowerLetter"/>
      <w:start w:val="9"/>
    </w:lvl>
  </w:abstractNum>
  <w:abstractNum w:abstractNumId="171">
    <w:nsid w:val="4C2A716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72">
    <w:nsid w:val="2E534A82"/>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73">
    <w:nsid w:val="26F2D36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74">
    <w:nsid w:val="71C1AF98"/>
    <w:multiLevelType w:val="hybridMultilevel"/>
    <w:lvl w:ilvl="0">
      <w:lvlJc w:val="left"/>
      <w:lvlText w:val="(%1)"/>
      <w:numFmt w:val="decimal"/>
      <w:start w:val="1"/>
    </w:lvl>
  </w:abstractNum>
  <w:abstractNum w:abstractNumId="175">
    <w:nsid w:val="3D00B9D9"/>
    <w:multiLevelType w:val="hybridMultilevel"/>
    <w:lvl w:ilvl="0">
      <w:lvlJc w:val="left"/>
      <w:lvlText w:val="%1"/>
      <w:numFmt w:val="lowerLetter"/>
      <w:start w:val="1"/>
    </w:lvl>
    <w:lvl w:ilvl="1">
      <w:lvlJc w:val="left"/>
      <w:lvlText w:val="(%2)"/>
      <w:numFmt w:val="decimal"/>
      <w:start w:val="5"/>
    </w:lvl>
  </w:abstractNum>
  <w:abstractNum w:abstractNumId="176">
    <w:nsid w:val="15BCABA8"/>
    <w:multiLevelType w:val="hybridMultilevel"/>
    <w:lvl w:ilvl="0">
      <w:lvlJc w:val="left"/>
      <w:lvlText w:val="(%1)"/>
      <w:numFmt w:val="lowerLetter"/>
      <w:start w:val="2"/>
    </w:lvl>
    <w:lvl w:ilvl="1">
      <w:lvlJc w:val="left"/>
      <w:lvlText w:val="(%2)"/>
      <w:numFmt w:val="decimal"/>
      <w:start w:val="1"/>
    </w:lvl>
  </w:abstractNum>
  <w:abstractNum w:abstractNumId="177">
    <w:nsid w:val="4E0B9A87"/>
    <w:multiLevelType w:val="hybridMultilevel"/>
    <w:lvl w:ilvl="0">
      <w:lvlJc w:val="left"/>
      <w:lvlText w:val="%1"/>
      <w:numFmt w:val="upperLetter"/>
      <w:start w:val="1"/>
    </w:lvl>
    <w:lvl w:ilvl="1">
      <w:lvlJc w:val="left"/>
      <w:lvlText w:val="(%2)"/>
      <w:numFmt w:val="decimal"/>
      <w:start w:val="2"/>
    </w:lvl>
  </w:abstractNum>
  <w:abstractNum w:abstractNumId="178">
    <w:nsid w:val="434BAE75"/>
    <w:multiLevelType w:val="hybridMultilevel"/>
    <w:lvl w:ilvl="0">
      <w:lvlJc w:val="left"/>
      <w:lvlText w:val="(%1)"/>
      <w:numFmt w:val="upperLetter"/>
      <w:start w:val="5"/>
    </w:lvl>
    <w:lvl w:ilvl="1">
      <w:lvlJc w:val="left"/>
      <w:lvlText w:val="(%2)"/>
      <w:numFmt w:val="decimal"/>
      <w:start w:val="3"/>
    </w:lvl>
  </w:abstractNum>
  <w:abstractNum w:abstractNumId="179">
    <w:nsid w:val="4F38F265"/>
    <w:multiLevelType w:val="hybridMultilevel"/>
    <w:lvl w:ilvl="0">
      <w:lvlJc w:val="left"/>
      <w:lvlText w:val="(%1)"/>
      <w:numFmt w:val="lowerLetter"/>
      <w:start w:val="1"/>
    </w:lvl>
  </w:abstractNum>
  <w:abstractNum w:abstractNumId="180">
    <w:nsid w:val="4C502870"/>
    <w:multiLevelType w:val="hybridMultilevel"/>
    <w:lvl w:ilvl="0">
      <w:lvlJc w:val="left"/>
      <w:lvlText w:val="(%1)"/>
      <w:numFmt w:val="decimal"/>
      <w:start w:val="5"/>
    </w:lvl>
  </w:abstractNum>
  <w:abstractNum w:abstractNumId="181">
    <w:nsid w:val="1DE8725A"/>
    <w:multiLevelType w:val="hybridMultilevel"/>
    <w:lvl w:ilvl="0">
      <w:lvlJc w:val="left"/>
      <w:lvlText w:val="(%1)"/>
      <w:numFmt w:val="upperLetter"/>
      <w:start w:val="2"/>
    </w:lvl>
  </w:abstractNum>
  <w:abstractNum w:abstractNumId="182">
    <w:nsid w:val="6A37288A"/>
    <w:multiLevelType w:val="hybridMultilevel"/>
    <w:lvl w:ilvl="0">
      <w:lvlJc w:val="left"/>
      <w:lvlText w:val="(%1)"/>
      <w:numFmt w:val="lowerLetter"/>
      <w:start w:val="1"/>
    </w:lvl>
  </w:abstractNum>
  <w:abstractNum w:abstractNumId="183">
    <w:nsid w:val="8F8B73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84">
    <w:nsid w:val="CA6B462"/>
    <w:multiLevelType w:val="hybridMultilevel"/>
    <w:lvl w:ilvl="0">
      <w:lvlJc w:val="left"/>
      <w:lvlText w:val="(%1)"/>
      <w:numFmt w:val="lowerLetter"/>
      <w:start w:val="35"/>
    </w:lvl>
    <w:lvl w:ilvl="1">
      <w:lvlJc w:val="left"/>
      <w:lvlText w:val="(%2)"/>
      <w:numFmt w:val="lowerLetter"/>
      <w:start w:val="4"/>
    </w:lvl>
    <w:lvl w:ilvl="2">
      <w:lvlJc w:val="left"/>
      <w:lvlText w:val="%3"/>
      <w:numFmt w:val="decimal"/>
      <w:start w:val="1"/>
    </w:lvl>
  </w:abstractNum>
  <w:abstractNum w:abstractNumId="185">
    <w:nsid w:val="763CB680"/>
    <w:multiLevelType w:val="hybridMultilevel"/>
    <w:lvl w:ilvl="0">
      <w:lvlJc w:val="left"/>
      <w:lvlText w:val="(%1)"/>
      <w:numFmt w:val="lowerLetter"/>
      <w:start w:val="1"/>
    </w:lvl>
  </w:abstractNum>
  <w:abstractNum w:abstractNumId="186">
    <w:nsid w:val="15B71329"/>
    <w:multiLevelType w:val="hybridMultilevel"/>
    <w:lvl w:ilvl="0">
      <w:lvlJc w:val="left"/>
      <w:lvlText w:val="(%1)"/>
      <w:numFmt w:val="lowerLetter"/>
      <w:start w:val="3"/>
    </w:lvl>
  </w:abstractNum>
  <w:abstractNum w:abstractNumId="187">
    <w:nsid w:val="3DA97044"/>
    <w:multiLevelType w:val="hybridMultilevel"/>
    <w:lvl w:ilvl="0">
      <w:lvlJc w:val="left"/>
      <w:lvlText w:val="(%1)"/>
      <w:numFmt w:val="lowerLetter"/>
      <w:start w:val="1"/>
    </w:lvl>
  </w:abstractNum>
  <w:abstractNum w:abstractNumId="188">
    <w:nsid w:val="1CDCE2DE"/>
    <w:multiLevelType w:val="hybridMultilevel"/>
    <w:lvl w:ilvl="0">
      <w:lvlJc w:val="left"/>
      <w:lvlText w:val="%1"/>
      <w:numFmt w:val="lowerLetter"/>
      <w:start w:val="1"/>
    </w:lvl>
    <w:lvl w:ilvl="1">
      <w:lvlJc w:val="left"/>
      <w:lvlText w:val="(%2)"/>
      <w:numFmt w:val="lowerLetter"/>
      <w:start w:val="1"/>
    </w:lvl>
  </w:abstractNum>
  <w:abstractNum w:abstractNumId="189">
    <w:nsid w:val="69D3947C"/>
    <w:multiLevelType w:val="hybridMultilevel"/>
    <w:lvl w:ilvl="0">
      <w:lvlJc w:val="left"/>
      <w:lvlText w:val="(%1)"/>
      <w:numFmt w:val="lowerLetter"/>
      <w:start w:val="35"/>
    </w:lvl>
    <w:lvl w:ilvl="1">
      <w:lvlJc w:val="left"/>
      <w:lvlText w:val="(%2)"/>
      <w:numFmt w:val="lowerLetter"/>
      <w:start w:val="2"/>
    </w:lvl>
  </w:abstractNum>
  <w:abstractNum w:abstractNumId="190">
    <w:nsid w:val="2539DFA5"/>
    <w:multiLevelType w:val="hybridMultilevel"/>
    <w:lvl w:ilvl="0">
      <w:lvlJc w:val="left"/>
      <w:lvlText w:val="(%1)"/>
      <w:numFmt w:val="lowerLetter"/>
      <w:start w:val="5"/>
    </w:lvl>
  </w:abstractNum>
  <w:abstractNum w:abstractNumId="191">
    <w:nsid w:val="2DB88089"/>
    <w:multiLevelType w:val="hybridMultilevel"/>
    <w:lvl w:ilvl="0">
      <w:lvlJc w:val="left"/>
      <w:lvlText w:val="(%1)"/>
      <w:numFmt w:val="lowerLetter"/>
      <w:start w:val="1"/>
    </w:lvl>
  </w:abstractNum>
  <w:abstractNum w:abstractNumId="192">
    <w:nsid w:val="706B674E"/>
    <w:multiLevelType w:val="hybridMultilevel"/>
    <w:lvl w:ilvl="0">
      <w:lvlJc w:val="left"/>
      <w:lvlText w:val="%1"/>
      <w:numFmt w:val="decimal"/>
      <w:start w:val="1"/>
    </w:lvl>
    <w:lvl w:ilvl="1">
      <w:lvlJc w:val="left"/>
      <w:lvlText w:val="(%2)"/>
      <w:numFmt w:val="lowerLetter"/>
      <w:start w:val="1"/>
    </w:lvl>
  </w:abstractNum>
  <w:abstractNum w:abstractNumId="193">
    <w:nsid w:val="2C106A57"/>
    <w:multiLevelType w:val="hybridMultilevel"/>
    <w:lvl w:ilvl="0">
      <w:lvlJc w:val="left"/>
      <w:lvlText w:val="(%1)"/>
      <w:numFmt w:val="decimal"/>
      <w:start w:val="1"/>
    </w:lvl>
    <w:lvl w:ilvl="1">
      <w:lvlJc w:val="left"/>
      <w:lvlText w:val="%2"/>
      <w:numFmt w:val="lowerLetter"/>
      <w:start w:val="1"/>
    </w:lvl>
  </w:abstractNum>
  <w:abstractNum w:abstractNumId="194">
    <w:nsid w:val="684EED59"/>
    <w:multiLevelType w:val="hybridMultilevel"/>
    <w:lvl w:ilvl="0">
      <w:lvlJc w:val="left"/>
      <w:lvlText w:val="(%1)"/>
      <w:numFmt w:val="lowerLetter"/>
      <w:start w:val="1"/>
    </w:lvl>
    <w:lvl w:ilvl="1">
      <w:lvlJc w:val="left"/>
      <w:lvlText w:val="(%2)"/>
      <w:numFmt w:val="decimal"/>
      <w:start w:val="1"/>
    </w:lvl>
  </w:abstractNum>
  <w:abstractNum w:abstractNumId="195">
    <w:nsid w:val="545EE5D3"/>
    <w:multiLevelType w:val="hybridMultilevel"/>
    <w:lvl w:ilvl="0">
      <w:lvlJc w:val="left"/>
      <w:lvlText w:val="(%1)"/>
      <w:numFmt w:val="lowerLetter"/>
      <w:start w:val="3"/>
    </w:lvl>
  </w:abstractNum>
  <w:abstractNum w:abstractNumId="196">
    <w:nsid w:val="4A66051"/>
    <w:multiLevelType w:val="hybridMultilevel"/>
    <w:lvl w:ilvl="0">
      <w:lvlJc w:val="left"/>
      <w:lvlText w:val="(%1)"/>
      <w:numFmt w:val="lowerLetter"/>
      <w:start w:val="1"/>
    </w:lvl>
  </w:abstractNum>
  <w:abstractNum w:abstractNumId="197">
    <w:nsid w:val="20F4BDAD"/>
    <w:multiLevelType w:val="hybridMultilevel"/>
    <w:lvl w:ilvl="0">
      <w:lvlJc w:val="left"/>
      <w:lvlText w:val="(%1)"/>
      <w:numFmt w:val="lowerLetter"/>
      <w:start w:val="5"/>
    </w:lvl>
  </w:abstractNum>
  <w:abstractNum w:abstractNumId="198">
    <w:nsid w:val="639DEFAC"/>
    <w:multiLevelType w:val="hybridMultilevel"/>
    <w:lvl w:ilvl="0">
      <w:lvlJc w:val="left"/>
      <w:lvlText w:val="(%1)"/>
      <w:numFmt w:val="lowerLetter"/>
      <w:start w:val="2"/>
    </w:lvl>
  </w:abstractNum>
  <w:abstractNum w:abstractNumId="199">
    <w:nsid w:val="501F9786"/>
    <w:multiLevelType w:val="hybridMultilevel"/>
    <w:lvl w:ilvl="0">
      <w:lvlJc w:val="left"/>
      <w:lvlText w:val="(%1)"/>
      <w:numFmt w:val="lowerLetter"/>
      <w:start w:val="6"/>
    </w:lvl>
  </w:abstractNum>
  <w:abstractNum w:abstractNumId="200">
    <w:nsid w:val="6B057295"/>
    <w:multiLevelType w:val="hybridMultilevel"/>
    <w:lvl w:ilvl="0">
      <w:lvlJc w:val="left"/>
      <w:lvlText w:val="(%1)"/>
      <w:numFmt w:val="lowerLetter"/>
      <w:start w:val="1"/>
    </w:lvl>
  </w:abstractNum>
  <w:abstractNum w:abstractNumId="201">
    <w:nsid w:val="2771AC80"/>
    <w:multiLevelType w:val="hybridMultilevel"/>
    <w:lvl w:ilvl="0">
      <w:lvlJc w:val="left"/>
      <w:lvlText w:val="(%1)"/>
      <w:numFmt w:val="lowerLetter"/>
      <w:start w:val="1"/>
    </w:lvl>
  </w:abstractNum>
  <w:abstractNum w:abstractNumId="202">
    <w:nsid w:val="1C4A08EC"/>
    <w:multiLevelType w:val="hybridMultilevel"/>
    <w:lvl w:ilvl="0">
      <w:lvlJc w:val="left"/>
      <w:lvlText w:val="(%1)"/>
      <w:numFmt w:val="lowerLetter"/>
      <w:start w:val="1"/>
    </w:lvl>
    <w:lvl w:ilvl="1">
      <w:lvlJc w:val="left"/>
      <w:lvlText w:val="(%2)"/>
      <w:numFmt w:val="lowerRoman"/>
      <w:start w:val="1"/>
    </w:lvl>
  </w:abstractNum>
  <w:abstractNum w:abstractNumId="203">
    <w:nsid w:val="1958BD17"/>
    <w:multiLevelType w:val="hybridMultilevel"/>
    <w:lvl w:ilvl="0">
      <w:lvlJc w:val="left"/>
      <w:lvlText w:val="(%1)"/>
      <w:numFmt w:val="lowerLetter"/>
      <w:start w:val="1"/>
    </w:lvl>
  </w:abstractNum>
  <w:abstractNum w:abstractNumId="204">
    <w:nsid w:val="4E647FE4"/>
    <w:multiLevelType w:val="hybridMultilevel"/>
    <w:lvl w:ilvl="0">
      <w:lvlJc w:val="left"/>
      <w:lvlText w:val="(%1)"/>
      <w:numFmt w:val="lowerLetter"/>
      <w:start w:val="3"/>
    </w:lvl>
  </w:abstractNum>
  <w:abstractNum w:abstractNumId="205">
    <w:nsid w:val="E0BB885"/>
    <w:multiLevelType w:val="hybridMultilevel"/>
    <w:lvl w:ilvl="0">
      <w:lvlJc w:val="left"/>
      <w:lvlText w:val="(%1)"/>
      <w:numFmt w:val="lowerLetter"/>
      <w:start w:val="1"/>
    </w:lvl>
    <w:lvl w:ilvl="1">
      <w:lvlJc w:val="left"/>
      <w:lvlText w:val="(%2)"/>
      <w:numFmt w:val="decimal"/>
      <w:start w:val="1"/>
    </w:lvl>
  </w:abstractNum>
  <w:abstractNum w:abstractNumId="206">
    <w:nsid w:val="565976F1"/>
    <w:multiLevelType w:val="hybridMultilevel"/>
    <w:lvl w:ilvl="0">
      <w:lvlJc w:val="left"/>
      <w:lvlText w:val="%1"/>
      <w:numFmt w:val="lowerLetter"/>
      <w:start w:val="1"/>
    </w:lvl>
    <w:lvl w:ilvl="1">
      <w:lvlJc w:val="left"/>
      <w:lvlText w:val="(%2)"/>
      <w:numFmt w:val="decimal"/>
      <w:start w:val="3"/>
    </w:lvl>
  </w:abstractNum>
  <w:abstractNum w:abstractNumId="207">
    <w:nsid w:val="64212B8C"/>
    <w:multiLevelType w:val="hybridMultilevel"/>
    <w:lvl w:ilvl="0">
      <w:lvlJc w:val="left"/>
      <w:lvlText w:val="(%1)"/>
      <w:numFmt w:val="lowerLetter"/>
      <w:start w:val="2"/>
    </w:lvl>
    <w:lvl w:ilvl="1">
      <w:lvlJc w:val="left"/>
      <w:lvlText w:val="(%2)"/>
      <w:numFmt w:val="decimal"/>
      <w:start w:val="1"/>
    </w:lvl>
  </w:abstractNum>
  <w:abstractNum w:abstractNumId="208">
    <w:nsid w:val="5C17530C"/>
    <w:multiLevelType w:val="hybridMultilevel"/>
    <w:lvl w:ilvl="0">
      <w:lvlJc w:val="left"/>
      <w:lvlText w:val="(%1)"/>
      <w:numFmt w:val="lowerLetter"/>
      <w:start w:val="1"/>
    </w:lvl>
  </w:abstractNum>
  <w:abstractNum w:abstractNumId="209">
    <w:nsid w:val="19A52566"/>
    <w:multiLevelType w:val="hybridMultilevel"/>
    <w:lvl w:ilvl="0">
      <w:lvlJc w:val="left"/>
      <w:lvlText w:val="(%1)"/>
      <w:numFmt w:val="lowerLetter"/>
      <w:start w:val="1"/>
    </w:lvl>
  </w:abstractNum>
  <w:abstractNum w:abstractNumId="210">
    <w:nsid w:val="335A1DF1"/>
    <w:multiLevelType w:val="hybridMultilevel"/>
    <w:lvl w:ilvl="0">
      <w:lvlJc w:val="left"/>
      <w:lvlText w:val="(%1)"/>
      <w:numFmt w:val="lowerLetter"/>
      <w:start w:val="1"/>
    </w:lvl>
  </w:abstractNum>
  <w:abstractNum w:abstractNumId="211">
    <w:nsid w:val="28677B7C"/>
    <w:multiLevelType w:val="hybridMultilevel"/>
    <w:lvl w:ilvl="0">
      <w:lvlJc w:val="left"/>
      <w:lvlText w:val="(%1)"/>
      <w:numFmt w:val="decimal"/>
      <w:start w:val="9"/>
    </w:lvl>
  </w:abstractNum>
  <w:abstractNum w:abstractNumId="212">
    <w:nsid w:val="378D97C0"/>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13">
    <w:nsid w:val="1D91467C"/>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214">
    <w:nsid w:val="316032BB"/>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215">
    <w:nsid w:val="44344C22"/>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Letter"/>
      <w:start w:val="3"/>
    </w:lvl>
  </w:abstractNum>
  <w:abstractNum w:abstractNumId="216">
    <w:nsid w:val="13CDFCFC"/>
    <w:multiLevelType w:val="hybridMultilevel"/>
    <w:lvl w:ilvl="0">
      <w:lvlJc w:val="left"/>
      <w:lvlText w:val="%1."/>
      <w:numFmt w:val="decimal"/>
      <w:start w:val="5"/>
    </w:lvl>
    <w:lvl w:ilvl="1">
      <w:lvlJc w:val="left"/>
      <w:lvlText w:val="(%2)"/>
      <w:numFmt w:val="upperLetter"/>
      <w:start w:val="1"/>
    </w:lvl>
  </w:abstractNum>
  <w:abstractNum w:abstractNumId="217">
    <w:nsid w:val="471745E4"/>
    <w:multiLevelType w:val="hybridMultilevel"/>
    <w:lvl w:ilvl="0">
      <w:lvlJc w:val="left"/>
      <w:lvlText w:val="(%1)"/>
      <w:numFmt w:val="lowerLetter"/>
      <w:start w:val="1"/>
    </w:lvl>
  </w:abstractNum>
  <w:abstractNum w:abstractNumId="218">
    <w:nsid w:val="1DDBC66"/>
    <w:multiLevelType w:val="hybridMultilevel"/>
    <w:lvl w:ilvl="0">
      <w:lvlJc w:val="left"/>
      <w:lvlText w:val="(%1)"/>
      <w:numFmt w:val="lowerRoman"/>
      <w:start w:val="2"/>
    </w:lvl>
  </w:abstractNum>
  <w:abstractNum w:abstractNumId="219">
    <w:nsid w:val="30AADFDA"/>
    <w:multiLevelType w:val="hybridMultilevel"/>
    <w:lvl w:ilvl="0">
      <w:lvlJc w:val="left"/>
      <w:lvlText w:val="(%1)"/>
      <w:numFmt w:val="lowerLetter"/>
      <w:start w:val="1"/>
    </w:lvl>
  </w:abstractNum>
  <w:abstractNum w:abstractNumId="220">
    <w:nsid w:val="30EADA61"/>
    <w:multiLevelType w:val="hybridMultilevel"/>
    <w:lvl w:ilvl="0">
      <w:lvlJc w:val="left"/>
      <w:lvlText w:val="%1"/>
      <w:numFmt w:val="lowerRoman"/>
      <w:start w:val="1"/>
    </w:lvl>
    <w:lvl w:ilvl="1">
      <w:lvlJc w:val="left"/>
      <w:lvlText w:val="(%2)"/>
      <w:numFmt w:val="lowerLetter"/>
      <w:start w:val="2"/>
    </w:lvl>
  </w:abstractNum>
  <w:abstractNum w:abstractNumId="221">
    <w:nsid w:val="27179C0B"/>
    <w:multiLevelType w:val="hybridMultilevel"/>
    <w:lvl w:ilvl="0">
      <w:lvlJc w:val="left"/>
      <w:lvlText w:val="(%1)"/>
      <w:numFmt w:val="lowerRoman"/>
      <w:start w:val="1"/>
    </w:lvl>
    <w:lvl w:ilvl="1">
      <w:lvlJc w:val="left"/>
      <w:lvlText w:val="%2"/>
      <w:numFmt w:val="lowerLetter"/>
      <w:start w:val="1"/>
    </w:lvl>
  </w:abstractNum>
  <w:abstractNum w:abstractNumId="222">
    <w:nsid w:val="5E636063"/>
    <w:multiLevelType w:val="hybridMultilevel"/>
    <w:lvl w:ilvl="0">
      <w:lvlJc w:val="left"/>
      <w:lvlText w:val="(%1)"/>
      <w:numFmt w:val="lowerLetter"/>
      <w:start w:val="1"/>
    </w:lvl>
  </w:abstractNum>
  <w:abstractNum w:abstractNumId="223">
    <w:nsid w:val="215641AF"/>
    <w:multiLevelType w:val="hybridMultilevel"/>
    <w:lvl w:ilvl="0">
      <w:lvlJc w:val="left"/>
      <w:lvlText w:val="%1"/>
      <w:numFmt w:val="upperLetter"/>
      <w:start w:val="1"/>
    </w:lvl>
    <w:lvl w:ilvl="1">
      <w:lvlJc w:val="left"/>
      <w:lvlText w:val="(%2)"/>
      <w:numFmt w:val="lowerLetter"/>
      <w:start w:val="3"/>
    </w:lvl>
  </w:abstractNum>
  <w:abstractNum w:abstractNumId="224">
    <w:nsid w:val="53280662"/>
    <w:multiLevelType w:val="hybridMultilevel"/>
    <w:lvl w:ilvl="0">
      <w:lvlJc w:val="left"/>
      <w:lvlText w:val="(%1)"/>
      <w:numFmt w:val="upperLetter"/>
      <w:start w:val="2"/>
    </w:lvl>
    <w:lvl w:ilvl="1">
      <w:lvlJc w:val="left"/>
      <w:lvlText w:val="%2"/>
      <w:numFmt w:val="lowerLetter"/>
      <w:start w:val="1"/>
    </w:lvl>
  </w:abstractNum>
  <w:abstractNum w:abstractNumId="225">
    <w:nsid w:val="46B24DBC"/>
    <w:multiLevelType w:val="hybridMultilevel"/>
    <w:lvl w:ilvl="0">
      <w:lvlJc w:val="left"/>
      <w:lvlText w:val="%1."/>
      <w:numFmt w:val="decimal"/>
      <w:start w:val="1"/>
    </w:lvl>
  </w:abstractNum>
  <w:abstractNum w:abstractNumId="226">
    <w:nsid w:val="75B52783"/>
    <w:multiLevelType w:val="hybridMultilevel"/>
    <w:lvl w:ilvl="0">
      <w:lvlJc w:val="left"/>
      <w:lvlText w:val="(%1)"/>
      <w:numFmt w:val="lowerLetter"/>
      <w:start w:val="1"/>
    </w:lvl>
  </w:abstractNum>
  <w:abstractNum w:abstractNumId="227">
    <w:nsid w:val="57CE66B4"/>
    <w:multiLevelType w:val="hybridMultilevel"/>
    <w:lvl w:ilvl="0">
      <w:lvlJc w:val="left"/>
      <w:lvlText w:val="%1."/>
      <w:numFmt w:val="decimal"/>
      <w:start w:val="1"/>
    </w:lvl>
    <w:lvl w:ilvl="1">
      <w:lvlJc w:val="left"/>
      <w:lvlText w:val="%2)"/>
      <w:numFmt w:val="lowerLetter"/>
      <w:start w:val="1"/>
    </w:lvl>
  </w:abstractNum>
  <w:abstractNum w:abstractNumId="228">
    <w:nsid w:val="67A70B69"/>
    <w:multiLevelType w:val="hybridMultilevel"/>
    <w:lvl w:ilvl="0">
      <w:lvlJc w:val="left"/>
      <w:lvlText w:val="%1."/>
      <w:numFmt w:val="decimal"/>
      <w:start w:val="1"/>
    </w:lvl>
    <w:lvl w:ilvl="1">
      <w:lvlJc w:val="left"/>
      <w:lvlText w:val="%2)"/>
      <w:numFmt w:val="lowerLetter"/>
      <w:start w:val="1"/>
    </w:lvl>
  </w:abstractNum>
  <w:abstractNum w:abstractNumId="229">
    <w:nsid w:val="5953172F"/>
    <w:multiLevelType w:val="hybridMultilevel"/>
    <w:lvl w:ilvl="0">
      <w:lvlJc w:val="left"/>
      <w:lvlText w:val="%1."/>
      <w:numFmt w:val="decimal"/>
      <w:start w:val="1"/>
    </w:lvl>
    <w:lvl w:ilvl="1">
      <w:lvlJc w:val="left"/>
      <w:lvlText w:val="%2)"/>
      <w:numFmt w:val="lowerLetter"/>
      <w:start w:val="1"/>
    </w:lvl>
  </w:abstractNum>
  <w:abstractNum w:abstractNumId="230">
    <w:nsid w:val="27EDFE3A"/>
    <w:multiLevelType w:val="hybridMultilevel"/>
    <w:lvl w:ilvl="0">
      <w:lvlJc w:val="left"/>
      <w:lvlText w:val="%1."/>
      <w:numFmt w:val="decimal"/>
      <w:start w:val="1"/>
    </w:lvl>
    <w:lvl w:ilvl="1">
      <w:lvlJc w:val="left"/>
      <w:lvlText w:val="%2)"/>
      <w:numFmt w:val="lowerLetter"/>
      <w:start w:val="1"/>
    </w:lvl>
  </w:abstractNum>
  <w:abstractNum w:abstractNumId="231">
    <w:nsid w:val="52AC7DFF"/>
    <w:multiLevelType w:val="hybridMultilevel"/>
    <w:lvl w:ilvl="0">
      <w:lvlJc w:val="left"/>
      <w:lvlText w:val="%1."/>
      <w:numFmt w:val="decimal"/>
      <w:start w:val="1"/>
    </w:lvl>
  </w:abstractNum>
  <w:abstractNum w:abstractNumId="232">
    <w:nsid w:val="C4C3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2019-12-07T03:30:35Z</dcterms:created>
  <dcterms:modified xsi:type="dcterms:W3CDTF">2019-12-07T03:30:35Z</dcterms:modified>
</cp:coreProperties>
</file>