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2005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000-50093</w:t>
            </w:r>
          </w:p>
        </w:tc>
        <w:tc>
          <w:tcPr>
            <w:tcW w:w="39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3"/>
              </w:rPr>
              <w:t>(Commission File Number)</w:t>
            </w:r>
          </w:p>
        </w:tc>
        <w:tc>
          <w:tcPr>
            <w:tcW w:w="3980" w:type="dxa"/>
            <w:vAlign w:val="bottom"/>
          </w:tcPr>
          <w:p>
            <w:pPr>
              <w:jc w:val="center"/>
              <w:ind w:left="14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3"/>
              </w:rPr>
              <w:t>1500 Market Street</w:t>
            </w:r>
          </w:p>
        </w:tc>
        <w:tc>
          <w:tcPr>
            <w:tcW w:w="398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Philadelphia, PA</w:t>
            </w:r>
          </w:p>
        </w:tc>
        <w:tc>
          <w:tcPr>
            <w:tcW w:w="39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19102-2148</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jc w:val="center"/>
              <w:ind w:left="13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89" w:lineRule="exact"/>
        <w:rPr>
          <w:sz w:val="24"/>
          <w:szCs w:val="24"/>
          <w:color w:val="auto"/>
        </w:rPr>
      </w:pPr>
    </w:p>
    <w:p>
      <w:pPr>
        <w:ind w:right="20" w:firstLine="324"/>
        <w:spacing w:after="0" w:line="276" w:lineRule="auto"/>
        <w:rPr>
          <w:sz w:val="20"/>
          <w:szCs w:val="20"/>
          <w:color w:val="auto"/>
        </w:rPr>
      </w:pPr>
      <w:r>
        <w:rPr>
          <w:rFonts w:ascii="Arial" w:cs="Arial" w:eastAsia="Arial" w:hAnsi="Arial"/>
          <w:sz w:val="17"/>
          <w:szCs w:val="17"/>
          <w:color w:val="auto"/>
        </w:rPr>
        <w:t>On November 7, 2005, we entered into new employment agreements with each of Mr. John R. Alchin, our Executive Vice President, Treasurer and Co-Chief Financial Officer, Mr. David L. Cohen, our Executive Vice President, and Mr. Lawrence S. Smith, our Executive Vice President and Co-Chief Financial Officer. The Compensation Committee of our Board reviewed and unanimously approved the terms and conditions of each of the new agreements, following a report from the Company’s compensation consultants, Mercer Human Resources. The term of each agreement begins as of October 1, 2005 and ends on December 31, 2008 for Messrs. Alchin and Smith and December 31, 2010 for Mr. Cohen.</w:t>
      </w:r>
    </w:p>
    <w:p>
      <w:pPr>
        <w:spacing w:after="0" w:line="146" w:lineRule="exact"/>
        <w:rPr>
          <w:sz w:val="24"/>
          <w:szCs w:val="24"/>
          <w:color w:val="auto"/>
        </w:rPr>
      </w:pPr>
    </w:p>
    <w:p>
      <w:pPr>
        <w:ind w:right="360" w:firstLine="324"/>
        <w:spacing w:after="0" w:line="279" w:lineRule="auto"/>
        <w:rPr>
          <w:sz w:val="20"/>
          <w:szCs w:val="20"/>
          <w:color w:val="auto"/>
        </w:rPr>
      </w:pPr>
      <w:r>
        <w:rPr>
          <w:rFonts w:ascii="Arial" w:cs="Arial" w:eastAsia="Arial" w:hAnsi="Arial"/>
          <w:sz w:val="17"/>
          <w:szCs w:val="17"/>
          <w:color w:val="auto"/>
        </w:rPr>
        <w:t>Under the new agreements, each of the executive officers will be entitled to an annual base salary as follows: Mr. Alchin, $1,025,000, Mr. Cohen, $1,200,000, and Mr. Smith $1,225,000, and, consistent with each individual’s prior agreement, aggregate annual cash bonuses equal to 125% of each individual’s base salary, based on the achievement of performance goals. Mr. Cohen’s agreement entitles him to receive a company credit to our deferred compensation plan of amounts specified in the agreement. For 2005, this contribution is $750,000.</w:t>
      </w:r>
    </w:p>
    <w:p>
      <w:pPr>
        <w:spacing w:after="0" w:line="13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Each of Messrs. Alchin and Smith may, following 2007 in the case of Mr. Alchin and following 2006 in the case of Mr. Smith, elect to change his status to a part-time non-executive employee. If the executive makes this election, he will receive 30% of his compensation for the remainder of the original term of the agreement and certain health and other benefits.</w:t>
      </w:r>
    </w:p>
    <w:p>
      <w:pPr>
        <w:spacing w:after="0" w:line="141" w:lineRule="exact"/>
        <w:rPr>
          <w:sz w:val="24"/>
          <w:szCs w:val="24"/>
          <w:color w:val="auto"/>
        </w:rPr>
      </w:pPr>
    </w:p>
    <w:p>
      <w:pPr>
        <w:ind w:right="40" w:firstLine="324"/>
        <w:spacing w:after="0" w:line="342" w:lineRule="auto"/>
        <w:rPr>
          <w:sz w:val="20"/>
          <w:szCs w:val="20"/>
          <w:color w:val="auto"/>
        </w:rPr>
      </w:pPr>
      <w:r>
        <w:rPr>
          <w:rFonts w:ascii="Arial" w:cs="Arial" w:eastAsia="Arial" w:hAnsi="Arial"/>
          <w:sz w:val="16"/>
          <w:szCs w:val="16"/>
          <w:color w:val="auto"/>
        </w:rPr>
        <w:t>In connection with his entering into the new employment agreement, Mr. Cohen will receive a grant of an option to purchase 225,000 shares, which vests over a nine and a half year period, and of 87,000 restricted stock units, which vests over a five year period. Taking into account considerations under the new</w:t>
      </w:r>
    </w:p>
    <w:p>
      <w:pPr>
        <w:sectPr>
          <w:pgSz w:w="11900" w:h="16894" w:orient="portrait"/>
          <w:cols w:equalWidth="0" w:num="1">
            <w:col w:w="11420"/>
          </w:cols>
          <w:pgMar w:left="240" w:top="585" w:right="239" w:bottom="0" w:gutter="0" w:footer="0" w:header="0"/>
        </w:sectPr>
      </w:pPr>
    </w:p>
    <w:bookmarkStart w:id="1" w:name="page2"/>
    <w:bookmarkEnd w:id="1"/>
    <w:p>
      <w:pPr>
        <w:ind w:right="160"/>
        <w:spacing w:after="0" w:line="342" w:lineRule="auto"/>
        <w:rPr>
          <w:sz w:val="20"/>
          <w:szCs w:val="20"/>
          <w:color w:val="auto"/>
        </w:rPr>
      </w:pPr>
      <w:r>
        <w:rPr>
          <w:rFonts w:ascii="Arial" w:cs="Arial" w:eastAsia="Arial" w:hAnsi="Arial"/>
          <w:sz w:val="16"/>
          <w:szCs w:val="16"/>
          <w:color w:val="auto"/>
        </w:rPr>
        <w:t>Section 409A of the Internal Revenue Code, certain options held by Messrs. Alchin and Smith were adjusted in connection with their entering into the new employment agreements to either increase the exercise price and the exercisability periods or to set a specified date on which the options will be exercisable.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copy of each of Messrs. Alchin, Cohen and Smith’s new agreements is attached hereto as Exhibits 99.1, 99.2 and 99.3.</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 Exhibits.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8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w:t>
            </w:r>
          </w:p>
        </w:tc>
        <w:tc>
          <w:tcPr>
            <w:tcW w:w="8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6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99.1</w:t>
            </w:r>
          </w:p>
        </w:tc>
        <w:tc>
          <w:tcPr>
            <w:tcW w:w="480" w:type="dxa"/>
            <w:vAlign w:val="bottom"/>
          </w:tcPr>
          <w:p>
            <w:pPr>
              <w:spacing w:after="0"/>
              <w:rPr>
                <w:sz w:val="24"/>
                <w:szCs w:val="24"/>
                <w:color w:val="auto"/>
              </w:rPr>
            </w:pPr>
          </w:p>
        </w:tc>
        <w:tc>
          <w:tcPr>
            <w:tcW w:w="8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Employment Agreement with John R. Alchin dated as of November 7, 2005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48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Arial" w:cs="Arial" w:eastAsia="Arial" w:hAnsi="Arial"/>
                <w:sz w:val="18"/>
                <w:szCs w:val="18"/>
                <w:color w:val="auto"/>
              </w:rPr>
              <w:t>Employment Agreement with David L. Cohen dated as of November 7, 2005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480" w:type="dxa"/>
            <w:vAlign w:val="bottom"/>
          </w:tcPr>
          <w:p>
            <w:pPr>
              <w:spacing w:after="0"/>
              <w:rPr>
                <w:sz w:val="20"/>
                <w:szCs w:val="20"/>
                <w:color w:val="auto"/>
              </w:rPr>
            </w:pPr>
          </w:p>
        </w:tc>
        <w:tc>
          <w:tcPr>
            <w:tcW w:w="8720" w:type="dxa"/>
            <w:vAlign w:val="bottom"/>
          </w:tcPr>
          <w:p>
            <w:pPr>
              <w:ind w:left="20"/>
              <w:spacing w:after="0"/>
              <w:rPr>
                <w:sz w:val="20"/>
                <w:szCs w:val="20"/>
                <w:color w:val="auto"/>
              </w:rPr>
            </w:pPr>
            <w:r>
              <w:rPr>
                <w:rFonts w:ascii="Arial" w:cs="Arial" w:eastAsia="Arial" w:hAnsi="Arial"/>
                <w:sz w:val="18"/>
                <w:szCs w:val="18"/>
                <w:color w:val="auto"/>
              </w:rPr>
              <w:t>Employment Agreement with Lawrence S. Smith dated as of November 7, 2005</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20" w:type="dxa"/>
            <w:vAlign w:val="bottom"/>
          </w:tcPr>
          <w:p>
            <w:pPr>
              <w:ind w:left="34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400" w:type="dxa"/>
            <w:vAlign w:val="bottom"/>
            <w:gridSpan w:val="3"/>
          </w:tcPr>
          <w:p>
            <w:pPr>
              <w:ind w:left="2020"/>
              <w:spacing w:after="0"/>
              <w:rPr>
                <w:sz w:val="20"/>
                <w:szCs w:val="20"/>
                <w:color w:val="auto"/>
              </w:rPr>
            </w:pPr>
            <w:r>
              <w:rPr>
                <w:rFonts w:ascii="Arial" w:cs="Arial" w:eastAsia="Arial" w:hAnsi="Arial"/>
                <w:sz w:val="18"/>
                <w:szCs w:val="18"/>
                <w:b w:val="1"/>
                <w:bCs w:val="1"/>
                <w:color w:val="auto"/>
              </w:rPr>
              <w:t>COMCAST CORPORATION</w:t>
            </w:r>
          </w:p>
        </w:tc>
        <w:tc>
          <w:tcPr>
            <w:tcW w:w="20" w:type="dxa"/>
            <w:vAlign w:val="bottom"/>
          </w:tcPr>
          <w:p>
            <w:pPr>
              <w:spacing w:after="0"/>
              <w:rPr>
                <w:sz w:val="20"/>
                <w:szCs w:val="20"/>
                <w:color w:val="auto"/>
              </w:rPr>
            </w:pPr>
          </w:p>
        </w:tc>
      </w:tr>
      <w:tr>
        <w:trPr>
          <w:trHeight w:val="648"/>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3340" w:type="dxa"/>
            <w:vAlign w:val="bottom"/>
          </w:tcPr>
          <w:p>
            <w:pPr>
              <w:ind w:left="260"/>
              <w:spacing w:after="0"/>
              <w:rPr>
                <w:sz w:val="20"/>
                <w:szCs w:val="20"/>
                <w:color w:val="auto"/>
              </w:rPr>
            </w:pPr>
            <w:r>
              <w:rPr>
                <w:rFonts w:ascii="Arial" w:cs="Arial" w:eastAsia="Arial" w:hAnsi="Arial"/>
                <w:sz w:val="18"/>
                <w:szCs w:val="18"/>
                <w:color w:val="auto"/>
              </w:rPr>
              <w:t>November 10, 2005</w:t>
            </w:r>
          </w:p>
        </w:tc>
        <w:tc>
          <w:tcPr>
            <w:tcW w:w="7400" w:type="dxa"/>
            <w:vAlign w:val="bottom"/>
            <w:gridSpan w:val="3"/>
          </w:tcPr>
          <w:p>
            <w:pPr>
              <w:ind w:left="2020"/>
              <w:spacing w:after="0"/>
              <w:rPr>
                <w:sz w:val="20"/>
                <w:szCs w:val="20"/>
                <w:color w:val="auto"/>
              </w:rPr>
            </w:pPr>
            <w:r>
              <w:rPr>
                <w:rFonts w:ascii="Arial" w:cs="Arial" w:eastAsia="Arial" w:hAnsi="Arial"/>
                <w:sz w:val="18"/>
                <w:szCs w:val="18"/>
                <w:color w:val="auto"/>
              </w:rPr>
              <w:t>By:   /s/ Arthur R. Block</w:t>
            </w:r>
          </w:p>
        </w:tc>
        <w:tc>
          <w:tcPr>
            <w:tcW w:w="20" w:type="dxa"/>
            <w:vAlign w:val="bottom"/>
          </w:tcPr>
          <w:p>
            <w:pPr>
              <w:spacing w:after="0"/>
              <w:rPr>
                <w:sz w:val="24"/>
                <w:szCs w:val="24"/>
                <w:color w:val="auto"/>
              </w:rPr>
            </w:pPr>
          </w:p>
        </w:tc>
      </w:tr>
      <w:tr>
        <w:trPr>
          <w:trHeight w:val="195"/>
        </w:trPr>
        <w:tc>
          <w:tcPr>
            <w:tcW w:w="6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w w:val="91"/>
              </w:rPr>
              <w:t>Senior Vice President, General Counsel and Secretary</w:t>
            </w:r>
          </w:p>
        </w:tc>
        <w:tc>
          <w:tcPr>
            <w:tcW w:w="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20" w:type="dxa"/>
            <w:vAlign w:val="bottom"/>
          </w:tcPr>
          <w:p>
            <w:pPr>
              <w:jc w:val="right"/>
              <w:ind w:right="69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68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25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3" w:lineRule="exact"/>
        <w:rPr>
          <w:sz w:val="20"/>
          <w:szCs w:val="20"/>
          <w:color w:val="auto"/>
        </w:rPr>
      </w:pPr>
    </w:p>
    <w:p>
      <w:pPr>
        <w:ind w:right="300" w:firstLine="720"/>
        <w:spacing w:after="0" w:line="210" w:lineRule="auto"/>
        <w:rPr>
          <w:sz w:val="20"/>
          <w:szCs w:val="20"/>
          <w:color w:val="auto"/>
        </w:rPr>
      </w:pPr>
      <w:r>
        <w:rPr>
          <w:rFonts w:ascii="Arial" w:cs="Arial" w:eastAsia="Arial" w:hAnsi="Arial"/>
          <w:sz w:val="18"/>
          <w:szCs w:val="18"/>
          <w:color w:val="auto"/>
        </w:rPr>
        <w:t>This EMPLOYMENT AGREEMENT is entered into on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between COMCAST CORPORATION, a Pennsylvania corporation (together with its subsidiaries, the “Company”), and JOHN R. ALCHIN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0" w:firstLine="7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continue and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1440" w:hanging="71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48"/>
        <w:spacing w:after="0" w:line="264" w:lineRule="auto"/>
        <w:tabs>
          <w:tab w:leader="none" w:pos="2135"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Executive Term (as such term is defined in subparagraph 2(b)), Employee shall continue to serve and the Company shall continue to employ Employee in the position set forth on Schedule 1. The position and duties of Employee during the Executive Term hereunder will be those assigned by the Company commensurate with Employee’s education, skills and experience.</w:t>
      </w:r>
    </w:p>
    <w:p>
      <w:pPr>
        <w:spacing w:after="0" w:line="181" w:lineRule="exact"/>
        <w:rPr>
          <w:rFonts w:ascii="Arial" w:cs="Arial" w:eastAsia="Arial" w:hAnsi="Arial"/>
          <w:sz w:val="18"/>
          <w:szCs w:val="18"/>
          <w:color w:val="auto"/>
        </w:rPr>
      </w:pPr>
    </w:p>
    <w:p>
      <w:pPr>
        <w:ind w:right="20" w:firstLine="1448"/>
        <w:spacing w:after="0" w:line="255" w:lineRule="auto"/>
        <w:tabs>
          <w:tab w:leader="none" w:pos="2145"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Executive Term, Employee shall work full-time. During his working hours in the Term (as such term is defined in subparagraph 2(a)), Employee shall devote his reasonable best efforts to the business of the Company in a manner which will further the interests of the Company. During the Executive Term, without the prior written consent of the Company, Employee shall not, directly or indirectly, work for or on behalf of any person or business, other than the Company, provided that Employee may continue in his capacity as a director of BNY Capital Markets, Inc. Nothing herein shall restrict Employee from engaging in non-compensatory civic and charitable activities with the consent of the Company, which consent shall not be unreasonably withheld or delayed.</w:t>
      </w:r>
    </w:p>
    <w:p>
      <w:pPr>
        <w:spacing w:after="0" w:line="193" w:lineRule="exact"/>
        <w:rPr>
          <w:rFonts w:ascii="Arial" w:cs="Arial" w:eastAsia="Arial" w:hAnsi="Arial"/>
          <w:sz w:val="18"/>
          <w:szCs w:val="18"/>
          <w:color w:val="auto"/>
        </w:rPr>
      </w:pPr>
    </w:p>
    <w:p>
      <w:pPr>
        <w:ind w:right="20" w:firstLine="1448"/>
        <w:spacing w:after="0" w:line="297" w:lineRule="auto"/>
        <w:tabs>
          <w:tab w:leader="none" w:pos="2135"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whether produced or created during or after working hours; or (ii) relates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1440" w:hanging="71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48"/>
        <w:spacing w:after="0" w:line="276" w:lineRule="auto"/>
        <w:tabs>
          <w:tab w:leader="none" w:pos="2135"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shall continue to employ Employee and Employee shall continue to serve the Company as an employee, on the terms and conditions set forth herein, for a term (the “Term”) commencing as of October 1, 2005 (the “Commencement Date”) and ending on the first to occur of: (i) the Early Termination Date (as such term is defined in subparagraph (c) below); (ii) the date this Agreement is terminated in accordance with Paragraph 6; or (iii) December 31, 2008. Notwithstanding the end of the Term, certain provisions of this Agreement, including, but not limited to, any payments to be made after the Term and the covenants contained in Paragraph 8, shall be enforceable after the end of the Term.</w:t>
      </w:r>
    </w:p>
    <w:p>
      <w:pPr>
        <w:spacing w:after="0" w:line="172" w:lineRule="exact"/>
        <w:rPr>
          <w:rFonts w:ascii="Arial" w:cs="Arial" w:eastAsia="Arial" w:hAnsi="Arial"/>
          <w:sz w:val="17"/>
          <w:szCs w:val="17"/>
          <w:color w:val="auto"/>
        </w:rPr>
      </w:pPr>
    </w:p>
    <w:p>
      <w:pPr>
        <w:ind w:right="120" w:firstLine="1448"/>
        <w:spacing w:after="0" w:line="277" w:lineRule="auto"/>
        <w:tabs>
          <w:tab w:leader="none" w:pos="2145" w:val="left"/>
        </w:tabs>
        <w:numPr>
          <w:ilvl w:val="1"/>
          <w:numId w:val="2"/>
        </w:numPr>
        <w:rPr>
          <w:rFonts w:ascii="Arial" w:cs="Arial" w:eastAsia="Arial" w:hAnsi="Arial"/>
          <w:sz w:val="18"/>
          <w:szCs w:val="18"/>
          <w:color w:val="auto"/>
        </w:rPr>
      </w:pPr>
      <w:r>
        <w:rPr>
          <w:rFonts w:ascii="Arial" w:cs="Arial" w:eastAsia="Arial" w:hAnsi="Arial"/>
          <w:sz w:val="18"/>
          <w:szCs w:val="18"/>
          <w:color w:val="auto"/>
        </w:rPr>
        <w:t>Employee shall continue to serve as an executive employee during the Term until the first to occur of: (i) December 31, 2008, or (ii) the Change of Status Date (as such term is defined in subparagraph (c) below (the “Executive Term”)).</w:t>
      </w:r>
    </w:p>
    <w:p>
      <w:pPr>
        <w:spacing w:after="0" w:line="170" w:lineRule="exact"/>
        <w:rPr>
          <w:rFonts w:ascii="Arial" w:cs="Arial" w:eastAsia="Arial" w:hAnsi="Arial"/>
          <w:sz w:val="18"/>
          <w:szCs w:val="18"/>
          <w:color w:val="auto"/>
        </w:rPr>
      </w:pPr>
    </w:p>
    <w:p>
      <w:pPr>
        <w:ind w:right="80" w:firstLine="1448"/>
        <w:spacing w:after="0" w:line="255" w:lineRule="auto"/>
        <w:tabs>
          <w:tab w:leader="none" w:pos="2135" w:val="left"/>
        </w:tabs>
        <w:numPr>
          <w:ilvl w:val="1"/>
          <w:numId w:val="2"/>
        </w:numPr>
        <w:rPr>
          <w:rFonts w:ascii="Arial" w:cs="Arial" w:eastAsia="Arial" w:hAnsi="Arial"/>
          <w:sz w:val="18"/>
          <w:szCs w:val="18"/>
          <w:color w:val="auto"/>
        </w:rPr>
      </w:pPr>
      <w:r>
        <w:rPr>
          <w:rFonts w:ascii="Arial" w:cs="Arial" w:eastAsia="Arial" w:hAnsi="Arial"/>
          <w:sz w:val="18"/>
          <w:szCs w:val="18"/>
          <w:color w:val="auto"/>
        </w:rPr>
        <w:t>Employee shall have the right, upon at least ninety (90) days’ prior written notice (the “Employee Notice”), to notify the Company of his decision to end his status as a full-time executive employee and begin his status as a part-time non-executive employee for the balance of the Term, effective on the date (the “Change of Status Date”) specified in the Employee Notice (provided such date is no earlier than January 1, 2008). In the event the Company receives an Employee Notice: (i) it shall have the right, exercisable by written notice given at any time during the balance of the Term, to terminate Employee’s employment on the date (the “Early Termination Date”) specified in such notice (provided such date is no earlier than December 31, 2006 or a date that is thirty (30) days following its receipt of the Employee Notice, whichever is later); and (ii) the provisions set forth in Paragraph 9 shall apply.</w:t>
      </w:r>
    </w:p>
    <w:p>
      <w:pPr>
        <w:spacing w:after="0" w:line="189" w:lineRule="exact"/>
        <w:rPr>
          <w:rFonts w:ascii="Arial" w:cs="Arial" w:eastAsia="Arial" w:hAnsi="Arial"/>
          <w:sz w:val="18"/>
          <w:szCs w:val="18"/>
          <w:color w:val="auto"/>
        </w:rPr>
      </w:pPr>
    </w:p>
    <w:p>
      <w:pPr>
        <w:ind w:left="1440" w:hanging="71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48"/>
        <w:spacing w:after="0" w:line="276" w:lineRule="auto"/>
        <w:tabs>
          <w:tab w:leader="none" w:pos="2135"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Employee’s salary from the Commencement Date through December 31, 2006 shall be at the annual rate set forth on Schedule 1 (“Base Salary”). Base Salary, less normal deductions, shall be paid to Employee in accordance with the Company’s regular payroll practices in effect from time to time. Base Salary shall be reviewed for increase for each subsequent calendar year (or portion thereof). Once established at an increased annual rate, Base Salary shall not thereafter be reduced (other than pursuant to the provisions of subparagraph 9(b)), unless such reduction is pursuant to an overall plan to reduce the salaries of all senior executive officers of the Company.</w:t>
      </w:r>
    </w:p>
    <w:p>
      <w:pPr>
        <w:spacing w:after="0" w:line="172" w:lineRule="exact"/>
        <w:rPr>
          <w:rFonts w:ascii="Arial" w:cs="Arial" w:eastAsia="Arial" w:hAnsi="Arial"/>
          <w:sz w:val="17"/>
          <w:szCs w:val="17"/>
          <w:color w:val="auto"/>
        </w:rPr>
      </w:pPr>
    </w:p>
    <w:p>
      <w:pPr>
        <w:ind w:left="2160" w:hanging="712"/>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168"/>
        <w:spacing w:after="0" w:line="264" w:lineRule="auto"/>
        <w:tabs>
          <w:tab w:leader="none" w:pos="2870" w:val="left"/>
        </w:tabs>
        <w:numPr>
          <w:ilvl w:val="2"/>
          <w:numId w:val="2"/>
        </w:numPr>
        <w:rPr>
          <w:rFonts w:ascii="Arial" w:cs="Arial" w:eastAsia="Arial" w:hAnsi="Arial"/>
          <w:sz w:val="18"/>
          <w:szCs w:val="18"/>
          <w:color w:val="auto"/>
        </w:rPr>
      </w:pPr>
      <w:r>
        <w:rPr>
          <w:rFonts w:ascii="Arial" w:cs="Arial" w:eastAsia="Arial" w:hAnsi="Arial"/>
          <w:sz w:val="18"/>
          <w:szCs w:val="18"/>
          <w:color w:val="auto"/>
        </w:rPr>
        <w:t>Subject to the provisions of Paragraph 9, Employee shall continue to be entitled to receive grants under any annual (or other) broad-based grant programs under the Company’s Stock Option Plan and/or Restricted Stock Plan on the same basis as is applicable to other executives at Employee’s level, taking into account Employee’s position, duties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-4765675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302" w:gutter="0" w:footer="0" w:header="0"/>
        </w:sectPr>
      </w:pPr>
    </w:p>
    <w:bookmarkStart w:id="3" w:name="page4"/>
    <w:bookmarkEnd w:id="3"/>
    <w:p>
      <w:pPr>
        <w:ind w:right="20" w:firstLine="2168"/>
        <w:spacing w:after="0" w:line="264" w:lineRule="auto"/>
        <w:tabs>
          <w:tab w:leader="none" w:pos="2875"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Notwithstanding any provisions of the Company’s Restricted Stock Plan or the documentation issued pursuant thereto evidencing grants thereunder to the contrary, Employee shall be entitled to receive the vesting of all restricted stock amounts under such Plan through June 30, 2008, in the event the Early Termination Date (if any) occurs prior to such date.</w:t>
      </w:r>
    </w:p>
    <w:p>
      <w:pPr>
        <w:spacing w:after="0" w:line="181" w:lineRule="exact"/>
        <w:rPr>
          <w:rFonts w:ascii="Arial" w:cs="Arial" w:eastAsia="Arial" w:hAnsi="Arial"/>
          <w:sz w:val="18"/>
          <w:szCs w:val="18"/>
          <w:color w:val="auto"/>
        </w:rPr>
      </w:pPr>
    </w:p>
    <w:p>
      <w:pPr>
        <w:ind w:right="340" w:firstLine="2168"/>
        <w:spacing w:after="0" w:line="312" w:lineRule="auto"/>
        <w:tabs>
          <w:tab w:leader="none" w:pos="2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Effective as of the date hereof, Employee’s outstanding stock options are hereby amended to provide as follows, notwithstanding any other provisions of the Company’s Stock Option Plans or the documentation issued pursuant thereto evidencing such options. All of Employee’s stock options, to the extent not so amended, remain in full force and effect pursuant to their existing terms and conditions.</w:t>
      </w:r>
    </w:p>
    <w:p>
      <w:pPr>
        <w:spacing w:after="0" w:line="146" w:lineRule="exact"/>
        <w:rPr>
          <w:rFonts w:ascii="Arial" w:cs="Arial" w:eastAsia="Arial" w:hAnsi="Arial"/>
          <w:sz w:val="16"/>
          <w:szCs w:val="16"/>
          <w:color w:val="auto"/>
        </w:rPr>
      </w:pPr>
    </w:p>
    <w:p>
      <w:pPr>
        <w:ind w:right="60" w:firstLine="2888"/>
        <w:spacing w:after="0" w:line="276" w:lineRule="auto"/>
        <w:tabs>
          <w:tab w:leader="none" w:pos="3580"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stock options listed on Schedule A (the “A Options”) will automatically vest in full in the event of the termination of Employee’s employment in any of the following events: (1) death, (2) Disability (as such term is defined in subparagraph 6(b)); (3) Discharge Without Cause (as such term is defined in subparagraph 6(d)(i)) by the Company or termination with Good Reason (as such term is defined in subparagraph 6(d)(ii)) by Employee; (4) the end of the Term under subparagraph 2(a)(i); or (5) the end of the Term under subparagraph 2(a)(iii) (each of the events specified in subparagraphs (1) through (5) above are referred to herein as a “Special Vesting Event”).</w:t>
      </w:r>
    </w:p>
    <w:p>
      <w:pPr>
        <w:spacing w:after="0" w:line="172" w:lineRule="exact"/>
        <w:rPr>
          <w:rFonts w:ascii="Arial" w:cs="Arial" w:eastAsia="Arial" w:hAnsi="Arial"/>
          <w:sz w:val="17"/>
          <w:szCs w:val="17"/>
          <w:color w:val="auto"/>
        </w:rPr>
      </w:pPr>
    </w:p>
    <w:p>
      <w:pPr>
        <w:ind w:left="3620" w:hanging="732"/>
        <w:spacing w:after="0"/>
        <w:tabs>
          <w:tab w:leader="none" w:pos="3620"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A Options will be exercisable, in whole or in part, on and only on the date indicated on Schedule A.</w:t>
      </w:r>
    </w:p>
    <w:p>
      <w:pPr>
        <w:spacing w:after="0" w:line="236" w:lineRule="exact"/>
        <w:rPr>
          <w:rFonts w:ascii="Arial" w:cs="Arial" w:eastAsia="Arial" w:hAnsi="Arial"/>
          <w:sz w:val="17"/>
          <w:szCs w:val="17"/>
          <w:color w:val="auto"/>
        </w:rPr>
      </w:pPr>
    </w:p>
    <w:p>
      <w:pPr>
        <w:ind w:left="3620" w:hanging="732"/>
        <w:spacing w:after="0"/>
        <w:tabs>
          <w:tab w:leader="none" w:pos="3620"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stock option granted June 16, 1998 will automatically vest in full upon a Special Vesting Event.</w:t>
      </w:r>
    </w:p>
    <w:p>
      <w:pPr>
        <w:spacing w:after="0" w:line="236" w:lineRule="exact"/>
        <w:rPr>
          <w:rFonts w:ascii="Arial" w:cs="Arial" w:eastAsia="Arial" w:hAnsi="Arial"/>
          <w:sz w:val="17"/>
          <w:szCs w:val="17"/>
          <w:color w:val="auto"/>
        </w:rPr>
      </w:pPr>
    </w:p>
    <w:p>
      <w:pPr>
        <w:ind w:left="3580" w:hanging="692"/>
        <w:spacing w:after="0"/>
        <w:tabs>
          <w:tab w:leader="none" w:pos="3580"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stock options listed on Schedule B (the “B Options”) will automatically vest in full upon a Special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Vesting Event.</w:t>
      </w:r>
    </w:p>
    <w:p>
      <w:pPr>
        <w:spacing w:after="0" w:line="210" w:lineRule="exact"/>
        <w:rPr>
          <w:rFonts w:ascii="Arial" w:cs="Arial" w:eastAsia="Arial" w:hAnsi="Arial"/>
          <w:sz w:val="17"/>
          <w:szCs w:val="17"/>
          <w:color w:val="auto"/>
        </w:rPr>
      </w:pPr>
    </w:p>
    <w:p>
      <w:pPr>
        <w:ind w:left="3620" w:hanging="732"/>
        <w:spacing w:after="0"/>
        <w:tabs>
          <w:tab w:leader="none" w:pos="3620"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B Options will be exercisable, in whole or in part and to the extent then vested, on any date through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indicated on Schedule B.</w:t>
      </w:r>
    </w:p>
    <w:p>
      <w:pPr>
        <w:spacing w:after="0" w:line="210" w:lineRule="exact"/>
        <w:rPr>
          <w:rFonts w:ascii="Arial" w:cs="Arial" w:eastAsia="Arial" w:hAnsi="Arial"/>
          <w:sz w:val="16"/>
          <w:szCs w:val="16"/>
          <w:color w:val="auto"/>
        </w:rPr>
      </w:pPr>
    </w:p>
    <w:p>
      <w:pPr>
        <w:ind w:left="3600" w:hanging="712"/>
        <w:spacing w:after="0"/>
        <w:tabs>
          <w:tab w:leader="none" w:pos="36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exercise price per share of the B Options is increased to $25.83.</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2168"/>
        <w:spacing w:after="0" w:line="259" w:lineRule="auto"/>
        <w:tabs>
          <w:tab w:leader="none" w:pos="287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Paragraph 9, Employee shall continue to be entitled to receive grants under the Company’s cash bonus plans (or any successor performance-based incentive compensation plans) with respect to each calendar year on the same basis as is applicable to other executives at Employee’s level, taking into account Employee’s position and duties, provided that in no event will the aggregate bonus potential thereunder be less than 125% of Base Salary in the event all targets are fully achieved.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2168"/>
        <w:spacing w:after="0" w:line="259" w:lineRule="auto"/>
        <w:tabs>
          <w:tab w:leader="none" w:pos="28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Notwithstanding any provisions of the Company’s cash bonus plans or the documentation issued pursuant thereto evidencing grants thereunder to the contrary, Employee shall be entitled to receive payment of all vestings under all grants made under such plans, pursuant to their terms, on account of each calendar year hereunder, provided Employee remains employed through December 31 of such calendar year (regardless of whether Employee is employed in the following calendar year at the time such payments are made).</w:t>
      </w:r>
    </w:p>
    <w:p>
      <w:pPr>
        <w:spacing w:after="0" w:line="186" w:lineRule="exact"/>
        <w:rPr>
          <w:rFonts w:ascii="Arial" w:cs="Arial" w:eastAsia="Arial" w:hAnsi="Arial"/>
          <w:sz w:val="18"/>
          <w:szCs w:val="18"/>
          <w:color w:val="auto"/>
        </w:rPr>
      </w:pPr>
    </w:p>
    <w:p>
      <w:pPr>
        <w:ind w:left="2880" w:hanging="712"/>
        <w:spacing w:after="0"/>
        <w:tabs>
          <w:tab w:leader="none" w:pos="2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will pay Employee additional cash bonuses in the following amounts on the following dates: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000" w:type="dxa"/>
            <w:vAlign w:val="bottom"/>
            <w:gridSpan w:val="2"/>
          </w:tcPr>
          <w:p>
            <w:pPr>
              <w:ind w:left="6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2009</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$109,450; and</w:t>
            </w:r>
          </w:p>
        </w:tc>
        <w:tc>
          <w:tcPr>
            <w:tcW w:w="240" w:type="dxa"/>
            <w:vAlign w:val="bottom"/>
            <w:tcBorders>
              <w:top w:val="single" w:sz="8" w:color="CCEEFF"/>
            </w:tcBorders>
            <w:shd w:val="clear" w:color="auto" w:fill="CCEEFF"/>
          </w:tcPr>
          <w:p>
            <w:pPr>
              <w:spacing w:after="0"/>
              <w:rPr>
                <w:sz w:val="18"/>
                <w:szCs w:val="18"/>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October 26, 2012</w:t>
            </w:r>
          </w:p>
        </w:tc>
        <w:tc>
          <w:tcPr>
            <w:tcW w:w="1760" w:type="dxa"/>
            <w:vAlign w:val="bottom"/>
          </w:tcPr>
          <w:p>
            <w:pPr>
              <w:jc w:val="right"/>
              <w:spacing w:after="0"/>
              <w:rPr>
                <w:sz w:val="20"/>
                <w:szCs w:val="20"/>
                <w:color w:val="auto"/>
              </w:rPr>
            </w:pPr>
            <w:r>
              <w:rPr>
                <w:rFonts w:ascii="Arial" w:cs="Arial" w:eastAsia="Arial" w:hAnsi="Arial"/>
                <w:sz w:val="18"/>
                <w:szCs w:val="18"/>
                <w:color w:val="auto"/>
              </w:rPr>
              <w:t>$109,450.</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2160" w:hanging="712"/>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225" w:lineRule="exact"/>
        <w:rPr>
          <w:rFonts w:ascii="Arial" w:cs="Arial" w:eastAsia="Arial" w:hAnsi="Arial"/>
          <w:sz w:val="18"/>
          <w:szCs w:val="18"/>
          <w:color w:val="auto"/>
        </w:rPr>
      </w:pPr>
    </w:p>
    <w:p>
      <w:pPr>
        <w:ind w:right="40" w:firstLine="728"/>
        <w:spacing w:after="0" w:line="291" w:lineRule="auto"/>
        <w:tabs>
          <w:tab w:leader="none" w:pos="14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continue to participate in the Company’s benefit plans and programs (including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167" w:lineRule="exact"/>
        <w:rPr>
          <w:rFonts w:ascii="Arial" w:cs="Arial" w:eastAsia="Arial" w:hAnsi="Arial"/>
          <w:sz w:val="16"/>
          <w:szCs w:val="16"/>
          <w:color w:val="auto"/>
        </w:rPr>
      </w:pPr>
    </w:p>
    <w:p>
      <w:pPr>
        <w:ind w:right="120" w:firstLine="728"/>
        <w:spacing w:after="0" w:line="264"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regular procedures and practices in effect from time to time.</w:t>
      </w:r>
    </w:p>
    <w:p>
      <w:pPr>
        <w:spacing w:after="0" w:line="181" w:lineRule="exact"/>
        <w:rPr>
          <w:rFonts w:ascii="Arial" w:cs="Arial" w:eastAsia="Arial" w:hAnsi="Arial"/>
          <w:sz w:val="18"/>
          <w:szCs w:val="18"/>
          <w:color w:val="auto"/>
        </w:rPr>
      </w:pPr>
    </w:p>
    <w:p>
      <w:pPr>
        <w:jc w:val="both"/>
        <w:ind w:right="60" w:firstLine="728"/>
        <w:spacing w:after="0" w:line="286" w:lineRule="auto"/>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Company or Employee may terminate Employee’s employment and the Company’s obligations or liabilities under this Agreement, excluding any obligations the Company may have under Paragraph 7, any other obligations expressly set forth herein as surviving termination of employment, and any obligations with respect to any vested benefits of Employee, in any of the following circumstances:</w:t>
      </w:r>
    </w:p>
    <w:p>
      <w:pPr>
        <w:spacing w:after="0" w:line="165" w:lineRule="exact"/>
        <w:rPr>
          <w:rFonts w:ascii="Arial" w:cs="Arial" w:eastAsia="Arial" w:hAnsi="Arial"/>
          <w:sz w:val="17"/>
          <w:szCs w:val="17"/>
          <w:color w:val="auto"/>
        </w:rPr>
      </w:pPr>
    </w:p>
    <w:p>
      <w:pPr>
        <w:ind w:left="2140" w:hanging="692"/>
        <w:spacing w:after="0"/>
        <w:tabs>
          <w:tab w:leader="none" w:pos="214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In the event of Employee’s death.</w:t>
      </w:r>
    </w:p>
    <w:p>
      <w:pPr>
        <w:sectPr>
          <w:pgSz w:w="11900" w:h="16838" w:orient="portrait"/>
          <w:cols w:equalWidth="0" w:num="1">
            <w:col w:w="11400"/>
          </w:cols>
          <w:pgMar w:left="240" w:top="125" w:right="259" w:bottom="21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219" w:gutter="0" w:footer="0" w:header="0"/>
          <w:type w:val="continuous"/>
        </w:sectPr>
      </w:pPr>
    </w:p>
    <w:bookmarkStart w:id="4" w:name="page5"/>
    <w:bookmarkEnd w:id="4"/>
    <w:p>
      <w:pPr>
        <w:ind w:right="60" w:firstLine="1448"/>
        <w:spacing w:after="0" w:line="264" w:lineRule="auto"/>
        <w:tabs>
          <w:tab w:leader="none" w:pos="2145"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181" w:lineRule="exact"/>
        <w:rPr>
          <w:rFonts w:ascii="Arial" w:cs="Arial" w:eastAsia="Arial" w:hAnsi="Arial"/>
          <w:sz w:val="18"/>
          <w:szCs w:val="18"/>
          <w:color w:val="auto"/>
        </w:rPr>
      </w:pPr>
    </w:p>
    <w:p>
      <w:pPr>
        <w:ind w:left="2140" w:hanging="692"/>
        <w:spacing w:after="0"/>
        <w:tabs>
          <w:tab w:leader="none" w:pos="214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80" w:firstLine="2168"/>
        <w:spacing w:after="0" w:line="257" w:lineRule="auto"/>
        <w:tabs>
          <w:tab w:leader="none" w:pos="287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 may terminate this Agreement in any of the following events (“Discharge With Cause”):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188" w:lineRule="exact"/>
        <w:rPr>
          <w:rFonts w:ascii="Arial" w:cs="Arial" w:eastAsia="Arial" w:hAnsi="Arial"/>
          <w:sz w:val="18"/>
          <w:szCs w:val="18"/>
          <w:color w:val="auto"/>
        </w:rPr>
      </w:pPr>
    </w:p>
    <w:p>
      <w:pPr>
        <w:ind w:left="2880" w:hanging="712"/>
        <w:spacing w:after="0"/>
        <w:tabs>
          <w:tab w:leader="none" w:pos="28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Employee may terminate this Agreement without Good Reason (as defined in subparagraph (d)(ii) below)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Good Reason”).</w:t>
      </w:r>
    </w:p>
    <w:p>
      <w:pPr>
        <w:spacing w:after="0" w:line="210" w:lineRule="exact"/>
        <w:rPr>
          <w:rFonts w:ascii="Arial" w:cs="Arial" w:eastAsia="Arial" w:hAnsi="Arial"/>
          <w:sz w:val="16"/>
          <w:szCs w:val="16"/>
          <w:color w:val="auto"/>
        </w:rPr>
      </w:pPr>
    </w:p>
    <w:p>
      <w:pPr>
        <w:ind w:left="2160" w:hanging="712"/>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80" w:firstLine="2168"/>
        <w:spacing w:after="0" w:line="342" w:lineRule="auto"/>
        <w:tabs>
          <w:tab w:leader="none" w:pos="2870"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Company may terminate this Agreement other than on account of a Discharge With Cause at any time (“Discharge Without Cause”), provided that a termination under subparagraph 2(c)(i) will not be considered a Discharge Without Cause.</w:t>
      </w:r>
    </w:p>
    <w:p>
      <w:pPr>
        <w:spacing w:after="0" w:line="123" w:lineRule="exact"/>
        <w:rPr>
          <w:rFonts w:ascii="Arial" w:cs="Arial" w:eastAsia="Arial" w:hAnsi="Arial"/>
          <w:sz w:val="16"/>
          <w:szCs w:val="16"/>
          <w:color w:val="auto"/>
        </w:rPr>
      </w:pPr>
    </w:p>
    <w:p>
      <w:pPr>
        <w:ind w:right="60" w:firstLine="2168"/>
        <w:spacing w:after="0" w:line="257" w:lineRule="auto"/>
        <w:tabs>
          <w:tab w:leader="none" w:pos="2875" w:val="left"/>
        </w:tabs>
        <w:numPr>
          <w:ilvl w:val="2"/>
          <w:numId w:val="8"/>
        </w:numPr>
        <w:rPr>
          <w:rFonts w:ascii="Arial" w:cs="Arial" w:eastAsia="Arial" w:hAnsi="Arial"/>
          <w:sz w:val="18"/>
          <w:szCs w:val="18"/>
          <w:color w:val="auto"/>
        </w:rPr>
      </w:pPr>
      <w:r>
        <w:rPr>
          <w:rFonts w:ascii="Arial" w:cs="Arial" w:eastAsia="Arial" w:hAnsi="Arial"/>
          <w:sz w:val="18"/>
          <w:szCs w:val="18"/>
          <w:color w:val="auto"/>
        </w:rPr>
        <w:t>Employee may terminate this Agreement in any of the following events (“With Good Reason”), provided Employee has provided Company written notice thereof within sixty (60) days of the occurrence thereof: assignment to Employee of any position or duties inconsistent in any material respect with Employee’s education, skills and experience or any other action by the Company that results in a substantial diminution in Employee’s position and duties; or material breach of any provision of this Agreement (which, as to either such items, if capable of being cured, shall remain uncured following thirty (30) days written notice thereof) (“Good Reason”).</w:t>
      </w:r>
    </w:p>
    <w:p>
      <w:pPr>
        <w:spacing w:after="0" w:line="188" w:lineRule="exact"/>
        <w:rPr>
          <w:rFonts w:ascii="Arial" w:cs="Arial" w:eastAsia="Arial" w:hAnsi="Arial"/>
          <w:sz w:val="18"/>
          <w:szCs w:val="18"/>
          <w:color w:val="auto"/>
        </w:rPr>
      </w:pPr>
    </w:p>
    <w:p>
      <w:pPr>
        <w:ind w:left="1440" w:hanging="712"/>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Payments Upon Termination</w:t>
      </w:r>
      <w:r>
        <w:rPr>
          <w:rFonts w:ascii="Arial" w:cs="Arial" w:eastAsia="Arial" w:hAnsi="Arial"/>
          <w:sz w:val="16"/>
          <w:szCs w:val="16"/>
          <w:color w:val="auto"/>
        </w:rPr>
        <w:t>. Other than with respect to vested benefits, Employee’s sole entitlement in the case of termination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0" w:lineRule="exact"/>
        <w:rPr>
          <w:rFonts w:ascii="Arial" w:cs="Arial" w:eastAsia="Arial" w:hAnsi="Arial"/>
          <w:sz w:val="16"/>
          <w:szCs w:val="16"/>
          <w:color w:val="auto"/>
        </w:rPr>
      </w:pPr>
    </w:p>
    <w:p>
      <w:pPr>
        <w:ind w:right="360" w:firstLine="1448"/>
        <w:spacing w:after="0" w:line="257" w:lineRule="auto"/>
        <w:tabs>
          <w:tab w:leader="none" w:pos="213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Upon termination due to death or Disability, Employee (or Employee’s estate, as applicable) will be entitled to payment of Employee’s then-current Base Salary for the period prior to termination and for the period of three (3) months thereafter, amounts accrued or payable on account of death or Disability under any benefit plans and programs, any accrued but unused vacation time, amounts payable on account of any unreimbursed business expenses, and an amount on account of the current year’s cash bonus program grants, pro-rated through the date of termination (assuming full achievement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targets). In addition, Employee’s restricted stock grants shall automatically vest in full.</w:t>
      </w:r>
    </w:p>
    <w:p>
      <w:pPr>
        <w:spacing w:after="0" w:line="225" w:lineRule="exact"/>
        <w:rPr>
          <w:sz w:val="20"/>
          <w:szCs w:val="20"/>
          <w:color w:val="auto"/>
        </w:rPr>
      </w:pPr>
    </w:p>
    <w:p>
      <w:pPr>
        <w:jc w:val="both"/>
        <w:ind w:right="200" w:firstLine="1448"/>
        <w:spacing w:after="0" w:line="259" w:lineRule="auto"/>
        <w:tabs>
          <w:tab w:leader="none" w:pos="214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to payment of Employee’s then-current Base Salary for the period prior to termination, amounts accrued under any benefit plans and programs, any accrued but unused vacation time, and amounts payable on account of any unreimbursed business expenses.</w:t>
      </w:r>
    </w:p>
    <w:p>
      <w:pPr>
        <w:spacing w:after="0" w:line="186" w:lineRule="exact"/>
        <w:rPr>
          <w:rFonts w:ascii="Arial" w:cs="Arial" w:eastAsia="Arial" w:hAnsi="Arial"/>
          <w:sz w:val="18"/>
          <w:szCs w:val="18"/>
          <w:color w:val="auto"/>
        </w:rPr>
      </w:pPr>
    </w:p>
    <w:p>
      <w:pPr>
        <w:ind w:right="620" w:firstLine="1448"/>
        <w:spacing w:after="0" w:line="277" w:lineRule="auto"/>
        <w:tabs>
          <w:tab w:leader="none" w:pos="213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170" w:lineRule="exact"/>
        <w:rPr>
          <w:rFonts w:ascii="Arial" w:cs="Arial" w:eastAsia="Arial" w:hAnsi="Arial"/>
          <w:sz w:val="18"/>
          <w:szCs w:val="18"/>
          <w:color w:val="auto"/>
        </w:rPr>
      </w:pPr>
    </w:p>
    <w:p>
      <w:pPr>
        <w:ind w:right="100" w:firstLine="2168"/>
        <w:spacing w:after="0" w:line="290" w:lineRule="auto"/>
        <w:tabs>
          <w:tab w:leader="none" w:pos="28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Employee shall continue to receive Employee’s then-current Base Salary and “health and welfare” benefit plans and programs (at the same cost to Employee as is paid by other employees), for the period of time set forth on Schedule 1 from the date of Discharge Without Cause or termination by Employee With Good Reason, in exchange for Employee’s entering into an agreement containing a release by Employee of Company with respect to all matters relating to Employee’s employment (other than with respect to Employee’s vested rights and rights under this Agreement), and such other terms as Company customarily requires of terminated employees receiving salary continuation benefits. Employee shall also receive amounts accrued under any benefit plans and programs, any accrued but unused vacation time, and amounts payable on account of any unreimbursed business expenses. Employee shall have no obligation to obtain employment during this period; however, the obligation to provide “health and welfare” benefits and programs shall cease upon Employee’s eligibility for similar benefits and programs from a subsequent employer.</w:t>
      </w:r>
    </w:p>
    <w:p>
      <w:pPr>
        <w:spacing w:after="0" w:line="166" w:lineRule="exact"/>
        <w:rPr>
          <w:rFonts w:ascii="Arial" w:cs="Arial" w:eastAsia="Arial" w:hAnsi="Arial"/>
          <w:sz w:val="16"/>
          <w:szCs w:val="16"/>
          <w:color w:val="auto"/>
        </w:rPr>
      </w:pPr>
    </w:p>
    <w:p>
      <w:pPr>
        <w:ind w:right="40" w:firstLine="2168"/>
        <w:spacing w:after="0" w:line="312" w:lineRule="auto"/>
        <w:tabs>
          <w:tab w:leader="none" w:pos="287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Employee shall continue to receive cash or shares, as the case may be, on account of any cash bonus program and restricted stock grants which would have vested within the period of time set forth on Schedule 1 from the date of Discharge Without Cause or termination by the Employee with Good Reason, as if there had been no termination of employment (assuming full achievement of performance targets).</w:t>
      </w:r>
    </w:p>
    <w:p>
      <w:pPr>
        <w:spacing w:after="0" w:line="146" w:lineRule="exact"/>
        <w:rPr>
          <w:rFonts w:ascii="Arial" w:cs="Arial" w:eastAsia="Arial" w:hAnsi="Arial"/>
          <w:sz w:val="16"/>
          <w:szCs w:val="16"/>
          <w:color w:val="auto"/>
        </w:rPr>
      </w:pPr>
    </w:p>
    <w:p>
      <w:pPr>
        <w:ind w:left="2880" w:hanging="712"/>
        <w:spacing w:after="0"/>
        <w:tabs>
          <w:tab w:leader="none" w:pos="28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Employee shall receive the benefits set forth (for the time periods set forth) in subparagraphs 9(d), (e) and (f).</w:t>
      </w:r>
    </w:p>
    <w:p>
      <w:pPr>
        <w:spacing w:after="0" w:line="236" w:lineRule="exact"/>
        <w:rPr>
          <w:rFonts w:ascii="Arial" w:cs="Arial" w:eastAsia="Arial" w:hAnsi="Arial"/>
          <w:sz w:val="17"/>
          <w:szCs w:val="17"/>
          <w:color w:val="auto"/>
        </w:rPr>
      </w:pPr>
    </w:p>
    <w:p>
      <w:pPr>
        <w:ind w:left="2160" w:hanging="712"/>
        <w:spacing w:after="0"/>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Employee Following the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168"/>
        <w:spacing w:after="0" w:line="257" w:lineRule="auto"/>
        <w:tabs>
          <w:tab w:leader="none" w:pos="28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Company and Employee have not entered into a new employment agreement that applies following December 31, 2008, and Employee terminates his employment at any time following such date (other than with Good Reason), then either: (A) if the Company so elects by written notice to Employee given within ten (10) days of such termination: (1) the provisions of subparagraph 8(b) shall apply to Employee; and (2) the Company shall pay to Employee, for the one-year period specified in such subparagraph, Employee’s cash and bonus compensation (in the case of bonus compensation, assuming full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54" w:gutter="0" w:footer="0" w:header="0"/>
        </w:sectPr>
      </w:pPr>
    </w:p>
    <w:bookmarkStart w:id="5" w:name="page6"/>
    <w:bookmarkEnd w:id="5"/>
    <w:p>
      <w:pPr>
        <w:ind w:right="460"/>
        <w:spacing w:after="0" w:line="308" w:lineRule="auto"/>
        <w:rPr>
          <w:sz w:val="20"/>
          <w:szCs w:val="20"/>
          <w:color w:val="auto"/>
        </w:rPr>
      </w:pPr>
      <w:r>
        <w:rPr>
          <w:rFonts w:ascii="Arial" w:cs="Arial" w:eastAsia="Arial" w:hAnsi="Arial"/>
          <w:sz w:val="17"/>
          <w:szCs w:val="17"/>
          <w:color w:val="auto"/>
        </w:rPr>
        <w:t>achievement of performance targets, and based on Employee’s then existing participation levels), as if Employee’s part-time employment had continued during this time period; or (B) if the Company does not so elect, the provisions of subparagraph 8(b) shall not apply to Employee.</w:t>
      </w:r>
    </w:p>
    <w:p>
      <w:pPr>
        <w:spacing w:after="0" w:line="147" w:lineRule="exact"/>
        <w:rPr>
          <w:sz w:val="20"/>
          <w:szCs w:val="20"/>
          <w:color w:val="auto"/>
        </w:rPr>
      </w:pPr>
    </w:p>
    <w:p>
      <w:pPr>
        <w:ind w:right="200" w:firstLine="2168"/>
        <w:spacing w:after="0" w:line="257" w:lineRule="auto"/>
        <w:tabs>
          <w:tab w:leader="none" w:pos="2875"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the event Employee’s employment terminates on an Early Termination Date, then: (A) the provisions of subparagraph 8(b) shall apply to Employee; and (B) the Company shall pay to Employee, in a lump sum, an amount equal to (1) the sum of (I) Employee’s Base Salary for 2007 and (II) Employee’s cash bonuses on account of 2007 (based on actual achievement of performance targets and Employee’s participation levels for 2007), less (2) the amount, if any, received (or earned) by Employee subsequent to 2007 and prior to the Early Termination Date on account of Base Salary and cash bonuses.</w:t>
      </w:r>
    </w:p>
    <w:p>
      <w:pPr>
        <w:spacing w:after="0" w:line="188" w:lineRule="exact"/>
        <w:rPr>
          <w:rFonts w:ascii="Arial" w:cs="Arial" w:eastAsia="Arial" w:hAnsi="Arial"/>
          <w:sz w:val="18"/>
          <w:szCs w:val="18"/>
          <w:color w:val="auto"/>
        </w:rPr>
      </w:pPr>
    </w:p>
    <w:p>
      <w:pPr>
        <w:ind w:right="340" w:firstLine="1448"/>
        <w:spacing w:after="0" w:line="277" w:lineRule="auto"/>
        <w:tabs>
          <w:tab w:leader="none" w:pos="213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448"/>
        <w:spacing w:after="0" w:line="259" w:lineRule="auto"/>
        <w:tabs>
          <w:tab w:leader="none" w:pos="21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by the Company for any reason (whether during the Term or thereafter),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6" w:lineRule="exact"/>
        <w:rPr>
          <w:rFonts w:ascii="Arial" w:cs="Arial" w:eastAsia="Arial" w:hAnsi="Arial"/>
          <w:sz w:val="18"/>
          <w:szCs w:val="18"/>
          <w:color w:val="auto"/>
        </w:rPr>
      </w:pPr>
    </w:p>
    <w:p>
      <w:pPr>
        <w:ind w:right="40" w:firstLine="1448"/>
        <w:spacing w:after="0" w:line="271" w:lineRule="auto"/>
        <w:tabs>
          <w:tab w:leader="none" w:pos="2145" w:val="left"/>
        </w:tabs>
        <w:numPr>
          <w:ilvl w:val="1"/>
          <w:numId w:val="13"/>
        </w:numPr>
        <w:rPr>
          <w:rFonts w:ascii="Arial" w:cs="Arial" w:eastAsia="Arial" w:hAnsi="Arial"/>
          <w:sz w:val="17"/>
          <w:szCs w:val="17"/>
          <w:color w:val="auto"/>
        </w:rPr>
      </w:pPr>
      <w:r>
        <w:rPr>
          <w:rFonts w:ascii="Arial" w:cs="Arial" w:eastAsia="Arial" w:hAnsi="Arial"/>
          <w:sz w:val="17"/>
          <w:szCs w:val="17"/>
          <w:color w:val="auto"/>
        </w:rPr>
        <w:t>(i) WHILE EMPLOYED BY THE COMPANY (WHETHER ON A FULL-TIME OR PART-TIME BASIS, AND WHETHER DURING THE TERM OR THEREAFTER), AND FOR A PERIOD OF ONE (1) YEAR AFTER TERMINATION OF EMPLOYEE’S EMPLOYMENT (DURING THE TERM OR THEREAFTER, BUT IN THE CIRCUMSTANCES SET FORTH IN SUBPARAGRAPH 2(c)(i) OR 7(d)(i)(A)</w:t>
      </w:r>
    </w:p>
    <w:p>
      <w:pPr>
        <w:ind w:right="40"/>
        <w:spacing w:after="0" w:line="251" w:lineRule="auto"/>
        <w:rPr>
          <w:rFonts w:ascii="Arial" w:cs="Arial" w:eastAsia="Arial" w:hAnsi="Arial"/>
          <w:sz w:val="17"/>
          <w:szCs w:val="17"/>
          <w:color w:val="auto"/>
        </w:rPr>
      </w:pPr>
      <w:r>
        <w:rPr>
          <w:rFonts w:ascii="Arial" w:cs="Arial" w:eastAsia="Arial" w:hAnsi="Arial"/>
          <w:sz w:val="18"/>
          <w:szCs w:val="18"/>
          <w:color w:val="auto"/>
        </w:rPr>
        <w:t>(1), SUBJECT TO THE COMPANY’S PAYMENT OBLIGATION SET FORTH IN SUBPARAGRAPH 7(d)(ii)(B) OR 7(d)(i)(A)(2), AS APPLICABLE) FOR ANY REASON OTHER THAN DISCHARGE WITHOUT CAUSE, TERMINATION BY EMPLOYEE WITH GOOD REASON OR THE CIRCUMSTANCES SET FORTH IN SUBPARAGRAPH 7(d)(i)(B),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 DIVISION OF THE COMPANY (IN THE EVENT EMPLOYEE IS EMPLOYED BY COMCAST CORPORATION), OR BY THE BUSINESS UNIT OF THE COMPANY IN WHICH EMPLOYEE IS EMPLOYED (IN THE EVENT EMPLOYEE IS EMPLOYED BY A SUBSIDIARY OF COMCAST CORPORATION),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BEING PLANNED BY THE COMPANY OR SUCH DIVISION OR BUSINESS UNIT (AS THE CASE MAY BE) WITH EMPLOYEE’S KNOWLEDGE AT THE TIME OF EMPLOYEE’S TERMINATION OF EMPLOYMENT.</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TO APPROPRIATELY TAKE ACCOUNT OF THE HIGHLY COMPETITIVE ENVIRONMENT IN THE COMPANY’S BUSINESSES, THE COMPANY AND EMPLOYEE AGREE THAT ANY BUSINESS ENGAGED IN ANY OF THE ACTIVITIES SET FORTH ON SCHEDULE 2 SHALL BE DEEMED TO BE A “COMPETITIVE BUSINESS.”</w:t>
      </w:r>
    </w:p>
    <w:p>
      <w:pPr>
        <w:spacing w:after="0" w:line="181" w:lineRule="exact"/>
        <w:rPr>
          <w:sz w:val="20"/>
          <w:szCs w:val="20"/>
          <w:color w:val="auto"/>
        </w:rPr>
      </w:pPr>
    </w:p>
    <w:p>
      <w:pPr>
        <w:jc w:val="both"/>
        <w:ind w:right="180" w:firstLine="2096"/>
        <w:spacing w:after="0" w:line="259" w:lineRule="auto"/>
        <w:tabs>
          <w:tab w:leader="none" w:pos="28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RESTRICTION SHALL APPLY IN ANY GEOGRAPHICAL AREA OF THE UNITED STATES IN WHICH THE COMPANY CARRIES OUT BUSINESS ACTIVITIES. EMPLOYEE AGREES THAT THE LACK OF ANY MORE SPECIFIC GEOGRAPHICAL LIMITATION HEREIN IS REASONABLE IN LIGHT OF THE BROAD GEOGRAPHICAL SCOPE OF THE ACTIVITIES CARRIED OUT BY THE COMPANY IN THE UNITED STATES.</w:t>
      </w:r>
    </w:p>
    <w:p>
      <w:pPr>
        <w:spacing w:after="0" w:line="186" w:lineRule="exact"/>
        <w:rPr>
          <w:rFonts w:ascii="Arial" w:cs="Arial" w:eastAsia="Arial" w:hAnsi="Arial"/>
          <w:sz w:val="18"/>
          <w:szCs w:val="18"/>
          <w:color w:val="auto"/>
        </w:rPr>
      </w:pPr>
    </w:p>
    <w:p>
      <w:pPr>
        <w:ind w:firstLine="2168"/>
        <w:spacing w:after="0" w:line="312" w:lineRule="auto"/>
        <w:tabs>
          <w:tab w:leader="none" w:pos="28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if Employee is an attorney, Employee may engage in the practice of law in accordance with the canons of ethics of the state or states in which Employee is authorized or may be authorized to practice law.</w:t>
      </w:r>
    </w:p>
    <w:p>
      <w:pPr>
        <w:spacing w:after="0" w:line="146" w:lineRule="exact"/>
        <w:rPr>
          <w:rFonts w:ascii="Arial" w:cs="Arial" w:eastAsia="Arial" w:hAnsi="Arial"/>
          <w:sz w:val="16"/>
          <w:szCs w:val="16"/>
          <w:color w:val="auto"/>
        </w:rPr>
      </w:pPr>
    </w:p>
    <w:p>
      <w:pPr>
        <w:ind w:right="120" w:firstLine="1448"/>
        <w:spacing w:after="0" w:line="286" w:lineRule="auto"/>
        <w:tabs>
          <w:tab w:leader="none" w:pos="21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586"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t>shall use good faith efforts to notify the Company promptly and in advance of disclosure if Employee believes Employee is under a legal requirement to disclose confidential information.</w:t>
      </w:r>
    </w:p>
    <w:p>
      <w:pPr>
        <w:spacing w:after="0" w:line="170" w:lineRule="exact"/>
        <w:rPr>
          <w:sz w:val="20"/>
          <w:szCs w:val="20"/>
          <w:color w:val="auto"/>
        </w:rPr>
      </w:pPr>
    </w:p>
    <w:p>
      <w:pPr>
        <w:ind w:right="100" w:firstLine="1448"/>
        <w:spacing w:after="0" w:line="291" w:lineRule="auto"/>
        <w:tabs>
          <w:tab w:leader="none" w:pos="2145" w:val="left"/>
        </w:tabs>
        <w:numPr>
          <w:ilvl w:val="3"/>
          <w:numId w:val="16"/>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67" w:lineRule="exact"/>
        <w:rPr>
          <w:rFonts w:ascii="Arial" w:cs="Arial" w:eastAsia="Arial" w:hAnsi="Arial"/>
          <w:sz w:val="16"/>
          <w:szCs w:val="16"/>
          <w:color w:val="auto"/>
        </w:rPr>
      </w:pPr>
    </w:p>
    <w:p>
      <w:pPr>
        <w:ind w:right="140" w:firstLine="1448"/>
        <w:spacing w:after="0" w:line="276" w:lineRule="auto"/>
        <w:tabs>
          <w:tab w:leader="none" w:pos="2135" w:val="left"/>
        </w:tabs>
        <w:numPr>
          <w:ilvl w:val="3"/>
          <w:numId w:val="16"/>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2" w:lineRule="exact"/>
        <w:rPr>
          <w:rFonts w:ascii="Arial" w:cs="Arial" w:eastAsia="Arial" w:hAnsi="Arial"/>
          <w:sz w:val="17"/>
          <w:szCs w:val="17"/>
          <w:color w:val="auto"/>
        </w:rPr>
      </w:pPr>
    </w:p>
    <w:p>
      <w:pPr>
        <w:ind w:firstLine="1376"/>
        <w:spacing w:after="0" w:line="277" w:lineRule="auto"/>
        <w:tabs>
          <w:tab w:leader="none" w:pos="2088" w:val="left"/>
        </w:tabs>
        <w:numPr>
          <w:ilvl w:val="2"/>
          <w:numId w:val="17"/>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170" w:lineRule="exact"/>
        <w:rPr>
          <w:rFonts w:ascii="Arial" w:cs="Arial" w:eastAsia="Arial" w:hAnsi="Arial"/>
          <w:sz w:val="18"/>
          <w:szCs w:val="18"/>
          <w:color w:val="auto"/>
        </w:rPr>
      </w:pPr>
    </w:p>
    <w:p>
      <w:pPr>
        <w:ind w:right="200" w:firstLine="656"/>
        <w:spacing w:after="0" w:line="277" w:lineRule="auto"/>
        <w:tabs>
          <w:tab w:leader="none" w:pos="136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Notwithstanding any other provisions hereof or of the Company’s Restricted Stock Plan or other benefit plans or programs, the following terms and conditions shall apply in the event the Employee delivers an Employee Notice:</w:t>
      </w:r>
    </w:p>
    <w:p>
      <w:pPr>
        <w:spacing w:after="0" w:line="170" w:lineRule="exact"/>
        <w:rPr>
          <w:rFonts w:ascii="Arial" w:cs="Arial" w:eastAsia="Arial" w:hAnsi="Arial"/>
          <w:sz w:val="18"/>
          <w:szCs w:val="18"/>
          <w:color w:val="auto"/>
        </w:rPr>
      </w:pPr>
    </w:p>
    <w:p>
      <w:pPr>
        <w:ind w:left="2080" w:hanging="704"/>
        <w:spacing w:after="0"/>
        <w:tabs>
          <w:tab w:leader="none" w:pos="2080" w:val="left"/>
        </w:tabs>
        <w:numPr>
          <w:ilvl w:val="2"/>
          <w:numId w:val="18"/>
        </w:numPr>
        <w:rPr>
          <w:rFonts w:ascii="Arial" w:cs="Arial" w:eastAsia="Arial" w:hAnsi="Arial"/>
          <w:sz w:val="16"/>
          <w:szCs w:val="16"/>
          <w:color w:val="auto"/>
        </w:rPr>
      </w:pPr>
      <w:r>
        <w:rPr>
          <w:rFonts w:ascii="Arial" w:cs="Arial" w:eastAsia="Arial" w:hAnsi="Arial"/>
          <w:sz w:val="16"/>
          <w:szCs w:val="16"/>
          <w:color w:val="auto"/>
        </w:rPr>
        <w:t>For the balance of the Term, Employee shall be required to provide services on a part-time basis only, for no more than twelve</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hours per week on average during any calendar month, as reasonably requested by the Company.</w:t>
      </w:r>
    </w:p>
    <w:p>
      <w:pPr>
        <w:spacing w:after="0" w:line="210" w:lineRule="exact"/>
        <w:rPr>
          <w:rFonts w:ascii="Arial" w:cs="Arial" w:eastAsia="Arial" w:hAnsi="Arial"/>
          <w:sz w:val="18"/>
          <w:szCs w:val="18"/>
          <w:color w:val="auto"/>
        </w:rPr>
      </w:pPr>
    </w:p>
    <w:p>
      <w:pPr>
        <w:ind w:right="40" w:firstLine="1376"/>
        <w:spacing w:after="0" w:line="264" w:lineRule="auto"/>
        <w:tabs>
          <w:tab w:leader="none" w:pos="2073" w:val="left"/>
        </w:tabs>
        <w:numPr>
          <w:ilvl w:val="2"/>
          <w:numId w:val="19"/>
        </w:numPr>
        <w:rPr>
          <w:rFonts w:ascii="Arial" w:cs="Arial" w:eastAsia="Arial" w:hAnsi="Arial"/>
          <w:sz w:val="18"/>
          <w:szCs w:val="18"/>
          <w:color w:val="auto"/>
        </w:rPr>
      </w:pPr>
      <w:r>
        <w:rPr>
          <w:rFonts w:ascii="Arial" w:cs="Arial" w:eastAsia="Arial" w:hAnsi="Arial"/>
          <w:sz w:val="18"/>
          <w:szCs w:val="18"/>
          <w:color w:val="auto"/>
        </w:rPr>
        <w:t>For the balance of the Term, Employee shall receive as compensation for such services 30% of the following amounts and grants (on the same basis as if Employee had remained employed as a full-time executive employee): Base Salary (including annual increases), cash bonuses and broad-based grants under the Company’s Stock Option Plan and/or Restricted Stock Plan.</w:t>
      </w:r>
    </w:p>
    <w:p>
      <w:pPr>
        <w:spacing w:after="0" w:line="181" w:lineRule="exact"/>
        <w:rPr>
          <w:rFonts w:ascii="Arial" w:cs="Arial" w:eastAsia="Arial" w:hAnsi="Arial"/>
          <w:sz w:val="18"/>
          <w:szCs w:val="18"/>
          <w:color w:val="auto"/>
        </w:rPr>
      </w:pPr>
    </w:p>
    <w:p>
      <w:pPr>
        <w:ind w:right="20" w:firstLine="1376"/>
        <w:spacing w:after="0" w:line="277" w:lineRule="auto"/>
        <w:tabs>
          <w:tab w:leader="none" w:pos="2063" w:val="left"/>
        </w:tabs>
        <w:numPr>
          <w:ilvl w:val="2"/>
          <w:numId w:val="19"/>
        </w:numPr>
        <w:rPr>
          <w:rFonts w:ascii="Arial" w:cs="Arial" w:eastAsia="Arial" w:hAnsi="Arial"/>
          <w:sz w:val="18"/>
          <w:szCs w:val="18"/>
          <w:color w:val="auto"/>
        </w:rPr>
      </w:pPr>
      <w:r>
        <w:rPr>
          <w:rFonts w:ascii="Arial" w:cs="Arial" w:eastAsia="Arial" w:hAnsi="Arial"/>
          <w:sz w:val="18"/>
          <w:szCs w:val="18"/>
          <w:color w:val="auto"/>
        </w:rPr>
        <w:t>For the balance of the Term, restricted stock awards shall continue to vest as to their originally granted number of shares or units, and pursuant to their original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1305"/>
        <w:spacing w:after="0" w:line="276" w:lineRule="auto"/>
        <w:tabs>
          <w:tab w:leader="none" w:pos="2001" w:val="left"/>
        </w:tabs>
        <w:numPr>
          <w:ilvl w:val="1"/>
          <w:numId w:val="20"/>
        </w:numPr>
        <w:rPr>
          <w:rFonts w:ascii="Arial" w:cs="Arial" w:eastAsia="Arial" w:hAnsi="Arial"/>
          <w:sz w:val="17"/>
          <w:szCs w:val="17"/>
          <w:color w:val="auto"/>
        </w:rPr>
      </w:pPr>
      <w:r>
        <w:rPr>
          <w:rFonts w:ascii="Arial" w:cs="Arial" w:eastAsia="Arial" w:hAnsi="Arial"/>
          <w:sz w:val="17"/>
          <w:szCs w:val="17"/>
          <w:color w:val="auto"/>
        </w:rPr>
        <w:t>For the balance of the Term and through Employee’s age 65, Employee shall be entitled to continue participation (on the same basis as if Employee had remained employed as a full-time executive employee) in the Company’s “health and welfare” benefit plans and programs, provided that in the event Employee is ineligible (under the plans’ and programs’ terms) to participate in any one or more of the Company’s plans and programs on this basis, the Company shall reimburse Employee, on an after-tax basis (including taking into account taxes on such reimbursement), for the incremental cost to the Employee of obtaining comparable coverages under a non-Company-sponsored policy or policies.</w:t>
      </w:r>
    </w:p>
    <w:p>
      <w:pPr>
        <w:spacing w:after="0" w:line="172" w:lineRule="exact"/>
        <w:rPr>
          <w:rFonts w:ascii="Arial" w:cs="Arial" w:eastAsia="Arial" w:hAnsi="Arial"/>
          <w:sz w:val="17"/>
          <w:szCs w:val="17"/>
          <w:color w:val="auto"/>
        </w:rPr>
      </w:pPr>
    </w:p>
    <w:p>
      <w:pPr>
        <w:ind w:right="700" w:firstLine="1305"/>
        <w:spacing w:after="0" w:line="342" w:lineRule="auto"/>
        <w:tabs>
          <w:tab w:leader="none" w:pos="19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From the end of the Term through Employee’s age 65, the Company will provide Employee with an office (in center city Philadelphia at a location to be designated by the Company in its sole discretion) and the use of a secretary, for his personal business matters.</w:t>
      </w:r>
    </w:p>
    <w:p>
      <w:pPr>
        <w:spacing w:after="0" w:line="123" w:lineRule="exact"/>
        <w:rPr>
          <w:rFonts w:ascii="Arial" w:cs="Arial" w:eastAsia="Arial" w:hAnsi="Arial"/>
          <w:sz w:val="16"/>
          <w:szCs w:val="16"/>
          <w:color w:val="auto"/>
        </w:rPr>
      </w:pPr>
    </w:p>
    <w:p>
      <w:pPr>
        <w:ind w:right="360" w:firstLine="1305"/>
        <w:spacing w:after="0" w:line="264" w:lineRule="auto"/>
        <w:tabs>
          <w:tab w:leader="none" w:pos="20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From the end of the Term through December 31 of the fifth calendar year following the calendar year is which employment terminates, the crediting rate on Employee’s Income Fund accounts in the Company’s Deferred Compensation Plans will remain at the rate applicable for other employee participants.</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Employee represents as follows:</w:t>
      </w:r>
    </w:p>
    <w:p>
      <w:pPr>
        <w:spacing w:after="0" w:line="225" w:lineRule="exact"/>
        <w:rPr>
          <w:rFonts w:ascii="Arial" w:cs="Arial" w:eastAsia="Arial" w:hAnsi="Arial"/>
          <w:sz w:val="18"/>
          <w:szCs w:val="18"/>
          <w:color w:val="auto"/>
        </w:rPr>
      </w:pPr>
    </w:p>
    <w:p>
      <w:pPr>
        <w:ind w:right="580" w:firstLine="1953"/>
        <w:spacing w:after="0" w:line="277" w:lineRule="auto"/>
        <w:tabs>
          <w:tab w:leader="none" w:pos="2655" w:val="left"/>
        </w:tabs>
        <w:numPr>
          <w:ilvl w:val="2"/>
          <w:numId w:val="21"/>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25" w:lineRule="exact"/>
        <w:rPr>
          <w:rFonts w:ascii="Arial" w:cs="Arial" w:eastAsia="Arial" w:hAnsi="Arial"/>
          <w:sz w:val="18"/>
          <w:szCs w:val="18"/>
          <w:color w:val="auto"/>
        </w:rPr>
      </w:pPr>
    </w:p>
    <w:p>
      <w:pPr>
        <w:ind w:right="360" w:firstLine="1953"/>
        <w:spacing w:after="0" w:line="277" w:lineRule="auto"/>
        <w:tabs>
          <w:tab w:leader="none" w:pos="2665"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the Company in accordance with its terms.</w:t>
      </w:r>
    </w:p>
    <w:p>
      <w:pPr>
        <w:spacing w:after="0" w:line="236" w:lineRule="exact"/>
        <w:rPr>
          <w:rFonts w:ascii="Arial" w:cs="Arial" w:eastAsia="Arial" w:hAnsi="Arial"/>
          <w:sz w:val="17"/>
          <w:szCs w:val="17"/>
          <w:color w:val="auto"/>
        </w:rPr>
      </w:pPr>
    </w:p>
    <w:p>
      <w:pPr>
        <w:ind w:right="380" w:firstLine="1953"/>
        <w:spacing w:after="0" w:line="277" w:lineRule="auto"/>
        <w:tabs>
          <w:tab w:leader="none" w:pos="26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170" w:lineRule="exact"/>
        <w:rPr>
          <w:rFonts w:ascii="Arial" w:cs="Arial" w:eastAsia="Arial" w:hAnsi="Arial"/>
          <w:sz w:val="18"/>
          <w:szCs w:val="18"/>
          <w:color w:val="auto"/>
        </w:rPr>
      </w:pPr>
    </w:p>
    <w:p>
      <w:pPr>
        <w:ind w:right="40" w:firstLine="656"/>
        <w:spacing w:after="0" w:line="259" w:lineRule="auto"/>
        <w:tabs>
          <w:tab w:leader="none" w:pos="136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Acceleration Event</w:t>
      </w:r>
      <w:r>
        <w:rPr>
          <w:rFonts w:ascii="Arial" w:cs="Arial" w:eastAsia="Arial" w:hAnsi="Arial"/>
          <w:sz w:val="18"/>
          <w:szCs w:val="18"/>
          <w:color w:val="auto"/>
        </w:rPr>
        <w:t>. The Company shall give Employee at least ten (10) business days’ notice (or, if not practicable, such shorter notice as may be reasonably practicable) prior to the anticipated closing date of a transaction which the Board of Directors of the Company determines to be a change of control of the Company in circumstances where it is appropriate to accelerate the vesting of employee stock options. Upon receipt of such notice, all stock options</w:t>
      </w:r>
    </w:p>
    <w:p>
      <w:pPr>
        <w:sectPr>
          <w:pgSz w:w="11900" w:h="16838" w:orient="portrait"/>
          <w:cols w:equalWidth="0" w:num="1">
            <w:col w:w="11400"/>
          </w:cols>
          <w:pgMar w:left="240" w:top="125" w:right="259" w:bottom="115"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Employee shall become immediately exercisable in full, and until the day before such anticipated closing date (or such shorter period as the Company shall reasonably determine and 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192" w:lineRule="exact"/>
        <w:rPr>
          <w:sz w:val="20"/>
          <w:szCs w:val="20"/>
          <w:color w:val="auto"/>
        </w:rPr>
      </w:pPr>
    </w:p>
    <w:p>
      <w:pPr>
        <w:ind w:left="1380" w:hanging="724"/>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Merger,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5"/>
        <w:spacing w:after="0" w:line="286" w:lineRule="auto"/>
        <w:tabs>
          <w:tab w:leader="none" w:pos="1991"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65" w:lineRule="exact"/>
        <w:rPr>
          <w:rFonts w:ascii="Arial" w:cs="Arial" w:eastAsia="Arial" w:hAnsi="Arial"/>
          <w:sz w:val="17"/>
          <w:szCs w:val="17"/>
          <w:color w:val="auto"/>
        </w:rPr>
      </w:pPr>
    </w:p>
    <w:p>
      <w:pPr>
        <w:ind w:right="80" w:firstLine="1305"/>
        <w:spacing w:after="0" w:line="302" w:lineRule="auto"/>
        <w:tabs>
          <w:tab w:leader="none" w:pos="2001"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54" w:lineRule="exact"/>
        <w:rPr>
          <w:rFonts w:ascii="Arial" w:cs="Arial" w:eastAsia="Arial" w:hAnsi="Arial"/>
          <w:sz w:val="16"/>
          <w:szCs w:val="16"/>
          <w:color w:val="auto"/>
        </w:rPr>
      </w:pPr>
    </w:p>
    <w:p>
      <w:pPr>
        <w:ind w:right="80" w:firstLine="656"/>
        <w:spacing w:after="0" w:line="270" w:lineRule="auto"/>
        <w:tabs>
          <w:tab w:leader="none" w:pos="136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Jurisdiction; Governing Law</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656"/>
        <w:spacing w:after="0" w:line="264"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(215) 981-7794;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 to: Employee’s address as indicated in the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Company’s records from time to time.</w:t>
      </w:r>
    </w:p>
    <w:p>
      <w:pPr>
        <w:spacing w:after="0" w:line="211" w:lineRule="exact"/>
        <w:rPr>
          <w:sz w:val="20"/>
          <w:szCs w:val="20"/>
          <w:color w:val="auto"/>
        </w:rPr>
      </w:pPr>
    </w:p>
    <w:p>
      <w:pPr>
        <w:ind w:right="80" w:firstLine="656"/>
        <w:spacing w:after="0" w:line="257" w:lineRule="auto"/>
        <w:tabs>
          <w:tab w:leader="none" w:pos="136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 and B hereto) constitutes the entire agreement of the parties with respect to the subject matter hereof</w:t>
      </w:r>
      <w:r>
        <w:rPr>
          <w:rFonts w:ascii="Arial" w:cs="Arial" w:eastAsia="Arial" w:hAnsi="Arial"/>
          <w:sz w:val="18"/>
          <w:szCs w:val="18"/>
          <w:b w:val="1"/>
          <w:bCs w:val="1"/>
          <w:color w:val="auto"/>
        </w:rPr>
        <w:t>,</w:t>
      </w:r>
      <w:r>
        <w:rPr>
          <w:rFonts w:ascii="Arial" w:cs="Arial" w:eastAsia="Arial" w:hAnsi="Arial"/>
          <w:sz w:val="18"/>
          <w:szCs w:val="18"/>
          <w:color w:val="auto"/>
        </w:rPr>
        <w:t xml:space="preserve"> and supercedes and replaces in its entirety the Employment Agreement dated as of May 31, 2000 between the parties, provided that any accrued rights and obligations of the parties thereunder as of the date hereof shall be unaffected by the execution of this Agreement. In the event of any conflict between the terms of this Agreement and the terms of any plans or policy of the Company (including the Employee Handbook), the terms of this Agreement shall control.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44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80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260" w:type="dxa"/>
            <w:vAlign w:val="bottom"/>
            <w:gridSpan w:val="2"/>
          </w:tcPr>
          <w:p>
            <w:pPr>
              <w:ind w:left="260"/>
              <w:spacing w:after="0"/>
              <w:rPr>
                <w:sz w:val="20"/>
                <w:szCs w:val="20"/>
                <w:color w:val="auto"/>
              </w:rPr>
            </w:pPr>
            <w:r>
              <w:rPr>
                <w:rFonts w:ascii="Arial" w:cs="Arial" w:eastAsia="Arial" w:hAnsi="Arial"/>
                <w:sz w:val="18"/>
                <w:szCs w:val="18"/>
                <w:color w:val="auto"/>
              </w:rPr>
              <w:t>John R. Alchin</w:t>
            </w:r>
          </w:p>
        </w:tc>
      </w:tr>
      <w:tr>
        <w:trPr>
          <w:trHeight w:val="432"/>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0" w:type="dxa"/>
            <w:vAlign w:val="bottom"/>
            <w:gridSpan w:val="2"/>
          </w:tcPr>
          <w:p>
            <w:pPr>
              <w:jc w:val="right"/>
              <w:ind w:right="370"/>
              <w:spacing w:after="0"/>
              <w:rPr>
                <w:sz w:val="20"/>
                <w:szCs w:val="20"/>
                <w:color w:val="auto"/>
              </w:rPr>
            </w:pPr>
            <w:r>
              <w:rPr>
                <w:rFonts w:ascii="Arial" w:cs="Arial" w:eastAsia="Arial" w:hAnsi="Arial"/>
                <w:sz w:val="18"/>
                <w:szCs w:val="18"/>
                <w:color w:val="auto"/>
              </w:rPr>
              <w:t>13</w:t>
            </w:r>
          </w:p>
        </w:tc>
        <w:tc>
          <w:tcPr>
            <w:tcW w:w="5180" w:type="dxa"/>
            <w:vAlign w:val="bottom"/>
          </w:tcPr>
          <w:p>
            <w:pPr>
              <w:spacing w:after="0"/>
              <w:rPr>
                <w:sz w:val="24"/>
                <w:szCs w:val="24"/>
                <w:color w:val="auto"/>
              </w:rPr>
            </w:pPr>
          </w:p>
        </w:tc>
      </w:tr>
      <w:tr>
        <w:trPr>
          <w:trHeight w:val="105"/>
        </w:trPr>
        <w:tc>
          <w:tcPr>
            <w:tcW w:w="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r>
      <w:tr>
        <w:trPr>
          <w:trHeight w:val="713"/>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SCHEDULE 1</w:t>
            </w:r>
          </w:p>
        </w:tc>
        <w:tc>
          <w:tcPr>
            <w:tcW w:w="5180" w:type="dxa"/>
            <w:vAlign w:val="bottom"/>
          </w:tcPr>
          <w:p>
            <w:pPr>
              <w:spacing w:after="0"/>
              <w:rPr>
                <w:sz w:val="24"/>
                <w:szCs w:val="24"/>
                <w:color w:val="auto"/>
              </w:rPr>
            </w:pPr>
          </w:p>
        </w:tc>
      </w:tr>
      <w:tr>
        <w:trPr>
          <w:trHeight w:val="453"/>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1420" w:type="dxa"/>
            <w:vAlign w:val="bottom"/>
          </w:tcPr>
          <w:p>
            <w:pPr>
              <w:ind w:left="280"/>
              <w:spacing w:after="0"/>
              <w:rPr>
                <w:sz w:val="20"/>
                <w:szCs w:val="20"/>
                <w:color w:val="auto"/>
              </w:rPr>
            </w:pPr>
            <w:r>
              <w:rPr>
                <w:rFonts w:ascii="Arial" w:cs="Arial" w:eastAsia="Arial" w:hAnsi="Arial"/>
                <w:sz w:val="18"/>
                <w:szCs w:val="18"/>
                <w:color w:val="auto"/>
              </w:rPr>
              <w:t>Position:</w:t>
            </w:r>
          </w:p>
        </w:tc>
        <w:tc>
          <w:tcPr>
            <w:tcW w:w="95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Treasurer and Co-Chief Financial Officer</w:t>
            </w:r>
          </w:p>
        </w:tc>
      </w:tr>
      <w:tr>
        <w:trPr>
          <w:trHeight w:val="432"/>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1420" w:type="dxa"/>
            <w:vAlign w:val="bottom"/>
          </w:tcPr>
          <w:p>
            <w:pPr>
              <w:ind w:left="280"/>
              <w:spacing w:after="0"/>
              <w:rPr>
                <w:sz w:val="20"/>
                <w:szCs w:val="20"/>
                <w:color w:val="auto"/>
              </w:rPr>
            </w:pPr>
            <w:r>
              <w:rPr>
                <w:rFonts w:ascii="Arial" w:cs="Arial" w:eastAsia="Arial" w:hAnsi="Arial"/>
                <w:sz w:val="18"/>
                <w:szCs w:val="18"/>
                <w:color w:val="auto"/>
              </w:rPr>
              <w:t>Base Salary:</w:t>
            </w:r>
          </w:p>
        </w:tc>
        <w:tc>
          <w:tcPr>
            <w:tcW w:w="3320" w:type="dxa"/>
            <w:vAlign w:val="bottom"/>
          </w:tcPr>
          <w:p>
            <w:pPr>
              <w:ind w:left="220"/>
              <w:spacing w:after="0"/>
              <w:rPr>
                <w:sz w:val="20"/>
                <w:szCs w:val="20"/>
                <w:color w:val="auto"/>
              </w:rPr>
            </w:pPr>
            <w:r>
              <w:rPr>
                <w:rFonts w:ascii="Arial" w:cs="Arial" w:eastAsia="Arial" w:hAnsi="Arial"/>
                <w:sz w:val="18"/>
                <w:szCs w:val="18"/>
                <w:color w:val="auto"/>
              </w:rPr>
              <w:t>$1,025,000</w:t>
            </w:r>
          </w:p>
        </w:tc>
        <w:tc>
          <w:tcPr>
            <w:tcW w:w="108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-1041400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Bonuses. Bonus potential under Executive Cash Bonus Plan:  75% of Base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Salary. Bonus potential under Supplemental Cash Bonus Plan: 50% of Base Salary.</w:t>
      </w:r>
    </w:p>
    <w:p>
      <w:pPr>
        <w:spacing w:after="0" w:line="210" w:lineRule="exact"/>
        <w:rPr>
          <w:rFonts w:ascii="Arial" w:cs="Arial" w:eastAsia="Arial" w:hAnsi="Arial"/>
          <w:sz w:val="18"/>
          <w:szCs w:val="18"/>
          <w:color w:val="auto"/>
        </w:rPr>
      </w:pPr>
    </w:p>
    <w:p>
      <w:pPr>
        <w:ind w:left="660" w:right="4660" w:hanging="652"/>
        <w:spacing w:after="0" w:line="277"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170" w:lineRule="exact"/>
        <w:rPr>
          <w:rFonts w:ascii="Arial" w:cs="Arial" w:eastAsia="Arial" w:hAnsi="Arial"/>
          <w:sz w:val="18"/>
          <w:szCs w:val="18"/>
          <w:color w:val="auto"/>
        </w:rPr>
      </w:pPr>
    </w:p>
    <w:p>
      <w:pPr>
        <w:ind w:left="660" w:right="260" w:hanging="652"/>
        <w:spacing w:after="0" w:line="277"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Bonus Programs and Restricted Stock Plan Grants Continued Vesting Period following Discharge Without Cause or Termination With Good Reason: 12 months.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ind w:left="980" w:right="40" w:hanging="648"/>
        <w:spacing w:after="0" w:line="291" w:lineRule="auto"/>
        <w:tabs>
          <w:tab w:leader="none" w:pos="97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DirecTV, Inc.; Echostar Communications Corporation; Knology Holdings, Inc.; Qwest Communications International, Inc.; RCN Corporation; SBC Communications, Inc.; Time Warner Cable, Inc.; Verizon Communications, Inc.; and Wide Open West.</w:t>
      </w:r>
    </w:p>
    <w:p>
      <w:pPr>
        <w:spacing w:after="0" w:line="167" w:lineRule="exact"/>
        <w:rPr>
          <w:rFonts w:ascii="Arial" w:cs="Arial" w:eastAsia="Arial" w:hAnsi="Arial"/>
          <w:sz w:val="16"/>
          <w:szCs w:val="16"/>
          <w:color w:val="auto"/>
        </w:rPr>
      </w:pPr>
    </w:p>
    <w:p>
      <w:pPr>
        <w:ind w:left="980" w:right="80" w:hanging="648"/>
        <w:spacing w:after="0" w:line="291" w:lineRule="auto"/>
        <w:tabs>
          <w:tab w:leader="none" w:pos="9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DirecTV, Inc.; Echostar Communications Corporation; Knology Holdings, Inc.; Qwest Communications International, Inc.; RCN Corporation; SBC Communications, Inc.; Sprint Corporation; MCI, Inc.; Time Warner Inc.; Verizon Communications, Inc.; and Wide Open West.</w:t>
      </w:r>
    </w:p>
    <w:p>
      <w:pPr>
        <w:spacing w:after="0" w:line="167" w:lineRule="exact"/>
        <w:rPr>
          <w:rFonts w:ascii="Arial" w:cs="Arial" w:eastAsia="Arial" w:hAnsi="Arial"/>
          <w:sz w:val="16"/>
          <w:szCs w:val="16"/>
          <w:color w:val="auto"/>
        </w:rPr>
      </w:pPr>
    </w:p>
    <w:p>
      <w:pPr>
        <w:ind w:left="980" w:right="60" w:hanging="648"/>
        <w:spacing w:after="0" w:line="290" w:lineRule="auto"/>
        <w:tabs>
          <w:tab w:leader="none" w:pos="9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DirecTV, Inc.; Echostar Communications Corporation; Google, Inc.; Knology Holdings, Inc.; MCI, Inc.; Microsoft Corporation (including MSN); Qwest Communications International, Inc.; RCN Corporation; SBC Communications, Inc.; Sprint Corporation; Time Warner Inc. (including AOL); Verizon Communications, Inc.; and Yahoo, Inc.</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80" w:hanging="648"/>
        <w:spacing w:after="0" w:line="257" w:lineRule="auto"/>
        <w:tabs>
          <w:tab w:leader="none" w:pos="9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of wireless communications services to residential or commercial subscribers,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Corporation; T-Mobile USA, Inc.; and Verizon Communications, Inc.</w:t>
      </w:r>
    </w:p>
    <w:p>
      <w:pPr>
        <w:spacing w:after="0" w:line="188" w:lineRule="exact"/>
        <w:rPr>
          <w:rFonts w:ascii="Arial" w:cs="Arial" w:eastAsia="Arial" w:hAnsi="Arial"/>
          <w:sz w:val="18"/>
          <w:szCs w:val="18"/>
          <w:color w:val="auto"/>
        </w:rPr>
      </w:pPr>
    </w:p>
    <w:p>
      <w:pPr>
        <w:ind w:left="980" w:right="100" w:hanging="648"/>
        <w:spacing w:after="0" w:line="271"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CBS and Paramount).</w:t>
      </w:r>
    </w:p>
    <w:p>
      <w:pPr>
        <w:sectPr>
          <w:pgSz w:w="11900" w:h="16838" w:orient="portrait"/>
          <w:cols w:equalWidth="0" w:num="1">
            <w:col w:w="11440"/>
          </w:cols>
          <w:pgMar w:left="240" w:top="125" w:right="219" w:bottom="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20" w:type="dxa"/>
            <w:vAlign w:val="bottom"/>
            <w:gridSpan w:val="5"/>
          </w:tcPr>
          <w:p>
            <w:pPr>
              <w:jc w:val="center"/>
              <w:ind w:right="3280"/>
              <w:spacing w:after="0"/>
              <w:rPr>
                <w:sz w:val="20"/>
                <w:szCs w:val="20"/>
                <w:color w:val="auto"/>
              </w:rPr>
            </w:pPr>
            <w:r>
              <w:rPr>
                <w:rFonts w:ascii="Arial" w:cs="Arial" w:eastAsia="Arial" w:hAnsi="Arial"/>
                <w:sz w:val="18"/>
                <w:szCs w:val="18"/>
                <w:b w:val="1"/>
                <w:bCs w:val="1"/>
                <w:color w:val="auto"/>
                <w:w w:val="87"/>
              </w:rPr>
              <w:t>Schedule A</w:t>
            </w: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 Options</w:t>
            </w:r>
          </w:p>
        </w:tc>
        <w:tc>
          <w:tcPr>
            <w:tcW w:w="60" w:type="dxa"/>
            <w:vAlign w:val="bottom"/>
            <w:tcBorders>
              <w:top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540" w:type="dxa"/>
            <w:vAlign w:val="bottom"/>
            <w:gridSpan w:val="2"/>
          </w:tcPr>
          <w:p>
            <w:pPr>
              <w:ind w:left="1420"/>
              <w:spacing w:after="0"/>
              <w:rPr>
                <w:sz w:val="20"/>
                <w:szCs w:val="20"/>
                <w:color w:val="auto"/>
              </w:rPr>
            </w:pPr>
            <w:r>
              <w:rPr>
                <w:rFonts w:ascii="Arial" w:cs="Arial" w:eastAsia="Arial" w:hAnsi="Arial"/>
                <w:sz w:val="18"/>
                <w:szCs w:val="18"/>
                <w:b w:val="1"/>
                <w:bCs w:val="1"/>
                <w:color w:val="auto"/>
              </w:rPr>
              <w:t>Grant Date</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4"/>
          </w:tcPr>
          <w:p>
            <w:pPr>
              <w:ind w:left="540"/>
              <w:spacing w:after="0"/>
              <w:rPr>
                <w:sz w:val="20"/>
                <w:szCs w:val="20"/>
                <w:color w:val="auto"/>
              </w:rPr>
            </w:pPr>
            <w:r>
              <w:rPr>
                <w:rFonts w:ascii="Arial" w:cs="Arial" w:eastAsia="Arial" w:hAnsi="Arial"/>
                <w:sz w:val="18"/>
                <w:szCs w:val="18"/>
                <w:b w:val="1"/>
                <w:bCs w:val="1"/>
                <w:color w:val="auto"/>
              </w:rPr>
              <w:t>Only Exercise Date</w:t>
            </w:r>
          </w:p>
        </w:tc>
        <w:tc>
          <w:tcPr>
            <w:tcW w:w="1940" w:type="dxa"/>
            <w:vAlign w:val="bottom"/>
          </w:tcPr>
          <w:p>
            <w:pPr>
              <w:ind w:left="760"/>
              <w:spacing w:after="0"/>
              <w:rPr>
                <w:sz w:val="20"/>
                <w:szCs w:val="20"/>
                <w:color w:val="auto"/>
              </w:rPr>
            </w:pPr>
            <w:r>
              <w:rPr>
                <w:rFonts w:ascii="Arial" w:cs="Arial" w:eastAsia="Arial" w:hAnsi="Arial"/>
                <w:sz w:val="18"/>
                <w:szCs w:val="18"/>
                <w:b w:val="1"/>
                <w:bCs w:val="1"/>
                <w:color w:val="auto"/>
              </w:rPr>
              <w:t>Class</w:t>
            </w:r>
          </w:p>
        </w:tc>
        <w:tc>
          <w:tcPr>
            <w:tcW w:w="20" w:type="dxa"/>
            <w:vAlign w:val="bottom"/>
          </w:tcPr>
          <w:p>
            <w:pPr>
              <w:spacing w:after="0"/>
              <w:rPr>
                <w:sz w:val="24"/>
                <w:szCs w:val="24"/>
                <w:color w:val="auto"/>
              </w:rPr>
            </w:pPr>
          </w:p>
        </w:tc>
      </w:tr>
      <w:tr>
        <w:trPr>
          <w:trHeight w:val="210"/>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3, 1999</w:t>
            </w:r>
          </w:p>
        </w:tc>
        <w:tc>
          <w:tcPr>
            <w:tcW w:w="84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May 1, 2009</w:t>
            </w:r>
          </w:p>
        </w:tc>
        <w:tc>
          <w:tcPr>
            <w:tcW w:w="8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CMCSK</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 2000</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June 1, 2010</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CMCSK</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30, 2001</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July 29, 2011</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CMCSK</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24, 2002</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January 23, 2012</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CMCSK</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26, 2003</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February 25, 2013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CMCSA</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9, 2004</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March 7, 2014</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CMCSA</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14, 2005</w:t>
            </w:r>
          </w:p>
        </w:tc>
        <w:tc>
          <w:tcPr>
            <w:tcW w:w="4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March 13, 2015</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CMCSA</w:t>
            </w:r>
          </w:p>
        </w:tc>
        <w:tc>
          <w:tcPr>
            <w:tcW w:w="20" w:type="dxa"/>
            <w:vAlign w:val="bottom"/>
          </w:tcPr>
          <w:p>
            <w:pPr>
              <w:spacing w:after="0"/>
              <w:rPr>
                <w:sz w:val="18"/>
                <w:szCs w:val="18"/>
                <w:color w:val="auto"/>
              </w:rPr>
            </w:pPr>
          </w:p>
        </w:tc>
      </w:tr>
      <w:tr>
        <w:trPr>
          <w:trHeight w:val="648"/>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-2273935</wp:posOffset>
            </wp:positionV>
            <wp:extent cx="4763"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-2273935</wp:posOffset>
            </wp:positionV>
            <wp:extent cx="4763"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0" w:type="dxa"/>
            <w:vAlign w:val="bottom"/>
            <w:gridSpan w:val="5"/>
          </w:tcPr>
          <w:p>
            <w:pPr>
              <w:jc w:val="center"/>
              <w:ind w:right="3340"/>
              <w:spacing w:after="0"/>
              <w:rPr>
                <w:sz w:val="20"/>
                <w:szCs w:val="20"/>
                <w:color w:val="auto"/>
              </w:rPr>
            </w:pPr>
            <w:r>
              <w:rPr>
                <w:rFonts w:ascii="Arial" w:cs="Arial" w:eastAsia="Arial" w:hAnsi="Arial"/>
                <w:sz w:val="18"/>
                <w:szCs w:val="18"/>
                <w:b w:val="1"/>
                <w:bCs w:val="1"/>
                <w:color w:val="auto"/>
                <w:w w:val="87"/>
              </w:rPr>
              <w:t>Schedule B</w:t>
            </w: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0"/>
              </w:rPr>
              <w:t>B Options</w:t>
            </w:r>
          </w:p>
        </w:tc>
        <w:tc>
          <w:tcPr>
            <w:tcW w:w="334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440" w:type="dxa"/>
            <w:vAlign w:val="bottom"/>
            <w:gridSpan w:val="2"/>
          </w:tcPr>
          <w:p>
            <w:pPr>
              <w:ind w:left="1360"/>
              <w:spacing w:after="0"/>
              <w:rPr>
                <w:sz w:val="20"/>
                <w:szCs w:val="20"/>
                <w:color w:val="auto"/>
              </w:rPr>
            </w:pPr>
            <w:r>
              <w:rPr>
                <w:rFonts w:ascii="Arial" w:cs="Arial" w:eastAsia="Arial" w:hAnsi="Arial"/>
                <w:sz w:val="18"/>
                <w:szCs w:val="18"/>
                <w:b w:val="1"/>
                <w:bCs w:val="1"/>
                <w:color w:val="auto"/>
              </w:rPr>
              <w:t>Grant Date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4"/>
          </w:tcPr>
          <w:p>
            <w:pPr>
              <w:ind w:left="480"/>
              <w:spacing w:after="0"/>
              <w:rPr>
                <w:sz w:val="20"/>
                <w:szCs w:val="20"/>
                <w:color w:val="auto"/>
              </w:rPr>
            </w:pPr>
            <w:r>
              <w:rPr>
                <w:rFonts w:ascii="Arial" w:cs="Arial" w:eastAsia="Arial" w:hAnsi="Arial"/>
                <w:sz w:val="18"/>
                <w:szCs w:val="18"/>
                <w:b w:val="1"/>
                <w:bCs w:val="1"/>
                <w:color w:val="auto"/>
              </w:rPr>
              <w:t>Final Exercise Date</w:t>
            </w:r>
          </w:p>
        </w:tc>
        <w:tc>
          <w:tcPr>
            <w:tcW w:w="1940" w:type="dxa"/>
            <w:vAlign w:val="bottom"/>
          </w:tcPr>
          <w:p>
            <w:pPr>
              <w:ind w:left="760"/>
              <w:spacing w:after="0"/>
              <w:rPr>
                <w:sz w:val="20"/>
                <w:szCs w:val="20"/>
                <w:color w:val="auto"/>
              </w:rPr>
            </w:pPr>
            <w:r>
              <w:rPr>
                <w:rFonts w:ascii="Arial" w:cs="Arial" w:eastAsia="Arial" w:hAnsi="Arial"/>
                <w:sz w:val="18"/>
                <w:szCs w:val="18"/>
                <w:b w:val="1"/>
                <w:bCs w:val="1"/>
                <w:color w:val="auto"/>
              </w:rPr>
              <w:t>Class</w:t>
            </w:r>
          </w:p>
        </w:tc>
        <w:tc>
          <w:tcPr>
            <w:tcW w:w="20" w:type="dxa"/>
            <w:vAlign w:val="bottom"/>
          </w:tcPr>
          <w:p>
            <w:pPr>
              <w:spacing w:after="0"/>
              <w:rPr>
                <w:sz w:val="24"/>
                <w:szCs w:val="24"/>
                <w:color w:val="auto"/>
              </w:rPr>
            </w:pPr>
          </w:p>
        </w:tc>
      </w:tr>
      <w:tr>
        <w:trPr>
          <w:trHeight w:val="210"/>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28, 2002</w:t>
            </w:r>
          </w:p>
        </w:tc>
        <w:tc>
          <w:tcPr>
            <w:tcW w:w="8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rPr>
              <w:t>October 26, 2012</w:t>
            </w:r>
          </w:p>
        </w:tc>
        <w:tc>
          <w:tcPr>
            <w:tcW w:w="8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CMCSK</w:t>
            </w:r>
          </w:p>
        </w:tc>
        <w:tc>
          <w:tcPr>
            <w:tcW w:w="20" w:type="dxa"/>
            <w:vAlign w:val="bottom"/>
          </w:tcPr>
          <w:p>
            <w:pPr>
              <w:spacing w:after="0"/>
              <w:rPr>
                <w:sz w:val="18"/>
                <w:szCs w:val="18"/>
                <w:color w:val="auto"/>
              </w:rPr>
            </w:pPr>
          </w:p>
        </w:tc>
      </w:tr>
      <w:tr>
        <w:trPr>
          <w:trHeight w:val="864"/>
        </w:trPr>
        <w:tc>
          <w:tcPr>
            <w:tcW w:w="3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5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-764540</wp:posOffset>
            </wp:positionV>
            <wp:extent cx="4763"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-764540</wp:posOffset>
            </wp:positionV>
            <wp:extent cx="4763"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0" w:name="page11"/>
    <w:bookmarkEnd w:id="10"/>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3" w:lineRule="exact"/>
        <w:rPr>
          <w:sz w:val="20"/>
          <w:szCs w:val="20"/>
          <w:color w:val="auto"/>
        </w:rPr>
      </w:pPr>
    </w:p>
    <w:p>
      <w:pPr>
        <w:ind w:right="300" w:firstLine="720"/>
        <w:spacing w:after="0" w:line="210" w:lineRule="auto"/>
        <w:rPr>
          <w:sz w:val="20"/>
          <w:szCs w:val="20"/>
          <w:color w:val="auto"/>
        </w:rPr>
      </w:pPr>
      <w:r>
        <w:rPr>
          <w:rFonts w:ascii="Arial" w:cs="Arial" w:eastAsia="Arial" w:hAnsi="Arial"/>
          <w:sz w:val="18"/>
          <w:szCs w:val="18"/>
          <w:color w:val="auto"/>
        </w:rPr>
        <w:t>This EMPLOYMENT AGREEMENT is entered into on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between COMCAST CORPORATION, a Pennsylvania corporation (together with its subsidiaries, the “Company”), and DAVID L. COHEN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firstLine="7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1440" w:hanging="712"/>
        <w:spacing w:after="0"/>
        <w:tabs>
          <w:tab w:leader="none" w:pos="14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448"/>
        <w:spacing w:after="0" w:line="264" w:lineRule="auto"/>
        <w:tabs>
          <w:tab w:leader="none" w:pos="2135" w:val="left"/>
        </w:tabs>
        <w:numPr>
          <w:ilvl w:val="2"/>
          <w:numId w:val="28"/>
        </w:numPr>
        <w:rPr>
          <w:rFonts w:ascii="Arial" w:cs="Arial" w:eastAsia="Arial" w:hAnsi="Arial"/>
          <w:sz w:val="18"/>
          <w:szCs w:val="18"/>
          <w:color w:val="auto"/>
        </w:rPr>
      </w:pPr>
      <w:r>
        <w:rPr>
          <w:rFonts w:ascii="Arial" w:cs="Arial" w:eastAsia="Arial" w:hAnsi="Arial"/>
          <w:sz w:val="18"/>
          <w:szCs w:val="18"/>
          <w:color w:val="auto"/>
        </w:rPr>
        <w:t>Employee shall continue to serve and the Company shall continue to employ Employee in the position set forth on Schedule 1. The position and duties of Employee from time to time hereunder will be those assigned by the Company commensurate with Employee’s education, skills and experience.</w:t>
      </w:r>
    </w:p>
    <w:p>
      <w:pPr>
        <w:spacing w:after="0" w:line="181" w:lineRule="exact"/>
        <w:rPr>
          <w:rFonts w:ascii="Arial" w:cs="Arial" w:eastAsia="Arial" w:hAnsi="Arial"/>
          <w:sz w:val="18"/>
          <w:szCs w:val="18"/>
          <w:color w:val="auto"/>
        </w:rPr>
      </w:pPr>
    </w:p>
    <w:p>
      <w:pPr>
        <w:ind w:right="120" w:firstLine="1448"/>
        <w:spacing w:after="0" w:line="279" w:lineRule="auto"/>
        <w:tabs>
          <w:tab w:leader="none" w:pos="2145" w:val="left"/>
        </w:tabs>
        <w:numPr>
          <w:ilvl w:val="2"/>
          <w:numId w:val="28"/>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171" w:lineRule="exact"/>
        <w:rPr>
          <w:rFonts w:ascii="Arial" w:cs="Arial" w:eastAsia="Arial" w:hAnsi="Arial"/>
          <w:sz w:val="17"/>
          <w:szCs w:val="17"/>
          <w:color w:val="auto"/>
        </w:rPr>
      </w:pPr>
    </w:p>
    <w:p>
      <w:pPr>
        <w:ind w:right="20" w:firstLine="1448"/>
        <w:spacing w:after="0" w:line="297" w:lineRule="auto"/>
        <w:tabs>
          <w:tab w:leader="none" w:pos="2135"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whether produced or created during or after working hours; or (ii) relates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158" w:lineRule="exact"/>
        <w:rPr>
          <w:rFonts w:ascii="Arial" w:cs="Arial" w:eastAsia="Arial" w:hAnsi="Arial"/>
          <w:sz w:val="16"/>
          <w:szCs w:val="16"/>
          <w:color w:val="auto"/>
        </w:rPr>
      </w:pPr>
    </w:p>
    <w:p>
      <w:pPr>
        <w:ind w:left="1440" w:hanging="712"/>
        <w:spacing w:after="0"/>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October 1, 2005 (the “Commencement Date”) through the first to occur of:</w:t>
      </w:r>
    </w:p>
    <w:p>
      <w:pPr>
        <w:spacing w:after="0" w:line="46" w:lineRule="exact"/>
        <w:rPr>
          <w:rFonts w:ascii="Arial" w:cs="Arial" w:eastAsia="Arial" w:hAnsi="Arial"/>
          <w:sz w:val="16"/>
          <w:szCs w:val="16"/>
          <w:color w:val="auto"/>
        </w:rPr>
      </w:pPr>
    </w:p>
    <w:p>
      <w:pPr>
        <w:ind w:right="60" w:firstLine="8"/>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this Agreement is terminated in accordance with Paragraph 6; or (ii) December 31, 2010. Notwithstanding the end of the Term, certain provisions of this Agreement, including, but not limited to, any payments to be made after the Term and the covenants contained in Paragraph 8, shall be enforceable after the end of the Term.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440" w:hanging="712"/>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48"/>
        <w:spacing w:after="0" w:line="257" w:lineRule="auto"/>
        <w:tabs>
          <w:tab w:leader="none" w:pos="2135"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salary from the Commencement Date through December 31, 2006 shall be at the annual rate set forth on Schedule 1 (“Base Salary”). Base Salary, less normal deductions, shall be paid to Employee in accordance with the Company’s regular payroll practices in effect from time to time. Base Salary shall be reviewed for increase for each subsequent calendar year (or portion thereof). Once established at an increased annual rate, Base Salary shall not thereafter be reduced, unless such reduction is pursuant to an overall plan to reduce the salaries of all senior executive officers of the Company.</w:t>
      </w:r>
    </w:p>
    <w:p>
      <w:pPr>
        <w:spacing w:after="0" w:line="188" w:lineRule="exact"/>
        <w:rPr>
          <w:rFonts w:ascii="Arial" w:cs="Arial" w:eastAsia="Arial" w:hAnsi="Arial"/>
          <w:sz w:val="18"/>
          <w:szCs w:val="18"/>
          <w:color w:val="auto"/>
        </w:rPr>
      </w:pPr>
    </w:p>
    <w:p>
      <w:pPr>
        <w:ind w:left="2160" w:hanging="712"/>
        <w:spacing w:after="0"/>
        <w:tabs>
          <w:tab w:leader="none" w:pos="21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80" w:hanging="712"/>
        <w:spacing w:after="0"/>
        <w:tabs>
          <w:tab w:leader="none" w:pos="2880" w:val="left"/>
        </w:tabs>
        <w:numPr>
          <w:ilvl w:val="3"/>
          <w:numId w:val="29"/>
        </w:numPr>
        <w:rPr>
          <w:rFonts w:ascii="Arial" w:cs="Arial" w:eastAsia="Arial" w:hAnsi="Arial"/>
          <w:sz w:val="18"/>
          <w:szCs w:val="18"/>
          <w:color w:val="auto"/>
        </w:rPr>
      </w:pPr>
      <w:r>
        <w:rPr>
          <w:rFonts w:ascii="Arial" w:cs="Arial" w:eastAsia="Arial" w:hAnsi="Arial"/>
          <w:sz w:val="18"/>
          <w:szCs w:val="18"/>
          <w:color w:val="auto"/>
        </w:rPr>
        <w:t>As soon as practicable after the date hereof, Employee shall receive a grant of:</w:t>
      </w:r>
    </w:p>
    <w:p>
      <w:pPr>
        <w:spacing w:after="0" w:line="225" w:lineRule="exact"/>
        <w:rPr>
          <w:rFonts w:ascii="Arial" w:cs="Arial" w:eastAsia="Arial" w:hAnsi="Arial"/>
          <w:sz w:val="18"/>
          <w:szCs w:val="18"/>
          <w:color w:val="auto"/>
        </w:rPr>
      </w:pPr>
    </w:p>
    <w:p>
      <w:pPr>
        <w:ind w:right="60" w:firstLine="2888"/>
        <w:spacing w:after="0" w:line="312" w:lineRule="auto"/>
        <w:tabs>
          <w:tab w:leader="none" w:pos="3580" w:val="left"/>
        </w:tabs>
        <w:numPr>
          <w:ilvl w:val="4"/>
          <w:numId w:val="29"/>
        </w:numPr>
        <w:rPr>
          <w:rFonts w:ascii="Arial" w:cs="Arial" w:eastAsia="Arial" w:hAnsi="Arial"/>
          <w:sz w:val="16"/>
          <w:szCs w:val="16"/>
          <w:color w:val="auto"/>
        </w:rPr>
      </w:pPr>
      <w:r>
        <w:rPr>
          <w:rFonts w:ascii="Arial" w:cs="Arial" w:eastAsia="Arial" w:hAnsi="Arial"/>
          <w:sz w:val="16"/>
          <w:szCs w:val="16"/>
          <w:color w:val="auto"/>
        </w:rPr>
        <w:t>A non-qualified stock option to purchase the number of shares of the Company’s Class A Common Stock under the Company’s Stock Option Plans set forth on Schedule 1. The exercise price of such options shall be the closing price of the Class A Common Stock on the date of grant. Such options shall have a term of ten (10) years and shall vest and become exercisable as set forth on Schedule 1.</w:t>
      </w:r>
    </w:p>
    <w:p>
      <w:pPr>
        <w:spacing w:after="0" w:line="146" w:lineRule="exact"/>
        <w:rPr>
          <w:rFonts w:ascii="Arial" w:cs="Arial" w:eastAsia="Arial" w:hAnsi="Arial"/>
          <w:sz w:val="16"/>
          <w:szCs w:val="16"/>
          <w:color w:val="auto"/>
        </w:rPr>
      </w:pPr>
    </w:p>
    <w:p>
      <w:pPr>
        <w:ind w:left="3620" w:hanging="732"/>
        <w:spacing w:after="0"/>
        <w:tabs>
          <w:tab w:leader="none" w:pos="3620" w:val="left"/>
        </w:tabs>
        <w:numPr>
          <w:ilvl w:val="4"/>
          <w:numId w:val="29"/>
        </w:numPr>
        <w:rPr>
          <w:rFonts w:ascii="Arial" w:cs="Arial" w:eastAsia="Arial" w:hAnsi="Arial"/>
          <w:sz w:val="18"/>
          <w:szCs w:val="18"/>
          <w:color w:val="auto"/>
        </w:rPr>
      </w:pPr>
      <w:r>
        <w:rPr>
          <w:rFonts w:ascii="Arial" w:cs="Arial" w:eastAsia="Arial" w:hAnsi="Arial"/>
          <w:sz w:val="18"/>
          <w:szCs w:val="18"/>
          <w:color w:val="auto"/>
        </w:rPr>
        <w:t>Restricted stock units under the Company’s Restricted Stock Plan for the number of shares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Company’s Class A Common Stock set forth on Schedule 1. Such units shall vest as set forth on Schedule 1.</w:t>
      </w:r>
    </w:p>
    <w:p>
      <w:pPr>
        <w:spacing w:after="0" w:line="210" w:lineRule="exact"/>
        <w:rPr>
          <w:rFonts w:ascii="Arial" w:cs="Arial" w:eastAsia="Arial" w:hAnsi="Arial"/>
          <w:sz w:val="18"/>
          <w:szCs w:val="18"/>
          <w:color w:val="auto"/>
        </w:rPr>
      </w:pPr>
    </w:p>
    <w:p>
      <w:pPr>
        <w:jc w:val="both"/>
        <w:ind w:right="140" w:firstLine="2168"/>
        <w:spacing w:after="0" w:line="264" w:lineRule="auto"/>
        <w:tabs>
          <w:tab w:leader="none" w:pos="2875" w:val="left"/>
        </w:tabs>
        <w:numPr>
          <w:ilvl w:val="3"/>
          <w:numId w:val="29"/>
        </w:numPr>
        <w:rPr>
          <w:rFonts w:ascii="Arial" w:cs="Arial" w:eastAsia="Arial" w:hAnsi="Arial"/>
          <w:sz w:val="18"/>
          <w:szCs w:val="18"/>
          <w:color w:val="auto"/>
        </w:rPr>
      </w:pPr>
      <w:r>
        <w:rPr>
          <w:rFonts w:ascii="Arial" w:cs="Arial" w:eastAsia="Arial" w:hAnsi="Arial"/>
          <w:sz w:val="18"/>
          <w:szCs w:val="18"/>
          <w:color w:val="auto"/>
        </w:rPr>
        <w:t>Commencing in 2006, Employee shall be entitled to participate in any annual (or other) broad-based grant programs under the Company’s Stock Option Plans and/or Restricted Stock Plan on the same basis as is applicable to other executives at Employee’s level, taking into account Employee’s position, duties and performance.</w:t>
      </w:r>
    </w:p>
    <w:p>
      <w:pPr>
        <w:spacing w:after="0" w:line="181" w:lineRule="exact"/>
        <w:rPr>
          <w:rFonts w:ascii="Arial" w:cs="Arial" w:eastAsia="Arial" w:hAnsi="Arial"/>
          <w:sz w:val="18"/>
          <w:szCs w:val="18"/>
          <w:color w:val="auto"/>
        </w:rPr>
      </w:pPr>
    </w:p>
    <w:p>
      <w:pPr>
        <w:ind w:left="2140" w:hanging="692"/>
        <w:spacing w:after="0"/>
        <w:tabs>
          <w:tab w:leader="none" w:pos="214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168"/>
        <w:spacing w:after="0" w:line="259" w:lineRule="auto"/>
        <w:tabs>
          <w:tab w:leader="none" w:pos="2870" w:val="left"/>
        </w:tabs>
        <w:numPr>
          <w:ilvl w:val="3"/>
          <w:numId w:val="29"/>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plans as set forth on Schedule 1 through December 31, 2005. Employee’s participation in the plans, including as to any vesting for partial calendar years, will be pursuant to the terms and conditions of the plans. The performance standards applicable to such cash bonuses will be the same as those applicable to other executives at Employee’s level, taking into account Employee’s position and duties.</w:t>
      </w:r>
    </w:p>
    <w:p>
      <w:pPr>
        <w:spacing w:after="0" w:line="186" w:lineRule="exact"/>
        <w:rPr>
          <w:rFonts w:ascii="Arial" w:cs="Arial" w:eastAsia="Arial" w:hAnsi="Arial"/>
          <w:sz w:val="18"/>
          <w:szCs w:val="18"/>
          <w:color w:val="auto"/>
        </w:rPr>
      </w:pPr>
    </w:p>
    <w:p>
      <w:pPr>
        <w:ind w:right="340" w:firstLine="2168"/>
        <w:spacing w:after="0" w:line="279" w:lineRule="auto"/>
        <w:tabs>
          <w:tab w:leader="none" w:pos="2875" w:val="left"/>
        </w:tabs>
        <w:numPr>
          <w:ilvl w:val="3"/>
          <w:numId w:val="29"/>
        </w:numPr>
        <w:rPr>
          <w:rFonts w:ascii="Arial" w:cs="Arial" w:eastAsia="Arial" w:hAnsi="Arial"/>
          <w:sz w:val="17"/>
          <w:szCs w:val="17"/>
          <w:color w:val="auto"/>
        </w:rPr>
      </w:pPr>
      <w:r>
        <w:rPr>
          <w:rFonts w:ascii="Arial" w:cs="Arial" w:eastAsia="Arial" w:hAnsi="Arial"/>
          <w:sz w:val="17"/>
          <w:szCs w:val="17"/>
          <w:color w:val="auto"/>
        </w:rPr>
        <w:t>Employee shall be entitled to continued participation in the Company’s cash bonus plans (or any successor performance-based incentive compensation plans) with respect to each subsequent calendar year (or portion thereof) in the Term on the same basis as is applicable to other executives at Employee’s level, taking into account Employee’s position and duties, provided that in no event will the aggregate bonus potential thereunder be less than 125% of Base Salary in the event all targets are fully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-5046345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47" w:orient="portrait"/>
          <w:cols w:equalWidth="0" w:num="1">
            <w:col w:w="11420"/>
          </w:cols>
          <w:pgMar w:left="240" w:top="121" w:right="239" w:bottom="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60" w:hanging="712"/>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2168"/>
        <w:spacing w:after="0" w:line="277" w:lineRule="auto"/>
        <w:tabs>
          <w:tab w:leader="none" w:pos="28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170" w:lineRule="exact"/>
        <w:rPr>
          <w:rFonts w:ascii="Arial" w:cs="Arial" w:eastAsia="Arial" w:hAnsi="Arial"/>
          <w:sz w:val="18"/>
          <w:szCs w:val="18"/>
          <w:color w:val="auto"/>
        </w:rPr>
      </w:pPr>
    </w:p>
    <w:p>
      <w:pPr>
        <w:ind w:right="160" w:firstLine="2168"/>
        <w:spacing w:after="0" w:line="342" w:lineRule="auto"/>
        <w:tabs>
          <w:tab w:leader="none" w:pos="2875"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addition, the Company shall credit to Employee’s account under, and pursuant to the terms and conditions of, the Company’s 2005 Deferred Compensation Plan (or any successor plan), as of January 1 of each of the following calendar years, the following amounts:</w:t>
      </w:r>
    </w:p>
    <w:p>
      <w:pPr>
        <w:spacing w:after="0" w:line="116" w:lineRule="exact"/>
        <w:rPr>
          <w:sz w:val="20"/>
          <w:szCs w:val="20"/>
          <w:color w:val="auto"/>
        </w:rPr>
      </w:pPr>
    </w:p>
    <w:tbl>
      <w:tblPr>
        <w:tblLayout w:type="fixed"/>
        <w:tblInd w:w="4360" w:type="dxa"/>
        <w:tblCellMar>
          <w:top w:w="0" w:type="dxa"/>
          <w:left w:w="0" w:type="dxa"/>
          <w:bottom w:w="0" w:type="dxa"/>
          <w:right w:w="0" w:type="dxa"/>
        </w:tblCellMar>
      </w:tblPr>
      <w:tr>
        <w:trPr>
          <w:trHeight w:val="171"/>
        </w:trPr>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r>
      <w:tr>
        <w:trPr>
          <w:trHeight w:val="216"/>
        </w:trPr>
        <w:tc>
          <w:tcPr>
            <w:tcW w:w="130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787,500</w:t>
            </w:r>
          </w:p>
        </w:tc>
        <w:tc>
          <w:tcPr>
            <w:tcW w:w="80" w:type="dxa"/>
            <w:vAlign w:val="bottom"/>
          </w:tcPr>
          <w:p>
            <w:pPr>
              <w:spacing w:after="0"/>
              <w:rPr>
                <w:sz w:val="18"/>
                <w:szCs w:val="18"/>
                <w:color w:val="auto"/>
              </w:rPr>
            </w:pPr>
          </w:p>
        </w:tc>
      </w:tr>
      <w:tr>
        <w:trPr>
          <w:trHeight w:val="216"/>
        </w:trPr>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826,875</w:t>
            </w:r>
          </w:p>
        </w:tc>
        <w:tc>
          <w:tcPr>
            <w:tcW w:w="80" w:type="dxa"/>
            <w:vAlign w:val="bottom"/>
            <w:shd w:val="clear" w:color="auto" w:fill="CCEEFF"/>
          </w:tcPr>
          <w:p>
            <w:pPr>
              <w:spacing w:after="0"/>
              <w:rPr>
                <w:sz w:val="18"/>
                <w:szCs w:val="18"/>
                <w:color w:val="auto"/>
              </w:rPr>
            </w:pPr>
          </w:p>
        </w:tc>
      </w:tr>
      <w:tr>
        <w:trPr>
          <w:trHeight w:val="216"/>
        </w:trPr>
        <w:tc>
          <w:tcPr>
            <w:tcW w:w="130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868,219</w:t>
            </w:r>
          </w:p>
        </w:tc>
        <w:tc>
          <w:tcPr>
            <w:tcW w:w="80" w:type="dxa"/>
            <w:vAlign w:val="bottom"/>
          </w:tcPr>
          <w:p>
            <w:pPr>
              <w:spacing w:after="0"/>
              <w:rPr>
                <w:sz w:val="18"/>
                <w:szCs w:val="18"/>
                <w:color w:val="auto"/>
              </w:rPr>
            </w:pPr>
          </w:p>
        </w:tc>
      </w:tr>
      <w:tr>
        <w:trPr>
          <w:trHeight w:val="216"/>
        </w:trPr>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140" w:hanging="692"/>
        <w:spacing w:after="0"/>
        <w:tabs>
          <w:tab w:leader="none" w:pos="214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225" w:lineRule="exact"/>
        <w:rPr>
          <w:rFonts w:ascii="Arial" w:cs="Arial" w:eastAsia="Arial" w:hAnsi="Arial"/>
          <w:sz w:val="18"/>
          <w:szCs w:val="18"/>
          <w:color w:val="auto"/>
        </w:rPr>
      </w:pPr>
    </w:p>
    <w:p>
      <w:pPr>
        <w:ind w:firstLine="728"/>
        <w:spacing w:after="0" w:line="291" w:lineRule="auto"/>
        <w:tabs>
          <w:tab w:leader="none" w:pos="14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continue to participate in the Company’s benefit plans and programs (including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167" w:lineRule="exact"/>
        <w:rPr>
          <w:rFonts w:ascii="Arial" w:cs="Arial" w:eastAsia="Arial" w:hAnsi="Arial"/>
          <w:sz w:val="16"/>
          <w:szCs w:val="16"/>
          <w:color w:val="auto"/>
        </w:rPr>
      </w:pPr>
    </w:p>
    <w:p>
      <w:pPr>
        <w:ind w:right="80" w:firstLine="728"/>
        <w:spacing w:after="0" w:line="264" w:lineRule="auto"/>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regular procedures and practices in effect from time to time.</w:t>
      </w:r>
    </w:p>
    <w:p>
      <w:pPr>
        <w:spacing w:after="0" w:line="181" w:lineRule="exact"/>
        <w:rPr>
          <w:rFonts w:ascii="Arial" w:cs="Arial" w:eastAsia="Arial" w:hAnsi="Arial"/>
          <w:sz w:val="18"/>
          <w:szCs w:val="18"/>
          <w:color w:val="auto"/>
        </w:rPr>
      </w:pPr>
    </w:p>
    <w:p>
      <w:pPr>
        <w:ind w:right="40" w:firstLine="728"/>
        <w:spacing w:after="0" w:line="308" w:lineRule="auto"/>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Company or Employee may terminate Employee’s employment and the Company’s obligations or liabilities under this Agreement, excluding any obligations the Company may have under Paragraph 7, any other obligations expressly set forth herein as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surviving termination of employment, and any obligations with respect to any vested benefits of Employee, in any of the following circumstances:</w:t>
      </w:r>
    </w:p>
    <w:p>
      <w:pPr>
        <w:spacing w:after="0" w:line="237" w:lineRule="exact"/>
        <w:rPr>
          <w:sz w:val="20"/>
          <w:szCs w:val="20"/>
          <w:color w:val="auto"/>
        </w:rPr>
      </w:pPr>
    </w:p>
    <w:p>
      <w:pPr>
        <w:ind w:left="2140" w:hanging="692"/>
        <w:spacing w:after="0"/>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In the event of Employee’s death.</w:t>
      </w:r>
    </w:p>
    <w:p>
      <w:pPr>
        <w:spacing w:after="0" w:line="225" w:lineRule="exact"/>
        <w:rPr>
          <w:rFonts w:ascii="Arial" w:cs="Arial" w:eastAsia="Arial" w:hAnsi="Arial"/>
          <w:sz w:val="18"/>
          <w:szCs w:val="18"/>
          <w:color w:val="auto"/>
        </w:rPr>
      </w:pPr>
    </w:p>
    <w:p>
      <w:pPr>
        <w:ind w:firstLine="1448"/>
        <w:spacing w:after="0" w:line="264" w:lineRule="auto"/>
        <w:tabs>
          <w:tab w:leader="none" w:pos="214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181" w:lineRule="exact"/>
        <w:rPr>
          <w:rFonts w:ascii="Arial" w:cs="Arial" w:eastAsia="Arial" w:hAnsi="Arial"/>
          <w:sz w:val="18"/>
          <w:szCs w:val="18"/>
          <w:color w:val="auto"/>
        </w:rPr>
      </w:pPr>
    </w:p>
    <w:p>
      <w:pPr>
        <w:ind w:left="2140" w:hanging="692"/>
        <w:spacing w:after="0"/>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2168"/>
        <w:spacing w:after="0" w:line="257" w:lineRule="auto"/>
        <w:tabs>
          <w:tab w:leader="none" w:pos="287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Company may terminate this Agreement in any of the following events (“Discharge With Cause”):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188" w:lineRule="exact"/>
        <w:rPr>
          <w:rFonts w:ascii="Arial" w:cs="Arial" w:eastAsia="Arial" w:hAnsi="Arial"/>
          <w:sz w:val="18"/>
          <w:szCs w:val="18"/>
          <w:color w:val="auto"/>
        </w:rPr>
      </w:pPr>
    </w:p>
    <w:p>
      <w:pPr>
        <w:ind w:left="2880" w:hanging="712"/>
        <w:spacing w:after="0"/>
        <w:tabs>
          <w:tab w:leader="none" w:pos="28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Employee may terminate this Agreement without Good Reason (as defined in subparagraph (d)(ii) below)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Good Reason”).</w:t>
      </w:r>
    </w:p>
    <w:p>
      <w:pPr>
        <w:spacing w:after="0" w:line="210" w:lineRule="exact"/>
        <w:rPr>
          <w:rFonts w:ascii="Arial" w:cs="Arial" w:eastAsia="Arial" w:hAnsi="Arial"/>
          <w:sz w:val="16"/>
          <w:szCs w:val="16"/>
          <w:color w:val="auto"/>
        </w:rPr>
      </w:pPr>
    </w:p>
    <w:p>
      <w:pPr>
        <w:ind w:left="2160" w:hanging="712"/>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80" w:hanging="712"/>
        <w:spacing w:after="0"/>
        <w:tabs>
          <w:tab w:leader="none" w:pos="28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Company may terminate this Agreement other than on account of a Discharge With Cause at any time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(“Discharge Without Cause”).</w:t>
      </w:r>
    </w:p>
    <w:p>
      <w:pPr>
        <w:spacing w:after="0" w:line="210" w:lineRule="exact"/>
        <w:rPr>
          <w:rFonts w:ascii="Arial" w:cs="Arial" w:eastAsia="Arial" w:hAnsi="Arial"/>
          <w:sz w:val="17"/>
          <w:szCs w:val="17"/>
          <w:color w:val="auto"/>
        </w:rPr>
      </w:pPr>
    </w:p>
    <w:p>
      <w:pPr>
        <w:ind w:firstLine="2168"/>
        <w:spacing w:after="0" w:line="257" w:lineRule="auto"/>
        <w:tabs>
          <w:tab w:leader="none" w:pos="2875" w:val="left"/>
        </w:tabs>
        <w:numPr>
          <w:ilvl w:val="2"/>
          <w:numId w:val="33"/>
        </w:numPr>
        <w:rPr>
          <w:rFonts w:ascii="Arial" w:cs="Arial" w:eastAsia="Arial" w:hAnsi="Arial"/>
          <w:sz w:val="18"/>
          <w:szCs w:val="18"/>
          <w:color w:val="auto"/>
        </w:rPr>
      </w:pPr>
      <w:r>
        <w:rPr>
          <w:rFonts w:ascii="Arial" w:cs="Arial" w:eastAsia="Arial" w:hAnsi="Arial"/>
          <w:sz w:val="18"/>
          <w:szCs w:val="18"/>
          <w:color w:val="auto"/>
        </w:rPr>
        <w:t>Employee may terminate this Agreement in any of the following events (“With Good Reason”), provided Employee has provided Company written notice thereof within sixty (60) days of the occurrence thereof: assignment to Employee of any position or duties inconsistent in any material respect with Employee’s education, skills and experience or any other action by the Company that results in a substantial diminution in Employee’s position and duties; or material breach of any provision of this Agreement (which, as to either such items, if capable of being cured, shall remain uncured following thirty (30) days written notice thereof) (“Good Reason”).</w:t>
      </w:r>
    </w:p>
    <w:p>
      <w:pPr>
        <w:spacing w:after="0" w:line="188" w:lineRule="exact"/>
        <w:rPr>
          <w:rFonts w:ascii="Arial" w:cs="Arial" w:eastAsia="Arial" w:hAnsi="Arial"/>
          <w:sz w:val="18"/>
          <w:szCs w:val="18"/>
          <w:color w:val="auto"/>
        </w:rPr>
      </w:pPr>
    </w:p>
    <w:p>
      <w:pPr>
        <w:ind w:left="1440" w:hanging="712"/>
        <w:spacing w:after="0"/>
        <w:tabs>
          <w:tab w:leader="none" w:pos="14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Payments Upon Termination</w:t>
      </w:r>
      <w:r>
        <w:rPr>
          <w:rFonts w:ascii="Arial" w:cs="Arial" w:eastAsia="Arial" w:hAnsi="Arial"/>
          <w:sz w:val="16"/>
          <w:szCs w:val="16"/>
          <w:color w:val="auto"/>
        </w:rPr>
        <w:t>. Other than with respect to vested benefits, Employee’s sole entitlement in the case of termination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ectPr>
          <w:pgSz w:w="11900" w:h="16838" w:orient="portrait"/>
          <w:cols w:equalWidth="0" w:num="1">
            <w:col w:w="11360"/>
          </w:cols>
          <w:pgMar w:left="240" w:top="341" w:right="299" w:bottom="166" w:gutter="0" w:footer="0" w:header="0"/>
        </w:sectPr>
      </w:pPr>
    </w:p>
    <w:bookmarkStart w:id="12" w:name="page13"/>
    <w:bookmarkEnd w:id="12"/>
    <w:p>
      <w:pPr>
        <w:ind w:right="560" w:firstLine="1448"/>
        <w:spacing w:after="0" w:line="308" w:lineRule="auto"/>
        <w:tabs>
          <w:tab w:leader="none" w:pos="213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Upon termination due to death or Disability, Employee (or Employee’s estate, as applicable) will be entitled to payment of Employee’s then-current Base Salary for the period prior to termination and for the period of three (3) months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thereafter, amounts accrued or payable on account of death or Disability under any benefit plans and programs, any accrued but unused vacation time, and amounts payable on account of any unreimbursed business expenses, and an amount on account of the current year’s cash bonus program grants, pro-rated through the date of termination (assuming full achievement of performance targets). In addition, Employee’s stock options and restricted stock grants shall automatically vest in full, and the stock options shall remain exercisable for the balance of their remaining terms.</w:t>
      </w:r>
    </w:p>
    <w:p>
      <w:pPr>
        <w:spacing w:after="0" w:line="171" w:lineRule="exact"/>
        <w:rPr>
          <w:sz w:val="20"/>
          <w:szCs w:val="20"/>
          <w:color w:val="auto"/>
        </w:rPr>
      </w:pPr>
    </w:p>
    <w:p>
      <w:pPr>
        <w:jc w:val="both"/>
        <w:ind w:right="180" w:firstLine="1448"/>
        <w:spacing w:after="0" w:line="259" w:lineRule="auto"/>
        <w:tabs>
          <w:tab w:leader="none" w:pos="214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to payment of Employee’s then-current Base Salary for the period prior to termination, amounts accrued under any benefit plans and programs, any accrued but unused vacation time, and amounts payable on account of any unreimbursed business expenses.</w:t>
      </w:r>
    </w:p>
    <w:p>
      <w:pPr>
        <w:spacing w:after="0" w:line="186" w:lineRule="exact"/>
        <w:rPr>
          <w:rFonts w:ascii="Arial" w:cs="Arial" w:eastAsia="Arial" w:hAnsi="Arial"/>
          <w:sz w:val="18"/>
          <w:szCs w:val="18"/>
          <w:color w:val="auto"/>
        </w:rPr>
      </w:pPr>
    </w:p>
    <w:p>
      <w:pPr>
        <w:ind w:right="600" w:firstLine="1448"/>
        <w:spacing w:after="0" w:line="277" w:lineRule="auto"/>
        <w:tabs>
          <w:tab w:leader="none" w:pos="213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170" w:lineRule="exact"/>
        <w:rPr>
          <w:rFonts w:ascii="Arial" w:cs="Arial" w:eastAsia="Arial" w:hAnsi="Arial"/>
          <w:sz w:val="18"/>
          <w:szCs w:val="18"/>
          <w:color w:val="auto"/>
        </w:rPr>
      </w:pPr>
    </w:p>
    <w:p>
      <w:pPr>
        <w:ind w:right="80" w:firstLine="2168"/>
        <w:spacing w:after="0" w:line="255" w:lineRule="auto"/>
        <w:tabs>
          <w:tab w:leader="none" w:pos="2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continue to receive Employee’s then-current Base Salary and “health and welfare” benefit plans and programs (at the same cost to Employee as is paid by other employees), for the period of time set forth on Schedule 1 from the date of Discharge Without Cause or termination by Employee With Good Reason, in exchange for Employee’s entering into an agreement containing a release by Employee of Company with respect to all matters relating to Employee’s employment (other than with respect to Employee’s vested rights and rights under this Agreement), and such other terms as Company customarily requires of terminated employees receiving salary continuation benefits. Employee shall also receive amounts accrued under any benefit plans and programs, any accrued but unused vacation time, and amounts payable on account of any unreimbursed business expenses.</w:t>
      </w:r>
    </w:p>
    <w:p>
      <w:pPr>
        <w:spacing w:after="0" w:line="189" w:lineRule="exact"/>
        <w:rPr>
          <w:rFonts w:ascii="Arial" w:cs="Arial" w:eastAsia="Arial" w:hAnsi="Arial"/>
          <w:sz w:val="18"/>
          <w:szCs w:val="18"/>
          <w:color w:val="auto"/>
        </w:rPr>
      </w:pPr>
    </w:p>
    <w:p>
      <w:pPr>
        <w:ind w:right="360" w:firstLine="2168"/>
        <w:spacing w:after="0" w:line="264" w:lineRule="auto"/>
        <w:tabs>
          <w:tab w:leader="none" w:pos="28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have no obligation to obtain employment during the period in which Employee receives post-termination payments from the Company under this subparagraph (c). However, the Company’s obligation to continue “health and welfare” benefits and programs shall cease upon Employee’s eligibility for similar benefits from another employer.</w:t>
      </w:r>
    </w:p>
    <w:p>
      <w:pPr>
        <w:spacing w:after="0" w:line="181" w:lineRule="exact"/>
        <w:rPr>
          <w:rFonts w:ascii="Arial" w:cs="Arial" w:eastAsia="Arial" w:hAnsi="Arial"/>
          <w:sz w:val="18"/>
          <w:szCs w:val="18"/>
          <w:color w:val="auto"/>
        </w:rPr>
      </w:pPr>
    </w:p>
    <w:p>
      <w:pPr>
        <w:ind w:right="60" w:firstLine="2168"/>
        <w:spacing w:after="0" w:line="259" w:lineRule="auto"/>
        <w:tabs>
          <w:tab w:leader="none" w:pos="2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be entitled to receive payment on account of cash bonus program grants payable with respect to the period of time set forth on Schedule 1 from the date of Discharge Without Cause or termination by Employee with Good Reason, as if there had been no termination of employment (assuming full achievement of performance targets, and prorated for the period from the beginning of the calendar year following the year in which employment terminated through the end of such period of time).</w:t>
      </w:r>
    </w:p>
    <w:p>
      <w:pPr>
        <w:spacing w:after="0" w:line="186" w:lineRule="exact"/>
        <w:rPr>
          <w:rFonts w:ascii="Arial" w:cs="Arial" w:eastAsia="Arial" w:hAnsi="Arial"/>
          <w:sz w:val="18"/>
          <w:szCs w:val="18"/>
          <w:color w:val="auto"/>
        </w:rPr>
      </w:pPr>
    </w:p>
    <w:p>
      <w:pPr>
        <w:ind w:firstLine="2168"/>
        <w:spacing w:after="0" w:line="277" w:lineRule="auto"/>
        <w:tabs>
          <w:tab w:leader="none" w:pos="2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Employee’s Restricted Stock Plan grants and stock options shall continue to vest during the period of time set forth on Schedule 1 from the date of Discharge Without Cause or termination by Employee with Good Reason, as if there had been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 (and, in the case of Restricted Stock Plan grants, assuming full achievement of performance targets).</w:t>
      </w:r>
    </w:p>
    <w:p>
      <w:pPr>
        <w:spacing w:after="0" w:line="225" w:lineRule="exact"/>
        <w:rPr>
          <w:sz w:val="20"/>
          <w:szCs w:val="20"/>
          <w:color w:val="auto"/>
        </w:rPr>
      </w:pPr>
    </w:p>
    <w:p>
      <w:pPr>
        <w:ind w:firstLine="1448"/>
        <w:spacing w:after="0" w:line="255" w:lineRule="auto"/>
        <w:tabs>
          <w:tab w:leader="none" w:pos="214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Employee Following the Term</w:t>
      </w:r>
      <w:r>
        <w:rPr>
          <w:rFonts w:ascii="Arial" w:cs="Arial" w:eastAsia="Arial" w:hAnsi="Arial"/>
          <w:sz w:val="18"/>
          <w:szCs w:val="18"/>
          <w:color w:val="auto"/>
        </w:rPr>
        <w:t>. If the Company and Employee have not entered into a new employment agreement that applies following December 31, 2010, and Employee terminates his employment at any time following such date (other than with Good Reason), then either: (i) if the Company so elects by written notice to Employee given within ten (10) days of such termination: (A) the provisions of subparagraph 8(b) shall apply to Employee; and (B) the Company shall pay to Employee, for the one-year period specified in such subparagraph, Employee’s cash and bonus compensation (in the case of bonus compensation, assuming full achievement of performance targets, and based on Employee’s then existing participation levels), as if Employee’s employment had continued during this time period; or (ii) if the Company does not so elect, the provisions of subparagraph 8(b) shall not apply to Employee.</w:t>
      </w:r>
    </w:p>
    <w:p>
      <w:pPr>
        <w:spacing w:after="0" w:line="189" w:lineRule="exact"/>
        <w:rPr>
          <w:rFonts w:ascii="Arial" w:cs="Arial" w:eastAsia="Arial" w:hAnsi="Arial"/>
          <w:sz w:val="18"/>
          <w:szCs w:val="18"/>
          <w:color w:val="auto"/>
        </w:rPr>
      </w:pPr>
    </w:p>
    <w:p>
      <w:pPr>
        <w:ind w:right="320" w:firstLine="1448"/>
        <w:spacing w:after="0" w:line="277" w:lineRule="auto"/>
        <w:tabs>
          <w:tab w:leader="none" w:pos="213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170" w:lineRule="exact"/>
        <w:rPr>
          <w:rFonts w:ascii="Arial" w:cs="Arial" w:eastAsia="Arial" w:hAnsi="Arial"/>
          <w:sz w:val="18"/>
          <w:szCs w:val="18"/>
          <w:color w:val="auto"/>
        </w:rPr>
      </w:pPr>
    </w:p>
    <w:p>
      <w:pPr>
        <w:ind w:left="1440" w:hanging="712"/>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48"/>
        <w:spacing w:after="0" w:line="259" w:lineRule="auto"/>
        <w:tabs>
          <w:tab w:leader="none" w:pos="21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by the Company for any reason (whether during the Term or thereafter),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6" w:lineRule="exact"/>
        <w:rPr>
          <w:rFonts w:ascii="Arial" w:cs="Arial" w:eastAsia="Arial" w:hAnsi="Arial"/>
          <w:sz w:val="18"/>
          <w:szCs w:val="18"/>
          <w:color w:val="auto"/>
        </w:rPr>
      </w:pPr>
    </w:p>
    <w:p>
      <w:pPr>
        <w:ind w:right="40" w:firstLine="1448"/>
        <w:spacing w:after="0" w:line="253" w:lineRule="auto"/>
        <w:tabs>
          <w:tab w:leader="none" w:pos="21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(1) YEAR AFTER TERMINATION OF EMPLOYEE’S EMPLOYMENT (DURING THE TERM OR THEREAFTER, BUT IN THE CIRCUMSTANCES SET FORTH IN SUBPARAGRAPH 7(d)(i)(A), SUBJECT TO THE COMPANY’S PAYMENT OBLIGATION SET FORTH IN SUBPARAGRAPH 7(d)(i)(B)) FOR ANY REASON OTHER THAN DISCHARGE WITHOUT CAUSE, TERMINATION BY EMPLOYEE WITH GOOD REASON OR THE CIRCUMSTANCES SET FORTH IN SUBPARAGRAPH 7(d)(ii),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 DIVISION OF THE COMPANY (IN THE EVENT EMPLOYEE IS EMPLOYED BY COMCAST CORPORATION), OR BY THE BUSINESS UNIT OF THE COMPANY IN WHICH</w:t>
      </w:r>
    </w:p>
    <w:p>
      <w:pPr>
        <w:sectPr>
          <w:pgSz w:w="11900" w:h="16838" w:orient="portrait"/>
          <w:cols w:equalWidth="0" w:num="1">
            <w:col w:w="11400"/>
          </w:cols>
          <w:pgMar w:left="240" w:top="125" w:right="25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EMPLOYEE IS EMPLOYED (IN THE EVENT EMPLOYEE IS EMPLOYED BY A SUBSIDIARY OF COMCAST CORPORATION), OR BEING PLANNED BY THE COMPANY OR SUCH DIVISION OR BUSINESS UNIT (AS THE CASE MAY BE) WITH EMPLOYEE’S KNOWLEDGE AT THE TIME OF EMPLOYEE’S TERMINATION OF EMPLOYMENT.</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APPROPRIATELY TAKE ACCOUNT OF THE HIGHLY COMPETITIVE ENVIRONMENT IN THE COMPANY’S BUSINESSES, THE COMPANY AND EMPLOYEE AGREE THAT ANY BUSINESS ENGAGED IN ANY OF THE ACTIVITIES SET FORTH ON SCHEDULE 2 SHALL BE DEEMED TO BE A “COMPETITIVE BUSINESS.”</w:t>
      </w:r>
    </w:p>
    <w:p>
      <w:pPr>
        <w:spacing w:after="0" w:line="181" w:lineRule="exact"/>
        <w:rPr>
          <w:sz w:val="20"/>
          <w:szCs w:val="20"/>
          <w:color w:val="auto"/>
        </w:rPr>
      </w:pPr>
    </w:p>
    <w:p>
      <w:pPr>
        <w:ind w:right="60" w:firstLine="2168"/>
        <w:spacing w:after="0" w:line="259" w:lineRule="auto"/>
        <w:tabs>
          <w:tab w:leader="none" w:pos="25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RESTRICTION SHALL APPLY IN ANY GEOGRAPHICAL AREA OF THE UNITED STATES IN WHICH THE COMPANY CARRIES OUT BUSINESS ACTIVITIES. EMPLOYEE AGREES THAT THE LACK OF ANY MORE SPECIFIC GEOGRAPHICAL LIMITATION HEREIN IS REASONABLE IN LIGHT OF THE BROAD GEOGRAPHICAL SCOPE OF THE ACTIVITIES CARRIED OUT BY THE COMPANY IN THE UNITED STATES.</w:t>
      </w:r>
    </w:p>
    <w:p>
      <w:pPr>
        <w:spacing w:after="0" w:line="186" w:lineRule="exact"/>
        <w:rPr>
          <w:rFonts w:ascii="Arial" w:cs="Arial" w:eastAsia="Arial" w:hAnsi="Arial"/>
          <w:sz w:val="18"/>
          <w:szCs w:val="18"/>
          <w:color w:val="auto"/>
        </w:rPr>
      </w:pPr>
    </w:p>
    <w:p>
      <w:pPr>
        <w:ind w:firstLine="2168"/>
        <w:spacing w:after="0" w:line="312" w:lineRule="auto"/>
        <w:tabs>
          <w:tab w:leader="none" w:pos="25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if Employee is an attorney, Employee may engage in the practice of law in accordance with the canons of ethics of the state or states in which Employee is authorized or may be authorized to practice law.</w:t>
      </w:r>
    </w:p>
    <w:p>
      <w:pPr>
        <w:spacing w:after="0" w:line="146" w:lineRule="exact"/>
        <w:rPr>
          <w:rFonts w:ascii="Arial" w:cs="Arial" w:eastAsia="Arial" w:hAnsi="Arial"/>
          <w:sz w:val="16"/>
          <w:szCs w:val="16"/>
          <w:color w:val="auto"/>
        </w:rPr>
      </w:pPr>
    </w:p>
    <w:p>
      <w:pPr>
        <w:ind w:right="100" w:firstLine="1448"/>
        <w:spacing w:after="0" w:line="286" w:lineRule="auto"/>
        <w:tabs>
          <w:tab w:leader="none" w:pos="2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confidential information.</w:t>
      </w:r>
    </w:p>
    <w:p>
      <w:pPr>
        <w:spacing w:after="0" w:line="181" w:lineRule="exact"/>
        <w:rPr>
          <w:sz w:val="20"/>
          <w:szCs w:val="20"/>
          <w:color w:val="auto"/>
        </w:rPr>
      </w:pPr>
    </w:p>
    <w:p>
      <w:pPr>
        <w:ind w:right="100" w:firstLine="1448"/>
        <w:spacing w:after="0" w:line="291" w:lineRule="auto"/>
        <w:tabs>
          <w:tab w:leader="none" w:pos="214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67" w:lineRule="exact"/>
        <w:rPr>
          <w:rFonts w:ascii="Arial" w:cs="Arial" w:eastAsia="Arial" w:hAnsi="Arial"/>
          <w:sz w:val="16"/>
          <w:szCs w:val="16"/>
          <w:color w:val="auto"/>
        </w:rPr>
      </w:pPr>
    </w:p>
    <w:p>
      <w:pPr>
        <w:ind w:right="140" w:firstLine="1448"/>
        <w:spacing w:after="0" w:line="276" w:lineRule="auto"/>
        <w:tabs>
          <w:tab w:leader="none" w:pos="2135" w:val="left"/>
        </w:tabs>
        <w:numPr>
          <w:ilvl w:val="1"/>
          <w:numId w:val="41"/>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2" w:lineRule="exact"/>
        <w:rPr>
          <w:rFonts w:ascii="Arial" w:cs="Arial" w:eastAsia="Arial" w:hAnsi="Arial"/>
          <w:sz w:val="17"/>
          <w:szCs w:val="17"/>
          <w:color w:val="auto"/>
        </w:rPr>
      </w:pPr>
    </w:p>
    <w:p>
      <w:pPr>
        <w:ind w:right="300" w:firstLine="1448"/>
        <w:spacing w:after="0" w:line="308" w:lineRule="auto"/>
        <w:tabs>
          <w:tab w:leader="none" w:pos="21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146" w:lineRule="exact"/>
        <w:rPr>
          <w:rFonts w:ascii="Arial" w:cs="Arial" w:eastAsia="Arial" w:hAnsi="Arial"/>
          <w:sz w:val="17"/>
          <w:szCs w:val="17"/>
          <w:color w:val="auto"/>
        </w:rPr>
      </w:pPr>
    </w:p>
    <w:p>
      <w:pPr>
        <w:ind w:left="1440" w:hanging="712"/>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432"/>
        <w:spacing w:after="0"/>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Employee represents as follows:</w:t>
      </w:r>
    </w:p>
    <w:p>
      <w:pPr>
        <w:spacing w:after="0" w:line="225" w:lineRule="exact"/>
        <w:rPr>
          <w:rFonts w:ascii="Arial" w:cs="Arial" w:eastAsia="Arial" w:hAnsi="Arial"/>
          <w:sz w:val="18"/>
          <w:szCs w:val="18"/>
          <w:color w:val="auto"/>
        </w:rPr>
      </w:pPr>
    </w:p>
    <w:p>
      <w:pPr>
        <w:ind w:left="2880" w:hanging="712"/>
        <w:spacing w:after="0"/>
        <w:tabs>
          <w:tab w:leader="none" w:pos="28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Employee has had the opportunity to retain and consult with legal counsel and tax advisors of Employee’s choice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regarding the terms of this Agreement.</w:t>
      </w:r>
    </w:p>
    <w:p>
      <w:pPr>
        <w:spacing w:after="0" w:line="210" w:lineRule="exact"/>
        <w:rPr>
          <w:rFonts w:ascii="Arial" w:cs="Arial" w:eastAsia="Arial" w:hAnsi="Arial"/>
          <w:sz w:val="17"/>
          <w:szCs w:val="17"/>
          <w:color w:val="auto"/>
        </w:rPr>
      </w:pPr>
    </w:p>
    <w:p>
      <w:pPr>
        <w:ind w:left="2880" w:hanging="712"/>
        <w:spacing w:after="0"/>
        <w:tabs>
          <w:tab w:leader="none" w:pos="28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Employee in accordance with its terms.</w:t>
      </w:r>
    </w:p>
    <w:p>
      <w:pPr>
        <w:spacing w:after="0" w:line="236" w:lineRule="exact"/>
        <w:rPr>
          <w:rFonts w:ascii="Arial" w:cs="Arial" w:eastAsia="Arial" w:hAnsi="Arial"/>
          <w:sz w:val="17"/>
          <w:szCs w:val="17"/>
          <w:color w:val="auto"/>
        </w:rPr>
      </w:pPr>
    </w:p>
    <w:p>
      <w:pPr>
        <w:ind w:right="160" w:firstLine="2168"/>
        <w:spacing w:after="0" w:line="277" w:lineRule="auto"/>
        <w:tabs>
          <w:tab w:leader="none" w:pos="28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pacing w:after="0" w:line="170" w:lineRule="exact"/>
        <w:rPr>
          <w:rFonts w:ascii="Arial" w:cs="Arial" w:eastAsia="Arial" w:hAnsi="Arial"/>
          <w:sz w:val="18"/>
          <w:szCs w:val="18"/>
          <w:color w:val="auto"/>
        </w:rPr>
      </w:pPr>
    </w:p>
    <w:p>
      <w:pPr>
        <w:ind w:left="2160" w:hanging="712"/>
        <w:spacing w:after="0"/>
        <w:tabs>
          <w:tab w:leader="none" w:pos="2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represents that:</w:t>
      </w:r>
    </w:p>
    <w:p>
      <w:pPr>
        <w:sectPr>
          <w:pgSz w:w="11900" w:h="16838" w:orient="portrait"/>
          <w:cols w:equalWidth="0" w:num="1">
            <w:col w:w="11400"/>
          </w:cols>
          <w:pgMar w:left="240" w:top="341" w:right="25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40" w:hanging="898"/>
        <w:spacing w:after="0"/>
        <w:tabs>
          <w:tab w:leader="none" w:pos="20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the Company in accordance with its terms.</w:t>
      </w:r>
    </w:p>
    <w:p>
      <w:pPr>
        <w:spacing w:after="0" w:line="225" w:lineRule="exact"/>
        <w:rPr>
          <w:rFonts w:ascii="Arial" w:cs="Arial" w:eastAsia="Arial" w:hAnsi="Arial"/>
          <w:sz w:val="18"/>
          <w:szCs w:val="18"/>
          <w:color w:val="auto"/>
        </w:rPr>
      </w:pPr>
    </w:p>
    <w:p>
      <w:pPr>
        <w:ind w:right="320" w:firstLine="1142"/>
        <w:spacing w:after="0" w:line="277" w:lineRule="auto"/>
        <w:tabs>
          <w:tab w:leader="none" w:pos="2029"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170" w:lineRule="exact"/>
        <w:rPr>
          <w:rFonts w:ascii="Arial" w:cs="Arial" w:eastAsia="Arial" w:hAnsi="Arial"/>
          <w:sz w:val="18"/>
          <w:szCs w:val="18"/>
          <w:color w:val="auto"/>
        </w:rPr>
      </w:pPr>
    </w:p>
    <w:p>
      <w:pPr>
        <w:ind w:right="20" w:firstLine="656"/>
        <w:spacing w:after="0" w:line="269" w:lineRule="auto"/>
        <w:tabs>
          <w:tab w:leader="none" w:pos="136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Acceleration Event</w:t>
      </w:r>
      <w:r>
        <w:rPr>
          <w:rFonts w:ascii="Arial" w:cs="Arial" w:eastAsia="Arial" w:hAnsi="Arial"/>
          <w:sz w:val="17"/>
          <w:szCs w:val="17"/>
          <w:color w:val="auto"/>
        </w:rPr>
        <w:t>. The Company shall give Employee at least ten (10) business days’ notice (or, if not practicable, such shorter notice as may be reasonably practicable) prior to the anticipated closing date of a transaction which the Board of Directors of the Company determines to be a change of control of the Company in circumstances where it is appropriate to accelerate the vesting of employee stock options. Upon receipt of such notice, all stock options of Employee shall become immediately exercisable in full, and until the day before such anticipated closing date (or such shorter period as the Company shall reasonably determine and 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182" w:lineRule="exact"/>
        <w:rPr>
          <w:rFonts w:ascii="Arial" w:cs="Arial" w:eastAsia="Arial" w:hAnsi="Arial"/>
          <w:sz w:val="17"/>
          <w:szCs w:val="17"/>
          <w:color w:val="auto"/>
        </w:rPr>
      </w:pPr>
    </w:p>
    <w:p>
      <w:pPr>
        <w:ind w:left="1360" w:hanging="704"/>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Merger,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196"/>
        <w:spacing w:after="0" w:line="312" w:lineRule="auto"/>
        <w:tabs>
          <w:tab w:leader="none" w:pos="2063" w:val="left"/>
        </w:tabs>
        <w:numPr>
          <w:ilvl w:val="3"/>
          <w:numId w:val="44"/>
        </w:numPr>
        <w:rPr>
          <w:rFonts w:ascii="Arial" w:cs="Arial" w:eastAsia="Arial" w:hAnsi="Arial"/>
          <w:sz w:val="16"/>
          <w:szCs w:val="16"/>
          <w:color w:val="auto"/>
        </w:rPr>
      </w:pPr>
      <w:r>
        <w:rPr>
          <w:rFonts w:ascii="Arial" w:cs="Arial" w:eastAsia="Arial" w:hAnsi="Arial"/>
          <w:sz w:val="16"/>
          <w:szCs w:val="16"/>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46" w:lineRule="exact"/>
        <w:rPr>
          <w:rFonts w:ascii="Arial" w:cs="Arial" w:eastAsia="Arial" w:hAnsi="Arial"/>
          <w:sz w:val="16"/>
          <w:szCs w:val="16"/>
          <w:color w:val="auto"/>
        </w:rPr>
      </w:pPr>
    </w:p>
    <w:p>
      <w:pPr>
        <w:ind w:firstLine="1196"/>
        <w:spacing w:after="0" w:line="279" w:lineRule="auto"/>
        <w:tabs>
          <w:tab w:leader="none" w:pos="2073" w:val="left"/>
        </w:tabs>
        <w:numPr>
          <w:ilvl w:val="3"/>
          <w:numId w:val="44"/>
        </w:numPr>
        <w:rPr>
          <w:rFonts w:ascii="Arial" w:cs="Arial" w:eastAsia="Arial" w:hAnsi="Arial"/>
          <w:sz w:val="17"/>
          <w:szCs w:val="17"/>
          <w:color w:val="auto"/>
        </w:rPr>
      </w:pPr>
      <w:r>
        <w:rPr>
          <w:rFonts w:ascii="Arial" w:cs="Arial" w:eastAsia="Arial" w:hAnsi="Arial"/>
          <w:sz w:val="17"/>
          <w:szCs w:val="17"/>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71" w:lineRule="exact"/>
        <w:rPr>
          <w:rFonts w:ascii="Arial" w:cs="Arial" w:eastAsia="Arial" w:hAnsi="Arial"/>
          <w:sz w:val="17"/>
          <w:szCs w:val="17"/>
          <w:color w:val="auto"/>
        </w:rPr>
      </w:pPr>
    </w:p>
    <w:p>
      <w:pPr>
        <w:ind w:right="200" w:firstLine="728"/>
        <w:spacing w:after="0" w:line="264"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Jurisdiction; Governing Law</w:t>
      </w:r>
      <w:r>
        <w:rPr>
          <w:rFonts w:ascii="Arial" w:cs="Arial" w:eastAsia="Arial" w:hAnsi="Arial"/>
          <w:sz w:val="18"/>
          <w:szCs w:val="18"/>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189" w:lineRule="exact"/>
        <w:rPr>
          <w:sz w:val="20"/>
          <w:szCs w:val="20"/>
          <w:color w:val="auto"/>
        </w:rPr>
      </w:pPr>
    </w:p>
    <w:p>
      <w:pPr>
        <w:ind w:right="120" w:firstLine="656"/>
        <w:spacing w:after="0" w:line="264" w:lineRule="auto"/>
        <w:tabs>
          <w:tab w:leader="none" w:pos="13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Fax: (215) 981-7794; and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to Employee to: Employee’s address as indicated in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Company’s records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728"/>
        <w:spacing w:after="0" w:line="312" w:lineRule="auto"/>
        <w:tabs>
          <w:tab w:leader="none" w:pos="144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Schedules 1 and 2 hereto) constitutes the entire agreement of the parties with respect to the subject matter hereof and supercedes and replaces in its entirety the Employment Agreement dated as of July 1, 2002 between the parties, provided that any accrued rights and obligations of the parties thereunder as of the date hereof shall be unaffected by the execution of this Agreement. In the event of any</w:t>
      </w:r>
    </w:p>
    <w:p>
      <w:pPr>
        <w:sectPr>
          <w:pgSz w:w="11900" w:h="16838" w:orient="portrait"/>
          <w:cols w:equalWidth="0" w:num="1">
            <w:col w:w="11420"/>
          </w:cols>
          <w:pgMar w:left="240" w:top="125" w:right="239" w:bottom="0" w:gutter="0" w:footer="0" w:header="0"/>
        </w:sectPr>
      </w:pPr>
    </w:p>
    <w:bookmarkStart w:id="15" w:name="page16"/>
    <w:bookmarkEnd w:id="15"/>
    <w:p>
      <w:pPr>
        <w:spacing w:after="0" w:line="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conflict between the terms of this Agreement and the terms of any plans or policy of the Company (including the Employee Handbook), the terms of this Agreement shall control.</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414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14605</wp:posOffset>
            </wp:positionV>
            <wp:extent cx="2667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1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David L. Cohen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-130810</wp:posOffset>
            </wp:positionV>
            <wp:extent cx="2667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SCHEDULE 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1420" w:type="dxa"/>
            <w:vAlign w:val="bottom"/>
          </w:tcPr>
          <w:p>
            <w:pPr>
              <w:ind w:left="280"/>
              <w:spacing w:after="0"/>
              <w:rPr>
                <w:sz w:val="20"/>
                <w:szCs w:val="20"/>
                <w:color w:val="auto"/>
              </w:rPr>
            </w:pPr>
            <w:r>
              <w:rPr>
                <w:rFonts w:ascii="Arial" w:cs="Arial" w:eastAsia="Arial" w:hAnsi="Arial"/>
                <w:sz w:val="18"/>
                <w:szCs w:val="18"/>
                <w:color w:val="auto"/>
              </w:rPr>
              <w:t>Position:</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Executive Vice President</w:t>
            </w:r>
          </w:p>
        </w:tc>
      </w:tr>
      <w:tr>
        <w:trPr>
          <w:trHeight w:val="432"/>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1420" w:type="dxa"/>
            <w:vAlign w:val="bottom"/>
          </w:tcPr>
          <w:p>
            <w:pPr>
              <w:ind w:left="280"/>
              <w:spacing w:after="0"/>
              <w:rPr>
                <w:sz w:val="20"/>
                <w:szCs w:val="20"/>
                <w:color w:val="auto"/>
              </w:rPr>
            </w:pPr>
            <w:r>
              <w:rPr>
                <w:rFonts w:ascii="Arial" w:cs="Arial" w:eastAsia="Arial" w:hAnsi="Arial"/>
                <w:sz w:val="18"/>
                <w:szCs w:val="18"/>
                <w:color w:val="auto"/>
              </w:rPr>
              <w:t>Base Salary:</w:t>
            </w:r>
          </w:p>
        </w:tc>
        <w:tc>
          <w:tcPr>
            <w:tcW w:w="2040" w:type="dxa"/>
            <w:vAlign w:val="bottom"/>
          </w:tcPr>
          <w:p>
            <w:pPr>
              <w:ind w:left="220"/>
              <w:spacing w:after="0"/>
              <w:rPr>
                <w:sz w:val="20"/>
                <w:szCs w:val="20"/>
                <w:color w:val="auto"/>
              </w:rPr>
            </w:pPr>
            <w:r>
              <w:rPr>
                <w:rFonts w:ascii="Arial" w:cs="Arial" w:eastAsia="Arial" w:hAnsi="Arial"/>
                <w:sz w:val="18"/>
                <w:szCs w:val="18"/>
                <w:color w:val="auto"/>
              </w:rPr>
              <w:t>$1,200,000</w:t>
            </w:r>
          </w:p>
        </w:tc>
      </w:tr>
    </w:tbl>
    <w:p>
      <w:pPr>
        <w:spacing w:after="0" w:line="20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Stock Option Amount and Vesting Schedule: 225,000 shares; vesting: as to 112,500 shares, 40% on the second anniversary of the date of grant, and</w:t>
      </w:r>
    </w:p>
    <w:p>
      <w:pPr>
        <w:spacing w:after="0" w:line="46" w:lineRule="exact"/>
        <w:rPr>
          <w:rFonts w:ascii="Arial" w:cs="Arial" w:eastAsia="Arial" w:hAnsi="Arial"/>
          <w:sz w:val="16"/>
          <w:szCs w:val="16"/>
          <w:color w:val="auto"/>
        </w:rPr>
      </w:pPr>
    </w:p>
    <w:p>
      <w:pPr>
        <w:ind w:left="660" w:right="320"/>
        <w:spacing w:after="0" w:line="323" w:lineRule="auto"/>
        <w:rPr>
          <w:rFonts w:ascii="Arial" w:cs="Arial" w:eastAsia="Arial" w:hAnsi="Arial"/>
          <w:sz w:val="16"/>
          <w:szCs w:val="16"/>
          <w:color w:val="auto"/>
        </w:rPr>
      </w:pPr>
      <w:r>
        <w:rPr>
          <w:rFonts w:ascii="Arial" w:cs="Arial" w:eastAsia="Arial" w:hAnsi="Arial"/>
          <w:sz w:val="16"/>
          <w:szCs w:val="16"/>
          <w:color w:val="auto"/>
        </w:rPr>
        <w:t>20% on each of the third to fifth anniversaries of the date of grant; and as to 112,500 shares: 20% on the second anniversary of the date of grant, 10% on each of the third to ninth anniversaries of the date of grant, and 10% on the nine year and six month anniversary of the date of grant.</w:t>
      </w:r>
    </w:p>
    <w:p>
      <w:pPr>
        <w:spacing w:after="0" w:line="138" w:lineRule="exact"/>
        <w:rPr>
          <w:rFonts w:ascii="Arial" w:cs="Arial" w:eastAsia="Arial" w:hAnsi="Arial"/>
          <w:sz w:val="16"/>
          <w:szCs w:val="16"/>
          <w:color w:val="auto"/>
        </w:rPr>
      </w:pPr>
    </w:p>
    <w:p>
      <w:pPr>
        <w:ind w:left="720" w:hanging="71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Amount and Vesting Schedule: 87,000 units; vesting:</w:t>
      </w:r>
    </w:p>
    <w:p>
      <w:pPr>
        <w:spacing w:after="0" w:line="23" w:lineRule="exact"/>
        <w:rPr>
          <w:rFonts w:ascii="Arial" w:cs="Arial" w:eastAsia="Arial" w:hAnsi="Arial"/>
          <w:sz w:val="18"/>
          <w:szCs w:val="18"/>
          <w:color w:val="auto"/>
        </w:rPr>
      </w:pPr>
    </w:p>
    <w:p>
      <w:pPr>
        <w:ind w:left="720" w:right="4760"/>
        <w:spacing w:after="0" w:line="261" w:lineRule="auto"/>
        <w:rPr>
          <w:rFonts w:ascii="Arial" w:cs="Arial" w:eastAsia="Arial" w:hAnsi="Arial"/>
          <w:sz w:val="18"/>
          <w:szCs w:val="18"/>
          <w:color w:val="auto"/>
        </w:rPr>
      </w:pPr>
      <w:r>
        <w:rPr>
          <w:rFonts w:ascii="Arial" w:cs="Arial" w:eastAsia="Arial" w:hAnsi="Arial"/>
          <w:sz w:val="18"/>
          <w:szCs w:val="18"/>
          <w:color w:val="auto"/>
        </w:rPr>
        <w:t>15% on each of the first through fourth anniversaries of the date of grant and 40% on the fifth anniversary of the date of grant.</w:t>
      </w:r>
    </w:p>
    <w:p>
      <w:pPr>
        <w:spacing w:after="0" w:line="183" w:lineRule="exact"/>
        <w:rPr>
          <w:rFonts w:ascii="Arial" w:cs="Arial" w:eastAsia="Arial" w:hAnsi="Arial"/>
          <w:sz w:val="18"/>
          <w:szCs w:val="18"/>
          <w:color w:val="auto"/>
        </w:rPr>
      </w:pPr>
    </w:p>
    <w:p>
      <w:pPr>
        <w:ind w:left="720" w:hanging="71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Bonuses. Bonus potential under Executive Cash Bonus Plan:  75% of Base</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Salary. Bonus potential under Supplemental Cash Bonus Plan: 50% of Base Salary.</w:t>
      </w:r>
    </w:p>
    <w:p>
      <w:pPr>
        <w:spacing w:after="0" w:line="210" w:lineRule="exact"/>
        <w:rPr>
          <w:rFonts w:ascii="Arial" w:cs="Arial" w:eastAsia="Arial" w:hAnsi="Arial"/>
          <w:sz w:val="18"/>
          <w:szCs w:val="18"/>
          <w:color w:val="auto"/>
        </w:rPr>
      </w:pPr>
    </w:p>
    <w:p>
      <w:pPr>
        <w:ind w:left="720" w:right="4580" w:hanging="712"/>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Bonus Programs, Restricted Stock Plan and Stock Option Plan Grants Continued Payment/Vesting Period following Discharge Without Cause or Termination With Good Reason: 12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3" w:lineRule="exact"/>
        <w:rPr>
          <w:sz w:val="20"/>
          <w:szCs w:val="20"/>
          <w:color w:val="auto"/>
        </w:rPr>
      </w:pPr>
    </w:p>
    <w:p>
      <w:pPr>
        <w:ind w:left="980" w:hanging="648"/>
        <w:spacing w:after="0" w:line="288" w:lineRule="auto"/>
        <w:tabs>
          <w:tab w:leader="none" w:pos="97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DirecTV, Inc.; Echostar Communications Corporation; Knology Holdings, Inc.; Qwest Communications International, Inc.; RCN Corporation; SBC Communications, Inc.; Time Warner Cable, Inc.; Verizon Communications, Inc.; and Wide Open West.</w:t>
      </w:r>
    </w:p>
    <w:p>
      <w:pPr>
        <w:spacing w:after="0" w:line="168" w:lineRule="exact"/>
        <w:rPr>
          <w:rFonts w:ascii="Arial" w:cs="Arial" w:eastAsia="Arial" w:hAnsi="Arial"/>
          <w:sz w:val="16"/>
          <w:szCs w:val="16"/>
          <w:color w:val="auto"/>
        </w:rPr>
      </w:pPr>
    </w:p>
    <w:p>
      <w:pPr>
        <w:ind w:left="980" w:right="40" w:hanging="648"/>
        <w:spacing w:after="0" w:line="291" w:lineRule="auto"/>
        <w:tabs>
          <w:tab w:leader="none" w:pos="9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DirecTV, Inc.; Echostar Communications Corporation; Knology Holdings, Inc.; Qwest Communications International, Inc.; RCN Corporation; SBC Communications, Inc.; Sprint Corporation; MCI, Inc.; Time Warner Inc.; Verizon Communications, Inc.; and Wide Open West.</w:t>
      </w:r>
    </w:p>
    <w:p>
      <w:pPr>
        <w:spacing w:after="0" w:line="167" w:lineRule="exact"/>
        <w:rPr>
          <w:rFonts w:ascii="Arial" w:cs="Arial" w:eastAsia="Arial" w:hAnsi="Arial"/>
          <w:sz w:val="16"/>
          <w:szCs w:val="16"/>
          <w:color w:val="auto"/>
        </w:rPr>
      </w:pPr>
    </w:p>
    <w:p>
      <w:pPr>
        <w:ind w:left="980" w:right="40" w:hanging="648"/>
        <w:spacing w:after="0" w:line="312" w:lineRule="auto"/>
        <w:tabs>
          <w:tab w:leader="none" w:pos="9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w:t>
      </w:r>
    </w:p>
    <w:p>
      <w:pPr>
        <w:sectPr>
          <w:pgSz w:w="11900" w:h="16885" w:orient="portrait"/>
          <w:cols w:equalWidth="0" w:num="1">
            <w:col w:w="11400"/>
          </w:cols>
          <w:pgMar w:left="240" w:top="125" w:right="259" w:bottom="0" w:gutter="0" w:footer="0" w:header="0"/>
        </w:sectPr>
      </w:pPr>
    </w:p>
    <w:bookmarkStart w:id="16" w:name="page17"/>
    <w:bookmarkEnd w:id="16"/>
    <w:p>
      <w:pPr>
        <w:ind w:left="648"/>
        <w:spacing w:after="0" w:line="297" w:lineRule="auto"/>
        <w:rPr>
          <w:sz w:val="20"/>
          <w:szCs w:val="20"/>
          <w:color w:val="auto"/>
        </w:rPr>
      </w:pPr>
      <w:r>
        <w:rPr>
          <w:rFonts w:ascii="Arial" w:cs="Arial" w:eastAsia="Arial" w:hAnsi="Arial"/>
          <w:sz w:val="16"/>
          <w:szCs w:val="16"/>
          <w:color w:val="auto"/>
        </w:rPr>
        <w:t>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DirecTV, Inc.; Echostar Communications Corporation; Google, Inc.; Knology Holdings, Inc.; MCI, Inc.; Microsoft Corporation (including MSN); Qwest Communications International, Inc.; RCN Corporation; SBC Communications, Inc.; Sprint Corporation; Time Warner Inc. (including AOL); Verizon Communications, Inc.; and Yahoo, Inc.</w:t>
      </w:r>
    </w:p>
    <w:p>
      <w:pPr>
        <w:spacing w:after="0" w:line="37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8" w:right="20" w:hanging="648"/>
        <w:spacing w:after="0" w:line="257" w:lineRule="auto"/>
        <w:tabs>
          <w:tab w:leader="none" w:pos="6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 of wireless communications services to residential or commercial subscribers,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Corporation; T-Mobile USA, Inc.; and Verizon Communications, Inc.</w:t>
      </w:r>
    </w:p>
    <w:p>
      <w:pPr>
        <w:spacing w:after="0" w:line="188" w:lineRule="exact"/>
        <w:rPr>
          <w:rFonts w:ascii="Arial" w:cs="Arial" w:eastAsia="Arial" w:hAnsi="Arial"/>
          <w:sz w:val="18"/>
          <w:szCs w:val="18"/>
          <w:color w:val="auto"/>
        </w:rPr>
      </w:pPr>
    </w:p>
    <w:p>
      <w:pPr>
        <w:ind w:left="648" w:right="40" w:hanging="648"/>
        <w:spacing w:after="0" w:line="271" w:lineRule="auto"/>
        <w:tabs>
          <w:tab w:leader="none" w:pos="6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CBS and Paramount).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8"/>
          </w:cols>
          <w:pgMar w:left="572" w:top="125" w:right="27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128905</wp:posOffset>
            </wp:positionV>
            <wp:extent cx="285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3" w:lineRule="exact"/>
        <w:rPr>
          <w:sz w:val="20"/>
          <w:szCs w:val="20"/>
          <w:color w:val="auto"/>
        </w:rPr>
      </w:pPr>
    </w:p>
    <w:p>
      <w:pPr>
        <w:ind w:right="300" w:firstLine="720"/>
        <w:spacing w:after="0" w:line="210" w:lineRule="auto"/>
        <w:rPr>
          <w:sz w:val="20"/>
          <w:szCs w:val="20"/>
          <w:color w:val="auto"/>
        </w:rPr>
      </w:pPr>
      <w:r>
        <w:rPr>
          <w:rFonts w:ascii="Arial" w:cs="Arial" w:eastAsia="Arial" w:hAnsi="Arial"/>
          <w:sz w:val="18"/>
          <w:szCs w:val="18"/>
          <w:color w:val="auto"/>
        </w:rPr>
        <w:t>This EMPLOYMENT AGREEMENT is entered into on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between COMCAST CORPORATION, a Pennsylvania corporation (together with its subsidiaries, the “Company”), and LAWRENCE S. SMITH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0" w:firstLine="7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continue and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1440" w:hanging="712"/>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48"/>
        <w:spacing w:after="0" w:line="264" w:lineRule="auto"/>
        <w:tabs>
          <w:tab w:leader="none" w:pos="21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During the Executive Term (as such term is defined in subparagraph 2(b)), Employee shall continue to serve and the Company shall continue to employ Employee in the position set forth on Schedule 1. The position and duties of Employee during the Executive Term hereunder will be those assigned by the Company commensurate with Employee’s education, skills and experience.</w:t>
      </w:r>
    </w:p>
    <w:p>
      <w:pPr>
        <w:spacing w:after="0" w:line="181" w:lineRule="exact"/>
        <w:rPr>
          <w:rFonts w:ascii="Arial" w:cs="Arial" w:eastAsia="Arial" w:hAnsi="Arial"/>
          <w:sz w:val="18"/>
          <w:szCs w:val="18"/>
          <w:color w:val="auto"/>
        </w:rPr>
      </w:pPr>
    </w:p>
    <w:p>
      <w:pPr>
        <w:ind w:right="120" w:firstLine="1448"/>
        <w:spacing w:after="0" w:line="255" w:lineRule="auto"/>
        <w:tabs>
          <w:tab w:leader="none" w:pos="21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During the Executive Term, Employee shall work full-time. During his working hours in the Term (as such term is defined in subparagraph 2(a)), Employee shall devote his reasonable best efforts to the business of the Company in a manner which will further the interests of the Company. During the Executive Term, without the prior written consent of the Company, Employee shall not, directly or indirectly, work for or on behalf of any person or business, other than the Company, provided that Employee may continue in his capacity as a director of Air Products and Chemicals, Inc. Nothing herein shall restrict Employee from engaging in non-compensatory civic and charitable activities with the consent of the Company, which consent shall not be unreasonably withheld or delayed.</w:t>
      </w:r>
    </w:p>
    <w:p>
      <w:pPr>
        <w:spacing w:after="0" w:line="193" w:lineRule="exact"/>
        <w:rPr>
          <w:rFonts w:ascii="Arial" w:cs="Arial" w:eastAsia="Arial" w:hAnsi="Arial"/>
          <w:sz w:val="18"/>
          <w:szCs w:val="18"/>
          <w:color w:val="auto"/>
        </w:rPr>
      </w:pPr>
    </w:p>
    <w:p>
      <w:pPr>
        <w:ind w:right="20" w:firstLine="1448"/>
        <w:spacing w:after="0" w:line="297" w:lineRule="auto"/>
        <w:tabs>
          <w:tab w:leader="none" w:pos="213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whether produced or created during or after working hours; or (ii) relates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2" w:lineRule="exact"/>
        <w:rPr>
          <w:rFonts w:ascii="Arial" w:cs="Arial" w:eastAsia="Arial" w:hAnsi="Arial"/>
          <w:sz w:val="16"/>
          <w:szCs w:val="16"/>
          <w:color w:val="auto"/>
        </w:rPr>
      </w:pPr>
    </w:p>
    <w:p>
      <w:pPr>
        <w:ind w:left="1440" w:hanging="712"/>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48"/>
        <w:spacing w:after="0" w:line="276" w:lineRule="auto"/>
        <w:tabs>
          <w:tab w:leader="none" w:pos="2135"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Company shall continue to employ Employee and Employee shall continue to serve the Company as an employee, on the terms and conditions set forth herein, for a term (the “Term”) commencing as of October 1, 2005 (the “Commencement Date”) and ending on the first to occur of: (i) the Early Termination Date (as such term is defined in subparagraph (c) below); (ii) the date this Agreement is terminated in accordance with Paragraph 6; or (iii) December 31, 2008. Notwithstanding the end of the Term, certain provisions of this Agreement, including, but not limited to, any payments to be made after the Term and the covenants contained in Paragraph 8, shall be enforceable after the end of the Term.</w:t>
      </w:r>
    </w:p>
    <w:p>
      <w:pPr>
        <w:spacing w:after="0" w:line="172" w:lineRule="exact"/>
        <w:rPr>
          <w:rFonts w:ascii="Arial" w:cs="Arial" w:eastAsia="Arial" w:hAnsi="Arial"/>
          <w:sz w:val="17"/>
          <w:szCs w:val="17"/>
          <w:color w:val="auto"/>
        </w:rPr>
      </w:pPr>
    </w:p>
    <w:p>
      <w:pPr>
        <w:ind w:right="120" w:firstLine="1448"/>
        <w:spacing w:after="0" w:line="277" w:lineRule="auto"/>
        <w:tabs>
          <w:tab w:leader="none" w:pos="21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shall continue to serve as an executive employee during the Term until the first to occur of: (i) December 31, 2008, or (ii) the Change of Status Date (as such term is defined in subparagraph (c) below (the “Executive Term”)).</w:t>
      </w:r>
    </w:p>
    <w:p>
      <w:pPr>
        <w:spacing w:after="0" w:line="170" w:lineRule="exact"/>
        <w:rPr>
          <w:rFonts w:ascii="Arial" w:cs="Arial" w:eastAsia="Arial" w:hAnsi="Arial"/>
          <w:sz w:val="18"/>
          <w:szCs w:val="18"/>
          <w:color w:val="auto"/>
        </w:rPr>
      </w:pPr>
    </w:p>
    <w:p>
      <w:pPr>
        <w:ind w:right="80" w:firstLine="1448"/>
        <w:spacing w:after="0" w:line="255" w:lineRule="auto"/>
        <w:tabs>
          <w:tab w:leader="none" w:pos="21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shall have the right, upon at least ninety (90) days’ prior written notice (the “Employee Notice”), to notify the Company of his decision to end his status as a full-time executive employee and begin his status as a part-time non-executive employee for the balance of the Term, effective on the date (the “Change of Status Date”) specified in the Employee Notice (provided such date is no earlier than January 1, 2007). In the event the Company receives an Employee Notice: (i) it shall have the right, exercisable by written notice given at any time during the balance of the Term, to terminate Employee’s employment on the date (the “Early Termination Date”) specified in such notice (provided such date is no earlier than December 31, 2006 or a date that is thirty (30) days following its receipt of the Employee Notice, whichever is later); and (ii) the provisions set forth in Paragraph 9 shall apply.</w:t>
      </w:r>
    </w:p>
    <w:p>
      <w:pPr>
        <w:spacing w:after="0" w:line="189" w:lineRule="exact"/>
        <w:rPr>
          <w:rFonts w:ascii="Arial" w:cs="Arial" w:eastAsia="Arial" w:hAnsi="Arial"/>
          <w:sz w:val="18"/>
          <w:szCs w:val="18"/>
          <w:color w:val="auto"/>
        </w:rPr>
      </w:pPr>
    </w:p>
    <w:p>
      <w:pPr>
        <w:ind w:left="1440" w:hanging="712"/>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48"/>
        <w:spacing w:after="0" w:line="276" w:lineRule="auto"/>
        <w:tabs>
          <w:tab w:leader="none" w:pos="2135"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Employee’s salary from the Commencement Date through December 31, 2006 shall be at the annual rate set forth on Schedule 1 (“Base Salary”). Base Salary, less normal deductions, shall be paid to Employee in accordance with the Company’s regular payroll practices in effect from time to time. Base Salary shall be reviewed for increase for each subsequent calendar year (or portion thereof). Once established at an increased annual rate, Base Salary shall not thereafter be reduced (other than pursuant to the provisions of subparagraph 9(b)), unless such reduction is pursuant to an overall plan to reduce the salaries of all senior executive officers of the Company.</w:t>
      </w:r>
    </w:p>
    <w:p>
      <w:pPr>
        <w:spacing w:after="0" w:line="172" w:lineRule="exact"/>
        <w:rPr>
          <w:rFonts w:ascii="Arial" w:cs="Arial" w:eastAsia="Arial" w:hAnsi="Arial"/>
          <w:sz w:val="17"/>
          <w:szCs w:val="17"/>
          <w:color w:val="auto"/>
        </w:rPr>
      </w:pPr>
    </w:p>
    <w:p>
      <w:pPr>
        <w:ind w:left="2160" w:hanging="712"/>
        <w:spacing w:after="0"/>
        <w:tabs>
          <w:tab w:leader="none" w:pos="216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168"/>
        <w:spacing w:after="0" w:line="264" w:lineRule="auto"/>
        <w:tabs>
          <w:tab w:leader="none" w:pos="287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Subject to the provisions of Paragraph 9, Employee shall continue to be entitled to receive grants under any annual (or other) broad-based grant programs under the Company’s Stock Option Plan and/or Restricted Stock Plan on the same basis as is applicable to other executives at Employee’s level, taking into account Employee’s position, duties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-4765675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8" w:name="page19"/>
    <w:bookmarkEnd w:id="18"/>
    <w:p>
      <w:pPr>
        <w:ind w:right="20" w:firstLine="2168"/>
        <w:spacing w:after="0" w:line="264" w:lineRule="auto"/>
        <w:tabs>
          <w:tab w:leader="none" w:pos="2875"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Notwithstanding any provisions of the Company’s Restricted Stock Plan or the documentation issued pursuant thereto evidencing grants thereunder to the contrary, Employee shall be entitled to receive the vesting of all restricted stock amounts under such Plan through June 30, 2007, in the event the Early Termination Date (if any) occurs prior to such date.</w:t>
      </w:r>
    </w:p>
    <w:p>
      <w:pPr>
        <w:spacing w:after="0" w:line="181" w:lineRule="exact"/>
        <w:rPr>
          <w:rFonts w:ascii="Arial" w:cs="Arial" w:eastAsia="Arial" w:hAnsi="Arial"/>
          <w:sz w:val="18"/>
          <w:szCs w:val="18"/>
          <w:color w:val="auto"/>
        </w:rPr>
      </w:pPr>
    </w:p>
    <w:p>
      <w:pPr>
        <w:ind w:right="340" w:firstLine="2168"/>
        <w:spacing w:after="0" w:line="312" w:lineRule="auto"/>
        <w:tabs>
          <w:tab w:leader="none" w:pos="28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Effective as of the date hereof, Employee’s outstanding stock options are hereby amended to provide as follows, notwithstanding any other provisions of the Company’s Stock Option Plans or the documentation issued pursuant thereto evidencing such options. All of Employee’s stock options, to the extent not so amended, remain in full force and effect pursuant to their existing terms and conditions.</w:t>
      </w:r>
    </w:p>
    <w:p>
      <w:pPr>
        <w:spacing w:after="0" w:line="146" w:lineRule="exact"/>
        <w:rPr>
          <w:rFonts w:ascii="Arial" w:cs="Arial" w:eastAsia="Arial" w:hAnsi="Arial"/>
          <w:sz w:val="16"/>
          <w:szCs w:val="16"/>
          <w:color w:val="auto"/>
        </w:rPr>
      </w:pPr>
    </w:p>
    <w:p>
      <w:pPr>
        <w:ind w:right="60" w:firstLine="2888"/>
        <w:spacing w:after="0" w:line="276" w:lineRule="auto"/>
        <w:tabs>
          <w:tab w:leader="none" w:pos="3580"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stock options listed on Schedule A (the “A Options”) will automatically vest in full in the event of the termination of Employee’s employment in any of the following events: (1) death, (2) Disability (as such term is defined in subparagraph 6(b)); (3) Discharge Without Cause (as such term is defined in subparagraph 6(d)(i)) by the Company or termination with Good Reason (as such term is defined in subparagraph 6(d)(ii)) by Employee; (4) the end of the Term under subparagraph 2(a)(i); or (5) the end of the Term under subparagraph 2(a)(iii) (each of the events specified in subparagraphs (1) through (5) above are referred to herein as a “Special Vesting Event”).</w:t>
      </w:r>
    </w:p>
    <w:p>
      <w:pPr>
        <w:spacing w:after="0" w:line="172" w:lineRule="exact"/>
        <w:rPr>
          <w:rFonts w:ascii="Arial" w:cs="Arial" w:eastAsia="Arial" w:hAnsi="Arial"/>
          <w:sz w:val="17"/>
          <w:szCs w:val="17"/>
          <w:color w:val="auto"/>
        </w:rPr>
      </w:pPr>
    </w:p>
    <w:p>
      <w:pPr>
        <w:ind w:left="3620" w:hanging="732"/>
        <w:spacing w:after="0"/>
        <w:tabs>
          <w:tab w:leader="none" w:pos="3620"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A Options will be exercisable, in whole or in part, on and only on the date indicated on Schedule A.</w:t>
      </w:r>
    </w:p>
    <w:p>
      <w:pPr>
        <w:spacing w:after="0" w:line="236" w:lineRule="exact"/>
        <w:rPr>
          <w:rFonts w:ascii="Arial" w:cs="Arial" w:eastAsia="Arial" w:hAnsi="Arial"/>
          <w:sz w:val="17"/>
          <w:szCs w:val="17"/>
          <w:color w:val="auto"/>
        </w:rPr>
      </w:pPr>
    </w:p>
    <w:p>
      <w:pPr>
        <w:ind w:left="3620" w:hanging="732"/>
        <w:spacing w:after="0"/>
        <w:tabs>
          <w:tab w:leader="none" w:pos="3620"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stock option granted June 16, 1998 will automatically vest in full upon a Special Vesting Event.</w:t>
      </w:r>
    </w:p>
    <w:p>
      <w:pPr>
        <w:spacing w:after="0" w:line="236" w:lineRule="exact"/>
        <w:rPr>
          <w:rFonts w:ascii="Arial" w:cs="Arial" w:eastAsia="Arial" w:hAnsi="Arial"/>
          <w:sz w:val="17"/>
          <w:szCs w:val="17"/>
          <w:color w:val="auto"/>
        </w:rPr>
      </w:pPr>
    </w:p>
    <w:p>
      <w:pPr>
        <w:ind w:left="3580" w:hanging="692"/>
        <w:spacing w:after="0"/>
        <w:tabs>
          <w:tab w:leader="none" w:pos="3580"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stock options listed on Schedule B (the “B Options”) will automatically vest in full upon a Special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Vesting Event.</w:t>
      </w:r>
    </w:p>
    <w:p>
      <w:pPr>
        <w:spacing w:after="0" w:line="210" w:lineRule="exact"/>
        <w:rPr>
          <w:rFonts w:ascii="Arial" w:cs="Arial" w:eastAsia="Arial" w:hAnsi="Arial"/>
          <w:sz w:val="17"/>
          <w:szCs w:val="17"/>
          <w:color w:val="auto"/>
        </w:rPr>
      </w:pPr>
    </w:p>
    <w:p>
      <w:pPr>
        <w:ind w:left="3620" w:hanging="732"/>
        <w:spacing w:after="0"/>
        <w:tabs>
          <w:tab w:leader="none" w:pos="3620"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B Options will be exercisable, in whole or in part and to the extent then vested, on any date through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indicated on Schedule B.</w:t>
      </w:r>
    </w:p>
    <w:p>
      <w:pPr>
        <w:spacing w:after="0" w:line="210" w:lineRule="exact"/>
        <w:rPr>
          <w:rFonts w:ascii="Arial" w:cs="Arial" w:eastAsia="Arial" w:hAnsi="Arial"/>
          <w:sz w:val="16"/>
          <w:szCs w:val="16"/>
          <w:color w:val="auto"/>
        </w:rPr>
      </w:pPr>
    </w:p>
    <w:p>
      <w:pPr>
        <w:ind w:left="3600" w:hanging="712"/>
        <w:spacing w:after="0"/>
        <w:tabs>
          <w:tab w:leader="none" w:pos="36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exercise price per share of the B Options is increased to $25.83.</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2168"/>
        <w:spacing w:after="0" w:line="259" w:lineRule="auto"/>
        <w:tabs>
          <w:tab w:leader="none" w:pos="28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the provisions of Paragraph 9, Employee shall continue to be entitled to receive grants under the Company’s cash bonus plans (or any successor performance-based incentive compensation plans) with respect to each calendar year on the same basis as is applicable to other executives at Employee’s level, taking into account Employee’s position and duties, provided that in no event will the aggregate bonus potential thereunder be less than 125% of Base Salary in the event all targets are fully achieved.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2168"/>
        <w:spacing w:after="0" w:line="259" w:lineRule="auto"/>
        <w:tabs>
          <w:tab w:leader="none" w:pos="28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provisions of the Company’s cash bonus plans or the documentation issued pursuant thereto evidencing grants thereunder to the contrary, Employee shall be entitled to receive payment of all vestings under all grants made under such plans, pursuant to their terms, on account of each calendar year hereunder, provided Employee remains employed through December 31 of such calendar year (regardless of whether Employee is employed in the following calendar year at the time such payments are made).</w:t>
      </w:r>
    </w:p>
    <w:p>
      <w:pPr>
        <w:spacing w:after="0" w:line="186" w:lineRule="exact"/>
        <w:rPr>
          <w:rFonts w:ascii="Arial" w:cs="Arial" w:eastAsia="Arial" w:hAnsi="Arial"/>
          <w:sz w:val="18"/>
          <w:szCs w:val="18"/>
          <w:color w:val="auto"/>
        </w:rPr>
      </w:pPr>
    </w:p>
    <w:p>
      <w:pPr>
        <w:ind w:left="2880" w:hanging="712"/>
        <w:spacing w:after="0"/>
        <w:tabs>
          <w:tab w:leader="none" w:pos="2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will pay Employee additional cash bonuses in the following amounts on the following dates:</w:t>
      </w:r>
    </w:p>
    <w:p>
      <w:pPr>
        <w:spacing w:after="0" w:line="208"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Arial" w:cs="Arial" w:eastAsia="Arial" w:hAnsi="Arial"/>
                <w:sz w:val="18"/>
                <w:szCs w:val="18"/>
                <w:color w:val="auto"/>
              </w:rPr>
              <w:t>Date:</w:t>
            </w:r>
          </w:p>
        </w:tc>
        <w:tc>
          <w:tcPr>
            <w:tcW w:w="1780" w:type="dxa"/>
            <w:vAlign w:val="bottom"/>
            <w:gridSpan w:val="2"/>
          </w:tcPr>
          <w:p>
            <w:pPr>
              <w:ind w:left="1200"/>
              <w:spacing w:after="0"/>
              <w:rPr>
                <w:sz w:val="20"/>
                <w:szCs w:val="20"/>
                <w:color w:val="auto"/>
              </w:rPr>
            </w:pPr>
            <w:r>
              <w:rPr>
                <w:rFonts w:ascii="Arial" w:cs="Arial" w:eastAsia="Arial" w:hAnsi="Arial"/>
                <w:sz w:val="18"/>
                <w:szCs w:val="18"/>
                <w:color w:val="auto"/>
                <w:w w:val="90"/>
              </w:rPr>
              <w:t>Amount</w:t>
            </w:r>
          </w:p>
        </w:tc>
      </w:tr>
      <w:tr>
        <w:trPr>
          <w:trHeight w:val="20"/>
        </w:trPr>
        <w:tc>
          <w:tcPr>
            <w:tcW w:w="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53"/>
        </w:trPr>
        <w:tc>
          <w:tcPr>
            <w:tcW w:w="1680" w:type="dxa"/>
            <w:vAlign w:val="bottom"/>
            <w:gridSpan w:val="2"/>
          </w:tcPr>
          <w:p>
            <w:pPr>
              <w:spacing w:after="0"/>
              <w:rPr>
                <w:sz w:val="20"/>
                <w:szCs w:val="20"/>
                <w:color w:val="auto"/>
              </w:rPr>
            </w:pPr>
            <w:r>
              <w:rPr>
                <w:rFonts w:ascii="Arial" w:cs="Arial" w:eastAsia="Arial" w:hAnsi="Arial"/>
                <w:sz w:val="18"/>
                <w:szCs w:val="18"/>
                <w:color w:val="auto"/>
              </w:rPr>
              <w:t>January 2, 2009</w:t>
            </w: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$119,400; and</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October 26, 2012</w:t>
            </w:r>
          </w:p>
        </w:tc>
        <w:tc>
          <w:tcPr>
            <w:tcW w:w="1200" w:type="dxa"/>
            <w:vAlign w:val="bottom"/>
          </w:tcPr>
          <w:p>
            <w:pPr>
              <w:ind w:left="440"/>
              <w:spacing w:after="0"/>
              <w:rPr>
                <w:sz w:val="20"/>
                <w:szCs w:val="20"/>
                <w:color w:val="auto"/>
              </w:rPr>
            </w:pPr>
            <w:r>
              <w:rPr>
                <w:rFonts w:ascii="Arial" w:cs="Arial" w:eastAsia="Arial" w:hAnsi="Arial"/>
                <w:sz w:val="18"/>
                <w:szCs w:val="18"/>
                <w:color w:val="auto"/>
                <w:w w:val="92"/>
              </w:rPr>
              <w:t>$119,400.</w:t>
            </w:r>
          </w:p>
        </w:tc>
        <w:tc>
          <w:tcPr>
            <w:tcW w:w="580" w:type="dxa"/>
            <w:vAlign w:val="bottom"/>
          </w:tcPr>
          <w:p>
            <w:pPr>
              <w:spacing w:after="0"/>
              <w:rPr>
                <w:sz w:val="24"/>
                <w:szCs w:val="24"/>
                <w:color w:val="auto"/>
              </w:rPr>
            </w:pPr>
          </w:p>
        </w:tc>
      </w:tr>
    </w:tbl>
    <w:p>
      <w:pPr>
        <w:spacing w:after="0" w:line="202" w:lineRule="exact"/>
        <w:rPr>
          <w:sz w:val="20"/>
          <w:szCs w:val="20"/>
          <w:color w:val="auto"/>
        </w:rPr>
      </w:pPr>
    </w:p>
    <w:p>
      <w:pPr>
        <w:ind w:right="280" w:firstLine="2168"/>
        <w:spacing w:after="0" w:line="286" w:lineRule="auto"/>
        <w:tabs>
          <w:tab w:leader="none" w:pos="2870" w:val="left"/>
        </w:tabs>
        <w:numPr>
          <w:ilvl w:val="2"/>
          <w:numId w:val="54"/>
        </w:numPr>
        <w:rPr>
          <w:rFonts w:ascii="Arial" w:cs="Arial" w:eastAsia="Arial" w:hAnsi="Arial"/>
          <w:sz w:val="17"/>
          <w:szCs w:val="17"/>
          <w:color w:val="auto"/>
        </w:rPr>
      </w:pPr>
      <w:r>
        <w:rPr>
          <w:rFonts w:ascii="Arial" w:cs="Arial" w:eastAsia="Arial" w:hAnsi="Arial"/>
          <w:sz w:val="17"/>
          <w:szCs w:val="17"/>
          <w:color w:val="auto"/>
        </w:rPr>
        <w:t>Notwithstanding any provisions thereof to the contrary, Employee shall be entitled to receive payments of his cash bonuses on account of his former interest in QVC, Inc. on their currently scheduled payment dates: (A) in 2006 (provided Employee has remained an employee through such grant date); and (B) in 2007 (provided Employee has remained an employee through December 31, 2006).</w:t>
      </w:r>
    </w:p>
    <w:p>
      <w:pPr>
        <w:spacing w:after="0" w:line="165" w:lineRule="exact"/>
        <w:rPr>
          <w:rFonts w:ascii="Arial" w:cs="Arial" w:eastAsia="Arial" w:hAnsi="Arial"/>
          <w:sz w:val="17"/>
          <w:szCs w:val="17"/>
          <w:color w:val="auto"/>
        </w:rPr>
      </w:pPr>
    </w:p>
    <w:p>
      <w:pPr>
        <w:ind w:left="2160" w:hanging="712"/>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225" w:lineRule="exact"/>
        <w:rPr>
          <w:rFonts w:ascii="Arial" w:cs="Arial" w:eastAsia="Arial" w:hAnsi="Arial"/>
          <w:sz w:val="18"/>
          <w:szCs w:val="18"/>
          <w:color w:val="auto"/>
        </w:rPr>
      </w:pPr>
    </w:p>
    <w:p>
      <w:pPr>
        <w:ind w:right="40" w:firstLine="728"/>
        <w:spacing w:after="0" w:line="291" w:lineRule="auto"/>
        <w:tabs>
          <w:tab w:leader="none" w:pos="144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continue to participate in the Company’s benefit plans and programs (including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167" w:lineRule="exact"/>
        <w:rPr>
          <w:rFonts w:ascii="Arial" w:cs="Arial" w:eastAsia="Arial" w:hAnsi="Arial"/>
          <w:sz w:val="16"/>
          <w:szCs w:val="16"/>
          <w:color w:val="auto"/>
        </w:rPr>
      </w:pPr>
    </w:p>
    <w:p>
      <w:pPr>
        <w:ind w:right="120" w:firstLine="728"/>
        <w:spacing w:after="0" w:line="264" w:lineRule="auto"/>
        <w:tabs>
          <w:tab w:leader="none" w:pos="14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regular procedures and practices in effect from time to time.</w:t>
      </w:r>
    </w:p>
    <w:p>
      <w:pPr>
        <w:sectPr>
          <w:pgSz w:w="11900" w:h="16838" w:orient="portrait"/>
          <w:cols w:equalWidth="0" w:num="1">
            <w:col w:w="11400"/>
          </w:cols>
          <w:pgMar w:left="240" w:top="1138" w:right="259" w:bottom="177" w:gutter="0" w:footer="0" w:header="0"/>
        </w:sectPr>
      </w:pPr>
    </w:p>
    <w:bookmarkStart w:id="19" w:name="page20"/>
    <w:bookmarkEnd w:id="19"/>
    <w:p>
      <w:pPr>
        <w:ind w:right="60" w:firstLine="728"/>
        <w:spacing w:after="0" w:line="277" w:lineRule="auto"/>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Company or Employee may terminate Employee’s employment and the Company’s obligations or liabilities under this Agreement, excluding any obligations the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Company may have under Paragraph 7, any other obligations expressly set forth herein as surviving termination of employment, and any obligations with respect to any vested benefits of Employee, in any of the following circumstances:</w:t>
      </w:r>
    </w:p>
    <w:p>
      <w:pPr>
        <w:spacing w:after="0" w:line="387" w:lineRule="exact"/>
        <w:rPr>
          <w:sz w:val="20"/>
          <w:szCs w:val="20"/>
          <w:color w:val="auto"/>
        </w:rPr>
      </w:pPr>
    </w:p>
    <w:p>
      <w:pPr>
        <w:ind w:left="2140" w:hanging="692"/>
        <w:spacing w:after="0"/>
        <w:tabs>
          <w:tab w:leader="none" w:pos="21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In the event of Employee’s death.</w:t>
      </w:r>
    </w:p>
    <w:p>
      <w:pPr>
        <w:spacing w:after="0" w:line="225" w:lineRule="exact"/>
        <w:rPr>
          <w:rFonts w:ascii="Arial" w:cs="Arial" w:eastAsia="Arial" w:hAnsi="Arial"/>
          <w:sz w:val="18"/>
          <w:szCs w:val="18"/>
          <w:color w:val="auto"/>
        </w:rPr>
      </w:pPr>
    </w:p>
    <w:p>
      <w:pPr>
        <w:ind w:right="20" w:firstLine="1448"/>
        <w:spacing w:after="0" w:line="264" w:lineRule="auto"/>
        <w:tabs>
          <w:tab w:leader="none" w:pos="214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181" w:lineRule="exact"/>
        <w:rPr>
          <w:rFonts w:ascii="Arial" w:cs="Arial" w:eastAsia="Arial" w:hAnsi="Arial"/>
          <w:sz w:val="18"/>
          <w:szCs w:val="18"/>
          <w:color w:val="auto"/>
        </w:rPr>
      </w:pPr>
    </w:p>
    <w:p>
      <w:pPr>
        <w:ind w:left="2140" w:hanging="692"/>
        <w:spacing w:after="0"/>
        <w:tabs>
          <w:tab w:leader="none" w:pos="21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1953"/>
        <w:spacing w:after="0" w:line="257" w:lineRule="auto"/>
        <w:tabs>
          <w:tab w:leader="none" w:pos="26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may terminate this Agreement in any of the following events (“Discharge With Cause”):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188" w:lineRule="exact"/>
        <w:rPr>
          <w:rFonts w:ascii="Arial" w:cs="Arial" w:eastAsia="Arial" w:hAnsi="Arial"/>
          <w:sz w:val="18"/>
          <w:szCs w:val="18"/>
          <w:color w:val="auto"/>
        </w:rPr>
      </w:pPr>
    </w:p>
    <w:p>
      <w:pPr>
        <w:ind w:left="2660" w:hanging="707"/>
        <w:spacing w:after="0"/>
        <w:tabs>
          <w:tab w:leader="none" w:pos="2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Employee may terminate this Agreement without Good Reason (as defined in subparagraph (d)(ii) below)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Good Reason”).</w:t>
      </w:r>
    </w:p>
    <w:p>
      <w:pPr>
        <w:spacing w:after="0" w:line="210" w:lineRule="exact"/>
        <w:rPr>
          <w:rFonts w:ascii="Arial" w:cs="Arial" w:eastAsia="Arial" w:hAnsi="Arial"/>
          <w:sz w:val="16"/>
          <w:szCs w:val="16"/>
          <w:color w:val="auto"/>
        </w:rPr>
      </w:pPr>
    </w:p>
    <w:p>
      <w:pPr>
        <w:ind w:left="2160" w:hanging="712"/>
        <w:spacing w:after="0"/>
        <w:tabs>
          <w:tab w:leader="none" w:pos="21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953"/>
        <w:spacing w:after="0" w:line="277" w:lineRule="auto"/>
        <w:tabs>
          <w:tab w:leader="none" w:pos="26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may terminate this Agreement other than on account of a Discharge With Cause at any time (“Discharge Without Cause”), provided that a termination under subparagraph 2(c)(i) will not be considered a Discharge Without Cause.</w:t>
      </w:r>
    </w:p>
    <w:p>
      <w:pPr>
        <w:spacing w:after="0" w:line="170" w:lineRule="exact"/>
        <w:rPr>
          <w:rFonts w:ascii="Arial" w:cs="Arial" w:eastAsia="Arial" w:hAnsi="Arial"/>
          <w:sz w:val="18"/>
          <w:szCs w:val="18"/>
          <w:color w:val="auto"/>
        </w:rPr>
      </w:pPr>
    </w:p>
    <w:p>
      <w:pPr>
        <w:ind w:right="60" w:firstLine="1953"/>
        <w:spacing w:after="0" w:line="279" w:lineRule="auto"/>
        <w:tabs>
          <w:tab w:leader="none" w:pos="26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Employee may terminate this Agreement in any of the following events (“With Good Reason”), provided Employee has provided Company written notice thereof within sixty (60) days of the occurrence thereof: assignment to Employee of any position or duties inconsistent in any material respect with Employee’s education, skills and experience or any other action by the Company that results in a substantial diminution in Employee’s position and duties; or material breach of any provision of this Agreement (which, as to either such items,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if capable of being cured, shall remain uncured following thirty (30) days written notice thereof) (“Good Reason”).</w:t>
      </w:r>
    </w:p>
    <w:p>
      <w:pPr>
        <w:spacing w:after="0" w:line="225" w:lineRule="exact"/>
        <w:rPr>
          <w:sz w:val="20"/>
          <w:szCs w:val="20"/>
          <w:color w:val="auto"/>
        </w:rPr>
      </w:pPr>
    </w:p>
    <w:p>
      <w:pPr>
        <w:ind w:left="1440" w:hanging="712"/>
        <w:spacing w:after="0"/>
        <w:tabs>
          <w:tab w:leader="none" w:pos="144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Payments Upon Termination</w:t>
      </w:r>
      <w:r>
        <w:rPr>
          <w:rFonts w:ascii="Arial" w:cs="Arial" w:eastAsia="Arial" w:hAnsi="Arial"/>
          <w:sz w:val="16"/>
          <w:szCs w:val="16"/>
          <w:color w:val="auto"/>
        </w:rPr>
        <w:t>. Other than with respect to vested benefits, Employee’s sole entitlement in the case of termination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0" w:lineRule="exact"/>
        <w:rPr>
          <w:rFonts w:ascii="Arial" w:cs="Arial" w:eastAsia="Arial" w:hAnsi="Arial"/>
          <w:sz w:val="16"/>
          <w:szCs w:val="16"/>
          <w:color w:val="auto"/>
        </w:rPr>
      </w:pPr>
    </w:p>
    <w:p>
      <w:pPr>
        <w:ind w:right="320" w:firstLine="1448"/>
        <w:spacing w:after="0" w:line="297" w:lineRule="auto"/>
        <w:tabs>
          <w:tab w:leader="none" w:pos="2135"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due to death or Disability, Employee (or Employee’s estate, as applicable) will be entitled to payment of Employee’s then-current Base Salary for the period prior to termination and for the period of three (3) months thereafter, amounts accrued or payable on account of death or Disability under any benefit plans and programs, any accrued but unused vacation time, amounts payable on account of any unreimbursed business expenses, and an amount on account of the current year’s cash bonus program grants, pro-rated through the date of termination (assuming full achievement of performance targets). In addition, Employee’s restricted stock grants shall automatically vest in full.</w:t>
      </w:r>
    </w:p>
    <w:p>
      <w:pPr>
        <w:spacing w:after="0" w:line="158" w:lineRule="exact"/>
        <w:rPr>
          <w:rFonts w:ascii="Arial" w:cs="Arial" w:eastAsia="Arial" w:hAnsi="Arial"/>
          <w:sz w:val="16"/>
          <w:szCs w:val="16"/>
          <w:color w:val="auto"/>
        </w:rPr>
      </w:pPr>
    </w:p>
    <w:p>
      <w:pPr>
        <w:jc w:val="both"/>
        <w:ind w:right="160" w:firstLine="1448"/>
        <w:spacing w:after="0" w:line="259" w:lineRule="auto"/>
        <w:tabs>
          <w:tab w:leader="none" w:pos="214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to payment of Employee’s then-current Base Salary for the period prior to termination, amounts accrued under any benefit plans and programs, any accrued but unused vacation time, and amounts payable on account of any unreimbursed business expenses.</w:t>
      </w:r>
    </w:p>
    <w:p>
      <w:pPr>
        <w:spacing w:after="0" w:line="186" w:lineRule="exact"/>
        <w:rPr>
          <w:rFonts w:ascii="Arial" w:cs="Arial" w:eastAsia="Arial" w:hAnsi="Arial"/>
          <w:sz w:val="18"/>
          <w:szCs w:val="18"/>
          <w:color w:val="auto"/>
        </w:rPr>
      </w:pPr>
    </w:p>
    <w:p>
      <w:pPr>
        <w:ind w:right="580" w:firstLine="1448"/>
        <w:spacing w:after="0" w:line="277" w:lineRule="auto"/>
        <w:tabs>
          <w:tab w:leader="none" w:pos="213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170" w:lineRule="exact"/>
        <w:rPr>
          <w:rFonts w:ascii="Arial" w:cs="Arial" w:eastAsia="Arial" w:hAnsi="Arial"/>
          <w:sz w:val="18"/>
          <w:szCs w:val="18"/>
          <w:color w:val="auto"/>
        </w:rPr>
      </w:pPr>
    </w:p>
    <w:p>
      <w:pPr>
        <w:ind w:right="60" w:firstLine="2168"/>
        <w:spacing w:after="0" w:line="290" w:lineRule="auto"/>
        <w:tabs>
          <w:tab w:leader="none" w:pos="2870" w:val="left"/>
        </w:tabs>
        <w:numPr>
          <w:ilvl w:val="2"/>
          <w:numId w:val="59"/>
        </w:numPr>
        <w:rPr>
          <w:rFonts w:ascii="Arial" w:cs="Arial" w:eastAsia="Arial" w:hAnsi="Arial"/>
          <w:sz w:val="16"/>
          <w:szCs w:val="16"/>
          <w:color w:val="auto"/>
        </w:rPr>
      </w:pPr>
      <w:r>
        <w:rPr>
          <w:rFonts w:ascii="Arial" w:cs="Arial" w:eastAsia="Arial" w:hAnsi="Arial"/>
          <w:sz w:val="16"/>
          <w:szCs w:val="16"/>
          <w:color w:val="auto"/>
        </w:rPr>
        <w:t>Employee shall continue to receive Employee’s then-current Base Salary and “health and welfare” benefit plans and programs (at the same cost to Employee as is paid by other employees), for the period of time set forth on Schedule 1 from the date of Discharge Without Cause or termination by Employee With Good Reason, in exchange for Employee’s entering into an agreement containing a release by Employee of Company with respect to all matters relating to Employee’s employment (other than with respect to Employee’s vested rights and rights under this Agreement), and such other terms as Company customarily requires of terminated employees receiving salary continuation benefits. Employee shall also receive amounts accrued under any benefit plans and programs, any accrued but unused vacation time, and amounts payable on account of any unreimbursed business expenses. Employee shall have no obligation to obtain employment during this period; however, the obligation to provide “health and welfare” benefits and programs shall cease upon Employee’s eligibility for similar benefits and programs from a subsequent employer.</w:t>
      </w:r>
    </w:p>
    <w:p>
      <w:pPr>
        <w:spacing w:after="0" w:line="166" w:lineRule="exact"/>
        <w:rPr>
          <w:rFonts w:ascii="Arial" w:cs="Arial" w:eastAsia="Arial" w:hAnsi="Arial"/>
          <w:sz w:val="16"/>
          <w:szCs w:val="16"/>
          <w:color w:val="auto"/>
        </w:rPr>
      </w:pPr>
    </w:p>
    <w:p>
      <w:pPr>
        <w:ind w:firstLine="2168"/>
        <w:spacing w:after="0" w:line="312" w:lineRule="auto"/>
        <w:tabs>
          <w:tab w:leader="none" w:pos="2875" w:val="left"/>
        </w:tabs>
        <w:numPr>
          <w:ilvl w:val="2"/>
          <w:numId w:val="59"/>
        </w:numPr>
        <w:rPr>
          <w:rFonts w:ascii="Arial" w:cs="Arial" w:eastAsia="Arial" w:hAnsi="Arial"/>
          <w:sz w:val="16"/>
          <w:szCs w:val="16"/>
          <w:color w:val="auto"/>
        </w:rPr>
      </w:pPr>
      <w:r>
        <w:rPr>
          <w:rFonts w:ascii="Arial" w:cs="Arial" w:eastAsia="Arial" w:hAnsi="Arial"/>
          <w:sz w:val="16"/>
          <w:szCs w:val="16"/>
          <w:color w:val="auto"/>
        </w:rPr>
        <w:t>Employee shall continue to receive cash or shares, as the case may be, on account of any cash bonus program and restricted stock grants which would have vested within the period of time set forth on Schedule 1 from the date of Discharge Without Cause or termination by the Employee with Good Reason, as if there had been no termination of employment (assuming full achievement of performance targets).</w:t>
      </w:r>
    </w:p>
    <w:p>
      <w:pPr>
        <w:sectPr>
          <w:pgSz w:w="11900" w:h="16838" w:orient="portrait"/>
          <w:cols w:equalWidth="0" w:num="1">
            <w:col w:w="11380"/>
          </w:cols>
          <w:pgMar w:left="240" w:top="125" w:right="27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80" w:hanging="712"/>
        <w:spacing w:after="0"/>
        <w:tabs>
          <w:tab w:leader="none" w:pos="28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Employee shall receive the benefits set forth (for the time periods set forth) in subparagraphs 9(d), (e) and (f).</w:t>
      </w:r>
    </w:p>
    <w:p>
      <w:pPr>
        <w:spacing w:after="0" w:line="236" w:lineRule="exact"/>
        <w:rPr>
          <w:rFonts w:ascii="Arial" w:cs="Arial" w:eastAsia="Arial" w:hAnsi="Arial"/>
          <w:sz w:val="17"/>
          <w:szCs w:val="17"/>
          <w:color w:val="auto"/>
        </w:rPr>
      </w:pPr>
    </w:p>
    <w:p>
      <w:pPr>
        <w:ind w:left="2160" w:hanging="712"/>
        <w:spacing w:after="0"/>
        <w:tabs>
          <w:tab w:leader="none" w:pos="21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Employee Following the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168"/>
        <w:spacing w:after="0" w:line="293" w:lineRule="auto"/>
        <w:tabs>
          <w:tab w:leader="none" w:pos="287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Company and Employee have not entered into a new employment agreement that applies following December 31, 2008, and Employee terminates his employment at any time following such date (other than with Good Reason), then either: (A) if the Company so elects by written notice to Employee given within ten (10) days of such termination: (1) the provisions of subparagraph 8(b) shall apply to Employee; and (2) the Company shall pay to Employee, for the one-year period specified in such subparagraph, Employee’s cash and bonus compensation (in the case of bonus compensation, assuming full achievement of performance targets, and based on Employee’s then existing participation levels), as if Employee’s part-time employment had continued during this time period; or (B) if the Company does not so elect, the provisions of subparagraph 8(b) shall not apply to Employee.</w:t>
      </w:r>
    </w:p>
    <w:p>
      <w:pPr>
        <w:spacing w:after="0" w:line="165" w:lineRule="exact"/>
        <w:rPr>
          <w:sz w:val="20"/>
          <w:szCs w:val="20"/>
          <w:color w:val="auto"/>
        </w:rPr>
      </w:pPr>
    </w:p>
    <w:p>
      <w:pPr>
        <w:ind w:right="200" w:firstLine="2168"/>
        <w:spacing w:after="0" w:line="257" w:lineRule="auto"/>
        <w:tabs>
          <w:tab w:leader="none" w:pos="2875"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 the event Employee’s employment terminates on an Early Termination Date, then: (A) the provisions of subparagraph 8(b) shall apply to Employee; and (B) the Company shall pay to Employee, in a lump sum, an amount equal to (1) the sum of (I) Employee’s Base Salary for 2006 and (II) Employee’s cash bonuses on account of 2006 (based on actual achievement of performance targets and Employee’s participation levels for 2006), less (2) the amount, if any, received (or earned) by Employee subsequent to 2006 and prior to the Early Termination Date on account of Base Salary and cash bonuses.</w:t>
      </w:r>
    </w:p>
    <w:p>
      <w:pPr>
        <w:spacing w:after="0" w:line="188" w:lineRule="exact"/>
        <w:rPr>
          <w:rFonts w:ascii="Arial" w:cs="Arial" w:eastAsia="Arial" w:hAnsi="Arial"/>
          <w:sz w:val="18"/>
          <w:szCs w:val="18"/>
          <w:color w:val="auto"/>
        </w:rPr>
      </w:pPr>
    </w:p>
    <w:p>
      <w:pPr>
        <w:ind w:right="340" w:firstLine="1448"/>
        <w:spacing w:after="0" w:line="277" w:lineRule="auto"/>
        <w:tabs>
          <w:tab w:leader="none" w:pos="213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448"/>
        <w:spacing w:after="0" w:line="259" w:lineRule="auto"/>
        <w:tabs>
          <w:tab w:leader="none" w:pos="213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by the Company for any reason (whether during the Term or thereafter),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6" w:lineRule="exact"/>
        <w:rPr>
          <w:rFonts w:ascii="Arial" w:cs="Arial" w:eastAsia="Arial" w:hAnsi="Arial"/>
          <w:sz w:val="18"/>
          <w:szCs w:val="18"/>
          <w:color w:val="auto"/>
        </w:rPr>
      </w:pPr>
    </w:p>
    <w:p>
      <w:pPr>
        <w:ind w:firstLine="1448"/>
        <w:spacing w:after="0" w:line="255" w:lineRule="auto"/>
        <w:tabs>
          <w:tab w:leader="none" w:pos="21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(i) WHILE EMPLOYED BY THE COMPANY (WHETHER ON A FULL-TIME OR PART-TIME BASIS, AND WHETHER DURING THE TERM OR THEREAFTER), AND FOR A PERIOD OF ONE (1) YEAR AFTER TERMINATION OF EMPLOYEE’S EMPLOYMENT (DURING THE TERM OR THEREAFTER, BUT IN THE CIRCUMSTANCES SET FORTH IN SUBPARAGRAPH 2(c)(i) OR 7(d)(i)(A)(1), SUBJECT TO THE COMPANY’S PAYMENT OBLIGATION SET FORTH IN SUBPARAGRAPH 7(d)(ii)(B) OR 7(d)(i)(A)(2), AS APPLICABLE) FOR ANY REASON OTHER THAN DISCHARGE WITHOUT CAUSE, TERMINATION BY EMPLOYEE WITH GOOD REASON OR THE CIRCUMSTANCES SET FORTH IN SUBPARAGRAPH 7(d)(i)(B),</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 DIVISION OF THE COMPANY (IN THE EVENT EMPLOYEE IS EMPLOYED BY COMCAST CORPORATION), OR BY THE BUSINESS UNIT OF THE COMPANY IN WHICH EMPLOYEE IS EMPLOYED (IN THE EVENT EMPLOYEE IS EMPLOYED BY A SUBSIDIARY OF COMCAST CORPORATION), OR BEING PLANNED BY THE COMPANY OR SUCH DIVISION OR BUSINESS UNIT (AS THE CASE MAY BE) WITH EMPLOYEE’S KNOWLEDGE AT THE TIME OF EMPLOYEE’S TERMINATION OF EMPLOYMENT.</w:t>
      </w:r>
    </w:p>
    <w:p>
      <w:pPr>
        <w:spacing w:after="0" w:line="19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TO APPROPRIATELY TAKE ACCOUNT OF THE HIGHLY COMPETITIVE ENVIRONMENT IN THE COMPANY’S BUSINESSES, THE COMPANY AND EMPLOYEE AGREE THAT ANY BUSINESS ENGAGED IN ANY OF THE ACTIVITIES SET FORTH ON SCHEDULE 2 SHALL BE DEEMED TO BE A “COMPETITIVE BUSINESS.”</w:t>
      </w:r>
    </w:p>
    <w:p>
      <w:pPr>
        <w:spacing w:after="0" w:line="181" w:lineRule="exact"/>
        <w:rPr>
          <w:sz w:val="20"/>
          <w:szCs w:val="20"/>
          <w:color w:val="auto"/>
        </w:rPr>
      </w:pPr>
    </w:p>
    <w:p>
      <w:pPr>
        <w:ind w:right="80" w:firstLine="2168"/>
        <w:spacing w:after="0" w:line="259" w:lineRule="auto"/>
        <w:tabs>
          <w:tab w:leader="none" w:pos="25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RESTRICTION SHALL APPLY IN ANY GEOGRAPHICAL AREA OF THE UNITED STATES IN WHICH THE COMPANY CARRIES OUT BUSINESS ACTIVITIES. EMPLOYEE AGREES THAT THE LACK OF ANY MORE SPECIFIC GEOGRAPHICAL LIMITATION HEREIN IS REASONABLE IN LIGHT OF THE BROAD GEOGRAPHICAL SCOPE OF THE ACTIVITIES CARRIED OUT BY THE COMPANY IN THE UNITED STATES.</w:t>
      </w:r>
    </w:p>
    <w:p>
      <w:pPr>
        <w:spacing w:after="0" w:line="186" w:lineRule="exact"/>
        <w:rPr>
          <w:rFonts w:ascii="Arial" w:cs="Arial" w:eastAsia="Arial" w:hAnsi="Arial"/>
          <w:sz w:val="18"/>
          <w:szCs w:val="18"/>
          <w:color w:val="auto"/>
        </w:rPr>
      </w:pPr>
    </w:p>
    <w:p>
      <w:pPr>
        <w:ind w:right="20" w:firstLine="2168"/>
        <w:spacing w:after="0" w:line="312" w:lineRule="auto"/>
        <w:tabs>
          <w:tab w:leader="none" w:pos="25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if Employee is an attorney, Employee may engage in the practice of law in accordance with the canons of ethics of the state or states in which Employee is authorized or may be authorized to practice law.</w:t>
      </w:r>
    </w:p>
    <w:p>
      <w:pPr>
        <w:spacing w:after="0" w:line="146" w:lineRule="exact"/>
        <w:rPr>
          <w:rFonts w:ascii="Arial" w:cs="Arial" w:eastAsia="Arial" w:hAnsi="Arial"/>
          <w:sz w:val="16"/>
          <w:szCs w:val="16"/>
          <w:color w:val="auto"/>
        </w:rPr>
      </w:pPr>
    </w:p>
    <w:p>
      <w:pPr>
        <w:ind w:right="140" w:firstLine="1448"/>
        <w:spacing w:after="0" w:line="291" w:lineRule="auto"/>
        <w:tabs>
          <w:tab w:leader="none" w:pos="21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w:t>
      </w:r>
    </w:p>
    <w:p>
      <w:pPr>
        <w:sectPr>
          <w:pgSz w:w="11900" w:h="16838" w:orient="portrait"/>
          <w:cols w:equalWidth="0" w:num="1">
            <w:col w:w="11420"/>
          </w:cols>
          <w:pgMar w:left="240" w:top="341" w:right="2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confidential information.</w:t>
      </w:r>
    </w:p>
    <w:p>
      <w:pPr>
        <w:spacing w:after="0" w:line="195" w:lineRule="exact"/>
        <w:rPr>
          <w:sz w:val="20"/>
          <w:szCs w:val="20"/>
          <w:color w:val="auto"/>
        </w:rPr>
      </w:pPr>
    </w:p>
    <w:p>
      <w:pPr>
        <w:ind w:right="120" w:firstLine="1448"/>
        <w:spacing w:after="0" w:line="291" w:lineRule="auto"/>
        <w:tabs>
          <w:tab w:leader="none" w:pos="21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67" w:lineRule="exact"/>
        <w:rPr>
          <w:rFonts w:ascii="Arial" w:cs="Arial" w:eastAsia="Arial" w:hAnsi="Arial"/>
          <w:sz w:val="16"/>
          <w:szCs w:val="16"/>
          <w:color w:val="auto"/>
        </w:rPr>
      </w:pPr>
    </w:p>
    <w:p>
      <w:pPr>
        <w:ind w:right="160" w:firstLine="1448"/>
        <w:spacing w:after="0" w:line="276" w:lineRule="auto"/>
        <w:tabs>
          <w:tab w:leader="none" w:pos="21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3" w:lineRule="exact"/>
        <w:rPr>
          <w:sz w:val="20"/>
          <w:szCs w:val="20"/>
          <w:color w:val="auto"/>
        </w:rPr>
      </w:pPr>
    </w:p>
    <w:p>
      <w:pPr>
        <w:ind w:right="20" w:firstLine="1376"/>
        <w:spacing w:after="0" w:line="277" w:lineRule="auto"/>
        <w:tabs>
          <w:tab w:leader="none" w:pos="20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170" w:lineRule="exact"/>
        <w:rPr>
          <w:sz w:val="20"/>
          <w:szCs w:val="20"/>
          <w:color w:val="auto"/>
        </w:rPr>
      </w:pPr>
    </w:p>
    <w:p>
      <w:pPr>
        <w:ind w:right="120" w:firstLine="1376"/>
        <w:spacing w:after="0" w:line="277" w:lineRule="auto"/>
        <w:tabs>
          <w:tab w:leader="none" w:pos="208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Notwithstanding any other provisions hereof or of the Company’s Restricted Stock Plan or other benefit plans or programs, the following terms and conditions shall apply in the event the Employee delivers an Employee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1629"/>
        <w:spacing w:after="0" w:line="277" w:lineRule="auto"/>
        <w:tabs>
          <w:tab w:leader="none" w:pos="19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balance of the Term, Employee shall be required to provide services on a part-time basis only, for no more than twelve (12) hours per week on average during any calendar month, as reasonably requested by the Company.</w:t>
      </w:r>
    </w:p>
    <w:p>
      <w:pPr>
        <w:spacing w:after="0" w:line="170" w:lineRule="exact"/>
        <w:rPr>
          <w:rFonts w:ascii="Arial" w:cs="Arial" w:eastAsia="Arial" w:hAnsi="Arial"/>
          <w:sz w:val="18"/>
          <w:szCs w:val="18"/>
          <w:color w:val="auto"/>
        </w:rPr>
      </w:pPr>
    </w:p>
    <w:p>
      <w:pPr>
        <w:ind w:right="160" w:firstLine="1629"/>
        <w:spacing w:after="0" w:line="264" w:lineRule="auto"/>
        <w:tabs>
          <w:tab w:leader="none" w:pos="19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balance of the Term, Employee shall receive as compensation for such services 30% of the following amounts and grants (on the same basis as if Employee had remained employed as a full-time executive employee): Base Salary (including annual increases), cash bonuses and broad-based grants under the Company’s Stock Option Plan and/or Restricted Stock Plan.</w:t>
      </w:r>
    </w:p>
    <w:p>
      <w:pPr>
        <w:spacing w:after="0" w:line="181" w:lineRule="exact"/>
        <w:rPr>
          <w:rFonts w:ascii="Arial" w:cs="Arial" w:eastAsia="Arial" w:hAnsi="Arial"/>
          <w:sz w:val="18"/>
          <w:szCs w:val="18"/>
          <w:color w:val="auto"/>
        </w:rPr>
      </w:pPr>
    </w:p>
    <w:p>
      <w:pPr>
        <w:ind w:right="160" w:firstLine="1629"/>
        <w:spacing w:after="0" w:line="277" w:lineRule="auto"/>
        <w:tabs>
          <w:tab w:leader="none" w:pos="19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balance of the Term, restricted stock awards shall continue to vest as to their originally granted number of shares or units, and pursuant to their original terms.</w:t>
      </w:r>
    </w:p>
    <w:p>
      <w:pPr>
        <w:spacing w:after="0" w:line="170" w:lineRule="exact"/>
        <w:rPr>
          <w:rFonts w:ascii="Arial" w:cs="Arial" w:eastAsia="Arial" w:hAnsi="Arial"/>
          <w:sz w:val="18"/>
          <w:szCs w:val="18"/>
          <w:color w:val="auto"/>
        </w:rPr>
      </w:pPr>
    </w:p>
    <w:p>
      <w:pPr>
        <w:ind w:right="20" w:firstLine="1629"/>
        <w:spacing w:after="0" w:line="276" w:lineRule="auto"/>
        <w:tabs>
          <w:tab w:leader="none" w:pos="1966" w:val="left"/>
        </w:tabs>
        <w:numPr>
          <w:ilvl w:val="1"/>
          <w:numId w:val="70"/>
        </w:numPr>
        <w:rPr>
          <w:rFonts w:ascii="Arial" w:cs="Arial" w:eastAsia="Arial" w:hAnsi="Arial"/>
          <w:sz w:val="17"/>
          <w:szCs w:val="17"/>
          <w:color w:val="auto"/>
        </w:rPr>
      </w:pPr>
      <w:r>
        <w:rPr>
          <w:rFonts w:ascii="Arial" w:cs="Arial" w:eastAsia="Arial" w:hAnsi="Arial"/>
          <w:sz w:val="17"/>
          <w:szCs w:val="17"/>
          <w:color w:val="auto"/>
        </w:rPr>
        <w:t>For the balance of the Term and through Employee’s age 65, Employee shall be entitled to continue participation (on the same basis as if Employee had remained employed as a full-time executive employee) in the Company’s “health and welfare” benefit plans and programs, provided that in the event Employee is ineligible (under the plans’ and programs’ terms) to participate in any one or more of the Company’s plans and programs on this basis, the Company shall reimburse Employee, on an after-tax basis (including taking into account taxes on such reimbursement), for the incremental cost to the Employee of obtaining comparable coverages under a non-Company-sponsored policy or policies.</w:t>
      </w:r>
    </w:p>
    <w:p>
      <w:pPr>
        <w:spacing w:after="0" w:line="172" w:lineRule="exact"/>
        <w:rPr>
          <w:rFonts w:ascii="Arial" w:cs="Arial" w:eastAsia="Arial" w:hAnsi="Arial"/>
          <w:sz w:val="17"/>
          <w:szCs w:val="17"/>
          <w:color w:val="auto"/>
        </w:rPr>
      </w:pPr>
    </w:p>
    <w:p>
      <w:pPr>
        <w:ind w:right="760" w:firstLine="1629"/>
        <w:spacing w:after="0" w:line="342" w:lineRule="auto"/>
        <w:tabs>
          <w:tab w:leader="none" w:pos="1955" w:val="left"/>
        </w:tabs>
        <w:numPr>
          <w:ilvl w:val="1"/>
          <w:numId w:val="70"/>
        </w:numPr>
        <w:rPr>
          <w:rFonts w:ascii="Arial" w:cs="Arial" w:eastAsia="Arial" w:hAnsi="Arial"/>
          <w:sz w:val="16"/>
          <w:szCs w:val="16"/>
          <w:color w:val="auto"/>
        </w:rPr>
      </w:pPr>
      <w:r>
        <w:rPr>
          <w:rFonts w:ascii="Arial" w:cs="Arial" w:eastAsia="Arial" w:hAnsi="Arial"/>
          <w:sz w:val="16"/>
          <w:szCs w:val="16"/>
          <w:color w:val="auto"/>
        </w:rPr>
        <w:t>From the end of the Term through Employee’s age 65, the Company will provide Employee with an office (in center city Philadelphia at a location to be designated by the Company in its sole discretion) and the use of a secretary, for his personal business matters.</w:t>
      </w:r>
    </w:p>
    <w:p>
      <w:pPr>
        <w:spacing w:after="0" w:line="123" w:lineRule="exact"/>
        <w:rPr>
          <w:rFonts w:ascii="Arial" w:cs="Arial" w:eastAsia="Arial" w:hAnsi="Arial"/>
          <w:sz w:val="16"/>
          <w:szCs w:val="16"/>
          <w:color w:val="auto"/>
        </w:rPr>
      </w:pPr>
    </w:p>
    <w:p>
      <w:pPr>
        <w:ind w:right="380" w:firstLine="1629"/>
        <w:spacing w:after="0" w:line="264" w:lineRule="auto"/>
        <w:tabs>
          <w:tab w:leader="none" w:pos="1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From the end of the Term through December 31 of the fifth calendar year following the calendar year is which employment terminates, the crediting rate on Employee’s Income Fund accounts in the Company’s Deferred Compensation Plans will remain at the rate applicable for other employee participants.</w:t>
      </w:r>
    </w:p>
    <w:p>
      <w:pPr>
        <w:spacing w:after="0" w:line="181" w:lineRule="exact"/>
        <w:rPr>
          <w:rFonts w:ascii="Arial" w:cs="Arial" w:eastAsia="Arial" w:hAnsi="Arial"/>
          <w:sz w:val="18"/>
          <w:szCs w:val="18"/>
          <w:color w:val="auto"/>
        </w:rPr>
      </w:pPr>
    </w:p>
    <w:p>
      <w:pPr>
        <w:ind w:left="1700" w:hanging="720"/>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represents as follows:</w:t>
      </w:r>
    </w:p>
    <w:p>
      <w:pPr>
        <w:spacing w:after="0" w:line="225" w:lineRule="exact"/>
        <w:rPr>
          <w:rFonts w:ascii="Arial" w:cs="Arial" w:eastAsia="Arial" w:hAnsi="Arial"/>
          <w:sz w:val="18"/>
          <w:szCs w:val="18"/>
          <w:color w:val="auto"/>
        </w:rPr>
      </w:pPr>
    </w:p>
    <w:p>
      <w:pPr>
        <w:ind w:right="600" w:firstLine="1953"/>
        <w:spacing w:after="0" w:line="277" w:lineRule="auto"/>
        <w:tabs>
          <w:tab w:leader="none" w:pos="2655" w:val="left"/>
        </w:tabs>
        <w:numPr>
          <w:ilvl w:val="2"/>
          <w:numId w:val="71"/>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25" w:lineRule="exact"/>
        <w:rPr>
          <w:rFonts w:ascii="Arial" w:cs="Arial" w:eastAsia="Arial" w:hAnsi="Arial"/>
          <w:sz w:val="18"/>
          <w:szCs w:val="18"/>
          <w:color w:val="auto"/>
        </w:rPr>
      </w:pPr>
    </w:p>
    <w:p>
      <w:pPr>
        <w:ind w:right="380" w:firstLine="1953"/>
        <w:spacing w:after="0" w:line="277" w:lineRule="auto"/>
        <w:tabs>
          <w:tab w:leader="none" w:pos="2665"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ectPr>
          <w:pgSz w:w="11900" w:h="16838" w:orient="portrait"/>
          <w:cols w:equalWidth="0" w:num="1">
            <w:col w:w="11420"/>
          </w:cols>
          <w:pgMar w:left="240" w:top="557" w:right="239" w:bottom="0" w:gutter="0" w:footer="0" w:header="0"/>
        </w:sectPr>
      </w:pPr>
    </w:p>
    <w:bookmarkStart w:id="22" w:name="page23"/>
    <w:bookmarkEnd w:id="22"/>
    <w:p>
      <w:pPr>
        <w:ind w:left="1620"/>
        <w:spacing w:after="0"/>
        <w:rPr>
          <w:sz w:val="20"/>
          <w:szCs w:val="20"/>
          <w:color w:val="auto"/>
        </w:rPr>
      </w:pPr>
      <w:r>
        <w:rPr>
          <w:rFonts w:ascii="Arial" w:cs="Arial" w:eastAsia="Arial" w:hAnsi="Arial"/>
          <w:sz w:val="18"/>
          <w:szCs w:val="18"/>
          <w:color w:val="auto"/>
        </w:rPr>
        <w:t>(b)  The Company represents that: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60" w:hanging="707"/>
        <w:spacing w:after="0"/>
        <w:tabs>
          <w:tab w:leader="none" w:pos="2660" w:val="left"/>
        </w:tabs>
        <w:numPr>
          <w:ilvl w:val="2"/>
          <w:numId w:val="72"/>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the Company in accordance with its terms.</w:t>
      </w:r>
    </w:p>
    <w:p>
      <w:pPr>
        <w:spacing w:after="0" w:line="236" w:lineRule="exact"/>
        <w:rPr>
          <w:rFonts w:ascii="Arial" w:cs="Arial" w:eastAsia="Arial" w:hAnsi="Arial"/>
          <w:sz w:val="17"/>
          <w:szCs w:val="17"/>
          <w:color w:val="auto"/>
        </w:rPr>
      </w:pPr>
    </w:p>
    <w:p>
      <w:pPr>
        <w:ind w:right="380" w:firstLine="1953"/>
        <w:spacing w:after="0" w:line="277" w:lineRule="auto"/>
        <w:tabs>
          <w:tab w:leader="none" w:pos="26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170" w:lineRule="exact"/>
        <w:rPr>
          <w:rFonts w:ascii="Arial" w:cs="Arial" w:eastAsia="Arial" w:hAnsi="Arial"/>
          <w:sz w:val="18"/>
          <w:szCs w:val="18"/>
          <w:color w:val="auto"/>
        </w:rPr>
      </w:pPr>
    </w:p>
    <w:p>
      <w:pPr>
        <w:ind w:firstLine="980"/>
        <w:spacing w:after="0" w:line="269" w:lineRule="auto"/>
        <w:tabs>
          <w:tab w:leader="none" w:pos="168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Acceleration Event</w:t>
      </w:r>
      <w:r>
        <w:rPr>
          <w:rFonts w:ascii="Arial" w:cs="Arial" w:eastAsia="Arial" w:hAnsi="Arial"/>
          <w:sz w:val="17"/>
          <w:szCs w:val="17"/>
          <w:color w:val="auto"/>
        </w:rPr>
        <w:t>. The Company shall give Employee at least ten (10) business days’ notice (or, if not practicable, such shorter notice as may be reasonably practicable) prior to the anticipated closing date of a transaction which the Board of Directors of the Company determines to be a change of control of the Company in circumstances where it is appropriate to accelerate the vesting of employee stock options. Upon receipt of such notice, all stock options of Employee shall become immediately exercisable in full, and until the day before such anticipated closing date (or such shorter period as the Company shall reasonably determine and 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182" w:lineRule="exact"/>
        <w:rPr>
          <w:rFonts w:ascii="Arial" w:cs="Arial" w:eastAsia="Arial" w:hAnsi="Arial"/>
          <w:sz w:val="17"/>
          <w:szCs w:val="17"/>
          <w:color w:val="auto"/>
        </w:rPr>
      </w:pPr>
    </w:p>
    <w:p>
      <w:pPr>
        <w:ind w:left="1700" w:hanging="720"/>
        <w:spacing w:after="0"/>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Merger,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629"/>
        <w:spacing w:after="0" w:line="286" w:lineRule="auto"/>
        <w:tabs>
          <w:tab w:leader="none" w:pos="1955"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65" w:lineRule="exact"/>
        <w:rPr>
          <w:rFonts w:ascii="Arial" w:cs="Arial" w:eastAsia="Arial" w:hAnsi="Arial"/>
          <w:sz w:val="17"/>
          <w:szCs w:val="17"/>
          <w:color w:val="auto"/>
        </w:rPr>
      </w:pPr>
    </w:p>
    <w:p>
      <w:pPr>
        <w:ind w:right="80" w:firstLine="1629"/>
        <w:spacing w:after="0" w:line="302" w:lineRule="auto"/>
        <w:tabs>
          <w:tab w:leader="none" w:pos="1966"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54" w:lineRule="exact"/>
        <w:rPr>
          <w:rFonts w:ascii="Arial" w:cs="Arial" w:eastAsia="Arial" w:hAnsi="Arial"/>
          <w:sz w:val="16"/>
          <w:szCs w:val="16"/>
          <w:color w:val="auto"/>
        </w:rPr>
      </w:pPr>
    </w:p>
    <w:p>
      <w:pPr>
        <w:ind w:right="40" w:firstLine="980"/>
        <w:spacing w:after="0" w:line="264" w:lineRule="auto"/>
        <w:tabs>
          <w:tab w:leader="none" w:pos="169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Jurisdiction; Governing Law</w:t>
      </w:r>
      <w:r>
        <w:rPr>
          <w:rFonts w:ascii="Arial" w:cs="Arial" w:eastAsia="Arial" w:hAnsi="Arial"/>
          <w:sz w:val="18"/>
          <w:szCs w:val="18"/>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189" w:lineRule="exact"/>
        <w:rPr>
          <w:sz w:val="20"/>
          <w:szCs w:val="20"/>
          <w:color w:val="auto"/>
        </w:rPr>
      </w:pPr>
    </w:p>
    <w:p>
      <w:pPr>
        <w:ind w:right="100" w:firstLine="980"/>
        <w:spacing w:after="0" w:line="264" w:lineRule="auto"/>
        <w:tabs>
          <w:tab w:leader="none" w:pos="169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(215) 981-7794; and</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Employee to: Employee’s address as indicated in the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Company’s records from time to time.</w:t>
      </w:r>
    </w:p>
    <w:p>
      <w:pPr>
        <w:spacing w:after="0" w:line="211" w:lineRule="exact"/>
        <w:rPr>
          <w:sz w:val="20"/>
          <w:szCs w:val="20"/>
          <w:color w:val="auto"/>
        </w:rPr>
      </w:pPr>
    </w:p>
    <w:p>
      <w:pPr>
        <w:ind w:right="80" w:firstLine="980"/>
        <w:spacing w:after="0" w:line="257" w:lineRule="auto"/>
        <w:tabs>
          <w:tab w:leader="none" w:pos="16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 and B hereto) constitutes the entire agreement of the parties with respect to the subject matter hereof</w:t>
      </w:r>
      <w:r>
        <w:rPr>
          <w:rFonts w:ascii="Arial" w:cs="Arial" w:eastAsia="Arial" w:hAnsi="Arial"/>
          <w:sz w:val="18"/>
          <w:szCs w:val="18"/>
          <w:b w:val="1"/>
          <w:bCs w:val="1"/>
          <w:color w:val="auto"/>
        </w:rPr>
        <w:t>,</w:t>
      </w:r>
      <w:r>
        <w:rPr>
          <w:rFonts w:ascii="Arial" w:cs="Arial" w:eastAsia="Arial" w:hAnsi="Arial"/>
          <w:sz w:val="18"/>
          <w:szCs w:val="18"/>
          <w:color w:val="auto"/>
        </w:rPr>
        <w:t xml:space="preserve"> and supercedes and replaces in its entirety the Employment Agreement dated as of May 31, 2000 between the parties, provided that any accrued rights and obligations of the parties thereunder as of the date hereof shall be unaffected by the execution of this Agreement. In the event of any conflict between the terms of this Agreement and the terms of any plans or policy of the Company (including the Employee Handbook), the terms of this Agreement shall control.</w:t>
      </w:r>
    </w:p>
    <w:p>
      <w:pPr>
        <w:sectPr>
          <w:pgSz w:w="11900" w:h="16838" w:orient="portrait"/>
          <w:cols w:equalWidth="0" w:num="1">
            <w:col w:w="11400"/>
          </w:cols>
          <w:pgMar w:left="240" w:top="125" w:right="259" w:bottom="15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50" w:gutter="0" w:footer="0" w:header="0"/>
          <w:type w:val="continuous"/>
        </w:sectPr>
      </w:pPr>
    </w:p>
    <w:bookmarkStart w:id="23" w:name="page24"/>
    <w:bookmarkEnd w:id="23"/>
    <w:p>
      <w:pPr>
        <w:spacing w:after="0" w:line="4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88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Lawrence S. Smith</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24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0" w:type="dxa"/>
            <w:vAlign w:val="bottom"/>
            <w:gridSpan w:val="2"/>
          </w:tcPr>
          <w:p>
            <w:pPr>
              <w:jc w:val="right"/>
              <w:ind w:right="370"/>
              <w:spacing w:after="0"/>
              <w:rPr>
                <w:sz w:val="20"/>
                <w:szCs w:val="20"/>
                <w:color w:val="auto"/>
              </w:rPr>
            </w:pPr>
            <w:r>
              <w:rPr>
                <w:rFonts w:ascii="Arial" w:cs="Arial" w:eastAsia="Arial" w:hAnsi="Arial"/>
                <w:sz w:val="18"/>
                <w:szCs w:val="18"/>
                <w:color w:val="auto"/>
              </w:rPr>
              <w:t>13</w:t>
            </w:r>
          </w:p>
        </w:tc>
        <w:tc>
          <w:tcPr>
            <w:tcW w:w="5180" w:type="dxa"/>
            <w:vAlign w:val="bottom"/>
          </w:tcPr>
          <w:p>
            <w:pPr>
              <w:spacing w:after="0"/>
              <w:rPr>
                <w:sz w:val="20"/>
                <w:szCs w:val="20"/>
                <w:color w:val="auto"/>
              </w:rPr>
            </w:pPr>
          </w:p>
        </w:tc>
      </w:tr>
      <w:tr>
        <w:trPr>
          <w:trHeight w:val="105"/>
        </w:trPr>
        <w:tc>
          <w:tcPr>
            <w:tcW w:w="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r>
      <w:tr>
        <w:trPr>
          <w:trHeight w:val="713"/>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SCHEDULE 1</w:t>
            </w:r>
          </w:p>
        </w:tc>
        <w:tc>
          <w:tcPr>
            <w:tcW w:w="5180" w:type="dxa"/>
            <w:vAlign w:val="bottom"/>
          </w:tcPr>
          <w:p>
            <w:pPr>
              <w:spacing w:after="0"/>
              <w:rPr>
                <w:sz w:val="24"/>
                <w:szCs w:val="24"/>
                <w:color w:val="auto"/>
              </w:rPr>
            </w:pPr>
          </w:p>
        </w:tc>
      </w:tr>
      <w:tr>
        <w:trPr>
          <w:trHeight w:val="669"/>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1420" w:type="dxa"/>
            <w:vAlign w:val="bottom"/>
          </w:tcPr>
          <w:p>
            <w:pPr>
              <w:ind w:left="280"/>
              <w:spacing w:after="0"/>
              <w:rPr>
                <w:sz w:val="20"/>
                <w:szCs w:val="20"/>
                <w:color w:val="auto"/>
              </w:rPr>
            </w:pPr>
            <w:r>
              <w:rPr>
                <w:rFonts w:ascii="Arial" w:cs="Arial" w:eastAsia="Arial" w:hAnsi="Arial"/>
                <w:sz w:val="18"/>
                <w:szCs w:val="18"/>
                <w:color w:val="auto"/>
              </w:rPr>
              <w:t>Position:</w:t>
            </w:r>
          </w:p>
        </w:tc>
        <w:tc>
          <w:tcPr>
            <w:tcW w:w="95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Co-Chief Financial Officer</w:t>
            </w:r>
          </w:p>
        </w:tc>
      </w:tr>
      <w:tr>
        <w:trPr>
          <w:trHeight w:val="432"/>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1420" w:type="dxa"/>
            <w:vAlign w:val="bottom"/>
          </w:tcPr>
          <w:p>
            <w:pPr>
              <w:ind w:left="280"/>
              <w:spacing w:after="0"/>
              <w:rPr>
                <w:sz w:val="20"/>
                <w:szCs w:val="20"/>
                <w:color w:val="auto"/>
              </w:rPr>
            </w:pPr>
            <w:r>
              <w:rPr>
                <w:rFonts w:ascii="Arial" w:cs="Arial" w:eastAsia="Arial" w:hAnsi="Arial"/>
                <w:sz w:val="18"/>
                <w:szCs w:val="18"/>
                <w:color w:val="auto"/>
              </w:rPr>
              <w:t>Base Salary:</w:t>
            </w:r>
          </w:p>
        </w:tc>
        <w:tc>
          <w:tcPr>
            <w:tcW w:w="3320" w:type="dxa"/>
            <w:vAlign w:val="bottom"/>
          </w:tcPr>
          <w:p>
            <w:pPr>
              <w:ind w:left="220"/>
              <w:spacing w:after="0"/>
              <w:rPr>
                <w:sz w:val="20"/>
                <w:szCs w:val="20"/>
                <w:color w:val="auto"/>
              </w:rPr>
            </w:pPr>
            <w:r>
              <w:rPr>
                <w:rFonts w:ascii="Arial" w:cs="Arial" w:eastAsia="Arial" w:hAnsi="Arial"/>
                <w:sz w:val="18"/>
                <w:szCs w:val="18"/>
                <w:color w:val="auto"/>
              </w:rPr>
              <w:t>$1,225,000</w:t>
            </w:r>
          </w:p>
        </w:tc>
        <w:tc>
          <w:tcPr>
            <w:tcW w:w="108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-1178560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-1178560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720" w:hanging="712"/>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Cash Bonuses. Bonus potential under Executive Cash Bonus Plan:  75% of Base</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Salary. Bonus potential under Supplemental Cash Bonus Plan: 50% of Base Salary.</w:t>
      </w:r>
    </w:p>
    <w:p>
      <w:pPr>
        <w:spacing w:after="0" w:line="210" w:lineRule="exact"/>
        <w:rPr>
          <w:rFonts w:ascii="Arial" w:cs="Arial" w:eastAsia="Arial" w:hAnsi="Arial"/>
          <w:sz w:val="18"/>
          <w:szCs w:val="18"/>
          <w:color w:val="auto"/>
        </w:rPr>
      </w:pPr>
    </w:p>
    <w:p>
      <w:pPr>
        <w:ind w:left="720" w:right="4620" w:hanging="712"/>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170" w:lineRule="exact"/>
        <w:rPr>
          <w:rFonts w:ascii="Arial" w:cs="Arial" w:eastAsia="Arial" w:hAnsi="Arial"/>
          <w:sz w:val="18"/>
          <w:szCs w:val="18"/>
          <w:color w:val="auto"/>
        </w:rPr>
      </w:pPr>
    </w:p>
    <w:p>
      <w:pPr>
        <w:ind w:left="720" w:right="3280" w:hanging="712"/>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Cash Bonus Programs and Restricted Stock Plan Grants Continued Vesting Period following Discharge Without Cause or Termination With Good Reason: 12 months.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ind w:left="980" w:right="40" w:hanging="648"/>
        <w:spacing w:after="0" w:line="291" w:lineRule="auto"/>
        <w:tabs>
          <w:tab w:leader="none" w:pos="97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DirecTV, Inc.; Echostar Communications Corporation; Knology Holdings, Inc.; Qwest Communications International, Inc.; RCN Corporation; SBC Communications, Inc.; Time Warner Cable, Inc.; Verizon Communications, Inc.; and Wide Open West.</w:t>
      </w:r>
    </w:p>
    <w:p>
      <w:pPr>
        <w:spacing w:after="0" w:line="167" w:lineRule="exact"/>
        <w:rPr>
          <w:rFonts w:ascii="Arial" w:cs="Arial" w:eastAsia="Arial" w:hAnsi="Arial"/>
          <w:sz w:val="16"/>
          <w:szCs w:val="16"/>
          <w:color w:val="auto"/>
        </w:rPr>
      </w:pPr>
    </w:p>
    <w:p>
      <w:pPr>
        <w:ind w:left="980" w:right="80" w:hanging="648"/>
        <w:spacing w:after="0" w:line="291" w:lineRule="auto"/>
        <w:tabs>
          <w:tab w:leader="none" w:pos="9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DirecTV, Inc.; Echostar Communications Corporation; Knology Holdings, Inc.; Qwest Communications International, Inc.; RCN Corporation; SBC Communications, Inc.; Sprint Corporation; MCI, Inc.; Time Warner Inc.; Verizon Communications, Inc.; and Wide Open West.</w:t>
      </w:r>
    </w:p>
    <w:p>
      <w:pPr>
        <w:spacing w:after="0" w:line="167" w:lineRule="exact"/>
        <w:rPr>
          <w:rFonts w:ascii="Arial" w:cs="Arial" w:eastAsia="Arial" w:hAnsi="Arial"/>
          <w:sz w:val="16"/>
          <w:szCs w:val="16"/>
          <w:color w:val="auto"/>
        </w:rPr>
      </w:pPr>
    </w:p>
    <w:p>
      <w:pPr>
        <w:ind w:left="980" w:right="60" w:hanging="648"/>
        <w:spacing w:after="0" w:line="290" w:lineRule="auto"/>
        <w:tabs>
          <w:tab w:leader="none" w:pos="9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DirecTV, Inc.; Echostar Communications Corporation; Google, Inc.; Knology Holdings, Inc.; MCI, Inc.; Microsoft Corporation (including MSN); Qwest Communications International, Inc.; RCN Corporation; SBC Communications, Inc.; Sprint Corporation; Time Warner Inc. (including AOL); Verizon Communications, Inc.; and Yahoo, Inc.</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80" w:hanging="648"/>
        <w:spacing w:after="0" w:line="257" w:lineRule="auto"/>
        <w:tabs>
          <w:tab w:leader="none" w:pos="9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 of wireless communications services to residential or commercial subscribers,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Corporation; T-Mobile USA, Inc.; and Verizon Communications, Inc.</w:t>
      </w:r>
    </w:p>
    <w:p>
      <w:pPr>
        <w:sectPr>
          <w:pgSz w:w="11900" w:h="16884" w:orient="portrait"/>
          <w:cols w:equalWidth="0" w:num="1">
            <w:col w:w="11440"/>
          </w:cols>
          <w:pgMar w:left="240" w:top="125" w:right="219" w:bottom="0" w:gutter="0" w:footer="0" w:header="0"/>
        </w:sectPr>
      </w:pPr>
    </w:p>
    <w:bookmarkStart w:id="24" w:name="page25"/>
    <w:bookmarkEnd w:id="24"/>
    <w:p>
      <w:pPr>
        <w:ind w:left="980" w:right="100" w:hanging="648"/>
        <w:spacing w:after="0" w:line="271"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CBS and Paramount).</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gridSpan w:val="2"/>
          </w:tcPr>
          <w:p>
            <w:pPr>
              <w:ind w:left="1520"/>
              <w:spacing w:after="0"/>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8"/>
          </w:tcPr>
          <w:p>
            <w:pPr>
              <w:ind w:left="960"/>
              <w:spacing w:after="0"/>
              <w:rPr>
                <w:sz w:val="20"/>
                <w:szCs w:val="20"/>
                <w:color w:val="auto"/>
              </w:rPr>
            </w:pPr>
            <w:r>
              <w:rPr>
                <w:rFonts w:ascii="Arial" w:cs="Arial" w:eastAsia="Arial" w:hAnsi="Arial"/>
                <w:sz w:val="14"/>
                <w:szCs w:val="14"/>
                <w:b w:val="1"/>
                <w:bCs w:val="1"/>
                <w:color w:val="auto"/>
              </w:rPr>
              <w:t>Only Exercise Date</w:t>
            </w:r>
          </w:p>
        </w:tc>
        <w:tc>
          <w:tcPr>
            <w:tcW w:w="3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Class</w:t>
            </w:r>
          </w:p>
        </w:tc>
        <w:tc>
          <w:tcPr>
            <w:tcW w:w="20" w:type="dxa"/>
            <w:vAlign w:val="bottom"/>
          </w:tcPr>
          <w:p>
            <w:pPr>
              <w:spacing w:after="0"/>
              <w:rPr>
                <w:sz w:val="14"/>
                <w:szCs w:val="14"/>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3, 1999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May 1, 2009</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CMCSK</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 2000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June 1, 2010</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CMCSK</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30, 2001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July 29, 2011</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CMCSK</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24, 2002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January 23, 2012</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CMCSK</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26, 2003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February 25, 2013</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CMCSA</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9, 2004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March 7, 2014</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CMCSA</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14, 2005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March 13, 2015</w:t>
            </w:r>
          </w:p>
        </w:tc>
        <w:tc>
          <w:tcPr>
            <w:tcW w:w="36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CMCSA</w:t>
            </w:r>
          </w:p>
        </w:tc>
        <w:tc>
          <w:tcPr>
            <w:tcW w:w="20" w:type="dxa"/>
            <w:vAlign w:val="bottom"/>
          </w:tcPr>
          <w:p>
            <w:pPr>
              <w:spacing w:after="0"/>
              <w:rPr>
                <w:sz w:val="18"/>
                <w:szCs w:val="18"/>
                <w:color w:val="auto"/>
              </w:rPr>
            </w:pPr>
          </w:p>
        </w:tc>
      </w:tr>
      <w:tr>
        <w:trPr>
          <w:trHeight w:val="64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left="1490"/>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26"/>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87"/>
              </w:rPr>
              <w:t>Schedule B</w:t>
            </w: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0"/>
              </w:rPr>
              <w:t>B Options</w:t>
            </w:r>
          </w:p>
        </w:tc>
        <w:tc>
          <w:tcPr>
            <w:tcW w:w="1680" w:type="dxa"/>
            <w:vAlign w:val="bottom"/>
            <w:gridSpan w:val="4"/>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740" w:type="dxa"/>
            <w:vAlign w:val="bottom"/>
            <w:gridSpan w:val="2"/>
          </w:tcPr>
          <w:p>
            <w:pPr>
              <w:ind w:left="1460"/>
              <w:spacing w:after="0"/>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tcPr>
          <w:p>
            <w:pPr>
              <w:jc w:val="center"/>
              <w:ind w:right="660"/>
              <w:spacing w:after="0"/>
              <w:rPr>
                <w:sz w:val="20"/>
                <w:szCs w:val="20"/>
                <w:color w:val="auto"/>
              </w:rPr>
            </w:pPr>
            <w:r>
              <w:rPr>
                <w:rFonts w:ascii="Arial" w:cs="Arial" w:eastAsia="Arial" w:hAnsi="Arial"/>
                <w:sz w:val="14"/>
                <w:szCs w:val="14"/>
                <w:b w:val="1"/>
                <w:bCs w:val="1"/>
                <w:color w:val="auto"/>
                <w:w w:val="93"/>
              </w:rPr>
              <w:t>Final Exercise Date</w:t>
            </w:r>
          </w:p>
        </w:tc>
        <w:tc>
          <w:tcPr>
            <w:tcW w:w="3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Class</w:t>
            </w:r>
          </w:p>
        </w:tc>
        <w:tc>
          <w:tcPr>
            <w:tcW w:w="20" w:type="dxa"/>
            <w:vAlign w:val="bottom"/>
          </w:tcPr>
          <w:p>
            <w:pPr>
              <w:spacing w:after="0"/>
              <w:rPr>
                <w:sz w:val="24"/>
                <w:szCs w:val="24"/>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28, 2002</w:t>
            </w:r>
          </w:p>
        </w:tc>
        <w:tc>
          <w:tcPr>
            <w:tcW w:w="380" w:type="dxa"/>
            <w:vAlign w:val="bottom"/>
            <w:shd w:val="clear" w:color="auto" w:fill="CCEEFF"/>
          </w:tcPr>
          <w:p>
            <w:pPr>
              <w:spacing w:after="0"/>
              <w:rPr>
                <w:sz w:val="18"/>
                <w:szCs w:val="18"/>
                <w:color w:val="auto"/>
              </w:rPr>
            </w:pPr>
          </w:p>
        </w:tc>
        <w:tc>
          <w:tcPr>
            <w:tcW w:w="37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October 26, 2012</w:t>
            </w:r>
          </w:p>
        </w:tc>
        <w:tc>
          <w:tcPr>
            <w:tcW w:w="36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5"/>
              </w:rPr>
              <w:t>CMCSK</w:t>
            </w:r>
          </w:p>
        </w:tc>
        <w:tc>
          <w:tcPr>
            <w:tcW w:w="20" w:type="dxa"/>
            <w:vAlign w:val="bottom"/>
          </w:tcPr>
          <w:p>
            <w:pPr>
              <w:spacing w:after="0"/>
              <w:rPr>
                <w:sz w:val="18"/>
                <w:szCs w:val="18"/>
                <w:color w:val="auto"/>
              </w:rPr>
            </w:pPr>
          </w:p>
        </w:tc>
      </w:tr>
      <w:tr>
        <w:trPr>
          <w:trHeight w:val="64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left="1490"/>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6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-1772285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
    <w:nsid w:val="153EA43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
    <w:nsid w:val="385558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
    <w:nsid w:val="70A64E2A"/>
    <w:multiLevelType w:val="hybridMultilevel"/>
    <w:lvl w:ilvl="0">
      <w:lvlJc w:val="left"/>
      <w:lvlText w:val="(%1)"/>
      <w:numFmt w:val="lowerRoman"/>
      <w:start w:val="2"/>
    </w:lvl>
  </w:abstractNum>
  <w:abstractNum w:abstractNumId="5">
    <w:nsid w:val="6A2342EC"/>
    <w:multiLevelType w:val="hybridMultilevel"/>
    <w:lvl w:ilvl="0">
      <w:lvlJc w:val="left"/>
      <w:lvlText w:val="%1"/>
      <w:numFmt w:val="decimal"/>
      <w:start w:val="1"/>
    </w:lvl>
    <w:lvl w:ilvl="1">
      <w:lvlJc w:val="left"/>
      <w:lvlText w:val="(%2)"/>
      <w:numFmt w:val="lowerLetter"/>
      <w:start w:val="4"/>
    </w:lvl>
  </w:abstractNum>
  <w:abstractNum w:abstractNumId="6">
    <w:nsid w:val="2A487CB0"/>
    <w:multiLevelType w:val="hybridMultilevel"/>
    <w:lvl w:ilvl="0">
      <w:lvlJc w:val="left"/>
      <w:lvlText w:val="%1."/>
      <w:numFmt w:val="decimal"/>
      <w:start w:val="4"/>
    </w:lvl>
    <w:lvl w:ilvl="1">
      <w:lvlJc w:val="left"/>
      <w:lvlText w:val="(%2)"/>
      <w:numFmt w:val="lowerLetter"/>
      <w:start w:val="1"/>
    </w:lvl>
  </w:abstractNum>
  <w:abstractNum w:abstractNumId="7">
    <w:nsid w:val="1D4ED4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
    <w:nsid w:val="2CD89A32"/>
    <w:multiLevelType w:val="hybridMultilevel"/>
    <w:lvl w:ilvl="0">
      <w:lvlJc w:val="left"/>
      <w:lvlText w:val="(%1)"/>
      <w:numFmt w:val="lowerLetter"/>
      <w:start w:val="2"/>
    </w:lvl>
    <w:lvl w:ilvl="1">
      <w:lvlJc w:val="left"/>
      <w:lvlText w:val="(%2)"/>
      <w:numFmt w:val="lowerRoman"/>
      <w:start w:val="1"/>
    </w:lvl>
  </w:abstractNum>
  <w:abstractNum w:abstractNumId="10">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
    <w:nsid w:val="7A6D8D3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2">
    <w:nsid w:val="4B588F5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3">
    <w:nsid w:val="542289EC"/>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14">
    <w:nsid w:val="6DE91B1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5">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6">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17">
    <w:nsid w:val="32FFF90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18">
    <w:nsid w:val="684A481A"/>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9">
    <w:nsid w:val="579478F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
    <w:nsid w:val="749ABB4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1">
    <w:nsid w:val="3DC240FB"/>
    <w:multiLevelType w:val="hybridMultilevel"/>
    <w:lvl w:ilvl="0">
      <w:lvlJc w:val="left"/>
      <w:lvlText w:val="%1."/>
      <w:numFmt w:val="decimal"/>
      <w:start w:val="12"/>
    </w:lvl>
    <w:lvl w:ilvl="1">
      <w:lvlJc w:val="left"/>
      <w:lvlText w:val="(%2)"/>
      <w:numFmt w:val="lowerLetter"/>
      <w:start w:val="1"/>
    </w:lvl>
  </w:abstractNum>
  <w:abstractNum w:abstractNumId="22">
    <w:nsid w:val="1BA026FA"/>
    <w:multiLevelType w:val="hybridMultilevel"/>
    <w:lvl w:ilvl="0">
      <w:lvlJc w:val="left"/>
      <w:lvlText w:val="%1."/>
      <w:numFmt w:val="decimal"/>
      <w:start w:val="14"/>
    </w:lvl>
  </w:abstractNum>
  <w:abstractNum w:abstractNumId="23">
    <w:nsid w:val="79A1DEAA"/>
    <w:multiLevelType w:val="hybridMultilevel"/>
    <w:lvl w:ilvl="0">
      <w:lvlJc w:val="left"/>
      <w:lvlText w:val="%1."/>
      <w:numFmt w:val="decimal"/>
      <w:start w:val="15"/>
    </w:lvl>
  </w:abstractNum>
  <w:abstractNum w:abstractNumId="24">
    <w:nsid w:val="75C6C33A"/>
    <w:multiLevelType w:val="hybridMultilevel"/>
    <w:lvl w:ilvl="0">
      <w:lvlJc w:val="left"/>
      <w:lvlText w:val="%1."/>
      <w:numFmt w:val="decimal"/>
      <w:start w:val="3"/>
    </w:lvl>
  </w:abstractNum>
  <w:abstractNum w:abstractNumId="25">
    <w:nsid w:val="12E685FB"/>
    <w:multiLevelType w:val="hybridMultilevel"/>
    <w:lvl w:ilvl="0">
      <w:lvlJc w:val="left"/>
      <w:lvlText w:val="%1."/>
      <w:numFmt w:val="upperLetter"/>
      <w:start w:val="1"/>
    </w:lvl>
  </w:abstractNum>
  <w:abstractNum w:abstractNumId="26">
    <w:nsid w:val="70C6A529"/>
    <w:multiLevelType w:val="hybridMultilevel"/>
    <w:lvl w:ilvl="0">
      <w:lvlJc w:val="left"/>
      <w:lvlText w:val="%1."/>
      <w:numFmt w:val="upperLetter"/>
      <w:start w:val="4"/>
    </w:lvl>
  </w:abstractNum>
  <w:abstractNum w:abstractNumId="27">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8">
    <w:nsid w:val="374A3FE6"/>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9">
    <w:nsid w:val="4F4EF005"/>
    <w:multiLevelType w:val="hybridMultilevel"/>
    <w:lvl w:ilvl="0">
      <w:lvlJc w:val="left"/>
      <w:lvlText w:val="(%1)"/>
      <w:numFmt w:val="lowerLetter"/>
      <w:start w:val="4"/>
    </w:lvl>
    <w:lvl w:ilvl="1">
      <w:lvlJc w:val="left"/>
      <w:lvlText w:val="(%2)"/>
      <w:numFmt w:val="lowerRoman"/>
      <w:start w:val="1"/>
    </w:lvl>
  </w:abstractNum>
  <w:abstractNum w:abstractNumId="30">
    <w:nsid w:val="23F9C13C"/>
    <w:multiLevelType w:val="hybridMultilevel"/>
    <w:lvl w:ilvl="0">
      <w:lvlJc w:val="left"/>
      <w:lvlText w:val="%1"/>
      <w:numFmt w:val="decimal"/>
      <w:start w:val="1"/>
    </w:lvl>
    <w:lvl w:ilvl="1">
      <w:lvlJc w:val="left"/>
      <w:lvlText w:val="(%2)"/>
      <w:numFmt w:val="lowerLetter"/>
      <w:start w:val="5"/>
    </w:lvl>
  </w:abstractNum>
  <w:abstractNum w:abstractNumId="31">
    <w:nsid w:val="649BB77C"/>
    <w:multiLevelType w:val="hybridMultilevel"/>
    <w:lvl w:ilvl="0">
      <w:lvlJc w:val="left"/>
      <w:lvlText w:val="%1."/>
      <w:numFmt w:val="decimal"/>
      <w:start w:val="4"/>
    </w:lvl>
    <w:lvl w:ilvl="1">
      <w:lvlJc w:val="left"/>
      <w:lvlText w:val="%2"/>
      <w:numFmt w:val="lowerLetter"/>
      <w:start w:val="1"/>
    </w:lvl>
  </w:abstractNum>
  <w:abstractNum w:abstractNumId="32">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3938657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2"/>
    </w:lvl>
    <w:lvl w:ilvl="1">
      <w:lvlJc w:val="left"/>
      <w:lvlText w:val="(%2)"/>
      <w:numFmt w:val="lowerRoman"/>
      <w:start w:val="1"/>
    </w:lvl>
  </w:abstractNum>
  <w:abstractNum w:abstractNumId="36">
    <w:nsid w:val="235BA861"/>
    <w:multiLevelType w:val="hybridMultilevel"/>
    <w:lvl w:ilvl="0">
      <w:lvlJc w:val="left"/>
      <w:lvlText w:val="%1"/>
      <w:numFmt w:val="decimal"/>
      <w:start w:val="1"/>
    </w:lvl>
    <w:lvl w:ilvl="1">
      <w:lvlJc w:val="left"/>
      <w:lvlText w:val="(%2)"/>
      <w:numFmt w:val="lowerLetter"/>
      <w:start w:val="4"/>
    </w:lvl>
  </w:abstractNum>
  <w:abstractNum w:abstractNumId="37">
    <w:nsid w:val="47398C89"/>
    <w:multiLevelType w:val="hybridMultilevel"/>
    <w:lvl w:ilvl="0">
      <w:lvlJc w:val="left"/>
      <w:lvlText w:val="%1."/>
      <w:numFmt w:val="decimal"/>
      <w:start w:val="8"/>
    </w:lvl>
    <w:lvl w:ilvl="1">
      <w:lvlJc w:val="left"/>
      <w:lvlText w:val="(%2)"/>
      <w:numFmt w:val="lowerLetter"/>
      <w:start w:val="1"/>
    </w:lvl>
  </w:abstractNum>
  <w:abstractNum w:abstractNumId="38">
    <w:nsid w:val="354FE9F9"/>
    <w:multiLevelType w:val="hybridMultilevel"/>
    <w:lvl w:ilvl="0">
      <w:lvlJc w:val="left"/>
      <w:lvlText w:val="%1"/>
      <w:numFmt w:val="lowerLetter"/>
      <w:start w:val="1"/>
    </w:lvl>
    <w:lvl w:ilvl="1">
      <w:lvlJc w:val="left"/>
      <w:lvlText w:val="(%2)"/>
      <w:numFmt w:val="lowerRoman"/>
      <w:start w:val="2"/>
    </w:lvl>
  </w:abstractNum>
  <w:abstractNum w:abstractNumId="39">
    <w:nsid w:val="15B5AF5C"/>
    <w:multiLevelType w:val="hybridMultilevel"/>
    <w:lvl w:ilvl="0">
      <w:lvlJc w:val="left"/>
      <w:lvlText w:val="(%1)"/>
      <w:numFmt w:val="lowerLetter"/>
      <w:start w:val="3"/>
    </w:lvl>
    <w:lvl w:ilvl="1">
      <w:lvlJc w:val="left"/>
      <w:lvlText w:val="%2"/>
      <w:numFmt w:val="lowerRoman"/>
      <w:start w:val="1"/>
    </w:lvl>
  </w:abstractNum>
  <w:abstractNum w:abstractNumId="40">
    <w:nsid w:val="741226B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1">
    <w:nsid w:val="D34B6A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2">
    <w:nsid w:val="10233C9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43">
    <w:nsid w:val="3F6AB60F"/>
    <w:multiLevelType w:val="hybridMultilevel"/>
    <w:lvl w:ilvl="0">
      <w:lvlJc w:val="left"/>
      <w:lvlText w:val="%1."/>
      <w:numFmt w:val="decimal"/>
      <w:start w:val="10"/>
    </w:lvl>
    <w:lvl w:ilvl="1">
      <w:lvlJc w:val="left"/>
      <w:lvlText w:val="%2."/>
      <w:numFmt w:val="decimal"/>
      <w:start w:val="11"/>
    </w:lvl>
    <w:lvl w:ilvl="2">
      <w:lvlJc w:val="left"/>
      <w:lvlText w:val="%3"/>
      <w:numFmt w:val="lowerRoman"/>
      <w:start w:val="1"/>
    </w:lvl>
    <w:lvl w:ilvl="3">
      <w:lvlJc w:val="left"/>
      <w:lvlText w:val="(%4)"/>
      <w:numFmt w:val="lowerLetter"/>
      <w:start w:val="1"/>
    </w:lvl>
  </w:abstractNum>
  <w:abstractNum w:abstractNumId="44">
    <w:nsid w:val="61574095"/>
    <w:multiLevelType w:val="hybridMultilevel"/>
    <w:lvl w:ilvl="0">
      <w:lvlJc w:val="left"/>
      <w:lvlText w:val="%1."/>
      <w:numFmt w:val="decimal"/>
      <w:start w:val="13"/>
    </w:lvl>
  </w:abstractNum>
  <w:abstractNum w:abstractNumId="45">
    <w:nsid w:val="7E0C57B1"/>
    <w:multiLevelType w:val="hybridMultilevel"/>
    <w:lvl w:ilvl="0">
      <w:lvlJc w:val="left"/>
      <w:lvlText w:val="%1."/>
      <w:numFmt w:val="decimal"/>
      <w:start w:val="14"/>
    </w:lvl>
  </w:abstractNum>
  <w:abstractNum w:abstractNumId="46">
    <w:nsid w:val="77AE35EB"/>
    <w:multiLevelType w:val="hybridMultilevel"/>
    <w:lvl w:ilvl="0">
      <w:lvlJc w:val="left"/>
      <w:lvlText w:val="%1."/>
      <w:numFmt w:val="decimal"/>
      <w:start w:val="3"/>
    </w:lvl>
  </w:abstractNum>
  <w:abstractNum w:abstractNumId="47">
    <w:nsid w:val="579BE4F1"/>
    <w:multiLevelType w:val="hybridMultilevel"/>
    <w:lvl w:ilvl="0">
      <w:lvlJc w:val="left"/>
      <w:lvlText w:val="%1."/>
      <w:numFmt w:val="upperLetter"/>
      <w:start w:val="1"/>
    </w:lvl>
  </w:abstractNum>
  <w:abstractNum w:abstractNumId="48">
    <w:nsid w:val="310C50B3"/>
    <w:multiLevelType w:val="hybridMultilevel"/>
    <w:lvl w:ilvl="0">
      <w:lvlJc w:val="left"/>
      <w:lvlText w:val="%1."/>
      <w:numFmt w:val="upperLetter"/>
      <w:start w:val="4"/>
    </w:lvl>
  </w:abstractNum>
  <w:abstractNum w:abstractNumId="49">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
    <w:nsid w:val="2F305DE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1">
    <w:nsid w:val="25A70BF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4">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
    <w:nsid w:val="138182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
    <w:nsid w:val="5DB70AE5"/>
    <w:multiLevelType w:val="hybridMultilevel"/>
    <w:lvl w:ilvl="0">
      <w:lvlJc w:val="left"/>
      <w:lvlText w:val="%1."/>
      <w:numFmt w:val="decimal"/>
      <w:start w:val="6"/>
    </w:lvl>
  </w:abstractNum>
  <w:abstractNum w:abstractNumId="57">
    <w:nsid w:val="100F8FCA"/>
    <w:multiLevelType w:val="hybridMultilevel"/>
    <w:lvl w:ilvl="0">
      <w:lvlJc w:val="left"/>
      <w:lvlText w:val="(%1)"/>
      <w:numFmt w:val="lowerLetter"/>
      <w:start w:val="1"/>
    </w:lvl>
    <w:lvl w:ilvl="1">
      <w:lvlJc w:val="left"/>
      <w:lvlText w:val="(%2)"/>
      <w:numFmt w:val="lowerRoman"/>
      <w:start w:val="1"/>
    </w:lvl>
  </w:abstractNum>
  <w:abstractNum w:abstractNumId="58">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15014ACB"/>
    <w:multiLevelType w:val="hybridMultilevel"/>
    <w:lvl w:ilvl="0">
      <w:lvlJc w:val="left"/>
      <w:lvlText w:val="%1"/>
      <w:numFmt w:val="lowerLetter"/>
      <w:start w:val="1"/>
    </w:lvl>
    <w:lvl w:ilvl="1">
      <w:lvlJc w:val="left"/>
      <w:lvlText w:val="(%2)"/>
      <w:numFmt w:val="lowerLetter"/>
      <w:start w:val="61"/>
    </w:lvl>
  </w:abstractNum>
  <w:abstractNum w:abstractNumId="60">
    <w:nsid w:val="5F5E7FD0"/>
    <w:multiLevelType w:val="hybridMultilevel"/>
    <w:lvl w:ilvl="0">
      <w:lvlJc w:val="left"/>
      <w:lvlText w:val="(%1)"/>
      <w:numFmt w:val="lowerLetter"/>
      <w:start w:val="4"/>
    </w:lvl>
    <w:lvl w:ilvl="1">
      <w:lvlJc w:val="left"/>
      <w:lvlText w:val="(%2)"/>
      <w:numFmt w:val="lowerLetter"/>
      <w:start w:val="9"/>
    </w:lvl>
  </w:abstractNum>
  <w:abstractNum w:abstractNumId="61">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2">
    <w:nsid w:val="799D024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3">
    <w:nsid w:val="6B9476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4">
    <w:nsid w:val="42C296BD"/>
    <w:multiLevelType w:val="hybridMultilevel"/>
    <w:lvl w:ilvl="0">
      <w:lvlJc w:val="left"/>
      <w:lvlText w:val="%1"/>
      <w:numFmt w:val="lowerLetter"/>
      <w:start w:val="1"/>
    </w:lvl>
    <w:lvl w:ilvl="1">
      <w:lvlJc w:val="left"/>
      <w:lvlText w:val="(%2)"/>
      <w:numFmt w:val="lowerRoman"/>
      <w:start w:val="2"/>
    </w:lvl>
  </w:abstractNum>
  <w:abstractNum w:abstractNumId="65">
    <w:nsid w:val="168E121F"/>
    <w:multiLevelType w:val="hybridMultilevel"/>
    <w:lvl w:ilvl="0">
      <w:lvlJc w:val="left"/>
      <w:lvlText w:val="(%1)"/>
      <w:numFmt w:val="lowerLetter"/>
      <w:start w:val="3"/>
    </w:lvl>
    <w:lvl w:ilvl="1">
      <w:lvlJc w:val="left"/>
      <w:lvlText w:val="%2"/>
      <w:numFmt w:val="lowerRoman"/>
      <w:start w:val="1"/>
    </w:lvl>
  </w:abstractNum>
  <w:abstractNum w:abstractNumId="66">
    <w:nsid w:val="1EBA5D23"/>
    <w:multiLevelType w:val="hybridMultilevel"/>
    <w:lvl w:ilvl="0">
      <w:lvlJc w:val="left"/>
      <w:lvlText w:val="(%1)"/>
      <w:numFmt w:val="lowerLetter"/>
      <w:start w:val="4"/>
    </w:lvl>
  </w:abstractNum>
  <w:abstractNum w:abstractNumId="67">
    <w:nsid w:val="661E3F1E"/>
    <w:multiLevelType w:val="hybridMultilevel"/>
    <w:lvl w:ilvl="0">
      <w:lvlJc w:val="left"/>
      <w:lvlText w:val="(%1)"/>
      <w:numFmt w:val="lowerLetter"/>
      <w:start w:val="6"/>
    </w:lvl>
  </w:abstractNum>
  <w:abstractNum w:abstractNumId="68">
    <w:nsid w:val="5DC79EA8"/>
    <w:multiLevelType w:val="hybridMultilevel"/>
    <w:lvl w:ilvl="0">
      <w:lvlJc w:val="left"/>
      <w:lvlText w:val="%1."/>
      <w:numFmt w:val="decimal"/>
      <w:start w:val="9"/>
    </w:lvl>
  </w:abstractNum>
  <w:abstractNum w:abstractNumId="69">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7BD3EE7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1">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613EFDC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3">
    <w:nsid w:val="BF72B14"/>
    <w:multiLevelType w:val="hybridMultilevel"/>
    <w:lvl w:ilvl="0">
      <w:lvlJc w:val="left"/>
      <w:lvlText w:val="%1."/>
      <w:numFmt w:val="decimal"/>
      <w:start w:val="14"/>
    </w:lvl>
  </w:abstractNum>
  <w:abstractNum w:abstractNumId="74">
    <w:nsid w:val="11447B73"/>
    <w:multiLevelType w:val="hybridMultilevel"/>
    <w:lvl w:ilvl="0">
      <w:lvlJc w:val="left"/>
      <w:lvlText w:val="%1."/>
      <w:numFmt w:val="decimal"/>
      <w:start w:val="15"/>
    </w:lvl>
  </w:abstractNum>
  <w:abstractNum w:abstractNumId="75">
    <w:nsid w:val="42963E5A"/>
    <w:multiLevelType w:val="hybridMultilevel"/>
    <w:lvl w:ilvl="0">
      <w:lvlJc w:val="left"/>
      <w:lvlText w:val="%1."/>
      <w:numFmt w:val="decimal"/>
      <w:start w:val="3"/>
    </w:lvl>
  </w:abstractNum>
  <w:abstractNum w:abstractNumId="76">
    <w:nsid w:val="A0382C5"/>
    <w:multiLevelType w:val="hybridMultilevel"/>
    <w:lvl w:ilvl="0">
      <w:lvlJc w:val="left"/>
      <w:lvlText w:val="%1."/>
      <w:numFmt w:val="upperLetter"/>
      <w:start w:val="1"/>
    </w:lvl>
  </w:abstractNum>
  <w:abstractNum w:abstractNumId="77">
    <w:nsid w:val="8F2B15E"/>
    <w:multiLevelType w:val="hybridMultilevel"/>
    <w:lvl w:ilvl="0">
      <w:lvlJc w:val="left"/>
      <w:lvlText w:val="%1."/>
      <w:numFmt w:val="upperLetter"/>
      <w:start w:val="4"/>
    </w:lvl>
  </w:abstractNum>
  <w:abstractNum w:abstractNumId="78">
    <w:nsid w:val="1A32234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2019-12-15T06:09:46Z</dcterms:created>
  <dcterms:modified xsi:type="dcterms:W3CDTF">2019-12-15T06:09:46Z</dcterms:modified>
</cp:coreProperties>
</file>