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500" w:type="dxa"/>
            <w:vAlign w:val="bottom"/>
          </w:tcPr>
          <w:p>
            <w:pPr>
              <w:spacing w:after="0"/>
              <w:rPr>
                <w:sz w:val="20"/>
                <w:szCs w:val="20"/>
                <w:color w:val="auto"/>
              </w:rPr>
            </w:pPr>
          </w:p>
        </w:tc>
        <w:tc>
          <w:tcPr>
            <w:tcW w:w="7160" w:type="dxa"/>
            <w:vAlign w:val="bottom"/>
          </w:tcPr>
          <w:p>
            <w:pPr>
              <w:jc w:val="center"/>
              <w:ind w:right="220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April 25, 2024</w:t>
            </w:r>
          </w:p>
        </w:tc>
      </w:tr>
      <w:tr>
        <w:trPr>
          <w:trHeight w:val="450"/>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500" w:type="dxa"/>
            <w:vAlign w:val="bottom"/>
          </w:tcPr>
          <w:p>
            <w:pPr>
              <w:spacing w:after="0"/>
              <w:rPr>
                <w:sz w:val="12"/>
                <w:szCs w:val="12"/>
                <w:color w:val="auto"/>
              </w:rPr>
            </w:pPr>
          </w:p>
        </w:tc>
        <w:tc>
          <w:tcPr>
            <w:tcW w:w="7160" w:type="dxa"/>
            <w:vAlign w:val="bottom"/>
          </w:tcPr>
          <w:p>
            <w:pPr>
              <w:jc w:val="center"/>
              <w:ind w:right="224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00" w:type="dxa"/>
            <w:vAlign w:val="bottom"/>
          </w:tcPr>
          <w:p>
            <w:pPr>
              <w:spacing w:after="0"/>
              <w:rPr>
                <w:sz w:val="16"/>
                <w:szCs w:val="16"/>
                <w:color w:val="auto"/>
              </w:rPr>
            </w:pPr>
          </w:p>
        </w:tc>
        <w:tc>
          <w:tcPr>
            <w:tcW w:w="716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383"/>
        </w:trPr>
        <w:tc>
          <w:tcPr>
            <w:tcW w:w="2500" w:type="dxa"/>
            <w:vAlign w:val="bottom"/>
          </w:tcPr>
          <w:p>
            <w:pPr>
              <w:spacing w:after="0"/>
              <w:rPr>
                <w:sz w:val="24"/>
                <w:szCs w:val="24"/>
                <w:color w:val="auto"/>
              </w:rPr>
            </w:pPr>
          </w:p>
        </w:tc>
        <w:tc>
          <w:tcPr>
            <w:tcW w:w="7160" w:type="dxa"/>
            <w:vAlign w:val="bottom"/>
          </w:tcPr>
          <w:p>
            <w:pPr>
              <w:jc w:val="center"/>
              <w:ind w:right="224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500" w:type="dxa"/>
            <w:vAlign w:val="bottom"/>
          </w:tcPr>
          <w:p>
            <w:pPr>
              <w:spacing w:after="0"/>
              <w:rPr>
                <w:sz w:val="16"/>
                <w:szCs w:val="16"/>
                <w:color w:val="auto"/>
              </w:rPr>
            </w:pPr>
          </w:p>
        </w:tc>
        <w:tc>
          <w:tcPr>
            <w:tcW w:w="716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392"/>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160" w:type="dxa"/>
            <w:vAlign w:val="bottom"/>
          </w:tcPr>
          <w:p>
            <w:pPr>
              <w:jc w:val="center"/>
              <w:ind w:left="506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(Commission File Number)</w:t>
            </w:r>
          </w:p>
        </w:tc>
        <w:tc>
          <w:tcPr>
            <w:tcW w:w="7160" w:type="dxa"/>
            <w:vAlign w:val="bottom"/>
          </w:tcPr>
          <w:p>
            <w:pPr>
              <w:jc w:val="center"/>
              <w:ind w:left="508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93"/>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160" w:type="dxa"/>
            <w:vAlign w:val="bottom"/>
          </w:tcPr>
          <w:p>
            <w:pPr>
              <w:spacing w:after="0"/>
              <w:rPr>
                <w:sz w:val="24"/>
                <w:szCs w:val="24"/>
                <w:color w:val="auto"/>
              </w:rPr>
            </w:pPr>
          </w:p>
        </w:tc>
      </w:tr>
      <w:tr>
        <w:trPr>
          <w:trHeight w:val="229"/>
        </w:trPr>
        <w:tc>
          <w:tcPr>
            <w:tcW w:w="25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160" w:type="dxa"/>
            <w:vAlign w:val="bottom"/>
          </w:tcPr>
          <w:p>
            <w:pPr>
              <w:jc w:val="center"/>
              <w:ind w:left="506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160" w:type="dxa"/>
            <w:vAlign w:val="bottom"/>
          </w:tcPr>
          <w:p>
            <w:pPr>
              <w:jc w:val="center"/>
              <w:ind w:left="506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500" w:type="dxa"/>
            <w:vAlign w:val="bottom"/>
          </w:tcPr>
          <w:p>
            <w:pPr>
              <w:spacing w:after="0"/>
              <w:rPr>
                <w:sz w:val="16"/>
                <w:szCs w:val="16"/>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25, 2024, Comcast Corporation (“Comcast”) issued a press release reporting the results of its operations for the three months ended March 31, 2024.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20" w:type="dxa"/>
            <w:vAlign w:val="bottom"/>
            <w:tcBorders>
              <w:right w:val="single" w:sz="8" w:color="auto"/>
            </w:tcBorders>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Comcast Corporation press release dated April 25, 2024.</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Explanation of Non-GAAP and Other Financial Measures.</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25, 2024</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7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7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7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8"/>
        </w:trPr>
        <w:tc>
          <w:tcPr>
            <w:tcW w:w="7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465455</wp:posOffset>
            </wp:positionH>
            <wp:positionV relativeFrom="page">
              <wp:posOffset>260350</wp:posOffset>
            </wp:positionV>
            <wp:extent cx="137160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254635</wp:posOffset>
            </wp:positionV>
            <wp:extent cx="7098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1st QUARTER 2024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PHILADELPHIA - April 25, 2024… Comcast Corporation (NASDAQ: CMCSA) today reported results for the quarter ended March 31, 2024.</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“Our team is continuing to execute exceptionally well in a dynamic and competitive marketplace,</w:t>
      </w:r>
      <w:r>
        <w:rPr>
          <w:rFonts w:ascii="Arial" w:cs="Arial" w:eastAsia="Arial" w:hAnsi="Arial"/>
          <w:sz w:val="18"/>
          <w:szCs w:val="18"/>
          <w:color w:val="auto"/>
        </w:rPr>
        <w:t>" said Brian L. Roberts, Chairman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Comcast Corporation. “</w:t>
      </w:r>
      <w:r>
        <w:rPr>
          <w:rFonts w:ascii="Arial" w:cs="Arial" w:eastAsia="Arial" w:hAnsi="Arial"/>
          <w:sz w:val="18"/>
          <w:szCs w:val="18"/>
          <w:i w:val="1"/>
          <w:iCs w:val="1"/>
          <w:color w:val="auto"/>
        </w:rPr>
        <w:t>We delivered double-digit growth in Adjusted EPS and free cash flow while returning $ 3.6 billion</w:t>
      </w:r>
      <w:r>
        <w:rPr>
          <w:rFonts w:ascii="Arial" w:cs="Arial" w:eastAsia="Arial" w:hAnsi="Arial"/>
          <w:sz w:val="18"/>
          <w:szCs w:val="18"/>
          <w:color w:val="auto"/>
        </w:rPr>
        <w:t xml:space="preserve"> </w:t>
      </w:r>
      <w:r>
        <w:rPr>
          <w:rFonts w:ascii="Arial" w:cs="Arial" w:eastAsia="Arial" w:hAnsi="Arial"/>
          <w:sz w:val="18"/>
          <w:szCs w:val="18"/>
          <w:i w:val="1"/>
          <w:iCs w:val="1"/>
          <w:color w:val="auto"/>
        </w:rPr>
        <w:t>to shareholders, investing aggressively in our businesses, and maintaining our strong balance sheet. We grew broadband ARPU over 4%, delivered 7% revenue growth in our connectivity businesses, and expanded our Adjusted EBITDA margin across Connectivity &amp; Platforms. In Studios, following a record year with eight Oscars including Best Picture, our film group continues to leverage our incredible IP with hits like Kung Fu Panda 4; and Peacock remains one of the fastest growing domestic streamers with impressive acquisition, retention and engagement trends. Overall, I am proud of our ability to consistently perform at the highest levels and continue to position the company for long-term growth.</w:t>
      </w:r>
      <w:r>
        <w:rPr>
          <w:rFonts w:ascii="Arial" w:cs="Arial" w:eastAsia="Arial" w:hAnsi="Arial"/>
          <w:sz w:val="18"/>
          <w:szCs w:val="18"/>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0" w:type="dxa"/>
            <w:vAlign w:val="bottom"/>
            <w:shd w:val="clear" w:color="auto" w:fill="D9D9D6"/>
          </w:tcPr>
          <w:p>
            <w:pPr>
              <w:spacing w:after="0"/>
              <w:rPr>
                <w:sz w:val="16"/>
                <w:szCs w:val="16"/>
                <w:color w:val="auto"/>
              </w:rPr>
            </w:pPr>
          </w:p>
        </w:tc>
        <w:tc>
          <w:tcPr>
            <w:tcW w:w="7980" w:type="dxa"/>
            <w:vAlign w:val="bottom"/>
            <w:tcBorders>
              <w:right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00" w:type="dxa"/>
            <w:vAlign w:val="bottom"/>
            <w:shd w:val="clear" w:color="auto" w:fill="D9D9D6"/>
          </w:tcPr>
          <w:p>
            <w:pPr>
              <w:spacing w:after="0"/>
              <w:rPr>
                <w:sz w:val="16"/>
                <w:szCs w:val="16"/>
                <w:color w:val="auto"/>
              </w:rPr>
            </w:pPr>
          </w:p>
        </w:tc>
        <w:tc>
          <w:tcPr>
            <w:tcW w:w="340" w:type="dxa"/>
            <w:vAlign w:val="bottom"/>
            <w:tcBorders>
              <w:right w:val="single" w:sz="8" w:color="D9D9D6"/>
            </w:tcBorders>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420" w:type="dxa"/>
            <w:vAlign w:val="bottom"/>
            <w:shd w:val="clear" w:color="auto" w:fill="D9D9D6"/>
          </w:tcPr>
          <w:p>
            <w:pPr>
              <w:spacing w:after="0"/>
              <w:rPr>
                <w:sz w:val="16"/>
                <w:szCs w:val="16"/>
                <w:color w:val="auto"/>
              </w:rPr>
            </w:pPr>
          </w:p>
        </w:tc>
        <w:tc>
          <w:tcPr>
            <w:tcW w:w="340" w:type="dxa"/>
            <w:vAlign w:val="bottom"/>
            <w:tcBorders>
              <w:right w:val="single" w:sz="8" w:color="D9D9D6"/>
            </w:tcBorders>
            <w:shd w:val="clear" w:color="auto" w:fill="D9D9D6"/>
          </w:tcPr>
          <w:p>
            <w:pPr>
              <w:spacing w:after="0"/>
              <w:rPr>
                <w:sz w:val="16"/>
                <w:szCs w:val="16"/>
                <w:color w:val="auto"/>
              </w:rPr>
            </w:pPr>
          </w:p>
        </w:tc>
        <w:tc>
          <w:tcPr>
            <w:tcW w:w="6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0" w:type="dxa"/>
            <w:vAlign w:val="bottom"/>
            <w:tcBorders>
              <w:right w:val="single" w:sz="8" w:color="D9D9D6"/>
            </w:tcBorders>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0" w:type="dxa"/>
            <w:vAlign w:val="bottom"/>
            <w:shd w:val="clear" w:color="auto" w:fill="D9D9D6"/>
          </w:tcPr>
          <w:p>
            <w:pPr>
              <w:spacing w:after="0"/>
              <w:rPr>
                <w:sz w:val="15"/>
                <w:szCs w:val="15"/>
                <w:color w:val="auto"/>
              </w:rPr>
            </w:pPr>
          </w:p>
        </w:tc>
        <w:tc>
          <w:tcPr>
            <w:tcW w:w="7980" w:type="dxa"/>
            <w:vAlign w:val="bottom"/>
            <w:tcBorders>
              <w:right w:val="single" w:sz="8" w:color="D9D9D6"/>
            </w:tcBorders>
            <w:shd w:val="clear" w:color="auto" w:fill="D9D9D6"/>
          </w:tcPr>
          <w:p>
            <w:pPr>
              <w:spacing w:after="0"/>
              <w:rPr>
                <w:sz w:val="15"/>
                <w:szCs w:val="15"/>
                <w:color w:val="auto"/>
              </w:rPr>
            </w:pPr>
          </w:p>
        </w:tc>
        <w:tc>
          <w:tcPr>
            <w:tcW w:w="60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spacing w:after="0"/>
              <w:rPr>
                <w:sz w:val="15"/>
                <w:szCs w:val="15"/>
                <w:color w:val="auto"/>
              </w:rPr>
            </w:pPr>
          </w:p>
        </w:tc>
        <w:tc>
          <w:tcPr>
            <w:tcW w:w="96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1st Quarter</w:t>
            </w:r>
          </w:p>
        </w:tc>
        <w:tc>
          <w:tcPr>
            <w:tcW w:w="60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0" w:type="dxa"/>
            <w:vAlign w:val="bottom"/>
            <w:tcBorders>
              <w:right w:val="single" w:sz="8" w:color="D9D9D6"/>
            </w:tcBorders>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7980" w:type="dxa"/>
            <w:vAlign w:val="bottom"/>
            <w:tcBorders>
              <w:right w:val="single" w:sz="8" w:color="D9D9D6"/>
            </w:tcBorders>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0" w:type="dxa"/>
            <w:vAlign w:val="bottom"/>
            <w:tcBorders>
              <w:right w:val="single" w:sz="8" w:color="D9D9D6"/>
            </w:tcBorders>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7980" w:type="dxa"/>
            <w:vAlign w:val="bottom"/>
            <w:tcBorders>
              <w:right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60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2024</w:t>
            </w:r>
          </w:p>
        </w:tc>
        <w:tc>
          <w:tcPr>
            <w:tcW w:w="200" w:type="dxa"/>
            <w:vAlign w:val="bottom"/>
            <w:shd w:val="clear" w:color="auto" w:fill="D9D9D6"/>
          </w:tcPr>
          <w:p>
            <w:pPr>
              <w:spacing w:after="0"/>
              <w:rPr>
                <w:sz w:val="15"/>
                <w:szCs w:val="15"/>
                <w:color w:val="auto"/>
              </w:rPr>
            </w:pPr>
          </w:p>
        </w:tc>
        <w:tc>
          <w:tcPr>
            <w:tcW w:w="7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240" w:type="dxa"/>
            <w:vAlign w:val="bottom"/>
            <w:gridSpan w:val="4"/>
            <w:shd w:val="clear" w:color="auto" w:fill="D9D9D6"/>
          </w:tcPr>
          <w:p>
            <w:pPr>
              <w:ind w:left="6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7980" w:type="dxa"/>
            <w:vAlign w:val="bottom"/>
            <w:tcBorders>
              <w:right w:val="single" w:sz="8" w:color="D9D9D6"/>
            </w:tcBorders>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D9D9D6"/>
            </w:tcBorders>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20" w:type="dxa"/>
            <w:vAlign w:val="bottom"/>
            <w:tcBorders>
              <w:bottom w:val="single" w:sz="8" w:color="D9D9D6"/>
            </w:tcBorders>
            <w:shd w:val="clear" w:color="auto" w:fill="D9D9D6"/>
          </w:tcPr>
          <w:p>
            <w:pPr>
              <w:spacing w:after="0"/>
              <w:rPr>
                <w:sz w:val="24"/>
                <w:szCs w:val="24"/>
                <w:color w:val="auto"/>
              </w:rPr>
            </w:pPr>
          </w:p>
        </w:tc>
        <w:tc>
          <w:tcPr>
            <w:tcW w:w="7980" w:type="dxa"/>
            <w:vAlign w:val="bottom"/>
            <w:tcBorders>
              <w:bottom w:val="single" w:sz="8" w:color="D9D9D6"/>
              <w:right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tcBorders>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$30,058</w:t>
            </w:r>
          </w:p>
        </w:tc>
        <w:tc>
          <w:tcPr>
            <w:tcW w:w="960" w:type="dxa"/>
            <w:vAlign w:val="bottom"/>
            <w:tcBorders>
              <w:bottom w:val="single" w:sz="8" w:color="D9D9D6"/>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$29,691</w:t>
            </w:r>
          </w:p>
        </w:tc>
        <w:tc>
          <w:tcPr>
            <w:tcW w:w="1120" w:type="dxa"/>
            <w:vAlign w:val="bottom"/>
            <w:tcBorders>
              <w:bottom w:val="single" w:sz="8" w:color="D9D9D6"/>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1.2 %</w:t>
            </w:r>
          </w:p>
        </w:tc>
        <w:tc>
          <w:tcPr>
            <w:tcW w:w="120" w:type="dxa"/>
            <w:vAlign w:val="bottom"/>
            <w:tcBorders>
              <w:bottom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7980" w:type="dxa"/>
            <w:vAlign w:val="bottom"/>
            <w:tcBorders>
              <w:right w:val="single" w:sz="8" w:color="DBDBDB"/>
            </w:tcBorders>
            <w:shd w:val="clear" w:color="auto" w:fill="D9D9D6"/>
          </w:tcPr>
          <w:p>
            <w:pPr>
              <w:ind w:left="20"/>
              <w:spacing w:after="0"/>
              <w:rPr>
                <w:sz w:val="20"/>
                <w:szCs w:val="20"/>
                <w:color w:val="auto"/>
              </w:rPr>
            </w:pPr>
            <w:r>
              <w:rPr>
                <w:rFonts w:ascii="Arial" w:cs="Arial" w:eastAsia="Arial" w:hAnsi="Arial"/>
                <w:sz w:val="14"/>
                <w:szCs w:val="14"/>
                <w:color w:val="auto"/>
              </w:rPr>
              <w:t>Net Income Attributable to Comcast</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$3,857</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$3,834</w:t>
            </w:r>
          </w:p>
        </w:tc>
        <w:tc>
          <w:tcPr>
            <w:tcW w:w="1120" w:type="dxa"/>
            <w:vAlign w:val="bottom"/>
            <w:tcBorders>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0.6 %</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20" w:type="dxa"/>
            <w:vAlign w:val="bottom"/>
            <w:shd w:val="clear" w:color="auto" w:fill="D9D9D6"/>
          </w:tcPr>
          <w:p>
            <w:pPr>
              <w:spacing w:after="0" w:line="20" w:lineRule="exact"/>
              <w:rPr>
                <w:sz w:val="1"/>
                <w:szCs w:val="1"/>
                <w:color w:val="auto"/>
              </w:rPr>
            </w:pPr>
          </w:p>
        </w:tc>
        <w:tc>
          <w:tcPr>
            <w:tcW w:w="7980" w:type="dxa"/>
            <w:vAlign w:val="bottom"/>
            <w:tcBorders>
              <w:right w:val="single" w:sz="8" w:color="DBDBDB"/>
            </w:tcBorders>
            <w:shd w:val="clear" w:color="auto" w:fill="D9D9D6"/>
          </w:tcPr>
          <w:p>
            <w:pPr>
              <w:spacing w:after="0" w:line="20" w:lineRule="exact"/>
              <w:rPr>
                <w:sz w:val="1"/>
                <w:szCs w:val="1"/>
                <w:color w:val="auto"/>
              </w:rPr>
            </w:pPr>
          </w:p>
        </w:tc>
        <w:tc>
          <w:tcPr>
            <w:tcW w:w="94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$4,171</w:t>
            </w:r>
          </w:p>
        </w:tc>
        <w:tc>
          <w:tcPr>
            <w:tcW w:w="960" w:type="dxa"/>
            <w:vAlign w:val="bottom"/>
            <w:tcBorders>
              <w:right w:val="single" w:sz="8" w:color="D9D9D6"/>
            </w:tcBorders>
            <w:gridSpan w:val="3"/>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$3,877</w:t>
            </w:r>
          </w:p>
        </w:tc>
        <w:tc>
          <w:tcPr>
            <w:tcW w:w="1120" w:type="dxa"/>
            <w:vAlign w:val="bottom"/>
            <w:tcBorders>
              <w:right w:val="single" w:sz="8" w:color="D9D9D6"/>
            </w:tcBorders>
            <w:gridSpan w:val="3"/>
            <w:vMerge w:val="restart"/>
            <w:shd w:val="clear" w:color="auto" w:fill="D9D9D6"/>
          </w:tcPr>
          <w:p>
            <w:pPr>
              <w:jc w:val="right"/>
              <w:ind w:right="8"/>
              <w:spacing w:after="0"/>
              <w:rPr>
                <w:sz w:val="20"/>
                <w:szCs w:val="20"/>
                <w:color w:val="auto"/>
              </w:rPr>
            </w:pPr>
            <w:r>
              <w:rPr>
                <w:rFonts w:ascii="Arial" w:cs="Arial" w:eastAsia="Arial" w:hAnsi="Arial"/>
                <w:sz w:val="14"/>
                <w:szCs w:val="14"/>
                <w:color w:val="auto"/>
              </w:rPr>
              <w:t>7.6 %</w:t>
            </w: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7980" w:type="dxa"/>
            <w:vAlign w:val="bottom"/>
            <w:tcBorders>
              <w:right w:val="single" w:sz="8" w:color="DBDBDB"/>
            </w:tcBorders>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40" w:type="dxa"/>
            <w:vAlign w:val="bottom"/>
            <w:tcBorders>
              <w:right w:val="single" w:sz="8" w:color="D9D9D6"/>
            </w:tcBorders>
            <w:gridSpan w:val="2"/>
            <w:vMerge w:val="continue"/>
            <w:shd w:val="clear" w:color="auto" w:fill="D9D9D6"/>
          </w:tcPr>
          <w:p>
            <w:pPr>
              <w:spacing w:after="0"/>
              <w:rPr>
                <w:sz w:val="17"/>
                <w:szCs w:val="17"/>
                <w:color w:val="auto"/>
              </w:rPr>
            </w:pPr>
          </w:p>
        </w:tc>
        <w:tc>
          <w:tcPr>
            <w:tcW w:w="960" w:type="dxa"/>
            <w:vAlign w:val="bottom"/>
            <w:tcBorders>
              <w:right w:val="single" w:sz="8" w:color="D9D9D6"/>
            </w:tcBorders>
            <w:gridSpan w:val="3"/>
            <w:vMerge w:val="continue"/>
            <w:shd w:val="clear" w:color="auto" w:fill="D9D9D6"/>
          </w:tcPr>
          <w:p>
            <w:pPr>
              <w:spacing w:after="0"/>
              <w:rPr>
                <w:sz w:val="17"/>
                <w:szCs w:val="17"/>
                <w:color w:val="auto"/>
              </w:rPr>
            </w:pPr>
          </w:p>
        </w:tc>
        <w:tc>
          <w:tcPr>
            <w:tcW w:w="1120" w:type="dxa"/>
            <w:vAlign w:val="bottom"/>
            <w:tcBorders>
              <w:right w:val="single" w:sz="8" w:color="D9D9D6"/>
            </w:tcBorders>
            <w:gridSpan w:val="3"/>
            <w:vMerge w:val="continue"/>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7980" w:type="dxa"/>
            <w:vAlign w:val="bottom"/>
            <w:tcBorders>
              <w:right w:val="single" w:sz="8" w:color="D9D9D6"/>
            </w:tcBorders>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$9,355</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$9,415</w:t>
            </w:r>
          </w:p>
        </w:tc>
        <w:tc>
          <w:tcPr>
            <w:tcW w:w="112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(0.6 %)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7980" w:type="dxa"/>
            <w:vAlign w:val="bottom"/>
            <w:tcBorders>
              <w:right w:val="single" w:sz="8" w:color="D9D9D6"/>
            </w:tcBorders>
            <w:shd w:val="clear" w:color="auto" w:fill="D9D9D6"/>
          </w:tcPr>
          <w:p>
            <w:pPr>
              <w:ind w:left="20"/>
              <w:spacing w:after="0" w:line="202"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3</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$0.97</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$0.91</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6.5</w:t>
            </w:r>
          </w:p>
        </w:tc>
        <w:tc>
          <w:tcPr>
            <w:tcW w:w="200" w:type="dxa"/>
            <w:vAlign w:val="bottom"/>
            <w:tcBorders>
              <w:right w:val="single" w:sz="8" w:color="D9D9D6"/>
            </w:tcBorders>
            <w:shd w:val="clear" w:color="auto" w:fill="D9D9D6"/>
          </w:tcPr>
          <w:p>
            <w:pPr>
              <w:jc w:val="right"/>
              <w:ind w:right="8"/>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7980" w:type="dxa"/>
            <w:vAlign w:val="bottom"/>
            <w:tcBorders>
              <w:right w:val="single" w:sz="8" w:color="D9D9D6"/>
            </w:tcBorders>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$1.04</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$0.92</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13.9</w:t>
            </w:r>
          </w:p>
        </w:tc>
        <w:tc>
          <w:tcPr>
            <w:tcW w:w="200" w:type="dxa"/>
            <w:vAlign w:val="bottom"/>
            <w:tcBorders>
              <w:right w:val="single" w:sz="8" w:color="D9D9D6"/>
            </w:tcBorders>
            <w:shd w:val="clear" w:color="auto" w:fill="D9D9D6"/>
          </w:tcPr>
          <w:p>
            <w:pPr>
              <w:jc w:val="right"/>
              <w:ind w:right="8"/>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7980" w:type="dxa"/>
            <w:vAlign w:val="bottom"/>
            <w:tcBorders>
              <w:right w:val="single" w:sz="8" w:color="DBDBDB"/>
            </w:tcBorders>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tcBorders>
              <w:right w:val="single" w:sz="8" w:color="DBDBDB"/>
            </w:tcBorders>
            <w:gridSpan w:val="2"/>
            <w:shd w:val="clear" w:color="auto" w:fill="DBDBDB"/>
          </w:tcPr>
          <w:p>
            <w:pPr>
              <w:jc w:val="right"/>
              <w:spacing w:after="0"/>
              <w:rPr>
                <w:sz w:val="20"/>
                <w:szCs w:val="20"/>
                <w:color w:val="auto"/>
              </w:rPr>
            </w:pPr>
            <w:r>
              <w:rPr>
                <w:rFonts w:ascii="Arial" w:cs="Arial" w:eastAsia="Arial" w:hAnsi="Arial"/>
                <w:sz w:val="14"/>
                <w:szCs w:val="14"/>
                <w:color w:val="auto"/>
              </w:rPr>
              <w:t>$7,848</w:t>
            </w:r>
          </w:p>
        </w:tc>
        <w:tc>
          <w:tcPr>
            <w:tcW w:w="96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$7,228</w:t>
            </w:r>
          </w:p>
        </w:tc>
        <w:tc>
          <w:tcPr>
            <w:tcW w:w="1120" w:type="dxa"/>
            <w:vAlign w:val="bottom"/>
            <w:tcBorders>
              <w:right w:val="single" w:sz="8" w:color="DBDBDB"/>
            </w:tcBorders>
            <w:gridSpan w:val="3"/>
            <w:shd w:val="clear" w:color="auto" w:fill="DBDBDB"/>
          </w:tcPr>
          <w:p>
            <w:pPr>
              <w:jc w:val="right"/>
              <w:ind w:right="8"/>
              <w:spacing w:after="0"/>
              <w:rPr>
                <w:sz w:val="20"/>
                <w:szCs w:val="20"/>
                <w:color w:val="auto"/>
              </w:rPr>
            </w:pPr>
            <w:r>
              <w:rPr>
                <w:rFonts w:ascii="Arial" w:cs="Arial" w:eastAsia="Arial" w:hAnsi="Arial"/>
                <w:sz w:val="14"/>
                <w:szCs w:val="14"/>
                <w:color w:val="auto"/>
              </w:rPr>
              <w:t>8.6 %</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20" w:type="dxa"/>
            <w:vAlign w:val="bottom"/>
            <w:tcBorders>
              <w:bottom w:val="single" w:sz="8" w:color="D9D9D6"/>
            </w:tcBorders>
            <w:shd w:val="clear" w:color="auto" w:fill="D9D9D6"/>
          </w:tcPr>
          <w:p>
            <w:pPr>
              <w:spacing w:after="0"/>
              <w:rPr>
                <w:sz w:val="21"/>
                <w:szCs w:val="21"/>
                <w:color w:val="auto"/>
              </w:rPr>
            </w:pPr>
          </w:p>
        </w:tc>
        <w:tc>
          <w:tcPr>
            <w:tcW w:w="7980" w:type="dxa"/>
            <w:vAlign w:val="bottom"/>
            <w:tcBorders>
              <w:bottom w:val="single" w:sz="8" w:color="D9D9D6"/>
              <w:right w:val="single" w:sz="8" w:color="DBDBDB"/>
            </w:tcBorders>
            <w:shd w:val="clear" w:color="auto" w:fill="D9D9D6"/>
          </w:tcPr>
          <w:p>
            <w:pPr>
              <w:ind w:left="2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4</w:t>
            </w:r>
          </w:p>
        </w:tc>
        <w:tc>
          <w:tcPr>
            <w:tcW w:w="940" w:type="dxa"/>
            <w:vAlign w:val="bottom"/>
            <w:tcBorders>
              <w:bottom w:val="single" w:sz="8" w:color="D9D9D6"/>
              <w:right w:val="single" w:sz="8" w:color="DBDBDB"/>
            </w:tcBorders>
            <w:gridSpan w:val="2"/>
            <w:shd w:val="clear" w:color="auto" w:fill="DBDBDB"/>
          </w:tcPr>
          <w:p>
            <w:pPr>
              <w:jc w:val="right"/>
              <w:spacing w:after="0"/>
              <w:rPr>
                <w:sz w:val="20"/>
                <w:szCs w:val="20"/>
                <w:color w:val="auto"/>
              </w:rPr>
            </w:pPr>
            <w:r>
              <w:rPr>
                <w:rFonts w:ascii="Arial" w:cs="Arial" w:eastAsia="Arial" w:hAnsi="Arial"/>
                <w:sz w:val="14"/>
                <w:szCs w:val="14"/>
                <w:color w:val="auto"/>
              </w:rPr>
              <w:t>$4,538</w:t>
            </w:r>
          </w:p>
        </w:tc>
        <w:tc>
          <w:tcPr>
            <w:tcW w:w="960" w:type="dxa"/>
            <w:vAlign w:val="bottom"/>
            <w:tcBorders>
              <w:bottom w:val="single" w:sz="8" w:color="D9D9D6"/>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$3,800</w:t>
            </w:r>
          </w:p>
        </w:tc>
        <w:tc>
          <w:tcPr>
            <w:tcW w:w="1120" w:type="dxa"/>
            <w:vAlign w:val="bottom"/>
            <w:tcBorders>
              <w:bottom w:val="single" w:sz="8" w:color="D9D9D6"/>
              <w:right w:val="single" w:sz="8" w:color="DBDBDB"/>
            </w:tcBorders>
            <w:gridSpan w:val="3"/>
            <w:shd w:val="clear" w:color="auto" w:fill="DBDBDB"/>
          </w:tcPr>
          <w:p>
            <w:pPr>
              <w:jc w:val="right"/>
              <w:ind w:right="8"/>
              <w:spacing w:after="0"/>
              <w:rPr>
                <w:sz w:val="20"/>
                <w:szCs w:val="20"/>
                <w:color w:val="auto"/>
              </w:rPr>
            </w:pPr>
            <w:r>
              <w:rPr>
                <w:rFonts w:ascii="Arial" w:cs="Arial" w:eastAsia="Arial" w:hAnsi="Arial"/>
                <w:sz w:val="14"/>
                <w:szCs w:val="14"/>
                <w:color w:val="auto"/>
              </w:rPr>
              <w:t>19.4 %</w:t>
            </w:r>
          </w:p>
        </w:tc>
        <w:tc>
          <w:tcPr>
            <w:tcW w:w="120" w:type="dxa"/>
            <w:vAlign w:val="bottom"/>
            <w:tcBorders>
              <w:bottom w:val="single" w:sz="8" w:color="D9D9D6"/>
            </w:tcBorders>
            <w:shd w:val="clear" w:color="auto" w:fill="D9D9D6"/>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 on Comcast’s Investor Relations website at www.cmcsa.com.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1st Quarter 2024 Highlights:</w:t>
      </w:r>
    </w:p>
    <w:p>
      <w:pPr>
        <w:spacing w:after="0" w:line="40"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EPS increased 13.9% to $1.04; Generated Free Cash Flow of $4.5 Billion</w:t>
      </w:r>
    </w:p>
    <w:p>
      <w:pPr>
        <w:spacing w:after="0" w:line="23" w:lineRule="exact"/>
        <w:rPr>
          <w:rFonts w:ascii="Arial" w:cs="Arial" w:eastAsia="Arial" w:hAnsi="Arial"/>
          <w:sz w:val="18"/>
          <w:szCs w:val="18"/>
          <w:color w:val="auto"/>
        </w:rPr>
      </w:pPr>
    </w:p>
    <w:p>
      <w:pPr>
        <w:ind w:left="340" w:hanging="332"/>
        <w:spacing w:after="0" w:line="25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Return of Capital to Shareholders Increased 13.5% to $3.6 Billion Through a Combination of $1.2 Billion in Dividend Payments and $2.4 Billion in Share Repurchases</w:t>
      </w:r>
    </w:p>
    <w:p>
      <w:pPr>
        <w:jc w:val="both"/>
        <w:ind w:left="340" w:hanging="332"/>
        <w:spacing w:after="0" w:line="255"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Connectivity &amp; Platforms Adjusted EBITDA Increased 1.5% to $8.2 Billion and Adjusted EBITDA Margin Increased 30 Basis Points to 40.5%. Excluding the Impact of Foreign Currency, Connectivity &amp; Platforms Adjusted EBITDA Increased 1.3% and Adjusted EBITDA Margin Increased 50 Basis Points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Domestic Broadband Average Rate Per Customer Increased 4.2%, Driving Domestic Broadband Revenue Growth of 3.9% to $6.6 Billion</w:t>
      </w:r>
    </w:p>
    <w:p>
      <w:pPr>
        <w:spacing w:after="0" w:line="26" w:lineRule="exact"/>
        <w:rPr>
          <w:rFonts w:ascii="Arial" w:cs="Arial" w:eastAsia="Arial" w:hAnsi="Arial"/>
          <w:sz w:val="18"/>
          <w:szCs w:val="18"/>
          <w:color w:val="auto"/>
        </w:rPr>
      </w:pPr>
    </w:p>
    <w:p>
      <w:pPr>
        <w:ind w:left="340" w:hanging="332"/>
        <w:spacing w:after="0" w:line="26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Domestic Wireless Customer Lines Increased 21% Compared to the Prior Year Period to 6.9 Million, Including Net Additions of 289,000 in the First Quarter</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Kung Fu Panda 4 </w:t>
      </w:r>
      <w:r>
        <w:rPr>
          <w:rFonts w:ascii="Arial" w:cs="Arial" w:eastAsia="Arial" w:hAnsi="Arial"/>
          <w:sz w:val="18"/>
          <w:szCs w:val="18"/>
          <w:color w:val="auto"/>
        </w:rPr>
        <w:t>Debuted in March and Grossed Over $480 Million in Worldwide Box Office Year-to-Date, Contributing to the Panda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Franchise's Cumulative Total of $2.3 Billion. </w:t>
      </w:r>
      <w:r>
        <w:rPr>
          <w:rFonts w:ascii="Arial" w:cs="Arial" w:eastAsia="Arial" w:hAnsi="Arial"/>
          <w:sz w:val="18"/>
          <w:szCs w:val="18"/>
          <w:i w:val="1"/>
          <w:iCs w:val="1"/>
          <w:color w:val="auto"/>
        </w:rPr>
        <w:t>Oppenheimer</w:t>
      </w:r>
      <w:r>
        <w:rPr>
          <w:rFonts w:ascii="Arial" w:cs="Arial" w:eastAsia="Arial" w:hAnsi="Arial"/>
          <w:sz w:val="18"/>
          <w:szCs w:val="18"/>
          <w:color w:val="auto"/>
        </w:rPr>
        <w:t xml:space="preserve"> Won 7 Oscars at the Academy Awards, Began Streaming Exclusively on Peacock Beginning in February and Was the Most Watched Pay 1 Movie in Peacock's History</w:t>
      </w:r>
    </w:p>
    <w:p>
      <w:pPr>
        <w:spacing w:after="0" w:line="1"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Peacock Paid Subscribers Increased 55% Compared to the Prior Year Period to 34 Million, Including Net Additions of 3 Million in the First Quarter. Peacock Revenue Increased 54% to $1.1 Billion; Adjusted EBITDA Improved Compared to the Prior Year Period and Also on a Sequential Basis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737"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1st Quarter Consolidated Financial Results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1.2% compared to the prior year period.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Net Income Attributable to Comcast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consistent with the prior year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increased 7.6%.</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Adjusted EBITDA</w:t>
      </w:r>
      <w:r>
        <w:rPr>
          <w:rFonts w:ascii="Arial" w:cs="Arial" w:eastAsia="Arial" w:hAnsi="Arial"/>
          <w:sz w:val="18"/>
          <w:szCs w:val="18"/>
          <w:b w:val="1"/>
          <w:bCs w:val="1"/>
          <w:color w:val="auto"/>
        </w:rPr>
        <w:t xml:space="preserve"> </w:t>
      </w:r>
      <w:r>
        <w:rPr>
          <w:rFonts w:ascii="Arial" w:cs="Arial" w:eastAsia="Arial" w:hAnsi="Arial"/>
          <w:sz w:val="18"/>
          <w:szCs w:val="18"/>
          <w:color w:val="auto"/>
        </w:rPr>
        <w:t>was consistent with the prior year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increased 6.5% to $0.97.</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13.9% to $1.04.</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1.3% to $2.6 billion. Connectivity &amp; Platforms’ capital expenditures decreased 3.8% to $1.9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lower spending on customer premise equipment, scalable infrastructure and support capital, partially offset by higher investment in line extensions. Content &amp; Experiences' capital expenditures increased 3.8% to $676 million, primarily driven by investment in Theme Parks, which continues to reflect significant spending due to the construction of Epic Universe theme park in Orlando, which is scheduled to open in 2025.</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$7.8 billion.</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$4.5 billion.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paid dividends totaling $1.2 billion and repurchased 56.0 million of its shares for $2.4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in a total return of capital to shareholders of $3.6 billion.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2391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39141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Arial" w:cs="Arial" w:eastAsia="Arial" w:hAnsi="Arial"/>
          <w:sz w:val="11"/>
          <w:szCs w:val="11"/>
          <w:i w:val="1"/>
          <w:iCs w:val="1"/>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Revenue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Revenue</w:t>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Adjusted EBITDA</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right="2500" w:hanging="12"/>
        <w:spacing w:after="0" w:line="462" w:lineRule="auto"/>
        <w:rPr>
          <w:sz w:val="20"/>
          <w:szCs w:val="20"/>
          <w:color w:val="auto"/>
        </w:rPr>
      </w:pPr>
      <w:r>
        <w:rPr>
          <w:rFonts w:ascii="Arial" w:cs="Arial" w:eastAsia="Arial" w:hAnsi="Arial"/>
          <w:sz w:val="14"/>
          <w:szCs w:val="14"/>
          <w:b w:val="1"/>
          <w:bCs w:val="1"/>
          <w:color w:val="auto"/>
        </w:rPr>
        <w:t>Total Connectivity &amp; Platforms Adjusted EBITDA Connectivity &amp; Platforms Adjusted EBITDA Margin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Adjusted EBITDA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40" w:type="dxa"/>
            <w:vAlign w:val="bottom"/>
            <w:vMerge w:val="restart"/>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8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000" w:type="dxa"/>
            <w:vAlign w:val="bottom"/>
            <w:gridSpan w:val="5"/>
            <w:vMerge w:val="restart"/>
            <w:shd w:val="clear" w:color="auto" w:fill="D9D9D6"/>
          </w:tcPr>
          <w:p>
            <w:pPr>
              <w:ind w:left="100"/>
              <w:spacing w:after="0"/>
              <w:rPr>
                <w:sz w:val="20"/>
                <w:szCs w:val="20"/>
                <w:color w:val="auto"/>
              </w:rPr>
            </w:pPr>
            <w:r>
              <w:rPr>
                <w:rFonts w:ascii="Arial" w:cs="Arial" w:eastAsia="Arial" w:hAnsi="Arial"/>
                <w:sz w:val="14"/>
                <w:szCs w:val="14"/>
                <w:color w:val="auto"/>
              </w:rPr>
              <w:t>1st Quarter</w:t>
            </w:r>
          </w:p>
        </w:tc>
        <w:tc>
          <w:tcPr>
            <w:tcW w:w="500" w:type="dxa"/>
            <w:vAlign w:val="bottom"/>
            <w:shd w:val="clear" w:color="auto" w:fill="D9D9D6"/>
          </w:tcPr>
          <w:p>
            <w:pPr>
              <w:spacing w:after="0"/>
              <w:rPr>
                <w:sz w:val="8"/>
                <w:szCs w:val="8"/>
                <w:color w:val="auto"/>
              </w:rPr>
            </w:pPr>
          </w:p>
        </w:tc>
        <w:tc>
          <w:tcPr>
            <w:tcW w:w="38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120" w:type="dxa"/>
            <w:vAlign w:val="bottom"/>
            <w:gridSpan w:val="3"/>
            <w:vMerge w:val="continue"/>
            <w:shd w:val="clear" w:color="auto" w:fill="D9D9D6"/>
          </w:tcPr>
          <w:p>
            <w:pPr>
              <w:spacing w:after="0"/>
              <w:rPr>
                <w:sz w:val="8"/>
                <w:szCs w:val="8"/>
                <w:color w:val="auto"/>
              </w:rPr>
            </w:pPr>
          </w:p>
        </w:tc>
        <w:tc>
          <w:tcPr>
            <w:tcW w:w="140" w:type="dxa"/>
            <w:vAlign w:val="bottom"/>
            <w:vMerge w:val="continue"/>
            <w:shd w:val="clear" w:color="auto" w:fill="D9D9D6"/>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780" w:type="dxa"/>
            <w:vAlign w:val="bottom"/>
            <w:shd w:val="clear" w:color="auto" w:fill="D9D9D6"/>
          </w:tcPr>
          <w:p>
            <w:pPr>
              <w:spacing w:after="0"/>
              <w:rPr>
                <w:sz w:val="6"/>
                <w:szCs w:val="6"/>
                <w:color w:val="auto"/>
              </w:rPr>
            </w:pPr>
          </w:p>
        </w:tc>
        <w:tc>
          <w:tcPr>
            <w:tcW w:w="180" w:type="dxa"/>
            <w:vAlign w:val="bottom"/>
            <w:shd w:val="clear" w:color="auto" w:fill="D9D9D6"/>
          </w:tcPr>
          <w:p>
            <w:pPr>
              <w:spacing w:after="0"/>
              <w:rPr>
                <w:sz w:val="6"/>
                <w:szCs w:val="6"/>
                <w:color w:val="auto"/>
              </w:rPr>
            </w:pPr>
          </w:p>
        </w:tc>
        <w:tc>
          <w:tcPr>
            <w:tcW w:w="14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00" w:type="dxa"/>
            <w:vAlign w:val="bottom"/>
            <w:gridSpan w:val="5"/>
            <w:vMerge w:val="continue"/>
            <w:shd w:val="clear" w:color="auto" w:fill="D9D9D6"/>
          </w:tcPr>
          <w:p>
            <w:pPr>
              <w:spacing w:after="0"/>
              <w:rPr>
                <w:sz w:val="6"/>
                <w:szCs w:val="6"/>
                <w:color w:val="auto"/>
              </w:rPr>
            </w:pPr>
          </w:p>
        </w:tc>
        <w:tc>
          <w:tcPr>
            <w:tcW w:w="500" w:type="dxa"/>
            <w:vAlign w:val="bottom"/>
            <w:shd w:val="clear" w:color="auto" w:fill="D9D9D6"/>
          </w:tcPr>
          <w:p>
            <w:pPr>
              <w:spacing w:after="0"/>
              <w:rPr>
                <w:sz w:val="6"/>
                <w:szCs w:val="6"/>
                <w:color w:val="auto"/>
              </w:rPr>
            </w:pPr>
          </w:p>
        </w:tc>
        <w:tc>
          <w:tcPr>
            <w:tcW w:w="380" w:type="dxa"/>
            <w:vAlign w:val="bottom"/>
            <w:shd w:val="clear" w:color="auto" w:fill="D9D9D6"/>
          </w:tcPr>
          <w:p>
            <w:pPr>
              <w:spacing w:after="0"/>
              <w:rPr>
                <w:sz w:val="6"/>
                <w:szCs w:val="6"/>
                <w:color w:val="auto"/>
              </w:rPr>
            </w:pPr>
          </w:p>
        </w:tc>
        <w:tc>
          <w:tcPr>
            <w:tcW w:w="14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120" w:type="dxa"/>
            <w:vAlign w:val="bottom"/>
            <w:gridSpan w:val="3"/>
            <w:vMerge w:val="restart"/>
            <w:shd w:val="clear" w:color="auto" w:fill="D9D9D6"/>
          </w:tcPr>
          <w:p>
            <w:pPr>
              <w:jc w:val="right"/>
              <w:ind w:right="60"/>
              <w:spacing w:after="0" w:line="126" w:lineRule="exact"/>
              <w:rPr>
                <w:sz w:val="20"/>
                <w:szCs w:val="20"/>
                <w:color w:val="auto"/>
              </w:rPr>
            </w:pPr>
            <w:r>
              <w:rPr>
                <w:rFonts w:ascii="Arial" w:cs="Arial" w:eastAsia="Arial" w:hAnsi="Arial"/>
                <w:sz w:val="14"/>
                <w:szCs w:val="14"/>
                <w:color w:val="auto"/>
              </w:rPr>
              <w:t>Currency</w:t>
            </w:r>
          </w:p>
        </w:tc>
        <w:tc>
          <w:tcPr>
            <w:tcW w:w="14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780" w:type="dxa"/>
            <w:vAlign w:val="bottom"/>
            <w:tcBorders>
              <w:bottom w:val="single" w:sz="8" w:color="D9D9D6"/>
            </w:tcBorders>
            <w:shd w:val="clear" w:color="auto" w:fill="D9D9D6"/>
          </w:tcPr>
          <w:p>
            <w:pPr>
              <w:spacing w:after="0"/>
              <w:rPr>
                <w:sz w:val="4"/>
                <w:szCs w:val="4"/>
                <w:color w:val="auto"/>
              </w:rPr>
            </w:pPr>
          </w:p>
        </w:tc>
        <w:tc>
          <w:tcPr>
            <w:tcW w:w="180" w:type="dxa"/>
            <w:vAlign w:val="bottom"/>
            <w:tcBorders>
              <w:bottom w:val="single" w:sz="8" w:color="D9D9D6"/>
            </w:tcBorders>
            <w:shd w:val="clear" w:color="auto" w:fill="D9D9D6"/>
          </w:tcPr>
          <w:p>
            <w:pPr>
              <w:spacing w:after="0"/>
              <w:rPr>
                <w:sz w:val="4"/>
                <w:szCs w:val="4"/>
                <w:color w:val="auto"/>
              </w:rPr>
            </w:pPr>
          </w:p>
        </w:tc>
        <w:tc>
          <w:tcPr>
            <w:tcW w:w="14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100" w:type="dxa"/>
            <w:vAlign w:val="bottom"/>
            <w:tcBorders>
              <w:bottom w:val="single" w:sz="8" w:color="D9D9D6"/>
            </w:tcBorders>
            <w:shd w:val="clear" w:color="auto" w:fill="D9D9D6"/>
          </w:tcPr>
          <w:p>
            <w:pPr>
              <w:spacing w:after="0"/>
              <w:rPr>
                <w:sz w:val="4"/>
                <w:szCs w:val="4"/>
                <w:color w:val="auto"/>
              </w:rPr>
            </w:pPr>
          </w:p>
        </w:tc>
        <w:tc>
          <w:tcPr>
            <w:tcW w:w="560" w:type="dxa"/>
            <w:vAlign w:val="bottom"/>
            <w:tcBorders>
              <w:bottom w:val="single" w:sz="8" w:color="D9D9D6"/>
            </w:tcBorders>
            <w:shd w:val="clear" w:color="auto" w:fill="000000"/>
          </w:tcPr>
          <w:p>
            <w:pPr>
              <w:spacing w:after="0"/>
              <w:rPr>
                <w:sz w:val="4"/>
                <w:szCs w:val="4"/>
                <w:color w:val="auto"/>
              </w:rPr>
            </w:pPr>
          </w:p>
        </w:tc>
        <w:tc>
          <w:tcPr>
            <w:tcW w:w="160" w:type="dxa"/>
            <w:vAlign w:val="bottom"/>
            <w:tcBorders>
              <w:bottom w:val="single" w:sz="8" w:color="D9D9D6"/>
            </w:tcBorders>
            <w:shd w:val="clear" w:color="auto" w:fill="000000"/>
          </w:tcPr>
          <w:p>
            <w:pPr>
              <w:spacing w:after="0"/>
              <w:rPr>
                <w:sz w:val="4"/>
                <w:szCs w:val="4"/>
                <w:color w:val="auto"/>
              </w:rPr>
            </w:pPr>
          </w:p>
        </w:tc>
        <w:tc>
          <w:tcPr>
            <w:tcW w:w="16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500" w:type="dxa"/>
            <w:vAlign w:val="bottom"/>
            <w:tcBorders>
              <w:bottom w:val="single" w:sz="8" w:color="D9D9D6"/>
            </w:tcBorders>
            <w:shd w:val="clear" w:color="auto" w:fill="D9D9D6"/>
          </w:tcPr>
          <w:p>
            <w:pPr>
              <w:spacing w:after="0"/>
              <w:rPr>
                <w:sz w:val="4"/>
                <w:szCs w:val="4"/>
                <w:color w:val="auto"/>
              </w:rPr>
            </w:pPr>
          </w:p>
        </w:tc>
        <w:tc>
          <w:tcPr>
            <w:tcW w:w="380" w:type="dxa"/>
            <w:vAlign w:val="bottom"/>
            <w:tcBorders>
              <w:bottom w:val="single" w:sz="8" w:color="D9D9D6"/>
            </w:tcBorders>
            <w:shd w:val="clear" w:color="auto" w:fill="D9D9D6"/>
          </w:tcPr>
          <w:p>
            <w:pPr>
              <w:spacing w:after="0"/>
              <w:rPr>
                <w:sz w:val="4"/>
                <w:szCs w:val="4"/>
                <w:color w:val="auto"/>
              </w:rPr>
            </w:pPr>
          </w:p>
        </w:tc>
        <w:tc>
          <w:tcPr>
            <w:tcW w:w="14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1120" w:type="dxa"/>
            <w:vAlign w:val="bottom"/>
            <w:tcBorders>
              <w:bottom w:val="single" w:sz="8" w:color="D9D9D6"/>
            </w:tcBorders>
            <w:gridSpan w:val="3"/>
            <w:vMerge w:val="continue"/>
            <w:shd w:val="clear" w:color="auto" w:fill="D9D9D6"/>
          </w:tcPr>
          <w:p>
            <w:pPr>
              <w:spacing w:after="0"/>
              <w:rPr>
                <w:sz w:val="4"/>
                <w:szCs w:val="4"/>
                <w:color w:val="auto"/>
              </w:rPr>
            </w:pPr>
          </w:p>
        </w:tc>
        <w:tc>
          <w:tcPr>
            <w:tcW w:w="140" w:type="dxa"/>
            <w:vAlign w:val="bottom"/>
            <w:tcBorders>
              <w:bottom w:val="single" w:sz="8" w:color="D9D9D6"/>
            </w:tcBorders>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780" w:type="dxa"/>
            <w:vAlign w:val="bottom"/>
            <w:tcBorders>
              <w:bottom w:val="single" w:sz="8" w:color="D9D9D6"/>
            </w:tcBorders>
            <w:shd w:val="clear" w:color="auto" w:fill="D9D9D6"/>
          </w:tcPr>
          <w:p>
            <w:pPr>
              <w:spacing w:after="0"/>
              <w:rPr>
                <w:sz w:val="13"/>
                <w:szCs w:val="13"/>
                <w:color w:val="auto"/>
              </w:rPr>
            </w:pPr>
          </w:p>
        </w:tc>
        <w:tc>
          <w:tcPr>
            <w:tcW w:w="320" w:type="dxa"/>
            <w:vAlign w:val="bottom"/>
            <w:tcBorders>
              <w:bottom w:val="single" w:sz="8" w:color="auto"/>
            </w:tcBorders>
            <w:gridSpan w:val="2"/>
            <w:shd w:val="clear" w:color="auto" w:fill="D9D9D6"/>
          </w:tcPr>
          <w:p>
            <w:pPr>
              <w:jc w:val="right"/>
              <w:spacing w:after="0" w:line="120" w:lineRule="exact"/>
              <w:rPr>
                <w:sz w:val="20"/>
                <w:szCs w:val="20"/>
                <w:color w:val="auto"/>
              </w:rPr>
            </w:pPr>
            <w:r>
              <w:rPr>
                <w:rFonts w:ascii="Arial" w:cs="Arial" w:eastAsia="Arial" w:hAnsi="Arial"/>
                <w:sz w:val="13"/>
                <w:szCs w:val="13"/>
                <w:color w:val="auto"/>
              </w:rPr>
              <w:t>2024</w:t>
            </w:r>
          </w:p>
        </w:tc>
        <w:tc>
          <w:tcPr>
            <w:tcW w:w="20" w:type="dxa"/>
            <w:vAlign w:val="bottom"/>
            <w:tcBorders>
              <w:bottom w:val="single" w:sz="8" w:color="D9D9D6"/>
            </w:tcBorders>
            <w:shd w:val="clear" w:color="auto" w:fill="D9D9D6"/>
          </w:tcPr>
          <w:p>
            <w:pPr>
              <w:spacing w:after="0"/>
              <w:rPr>
                <w:sz w:val="13"/>
                <w:szCs w:val="13"/>
                <w:color w:val="auto"/>
              </w:rPr>
            </w:pPr>
          </w:p>
        </w:tc>
        <w:tc>
          <w:tcPr>
            <w:tcW w:w="660" w:type="dxa"/>
            <w:vAlign w:val="bottom"/>
            <w:tcBorders>
              <w:bottom w:val="single" w:sz="8" w:color="D9D9D6"/>
            </w:tcBorders>
            <w:gridSpan w:val="2"/>
            <w:shd w:val="clear" w:color="auto" w:fill="D9D9D6"/>
          </w:tcPr>
          <w:p>
            <w:pPr>
              <w:spacing w:after="0"/>
              <w:rPr>
                <w:sz w:val="13"/>
                <w:szCs w:val="13"/>
                <w:color w:val="auto"/>
              </w:rPr>
            </w:pPr>
          </w:p>
        </w:tc>
        <w:tc>
          <w:tcPr>
            <w:tcW w:w="320" w:type="dxa"/>
            <w:vAlign w:val="bottom"/>
            <w:tcBorders>
              <w:bottom w:val="single" w:sz="8" w:color="auto"/>
            </w:tcBorders>
            <w:gridSpan w:val="2"/>
            <w:shd w:val="clear" w:color="auto" w:fill="D9D9D6"/>
          </w:tcPr>
          <w:p>
            <w:pPr>
              <w:jc w:val="right"/>
              <w:spacing w:after="0" w:line="120" w:lineRule="exact"/>
              <w:rPr>
                <w:sz w:val="20"/>
                <w:szCs w:val="20"/>
                <w:color w:val="auto"/>
              </w:rPr>
            </w:pPr>
            <w:r>
              <w:rPr>
                <w:rFonts w:ascii="Arial" w:cs="Arial" w:eastAsia="Arial" w:hAnsi="Arial"/>
                <w:sz w:val="13"/>
                <w:szCs w:val="13"/>
                <w:color w:val="auto"/>
              </w:rPr>
              <w:t>2023</w:t>
            </w:r>
          </w:p>
        </w:tc>
        <w:tc>
          <w:tcPr>
            <w:tcW w:w="20" w:type="dxa"/>
            <w:vAlign w:val="bottom"/>
            <w:tcBorders>
              <w:bottom w:val="single" w:sz="8" w:color="D9D9D6"/>
            </w:tcBorders>
            <w:shd w:val="clear" w:color="auto" w:fill="D9D9D6"/>
          </w:tcPr>
          <w:p>
            <w:pPr>
              <w:spacing w:after="0"/>
              <w:rPr>
                <w:sz w:val="13"/>
                <w:szCs w:val="13"/>
                <w:color w:val="auto"/>
              </w:rPr>
            </w:pPr>
          </w:p>
        </w:tc>
        <w:tc>
          <w:tcPr>
            <w:tcW w:w="500" w:type="dxa"/>
            <w:vAlign w:val="bottom"/>
            <w:tcBorders>
              <w:bottom w:val="single" w:sz="8" w:color="D9D9D6"/>
            </w:tcBorders>
            <w:shd w:val="clear" w:color="auto" w:fill="D9D9D6"/>
          </w:tcPr>
          <w:p>
            <w:pPr>
              <w:spacing w:after="0"/>
              <w:rPr>
                <w:sz w:val="13"/>
                <w:szCs w:val="13"/>
                <w:color w:val="auto"/>
              </w:rPr>
            </w:pPr>
          </w:p>
        </w:tc>
        <w:tc>
          <w:tcPr>
            <w:tcW w:w="520" w:type="dxa"/>
            <w:vAlign w:val="bottom"/>
            <w:tcBorders>
              <w:bottom w:val="single" w:sz="8" w:color="auto"/>
            </w:tcBorders>
            <w:gridSpan w:val="2"/>
            <w:shd w:val="clear" w:color="auto" w:fill="D9D9D6"/>
          </w:tcPr>
          <w:p>
            <w:pPr>
              <w:jc w:val="right"/>
              <w:spacing w:after="0" w:line="120" w:lineRule="exact"/>
              <w:rPr>
                <w:sz w:val="20"/>
                <w:szCs w:val="20"/>
                <w:color w:val="auto"/>
              </w:rPr>
            </w:pPr>
            <w:r>
              <w:rPr>
                <w:rFonts w:ascii="Arial" w:cs="Arial" w:eastAsia="Arial" w:hAnsi="Arial"/>
                <w:sz w:val="13"/>
                <w:szCs w:val="13"/>
                <w:color w:val="auto"/>
              </w:rPr>
              <w:t>Change</w:t>
            </w:r>
          </w:p>
        </w:tc>
        <w:tc>
          <w:tcPr>
            <w:tcW w:w="20" w:type="dxa"/>
            <w:vAlign w:val="bottom"/>
            <w:tcBorders>
              <w:bottom w:val="single" w:sz="8" w:color="D9D9D6"/>
            </w:tcBorders>
            <w:shd w:val="clear" w:color="auto" w:fill="D9D9D6"/>
          </w:tcPr>
          <w:p>
            <w:pPr>
              <w:spacing w:after="0"/>
              <w:rPr>
                <w:sz w:val="13"/>
                <w:szCs w:val="13"/>
                <w:color w:val="auto"/>
              </w:rPr>
            </w:pPr>
          </w:p>
        </w:tc>
        <w:tc>
          <w:tcPr>
            <w:tcW w:w="540" w:type="dxa"/>
            <w:vAlign w:val="bottom"/>
            <w:tcBorders>
              <w:bottom w:val="single" w:sz="8" w:color="D9D9D6"/>
            </w:tcBorders>
            <w:shd w:val="clear" w:color="auto" w:fill="D9D9D6"/>
          </w:tcPr>
          <w:p>
            <w:pPr>
              <w:spacing w:after="0"/>
              <w:rPr>
                <w:sz w:val="13"/>
                <w:szCs w:val="13"/>
                <w:color w:val="auto"/>
              </w:rPr>
            </w:pPr>
          </w:p>
        </w:tc>
        <w:tc>
          <w:tcPr>
            <w:tcW w:w="580" w:type="dxa"/>
            <w:vAlign w:val="bottom"/>
            <w:tcBorders>
              <w:bottom w:val="single" w:sz="8" w:color="D9D9D6"/>
            </w:tcBorders>
            <w:gridSpan w:val="2"/>
            <w:shd w:val="clear" w:color="auto" w:fill="D9D9D6"/>
          </w:tcPr>
          <w:p>
            <w:pPr>
              <w:jc w:val="right"/>
              <w:ind w:right="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140" w:type="dxa"/>
            <w:vAlign w:val="bottom"/>
            <w:tcBorders>
              <w:bottom w:val="single" w:sz="8" w:color="D9D9D6"/>
            </w:tcBorders>
            <w:shd w:val="clear" w:color="auto" w:fill="D9D9D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D9D9D6"/>
            </w:tcBorders>
            <w:shd w:val="clear" w:color="auto" w:fill="D9D9D6"/>
          </w:tcPr>
          <w:p>
            <w:pPr>
              <w:spacing w:after="0" w:line="20" w:lineRule="exact"/>
              <w:rPr>
                <w:sz w:val="1"/>
                <w:szCs w:val="1"/>
                <w:color w:val="auto"/>
              </w:rPr>
            </w:pPr>
          </w:p>
        </w:tc>
        <w:tc>
          <w:tcPr>
            <w:tcW w:w="14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tcBorders>
            <w:shd w:val="clear" w:color="auto" w:fill="D9D9D6"/>
          </w:tcPr>
          <w:p>
            <w:pPr>
              <w:spacing w:after="0" w:line="20" w:lineRule="exact"/>
              <w:rPr>
                <w:sz w:val="1"/>
                <w:szCs w:val="1"/>
                <w:color w:val="auto"/>
              </w:rPr>
            </w:pPr>
          </w:p>
        </w:tc>
        <w:tc>
          <w:tcPr>
            <w:tcW w:w="160" w:type="dxa"/>
            <w:vAlign w:val="bottom"/>
            <w:tcBorders>
              <w:top w:val="single" w:sz="8" w:color="D9D9D6"/>
            </w:tcBorders>
            <w:shd w:val="clear" w:color="auto" w:fill="D9D9D6"/>
          </w:tcPr>
          <w:p>
            <w:pPr>
              <w:spacing w:after="0" w:line="20" w:lineRule="exact"/>
              <w:rPr>
                <w:sz w:val="1"/>
                <w:szCs w:val="1"/>
                <w:color w:val="auto"/>
              </w:rPr>
            </w:pPr>
          </w:p>
        </w:tc>
        <w:tc>
          <w:tcPr>
            <w:tcW w:w="16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380" w:type="dxa"/>
            <w:vAlign w:val="bottom"/>
            <w:tcBorders>
              <w:top w:val="single" w:sz="8" w:color="D9D9D6"/>
            </w:tcBorders>
            <w:shd w:val="clear" w:color="auto" w:fill="D9D9D6"/>
          </w:tcPr>
          <w:p>
            <w:pPr>
              <w:spacing w:after="0" w:line="20" w:lineRule="exact"/>
              <w:rPr>
                <w:sz w:val="1"/>
                <w:szCs w:val="1"/>
                <w:color w:val="auto"/>
              </w:rPr>
            </w:pPr>
          </w:p>
        </w:tc>
        <w:tc>
          <w:tcPr>
            <w:tcW w:w="14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000000"/>
          </w:tcPr>
          <w:p>
            <w:pPr>
              <w:spacing w:after="0" w:line="20" w:lineRule="exact"/>
              <w:rPr>
                <w:sz w:val="1"/>
                <w:szCs w:val="1"/>
                <w:color w:val="auto"/>
              </w:rPr>
            </w:pPr>
          </w:p>
        </w:tc>
        <w:tc>
          <w:tcPr>
            <w:tcW w:w="80" w:type="dxa"/>
            <w:vAlign w:val="bottom"/>
            <w:tcBorders>
              <w:top w:val="single" w:sz="8" w:color="D9D9D6"/>
            </w:tcBorders>
            <w:shd w:val="clear" w:color="auto" w:fill="D9D9D6"/>
          </w:tcPr>
          <w:p>
            <w:pPr>
              <w:spacing w:after="0" w:line="20" w:lineRule="exact"/>
              <w:rPr>
                <w:sz w:val="1"/>
                <w:szCs w:val="1"/>
                <w:color w:val="auto"/>
              </w:rPr>
            </w:pPr>
          </w:p>
        </w:tc>
        <w:tc>
          <w:tcPr>
            <w:tcW w:w="14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$17,868</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$17,869</w:t>
            </w:r>
          </w:p>
        </w:tc>
        <w:tc>
          <w:tcPr>
            <w:tcW w:w="500" w:type="dxa"/>
            <w:vAlign w:val="bottom"/>
            <w:shd w:val="clear" w:color="auto" w:fill="D9D9D6"/>
          </w:tcPr>
          <w:p>
            <w:pPr>
              <w:spacing w:after="0"/>
              <w:rPr>
                <w:sz w:val="24"/>
                <w:szCs w:val="24"/>
                <w:color w:val="auto"/>
              </w:rPr>
            </w:pPr>
          </w:p>
        </w:tc>
        <w:tc>
          <w:tcPr>
            <w:tcW w:w="380" w:type="dxa"/>
            <w:vAlign w:val="bottom"/>
            <w:shd w:val="clear" w:color="auto" w:fill="D9D9D6"/>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5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(0.8 %)</w:t>
            </w:r>
          </w:p>
        </w:tc>
        <w:tc>
          <w:tcPr>
            <w:tcW w:w="14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2,407</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2,283</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5.4</w:t>
            </w:r>
          </w:p>
        </w:tc>
        <w:tc>
          <w:tcPr>
            <w:tcW w:w="1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6"/>
              </w:rPr>
              <w:t>%</w:t>
            </w:r>
          </w:p>
        </w:tc>
        <w:tc>
          <w:tcPr>
            <w:tcW w:w="10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5.4 %</w:t>
            </w:r>
          </w:p>
        </w:tc>
        <w:tc>
          <w:tcPr>
            <w:tcW w:w="80" w:type="dxa"/>
            <w:vAlign w:val="bottom"/>
            <w:tcBorders>
              <w:bottom w:val="single" w:sz="8" w:color="auto"/>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$20,275</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$20,153</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0.6</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(0.1 %)</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$6,852</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$6,762</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1.1 %</w:t>
            </w:r>
          </w:p>
        </w:tc>
        <w:tc>
          <w:tcPr>
            <w:tcW w:w="8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1,366</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1,332</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2.6</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10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2.6 %</w:t>
            </w:r>
          </w:p>
        </w:tc>
        <w:tc>
          <w:tcPr>
            <w:tcW w:w="80" w:type="dxa"/>
            <w:vAlign w:val="bottom"/>
            <w:tcBorders>
              <w:bottom w:val="single" w:sz="8" w:color="auto"/>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$8,218</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$8,093</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1.5</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1.3 %</w:t>
            </w:r>
          </w:p>
        </w:tc>
        <w:tc>
          <w:tcPr>
            <w:tcW w:w="8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38.3</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37.8 %</w:t>
            </w: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5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50 bps</w:t>
            </w:r>
          </w:p>
        </w:tc>
        <w:tc>
          <w:tcPr>
            <w:tcW w:w="540" w:type="dxa"/>
            <w:vAlign w:val="bottom"/>
            <w:shd w:val="clear" w:color="auto" w:fill="D9D9D6"/>
          </w:tcPr>
          <w:p>
            <w:pPr>
              <w:spacing w:after="0"/>
              <w:rPr>
                <w:sz w:val="24"/>
                <w:szCs w:val="24"/>
                <w:color w:val="auto"/>
              </w:rPr>
            </w:pPr>
          </w:p>
        </w:tc>
        <w:tc>
          <w:tcPr>
            <w:tcW w:w="5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60 bps</w:t>
            </w:r>
          </w:p>
        </w:tc>
        <w:tc>
          <w:tcPr>
            <w:tcW w:w="14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56.7</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98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58.3 %</w:t>
            </w:r>
          </w:p>
        </w:tc>
        <w:tc>
          <w:tcPr>
            <w:tcW w:w="20" w:type="dxa"/>
            <w:vAlign w:val="bottom"/>
            <w:tcBorders>
              <w:bottom w:val="single" w:sz="8" w:color="auto"/>
            </w:tcBorders>
            <w:shd w:val="clear" w:color="auto" w:fill="D9D9D6"/>
          </w:tcPr>
          <w:p>
            <w:pPr>
              <w:spacing w:after="0"/>
              <w:rPr>
                <w:sz w:val="17"/>
                <w:szCs w:val="17"/>
                <w:color w:val="auto"/>
              </w:rPr>
            </w:pPr>
          </w:p>
        </w:tc>
        <w:tc>
          <w:tcPr>
            <w:tcW w:w="104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(160) bps</w:t>
            </w:r>
          </w:p>
        </w:tc>
        <w:tc>
          <w:tcPr>
            <w:tcW w:w="11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(160) bps</w:t>
            </w:r>
          </w:p>
        </w:tc>
        <w:tc>
          <w:tcPr>
            <w:tcW w:w="14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40.5</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40.2 %</w:t>
            </w:r>
          </w:p>
        </w:tc>
        <w:tc>
          <w:tcPr>
            <w:tcW w:w="20" w:type="dxa"/>
            <w:vAlign w:val="bottom"/>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5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30 bps</w:t>
            </w:r>
          </w:p>
        </w:tc>
        <w:tc>
          <w:tcPr>
            <w:tcW w:w="54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50 bps</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78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2">
            <w:col w:w="6100" w:space="720"/>
            <w:col w:w="4420"/>
          </w:cols>
          <w:pgMar w:left="320" w:top="584" w:right="339" w:bottom="1440" w:gutter="0" w:footer="0" w:header="0"/>
          <w:type w:val="continuous"/>
        </w:sectPr>
      </w:pPr>
    </w:p>
    <w:p>
      <w:pPr>
        <w:spacing w:after="0"/>
        <w:rPr>
          <w:sz w:val="20"/>
          <w:szCs w:val="20"/>
          <w:color w:val="auto"/>
        </w:rPr>
      </w:pPr>
      <w:r>
        <w:rPr>
          <w:rFonts w:ascii="Arial" w:cs="Arial" w:eastAsia="Arial" w:hAnsi="Arial"/>
          <w:sz w:val="14"/>
          <w:szCs w:val="14"/>
          <w:color w:val="auto"/>
        </w:rPr>
        <w:t>Change percentages represent year/year growth rates. Change in Adjusted EBITDA margin is presented as year/year basis point changes.</w:t>
      </w:r>
    </w:p>
    <w:p>
      <w:pPr>
        <w:spacing w:after="0" w:line="3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Connectivity &amp; Platforms was consistent with the prior year period.</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due to growth in Residential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Connectivity &amp; Platforms Adjusted EBITDA and Business Services Connectivity Adjusted EBITDA.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increased to 40.5%.</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584"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2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1780" w:type="dxa"/>
            <w:vAlign w:val="bottom"/>
            <w:gridSpan w:val="9"/>
            <w:shd w:val="clear" w:color="auto" w:fill="D9D9D6"/>
          </w:tcPr>
          <w:p>
            <w:pPr>
              <w:jc w:val="center"/>
              <w:ind w:right="240"/>
              <w:spacing w:after="0"/>
              <w:rPr>
                <w:sz w:val="20"/>
                <w:szCs w:val="20"/>
                <w:color w:val="auto"/>
              </w:rPr>
            </w:pPr>
            <w:r>
              <w:rPr>
                <w:rFonts w:ascii="Arial" w:cs="Arial" w:eastAsia="Arial" w:hAnsi="Arial"/>
                <w:sz w:val="14"/>
                <w:szCs w:val="14"/>
                <w:color w:val="auto"/>
              </w:rPr>
              <w:t>Net Additions / (Losses)</w:t>
            </w: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744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40" w:type="dxa"/>
            <w:vAlign w:val="bottom"/>
            <w:tcBorders>
              <w:top w:val="single" w:sz="8" w:color="D9D9D6"/>
            </w:tcBorders>
            <w:shd w:val="clear" w:color="auto" w:fill="D9D9D6"/>
          </w:tcPr>
          <w:p>
            <w:pPr>
              <w:spacing w:after="0"/>
              <w:rPr>
                <w:sz w:val="15"/>
                <w:szCs w:val="15"/>
                <w:color w:val="auto"/>
              </w:rPr>
            </w:pPr>
          </w:p>
        </w:tc>
        <w:tc>
          <w:tcPr>
            <w:tcW w:w="2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60" w:type="dxa"/>
            <w:vAlign w:val="bottom"/>
            <w:tcBorders>
              <w:top w:val="single" w:sz="8" w:color="D9D9D6"/>
            </w:tcBorders>
            <w:shd w:val="clear" w:color="auto" w:fill="D9D9D6"/>
          </w:tcPr>
          <w:p>
            <w:pPr>
              <w:spacing w:after="0"/>
              <w:rPr>
                <w:sz w:val="15"/>
                <w:szCs w:val="15"/>
                <w:color w:val="auto"/>
              </w:rPr>
            </w:pPr>
          </w:p>
        </w:tc>
        <w:tc>
          <w:tcPr>
            <w:tcW w:w="20" w:type="dxa"/>
            <w:vAlign w:val="bottom"/>
            <w:tcBorders>
              <w:top w:val="single" w:sz="8" w:color="D9D9D6"/>
            </w:tcBorders>
            <w:shd w:val="clear" w:color="auto" w:fill="D9D9D6"/>
          </w:tcPr>
          <w:p>
            <w:pPr>
              <w:spacing w:after="0"/>
              <w:rPr>
                <w:sz w:val="15"/>
                <w:szCs w:val="15"/>
                <w:color w:val="auto"/>
              </w:rPr>
            </w:pPr>
          </w:p>
        </w:tc>
        <w:tc>
          <w:tcPr>
            <w:tcW w:w="120" w:type="dxa"/>
            <w:vAlign w:val="bottom"/>
            <w:tcBorders>
              <w:top w:val="single" w:sz="8" w:color="D9D9D6"/>
            </w:tcBorders>
            <w:shd w:val="clear" w:color="auto" w:fill="D9D9D6"/>
          </w:tcPr>
          <w:p>
            <w:pPr>
              <w:spacing w:after="0"/>
              <w:rPr>
                <w:sz w:val="15"/>
                <w:szCs w:val="15"/>
                <w:color w:val="auto"/>
              </w:rPr>
            </w:pPr>
          </w:p>
        </w:tc>
        <w:tc>
          <w:tcPr>
            <w:tcW w:w="400" w:type="dxa"/>
            <w:vAlign w:val="bottom"/>
            <w:tcBorders>
              <w:top w:val="single" w:sz="8" w:color="auto"/>
            </w:tcBorders>
            <w:shd w:val="clear" w:color="auto" w:fill="D9D9D6"/>
          </w:tcPr>
          <w:p>
            <w:pPr>
              <w:spacing w:after="0"/>
              <w:rPr>
                <w:sz w:val="15"/>
                <w:szCs w:val="15"/>
                <w:color w:val="auto"/>
              </w:rPr>
            </w:pPr>
          </w:p>
        </w:tc>
        <w:tc>
          <w:tcPr>
            <w:tcW w:w="820" w:type="dxa"/>
            <w:vAlign w:val="bottom"/>
            <w:tcBorders>
              <w:top w:val="single" w:sz="8" w:color="auto"/>
            </w:tcBorders>
            <w:gridSpan w:val="4"/>
            <w:shd w:val="clear" w:color="auto" w:fill="D9D9D6"/>
          </w:tcPr>
          <w:p>
            <w:pPr>
              <w:jc w:val="center"/>
              <w:ind w:right="100"/>
              <w:spacing w:after="0"/>
              <w:rPr>
                <w:sz w:val="20"/>
                <w:szCs w:val="20"/>
                <w:color w:val="auto"/>
              </w:rPr>
            </w:pPr>
            <w:r>
              <w:rPr>
                <w:rFonts w:ascii="Arial" w:cs="Arial" w:eastAsia="Arial" w:hAnsi="Arial"/>
                <w:sz w:val="14"/>
                <w:szCs w:val="14"/>
                <w:color w:val="auto"/>
              </w:rPr>
              <w:t>1st Quarter</w:t>
            </w:r>
          </w:p>
        </w:tc>
        <w:tc>
          <w:tcPr>
            <w:tcW w:w="100" w:type="dxa"/>
            <w:vAlign w:val="bottom"/>
            <w:tcBorders>
              <w:top w:val="single" w:sz="8" w:color="auto"/>
            </w:tcBorders>
            <w:shd w:val="clear" w:color="auto" w:fill="D9D9D6"/>
          </w:tcPr>
          <w:p>
            <w:pPr>
              <w:spacing w:after="0"/>
              <w:rPr>
                <w:sz w:val="15"/>
                <w:szCs w:val="15"/>
                <w:color w:val="auto"/>
              </w:rPr>
            </w:pPr>
          </w:p>
        </w:tc>
        <w:tc>
          <w:tcPr>
            <w:tcW w:w="220" w:type="dxa"/>
            <w:vAlign w:val="bottom"/>
            <w:tcBorders>
              <w:top w:val="single" w:sz="8" w:color="auto"/>
            </w:tcBorders>
            <w:shd w:val="clear" w:color="auto" w:fill="D9D9D6"/>
          </w:tcPr>
          <w:p>
            <w:pPr>
              <w:spacing w:after="0"/>
              <w:rPr>
                <w:sz w:val="15"/>
                <w:szCs w:val="15"/>
                <w:color w:val="auto"/>
              </w:rPr>
            </w:pPr>
          </w:p>
        </w:tc>
        <w:tc>
          <w:tcPr>
            <w:tcW w:w="120" w:type="dxa"/>
            <w:vAlign w:val="bottom"/>
            <w:tcBorders>
              <w:top w:val="single" w:sz="8" w:color="D9D9D6"/>
              <w:right w:val="single" w:sz="8" w:color="D9D9D6"/>
            </w:tcBorders>
            <w:shd w:val="clear" w:color="auto" w:fill="D9D9D6"/>
          </w:tcPr>
          <w:p>
            <w:pPr>
              <w:spacing w:after="0"/>
              <w:rPr>
                <w:sz w:val="15"/>
                <w:szCs w:val="15"/>
                <w:color w:val="auto"/>
              </w:rPr>
            </w:pPr>
          </w:p>
        </w:tc>
        <w:tc>
          <w:tcPr>
            <w:tcW w:w="120" w:type="dxa"/>
            <w:vAlign w:val="bottom"/>
            <w:tcBorders>
              <w:top w:val="single" w:sz="8" w:color="D9D9D6"/>
            </w:tcBorders>
            <w:shd w:val="clear" w:color="auto" w:fill="D9D9D6"/>
          </w:tcPr>
          <w:p>
            <w:pPr>
              <w:spacing w:after="0"/>
              <w:rPr>
                <w:sz w:val="15"/>
                <w:szCs w:val="15"/>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7440" w:type="dxa"/>
            <w:vAlign w:val="bottom"/>
            <w:tcBorders>
              <w:top w:val="single" w:sz="8" w:color="D9D9D6"/>
            </w:tcBorders>
            <w:shd w:val="clear" w:color="auto" w:fill="D9D9D6"/>
          </w:tcPr>
          <w:p>
            <w:pPr>
              <w:spacing w:after="0"/>
              <w:rPr>
                <w:sz w:val="15"/>
                <w:szCs w:val="15"/>
                <w:color w:val="auto"/>
              </w:rPr>
            </w:pPr>
          </w:p>
        </w:tc>
        <w:tc>
          <w:tcPr>
            <w:tcW w:w="520" w:type="dxa"/>
            <w:vAlign w:val="bottom"/>
            <w:tcBorders>
              <w:top w:val="single" w:sz="8" w:color="D9D9D6"/>
            </w:tcBorders>
            <w:shd w:val="clear" w:color="auto" w:fill="D9D9D6"/>
          </w:tcPr>
          <w:p>
            <w:pPr>
              <w:spacing w:after="0"/>
              <w:rPr>
                <w:sz w:val="15"/>
                <w:szCs w:val="15"/>
                <w:color w:val="auto"/>
              </w:rPr>
            </w:pPr>
          </w:p>
        </w:tc>
        <w:tc>
          <w:tcPr>
            <w:tcW w:w="360" w:type="dxa"/>
            <w:vAlign w:val="bottom"/>
            <w:tcBorders>
              <w:top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w w:val="99"/>
              </w:rPr>
              <w:t>1Q24</w:t>
            </w:r>
          </w:p>
        </w:tc>
        <w:tc>
          <w:tcPr>
            <w:tcW w:w="520" w:type="dxa"/>
            <w:vAlign w:val="bottom"/>
            <w:tcBorders>
              <w:top w:val="single" w:sz="8" w:color="D9D9D6"/>
            </w:tcBorders>
            <w:shd w:val="clear" w:color="auto" w:fill="D9D9D6"/>
          </w:tcPr>
          <w:p>
            <w:pPr>
              <w:spacing w:after="0"/>
              <w:rPr>
                <w:sz w:val="15"/>
                <w:szCs w:val="15"/>
                <w:color w:val="auto"/>
              </w:rPr>
            </w:pPr>
          </w:p>
        </w:tc>
        <w:tc>
          <w:tcPr>
            <w:tcW w:w="380" w:type="dxa"/>
            <w:vAlign w:val="bottom"/>
            <w:tcBorders>
              <w:top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rPr>
              <w:t>1Q23</w:t>
            </w:r>
          </w:p>
        </w:tc>
        <w:tc>
          <w:tcPr>
            <w:tcW w:w="520" w:type="dxa"/>
            <w:vAlign w:val="bottom"/>
            <w:tcBorders>
              <w:top w:val="single" w:sz="8" w:color="D9D9D6"/>
            </w:tcBorders>
            <w:gridSpan w:val="2"/>
            <w:shd w:val="clear" w:color="auto" w:fill="D9D9D6"/>
          </w:tcPr>
          <w:p>
            <w:pPr>
              <w:spacing w:after="0"/>
              <w:rPr>
                <w:sz w:val="15"/>
                <w:szCs w:val="15"/>
                <w:color w:val="auto"/>
              </w:rPr>
            </w:pPr>
          </w:p>
        </w:tc>
        <w:tc>
          <w:tcPr>
            <w:tcW w:w="720" w:type="dxa"/>
            <w:vAlign w:val="bottom"/>
            <w:tcBorders>
              <w:top w:val="single" w:sz="8" w:color="auto"/>
            </w:tcBorders>
            <w:gridSpan w:val="3"/>
            <w:shd w:val="clear" w:color="auto" w:fill="D9D9D6"/>
          </w:tcPr>
          <w:p>
            <w:pPr>
              <w:jc w:val="right"/>
              <w:ind w:right="380"/>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D9D9D6"/>
            </w:tcBorders>
            <w:shd w:val="clear" w:color="auto" w:fill="D9D9D6"/>
          </w:tcPr>
          <w:p>
            <w:pPr>
              <w:spacing w:after="0"/>
              <w:rPr>
                <w:sz w:val="15"/>
                <w:szCs w:val="15"/>
                <w:color w:val="auto"/>
              </w:rPr>
            </w:pPr>
          </w:p>
        </w:tc>
        <w:tc>
          <w:tcPr>
            <w:tcW w:w="440" w:type="dxa"/>
            <w:vAlign w:val="bottom"/>
            <w:tcBorders>
              <w:top w:val="single" w:sz="8" w:color="D9D9D6"/>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20" w:type="dxa"/>
            <w:vAlign w:val="bottom"/>
            <w:tcBorders>
              <w:top w:val="single" w:sz="8" w:color="D9D9D6"/>
            </w:tcBorders>
            <w:shd w:val="clear" w:color="auto" w:fill="D9D9D6"/>
          </w:tcPr>
          <w:p>
            <w:pPr>
              <w:spacing w:after="0"/>
              <w:rPr>
                <w:sz w:val="15"/>
                <w:szCs w:val="15"/>
                <w:color w:val="auto"/>
              </w:rPr>
            </w:pPr>
          </w:p>
        </w:tc>
      </w:tr>
      <w:tr>
        <w:trPr>
          <w:trHeight w:val="223"/>
        </w:trPr>
        <w:tc>
          <w:tcPr>
            <w:tcW w:w="120" w:type="dxa"/>
            <w:vAlign w:val="bottom"/>
            <w:tcBorders>
              <w:top w:val="single" w:sz="8" w:color="D9D9D6"/>
            </w:tcBorders>
            <w:shd w:val="clear" w:color="auto" w:fill="D9D9D6"/>
          </w:tcPr>
          <w:p>
            <w:pPr>
              <w:spacing w:after="0"/>
              <w:rPr>
                <w:sz w:val="19"/>
                <w:szCs w:val="19"/>
                <w:color w:val="auto"/>
              </w:rPr>
            </w:pPr>
          </w:p>
        </w:tc>
        <w:tc>
          <w:tcPr>
            <w:tcW w:w="74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auto"/>
            </w:tcBorders>
            <w:shd w:val="clear" w:color="auto" w:fill="D9D9D6"/>
          </w:tcPr>
          <w:p>
            <w:pPr>
              <w:spacing w:after="0"/>
              <w:rPr>
                <w:sz w:val="19"/>
                <w:szCs w:val="19"/>
                <w:color w:val="auto"/>
              </w:rPr>
            </w:pPr>
          </w:p>
        </w:tc>
        <w:tc>
          <w:tcPr>
            <w:tcW w:w="12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4"/>
        </w:trPr>
        <w:tc>
          <w:tcPr>
            <w:tcW w:w="120" w:type="dxa"/>
            <w:vAlign w:val="bottom"/>
            <w:shd w:val="clear" w:color="auto" w:fill="D9D9D6"/>
          </w:tcPr>
          <w:p>
            <w:pPr>
              <w:spacing w:after="0"/>
              <w:rPr>
                <w:sz w:val="16"/>
                <w:szCs w:val="16"/>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Residential Connectivity &amp; Platforms Customer Relationships</w:t>
            </w:r>
          </w:p>
        </w:tc>
        <w:tc>
          <w:tcPr>
            <w:tcW w:w="8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31,555</w:t>
            </w:r>
          </w:p>
        </w:tc>
        <w:tc>
          <w:tcPr>
            <w:tcW w:w="20" w:type="dxa"/>
            <w:vAlign w:val="bottom"/>
            <w:shd w:val="clear" w:color="auto" w:fill="DBDBDB"/>
          </w:tcPr>
          <w:p>
            <w:pPr>
              <w:spacing w:after="0"/>
              <w:rPr>
                <w:sz w:val="16"/>
                <w:szCs w:val="16"/>
                <w:color w:val="auto"/>
              </w:rPr>
            </w:pP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31,826</w:t>
            </w:r>
          </w:p>
        </w:tc>
        <w:tc>
          <w:tcPr>
            <w:tcW w:w="20" w:type="dxa"/>
            <w:vAlign w:val="bottom"/>
            <w:shd w:val="clear" w:color="auto" w:fill="DBDBDB"/>
          </w:tcPr>
          <w:p>
            <w:pPr>
              <w:spacing w:after="0"/>
              <w:rPr>
                <w:sz w:val="16"/>
                <w:szCs w:val="16"/>
                <w:color w:val="auto"/>
              </w:rPr>
            </w:pPr>
          </w:p>
        </w:tc>
        <w:tc>
          <w:tcPr>
            <w:tcW w:w="860" w:type="dxa"/>
            <w:vAlign w:val="bottom"/>
            <w:gridSpan w:val="4"/>
            <w:shd w:val="clear" w:color="auto" w:fill="DBDBDB"/>
          </w:tcPr>
          <w:p>
            <w:pPr>
              <w:jc w:val="right"/>
              <w:spacing w:after="0"/>
              <w:rPr>
                <w:sz w:val="20"/>
                <w:szCs w:val="20"/>
                <w:color w:val="auto"/>
              </w:rPr>
            </w:pPr>
            <w:r>
              <w:rPr>
                <w:rFonts w:ascii="Arial" w:cs="Arial" w:eastAsia="Arial" w:hAnsi="Arial"/>
                <w:sz w:val="14"/>
                <w:szCs w:val="14"/>
                <w:color w:val="auto"/>
              </w:rPr>
              <w:t>(94)</w:t>
            </w:r>
          </w:p>
        </w:tc>
        <w:tc>
          <w:tcPr>
            <w:tcW w:w="3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44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(34)</w:t>
            </w:r>
          </w:p>
        </w:tc>
        <w:tc>
          <w:tcPr>
            <w:tcW w:w="120" w:type="dxa"/>
            <w:vAlign w:val="bottom"/>
            <w:shd w:val="clear" w:color="auto" w:fill="D9D9D6"/>
          </w:tcPr>
          <w:p>
            <w:pPr>
              <w:spacing w:after="0"/>
              <w:rPr>
                <w:sz w:val="16"/>
                <w:szCs w:val="16"/>
                <w:color w:val="auto"/>
              </w:rPr>
            </w:pPr>
          </w:p>
        </w:tc>
      </w:tr>
      <w:tr>
        <w:trPr>
          <w:trHeight w:val="203"/>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Residential Connectivity &amp; Platforms Customer Relationships</w:t>
            </w:r>
          </w:p>
        </w:tc>
        <w:tc>
          <w:tcPr>
            <w:tcW w:w="8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17,782</w:t>
            </w:r>
          </w:p>
        </w:tc>
        <w:tc>
          <w:tcPr>
            <w:tcW w:w="20" w:type="dxa"/>
            <w:vAlign w:val="bottom"/>
            <w:shd w:val="clear" w:color="auto" w:fill="DBDBDB"/>
          </w:tcPr>
          <w:p>
            <w:pPr>
              <w:spacing w:after="0"/>
              <w:rPr>
                <w:sz w:val="17"/>
                <w:szCs w:val="17"/>
                <w:color w:val="auto"/>
              </w:rPr>
            </w:pP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18,051</w:t>
            </w:r>
          </w:p>
        </w:tc>
        <w:tc>
          <w:tcPr>
            <w:tcW w:w="20" w:type="dxa"/>
            <w:vAlign w:val="bottom"/>
            <w:shd w:val="clear" w:color="auto" w:fill="DBDBDB"/>
          </w:tcPr>
          <w:p>
            <w:pPr>
              <w:spacing w:after="0"/>
              <w:rPr>
                <w:sz w:val="17"/>
                <w:szCs w:val="17"/>
                <w:color w:val="auto"/>
              </w:rPr>
            </w:pPr>
          </w:p>
        </w:tc>
        <w:tc>
          <w:tcPr>
            <w:tcW w:w="860" w:type="dxa"/>
            <w:vAlign w:val="bottom"/>
            <w:gridSpan w:val="4"/>
            <w:shd w:val="clear" w:color="auto" w:fill="DBDBDB"/>
          </w:tcPr>
          <w:p>
            <w:pPr>
              <w:jc w:val="right"/>
              <w:spacing w:after="0"/>
              <w:rPr>
                <w:sz w:val="20"/>
                <w:szCs w:val="20"/>
                <w:color w:val="auto"/>
              </w:rPr>
            </w:pPr>
            <w:r>
              <w:rPr>
                <w:rFonts w:ascii="Arial" w:cs="Arial" w:eastAsia="Arial" w:hAnsi="Arial"/>
                <w:sz w:val="14"/>
                <w:szCs w:val="14"/>
                <w:color w:val="auto"/>
              </w:rPr>
              <w:t>(65)</w:t>
            </w:r>
          </w:p>
        </w:tc>
        <w:tc>
          <w:tcPr>
            <w:tcW w:w="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Connectivity Customer Relationships</w:t>
            </w:r>
          </w:p>
        </w:tc>
        <w:tc>
          <w:tcPr>
            <w:tcW w:w="8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auto"/>
              </w:rPr>
              <w:t>2,634</w:t>
            </w:r>
          </w:p>
        </w:tc>
        <w:tc>
          <w:tcPr>
            <w:tcW w:w="2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auto"/>
              </w:rPr>
              <w:t>2,630</w:t>
            </w:r>
          </w:p>
        </w:tc>
        <w:tc>
          <w:tcPr>
            <w:tcW w:w="2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gridSpan w:val="4"/>
            <w:shd w:val="clear" w:color="auto" w:fill="DBDBDB"/>
          </w:tcPr>
          <w:p>
            <w:pPr>
              <w:jc w:val="right"/>
              <w:spacing w:after="0"/>
              <w:rPr>
                <w:sz w:val="20"/>
                <w:szCs w:val="20"/>
                <w:color w:val="auto"/>
              </w:rPr>
            </w:pPr>
            <w:r>
              <w:rPr>
                <w:rFonts w:ascii="Arial" w:cs="Arial" w:eastAsia="Arial" w:hAnsi="Arial"/>
                <w:sz w:val="14"/>
                <w:szCs w:val="14"/>
                <w:color w:val="auto"/>
              </w:rPr>
              <w:t>(7)</w:t>
            </w:r>
          </w:p>
        </w:tc>
        <w:tc>
          <w:tcPr>
            <w:tcW w:w="38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Connectivity &amp; Platforms Customer Relationships</w:t>
            </w:r>
          </w:p>
        </w:tc>
        <w:tc>
          <w:tcPr>
            <w:tcW w:w="86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51,971</w:t>
            </w:r>
          </w:p>
        </w:tc>
        <w:tc>
          <w:tcPr>
            <w:tcW w:w="20" w:type="dxa"/>
            <w:vAlign w:val="bottom"/>
            <w:shd w:val="clear" w:color="auto" w:fill="DBDBDB"/>
          </w:tcPr>
          <w:p>
            <w:pPr>
              <w:spacing w:after="0"/>
              <w:rPr>
                <w:sz w:val="17"/>
                <w:szCs w:val="17"/>
                <w:color w:val="auto"/>
              </w:rPr>
            </w:pP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52,507</w:t>
            </w:r>
          </w:p>
        </w:tc>
        <w:tc>
          <w:tcPr>
            <w:tcW w:w="20" w:type="dxa"/>
            <w:vAlign w:val="bottom"/>
            <w:shd w:val="clear" w:color="auto" w:fill="DBDBDB"/>
          </w:tcPr>
          <w:p>
            <w:pPr>
              <w:spacing w:after="0"/>
              <w:rPr>
                <w:sz w:val="17"/>
                <w:szCs w:val="17"/>
                <w:color w:val="auto"/>
              </w:rPr>
            </w:pPr>
          </w:p>
        </w:tc>
        <w:tc>
          <w:tcPr>
            <w:tcW w:w="860" w:type="dxa"/>
            <w:vAlign w:val="bottom"/>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(166)</w:t>
            </w:r>
          </w:p>
        </w:tc>
        <w:tc>
          <w:tcPr>
            <w:tcW w:w="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82</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Domestic Broadband</w:t>
            </w:r>
          </w:p>
        </w:tc>
        <w:tc>
          <w:tcPr>
            <w:tcW w:w="520" w:type="dxa"/>
            <w:vAlign w:val="bottom"/>
            <w:shd w:val="clear" w:color="auto" w:fill="DBDBDB"/>
          </w:tcPr>
          <w:p>
            <w:pPr>
              <w:spacing w:after="0"/>
              <w:rPr>
                <w:sz w:val="24"/>
                <w:szCs w:val="24"/>
                <w:color w:val="auto"/>
              </w:rPr>
            </w:pPr>
          </w:p>
        </w:tc>
        <w:tc>
          <w:tcPr>
            <w:tcW w:w="34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520" w:type="dxa"/>
            <w:vAlign w:val="bottom"/>
            <w:shd w:val="clear" w:color="auto" w:fill="DBDBDB"/>
          </w:tcPr>
          <w:p>
            <w:pPr>
              <w:spacing w:after="0"/>
              <w:rPr>
                <w:sz w:val="24"/>
                <w:szCs w:val="24"/>
                <w:color w:val="auto"/>
              </w:rPr>
            </w:pPr>
          </w:p>
        </w:tc>
        <w:tc>
          <w:tcPr>
            <w:tcW w:w="36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40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38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20" w:type="dxa"/>
            <w:vAlign w:val="bottom"/>
            <w:tcBorders>
              <w:right w:val="single" w:sz="8" w:color="DBDBDB"/>
            </w:tcBorders>
            <w:shd w:val="clear" w:color="auto" w:fill="DBDBDB"/>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Customers</w:t>
            </w:r>
          </w:p>
        </w:tc>
        <w:tc>
          <w:tcPr>
            <w:tcW w:w="8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29,693</w:t>
            </w:r>
          </w:p>
        </w:tc>
        <w:tc>
          <w:tcPr>
            <w:tcW w:w="20" w:type="dxa"/>
            <w:vAlign w:val="bottom"/>
            <w:shd w:val="clear" w:color="auto" w:fill="DBDBDB"/>
          </w:tcPr>
          <w:p>
            <w:pPr>
              <w:spacing w:after="0"/>
              <w:rPr>
                <w:sz w:val="17"/>
                <w:szCs w:val="17"/>
                <w:color w:val="auto"/>
              </w:rPr>
            </w:pP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29,815</w:t>
            </w:r>
          </w:p>
        </w:tc>
        <w:tc>
          <w:tcPr>
            <w:tcW w:w="20" w:type="dxa"/>
            <w:vAlign w:val="bottom"/>
            <w:shd w:val="clear" w:color="auto" w:fill="DBDBDB"/>
          </w:tcPr>
          <w:p>
            <w:pPr>
              <w:spacing w:after="0"/>
              <w:rPr>
                <w:sz w:val="17"/>
                <w:szCs w:val="17"/>
                <w:color w:val="auto"/>
              </w:rPr>
            </w:pPr>
          </w:p>
        </w:tc>
        <w:tc>
          <w:tcPr>
            <w:tcW w:w="860" w:type="dxa"/>
            <w:vAlign w:val="bottom"/>
            <w:gridSpan w:val="4"/>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3</w:t>
            </w: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Customers</w:t>
            </w:r>
          </w:p>
        </w:tc>
        <w:tc>
          <w:tcPr>
            <w:tcW w:w="8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auto"/>
              </w:rPr>
              <w:t>2,495</w:t>
            </w:r>
          </w:p>
        </w:tc>
        <w:tc>
          <w:tcPr>
            <w:tcW w:w="2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auto"/>
              </w:rPr>
              <w:t>2,508</w:t>
            </w:r>
          </w:p>
        </w:tc>
        <w:tc>
          <w:tcPr>
            <w:tcW w:w="2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gridSpan w:val="4"/>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38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Broadband Customers</w:t>
            </w:r>
          </w:p>
        </w:tc>
        <w:tc>
          <w:tcPr>
            <w:tcW w:w="86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32,188</w:t>
            </w:r>
          </w:p>
        </w:tc>
        <w:tc>
          <w:tcPr>
            <w:tcW w:w="20" w:type="dxa"/>
            <w:vAlign w:val="bottom"/>
            <w:shd w:val="clear" w:color="auto" w:fill="DBDBDB"/>
          </w:tcPr>
          <w:p>
            <w:pPr>
              <w:spacing w:after="0"/>
              <w:rPr>
                <w:sz w:val="17"/>
                <w:szCs w:val="17"/>
                <w:color w:val="auto"/>
              </w:rPr>
            </w:pP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32,324</w:t>
            </w:r>
          </w:p>
        </w:tc>
        <w:tc>
          <w:tcPr>
            <w:tcW w:w="20" w:type="dxa"/>
            <w:vAlign w:val="bottom"/>
            <w:shd w:val="clear" w:color="auto" w:fill="DBDBDB"/>
          </w:tcPr>
          <w:p>
            <w:pPr>
              <w:spacing w:after="0"/>
              <w:rPr>
                <w:sz w:val="17"/>
                <w:szCs w:val="17"/>
                <w:color w:val="auto"/>
              </w:rPr>
            </w:pPr>
          </w:p>
        </w:tc>
        <w:tc>
          <w:tcPr>
            <w:tcW w:w="860" w:type="dxa"/>
            <w:vAlign w:val="bottom"/>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(65)</w:t>
            </w:r>
          </w:p>
        </w:tc>
        <w:tc>
          <w:tcPr>
            <w:tcW w:w="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D9D9D6"/>
          </w:tcPr>
          <w:p>
            <w:pPr>
              <w:spacing w:after="0"/>
              <w:rPr>
                <w:sz w:val="17"/>
                <w:szCs w:val="17"/>
                <w:color w:val="auto"/>
              </w:rPr>
            </w:pPr>
          </w:p>
        </w:tc>
      </w:tr>
      <w:tr>
        <w:trPr>
          <w:trHeight w:val="419"/>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Wireless Lines</w:t>
            </w:r>
          </w:p>
        </w:tc>
        <w:tc>
          <w:tcPr>
            <w:tcW w:w="86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6,877</w:t>
            </w:r>
          </w:p>
        </w:tc>
        <w:tc>
          <w:tcPr>
            <w:tcW w:w="20" w:type="dxa"/>
            <w:vAlign w:val="bottom"/>
            <w:shd w:val="clear" w:color="auto" w:fill="DBDBDB"/>
          </w:tcPr>
          <w:p>
            <w:pPr>
              <w:spacing w:after="0"/>
              <w:rPr>
                <w:sz w:val="24"/>
                <w:szCs w:val="24"/>
                <w:color w:val="auto"/>
              </w:rPr>
            </w:pP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5,668</w:t>
            </w:r>
          </w:p>
        </w:tc>
        <w:tc>
          <w:tcPr>
            <w:tcW w:w="20" w:type="dxa"/>
            <w:vAlign w:val="bottom"/>
            <w:shd w:val="clear" w:color="auto" w:fill="DBDBDB"/>
          </w:tcPr>
          <w:p>
            <w:pPr>
              <w:spacing w:after="0"/>
              <w:rPr>
                <w:sz w:val="24"/>
                <w:szCs w:val="24"/>
                <w:color w:val="auto"/>
              </w:rPr>
            </w:pPr>
          </w:p>
        </w:tc>
        <w:tc>
          <w:tcPr>
            <w:tcW w:w="860" w:type="dxa"/>
            <w:vAlign w:val="bottom"/>
            <w:gridSpan w:val="4"/>
            <w:shd w:val="clear" w:color="auto" w:fill="DBDBDB"/>
          </w:tcPr>
          <w:p>
            <w:pPr>
              <w:jc w:val="right"/>
              <w:ind w:right="40"/>
              <w:spacing w:after="0"/>
              <w:rPr>
                <w:sz w:val="20"/>
                <w:szCs w:val="20"/>
                <w:color w:val="auto"/>
              </w:rPr>
            </w:pPr>
            <w:r>
              <w:rPr>
                <w:rFonts w:ascii="Arial" w:cs="Arial" w:eastAsia="Arial" w:hAnsi="Arial"/>
                <w:sz w:val="14"/>
                <w:szCs w:val="14"/>
                <w:b w:val="1"/>
                <w:bCs w:val="1"/>
                <w:color w:val="auto"/>
              </w:rPr>
              <w:t>289</w:t>
            </w:r>
          </w:p>
        </w:tc>
        <w:tc>
          <w:tcPr>
            <w:tcW w:w="38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44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355</w:t>
            </w:r>
          </w:p>
        </w:tc>
        <w:tc>
          <w:tcPr>
            <w:tcW w:w="120" w:type="dxa"/>
            <w:vAlign w:val="bottom"/>
            <w:shd w:val="clear" w:color="auto" w:fill="D9D9D6"/>
          </w:tcPr>
          <w:p>
            <w:pPr>
              <w:spacing w:after="0"/>
              <w:rPr>
                <w:sz w:val="24"/>
                <w:szCs w:val="24"/>
                <w:color w:val="auto"/>
              </w:rPr>
            </w:pPr>
          </w:p>
        </w:tc>
      </w:tr>
      <w:tr>
        <w:trPr>
          <w:trHeight w:val="454"/>
        </w:trPr>
        <w:tc>
          <w:tcPr>
            <w:tcW w:w="120" w:type="dxa"/>
            <w:vAlign w:val="bottom"/>
            <w:tcBorders>
              <w:bottom w:val="single" w:sz="8" w:color="D9D9D6"/>
            </w:tcBorders>
            <w:shd w:val="clear" w:color="auto" w:fill="D9D9D6"/>
          </w:tcPr>
          <w:p>
            <w:pPr>
              <w:spacing w:after="0"/>
              <w:rPr>
                <w:sz w:val="24"/>
                <w:szCs w:val="24"/>
                <w:color w:val="auto"/>
              </w:rPr>
            </w:pPr>
          </w:p>
        </w:tc>
        <w:tc>
          <w:tcPr>
            <w:tcW w:w="74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Video Customers</w:t>
            </w:r>
          </w:p>
        </w:tc>
        <w:tc>
          <w:tcPr>
            <w:tcW w:w="860" w:type="dxa"/>
            <w:vAlign w:val="bottom"/>
            <w:tcBorders>
              <w:bottom w:val="single" w:sz="8" w:color="D9D9D6"/>
            </w:tcBorders>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13,618</w:t>
            </w:r>
          </w:p>
        </w:tc>
        <w:tc>
          <w:tcPr>
            <w:tcW w:w="20" w:type="dxa"/>
            <w:vAlign w:val="bottom"/>
            <w:tcBorders>
              <w:bottom w:val="single" w:sz="8" w:color="D9D9D6"/>
            </w:tcBorders>
            <w:shd w:val="clear" w:color="auto" w:fill="DBDBDB"/>
          </w:tcPr>
          <w:p>
            <w:pPr>
              <w:spacing w:after="0"/>
              <w:rPr>
                <w:sz w:val="24"/>
                <w:szCs w:val="24"/>
                <w:color w:val="auto"/>
              </w:rPr>
            </w:pPr>
          </w:p>
        </w:tc>
        <w:tc>
          <w:tcPr>
            <w:tcW w:w="880" w:type="dxa"/>
            <w:vAlign w:val="bottom"/>
            <w:tcBorders>
              <w:bottom w:val="single" w:sz="8" w:color="D9D9D6"/>
            </w:tcBorders>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15,528</w:t>
            </w:r>
          </w:p>
        </w:tc>
        <w:tc>
          <w:tcPr>
            <w:tcW w:w="20" w:type="dxa"/>
            <w:vAlign w:val="bottom"/>
            <w:tcBorders>
              <w:bottom w:val="single" w:sz="8" w:color="D9D9D6"/>
            </w:tcBorders>
            <w:shd w:val="clear" w:color="auto" w:fill="DBDBDB"/>
          </w:tcPr>
          <w:p>
            <w:pPr>
              <w:spacing w:after="0"/>
              <w:rPr>
                <w:sz w:val="24"/>
                <w:szCs w:val="24"/>
                <w:color w:val="auto"/>
              </w:rPr>
            </w:pPr>
          </w:p>
        </w:tc>
        <w:tc>
          <w:tcPr>
            <w:tcW w:w="860" w:type="dxa"/>
            <w:vAlign w:val="bottom"/>
            <w:tcBorders>
              <w:bottom w:val="single" w:sz="8" w:color="D9D9D6"/>
            </w:tcBorders>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(487)</w:t>
            </w:r>
          </w:p>
        </w:tc>
        <w:tc>
          <w:tcPr>
            <w:tcW w:w="380" w:type="dxa"/>
            <w:vAlign w:val="bottom"/>
            <w:tcBorders>
              <w:bottom w:val="single" w:sz="8" w:color="D9D9D6"/>
            </w:tcBorders>
            <w:shd w:val="clear" w:color="auto" w:fill="DBDBDB"/>
          </w:tcPr>
          <w:p>
            <w:pPr>
              <w:spacing w:after="0"/>
              <w:rPr>
                <w:sz w:val="24"/>
                <w:szCs w:val="24"/>
                <w:color w:val="auto"/>
              </w:rPr>
            </w:pPr>
          </w:p>
        </w:tc>
        <w:tc>
          <w:tcPr>
            <w:tcW w:w="100" w:type="dxa"/>
            <w:vAlign w:val="bottom"/>
            <w:tcBorders>
              <w:bottom w:val="single" w:sz="8" w:color="D9D9D6"/>
            </w:tcBorders>
            <w:shd w:val="clear" w:color="auto" w:fill="DBDBDB"/>
          </w:tcPr>
          <w:p>
            <w:pPr>
              <w:spacing w:after="0"/>
              <w:rPr>
                <w:sz w:val="24"/>
                <w:szCs w:val="24"/>
                <w:color w:val="auto"/>
              </w:rPr>
            </w:pPr>
          </w:p>
        </w:tc>
        <w:tc>
          <w:tcPr>
            <w:tcW w:w="440" w:type="dxa"/>
            <w:vAlign w:val="bottom"/>
            <w:tcBorders>
              <w:bottom w:val="single" w:sz="8" w:color="D9D9D6"/>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(614)</w:t>
            </w:r>
          </w:p>
        </w:tc>
        <w:tc>
          <w:tcPr>
            <w:tcW w:w="120" w:type="dxa"/>
            <w:vAlign w:val="bottom"/>
            <w:tcBorders>
              <w:bottom w:val="single" w:sz="8" w:color="D9D9D6"/>
            </w:tcBorders>
            <w:shd w:val="clear" w:color="auto" w:fill="D9D9D6"/>
          </w:tcPr>
          <w:p>
            <w:pPr>
              <w:spacing w:after="0"/>
              <w:rPr>
                <w:sz w:val="24"/>
                <w:szCs w:val="24"/>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for Connectivity &amp; Platforms decreased by 166,000 to 52.0 million, primarily reflecting decreases in</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Residential Connectivity &amp; Platforms customer relationships. Total domestic broadband customer net losses were 65,000, total domestic wireless line net additions were 289,000 and total domestic video customer net losses were 487,000.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6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56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080" w:type="dxa"/>
            <w:vAlign w:val="bottom"/>
            <w:gridSpan w:val="4"/>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8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00" w:type="dxa"/>
            <w:vAlign w:val="bottom"/>
            <w:shd w:val="clear" w:color="auto" w:fill="D9D9D6"/>
          </w:tcPr>
          <w:p>
            <w:pPr>
              <w:spacing w:after="0"/>
              <w:rPr>
                <w:sz w:val="12"/>
                <w:szCs w:val="12"/>
                <w:color w:val="auto"/>
              </w:rPr>
            </w:pPr>
          </w:p>
        </w:tc>
        <w:tc>
          <w:tcPr>
            <w:tcW w:w="6780" w:type="dxa"/>
            <w:vAlign w:val="bottom"/>
            <w:shd w:val="clear" w:color="auto" w:fill="D9D9D6"/>
          </w:tcPr>
          <w:p>
            <w:pPr>
              <w:spacing w:after="0"/>
              <w:rPr>
                <w:sz w:val="12"/>
                <w:szCs w:val="12"/>
                <w:color w:val="auto"/>
              </w:rPr>
            </w:pPr>
          </w:p>
        </w:tc>
        <w:tc>
          <w:tcPr>
            <w:tcW w:w="76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80" w:type="dxa"/>
            <w:vAlign w:val="bottom"/>
            <w:shd w:val="clear" w:color="auto" w:fill="D9D9D6"/>
          </w:tcPr>
          <w:p>
            <w:pPr>
              <w:spacing w:after="0"/>
              <w:rPr>
                <w:sz w:val="12"/>
                <w:szCs w:val="12"/>
                <w:color w:val="auto"/>
              </w:rPr>
            </w:pPr>
          </w:p>
        </w:tc>
        <w:tc>
          <w:tcPr>
            <w:tcW w:w="900" w:type="dxa"/>
            <w:vAlign w:val="bottom"/>
            <w:gridSpan w:val="4"/>
            <w:vMerge w:val="restart"/>
            <w:shd w:val="clear" w:color="auto" w:fill="D9D9D6"/>
          </w:tcPr>
          <w:p>
            <w:pPr>
              <w:jc w:val="right"/>
              <w:ind w:right="180"/>
              <w:spacing w:after="0"/>
              <w:rPr>
                <w:sz w:val="20"/>
                <w:szCs w:val="20"/>
                <w:color w:val="auto"/>
              </w:rPr>
            </w:pPr>
            <w:r>
              <w:rPr>
                <w:rFonts w:ascii="Arial" w:cs="Arial" w:eastAsia="Arial" w:hAnsi="Arial"/>
                <w:sz w:val="14"/>
                <w:szCs w:val="14"/>
                <w:color w:val="auto"/>
                <w:w w:val="99"/>
              </w:rPr>
              <w:t>1st Quarter</w:t>
            </w:r>
          </w:p>
        </w:tc>
        <w:tc>
          <w:tcPr>
            <w:tcW w:w="48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80" w:type="dxa"/>
            <w:vAlign w:val="bottom"/>
            <w:gridSpan w:val="4"/>
            <w:vMerge w:val="continue"/>
            <w:shd w:val="clear" w:color="auto" w:fill="D9D9D6"/>
          </w:tcPr>
          <w:p>
            <w:pPr>
              <w:spacing w:after="0"/>
              <w:rPr>
                <w:sz w:val="12"/>
                <w:szCs w:val="12"/>
                <w:color w:val="auto"/>
              </w:rPr>
            </w:pPr>
          </w:p>
        </w:tc>
        <w:tc>
          <w:tcPr>
            <w:tcW w:w="18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00" w:type="dxa"/>
            <w:vAlign w:val="bottom"/>
            <w:shd w:val="clear" w:color="auto" w:fill="D9D9D6"/>
          </w:tcPr>
          <w:p>
            <w:pPr>
              <w:spacing w:after="0"/>
              <w:rPr>
                <w:sz w:val="6"/>
                <w:szCs w:val="6"/>
                <w:color w:val="auto"/>
              </w:rPr>
            </w:pPr>
          </w:p>
        </w:tc>
        <w:tc>
          <w:tcPr>
            <w:tcW w:w="6780" w:type="dxa"/>
            <w:vAlign w:val="bottom"/>
            <w:shd w:val="clear" w:color="auto" w:fill="D9D9D6"/>
          </w:tcPr>
          <w:p>
            <w:pPr>
              <w:spacing w:after="0"/>
              <w:rPr>
                <w:sz w:val="6"/>
                <w:szCs w:val="6"/>
                <w:color w:val="auto"/>
              </w:rPr>
            </w:pPr>
          </w:p>
        </w:tc>
        <w:tc>
          <w:tcPr>
            <w:tcW w:w="76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80" w:type="dxa"/>
            <w:vAlign w:val="bottom"/>
            <w:shd w:val="clear" w:color="auto" w:fill="D9D9D6"/>
          </w:tcPr>
          <w:p>
            <w:pPr>
              <w:spacing w:after="0"/>
              <w:rPr>
                <w:sz w:val="6"/>
                <w:szCs w:val="6"/>
                <w:color w:val="auto"/>
              </w:rPr>
            </w:pPr>
          </w:p>
        </w:tc>
        <w:tc>
          <w:tcPr>
            <w:tcW w:w="900" w:type="dxa"/>
            <w:vAlign w:val="bottom"/>
            <w:gridSpan w:val="4"/>
            <w:vMerge w:val="continue"/>
            <w:shd w:val="clear" w:color="auto" w:fill="D9D9D6"/>
          </w:tcPr>
          <w:p>
            <w:pPr>
              <w:spacing w:after="0"/>
              <w:rPr>
                <w:sz w:val="6"/>
                <w:szCs w:val="6"/>
                <w:color w:val="auto"/>
              </w:rPr>
            </w:pPr>
          </w:p>
        </w:tc>
        <w:tc>
          <w:tcPr>
            <w:tcW w:w="48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80" w:type="dxa"/>
            <w:vAlign w:val="bottom"/>
            <w:gridSpan w:val="4"/>
            <w:vMerge w:val="restart"/>
            <w:shd w:val="clear" w:color="auto" w:fill="D9D9D6"/>
          </w:tcPr>
          <w:p>
            <w:pPr>
              <w:jc w:val="right"/>
              <w:ind w:right="60"/>
              <w:spacing w:after="0" w:line="126" w:lineRule="exact"/>
              <w:rPr>
                <w:sz w:val="20"/>
                <w:szCs w:val="20"/>
                <w:color w:val="auto"/>
              </w:rPr>
            </w:pPr>
            <w:r>
              <w:rPr>
                <w:rFonts w:ascii="Arial" w:cs="Arial" w:eastAsia="Arial" w:hAnsi="Arial"/>
                <w:sz w:val="14"/>
                <w:szCs w:val="14"/>
                <w:color w:val="auto"/>
              </w:rPr>
              <w:t>Currency</w:t>
            </w:r>
          </w:p>
        </w:tc>
        <w:tc>
          <w:tcPr>
            <w:tcW w:w="18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D9D9D6"/>
            </w:tcBorders>
            <w:shd w:val="clear" w:color="auto" w:fill="D9D9D6"/>
          </w:tcPr>
          <w:p>
            <w:pPr>
              <w:spacing w:after="0"/>
              <w:rPr>
                <w:sz w:val="4"/>
                <w:szCs w:val="4"/>
                <w:color w:val="auto"/>
              </w:rPr>
            </w:pPr>
          </w:p>
        </w:tc>
        <w:tc>
          <w:tcPr>
            <w:tcW w:w="6780" w:type="dxa"/>
            <w:vAlign w:val="bottom"/>
            <w:tcBorders>
              <w:bottom w:val="single" w:sz="8" w:color="D9D9D6"/>
            </w:tcBorders>
            <w:shd w:val="clear" w:color="auto" w:fill="D9D9D6"/>
          </w:tcPr>
          <w:p>
            <w:pPr>
              <w:spacing w:after="0"/>
              <w:rPr>
                <w:sz w:val="4"/>
                <w:szCs w:val="4"/>
                <w:color w:val="auto"/>
              </w:rPr>
            </w:pPr>
          </w:p>
        </w:tc>
        <w:tc>
          <w:tcPr>
            <w:tcW w:w="760" w:type="dxa"/>
            <w:vAlign w:val="bottom"/>
            <w:tcBorders>
              <w:bottom w:val="single" w:sz="8" w:color="D9D9D6"/>
            </w:tcBorders>
            <w:shd w:val="clear" w:color="auto" w:fill="D9D9D6"/>
          </w:tcPr>
          <w:p>
            <w:pPr>
              <w:spacing w:after="0"/>
              <w:rPr>
                <w:sz w:val="4"/>
                <w:szCs w:val="4"/>
                <w:color w:val="auto"/>
              </w:rPr>
            </w:pPr>
          </w:p>
        </w:tc>
        <w:tc>
          <w:tcPr>
            <w:tcW w:w="32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80" w:type="dxa"/>
            <w:vAlign w:val="bottom"/>
            <w:tcBorders>
              <w:bottom w:val="single" w:sz="8" w:color="D9D9D6"/>
            </w:tcBorders>
            <w:shd w:val="clear" w:color="auto" w:fill="D9D9D6"/>
          </w:tcPr>
          <w:p>
            <w:pPr>
              <w:spacing w:after="0"/>
              <w:rPr>
                <w:sz w:val="4"/>
                <w:szCs w:val="4"/>
                <w:color w:val="auto"/>
              </w:rPr>
            </w:pPr>
          </w:p>
        </w:tc>
        <w:tc>
          <w:tcPr>
            <w:tcW w:w="560" w:type="dxa"/>
            <w:vAlign w:val="bottom"/>
            <w:tcBorders>
              <w:bottom w:val="single" w:sz="8" w:color="D9D9D6"/>
            </w:tcBorders>
            <w:shd w:val="clear" w:color="auto" w:fill="000000"/>
          </w:tcPr>
          <w:p>
            <w:pPr>
              <w:spacing w:after="0"/>
              <w:rPr>
                <w:sz w:val="4"/>
                <w:szCs w:val="4"/>
                <w:color w:val="auto"/>
              </w:rPr>
            </w:pPr>
          </w:p>
        </w:tc>
        <w:tc>
          <w:tcPr>
            <w:tcW w:w="160" w:type="dxa"/>
            <w:vAlign w:val="bottom"/>
            <w:tcBorders>
              <w:bottom w:val="single" w:sz="8" w:color="D9D9D6"/>
            </w:tcBorders>
            <w:shd w:val="clear" w:color="auto" w:fill="000000"/>
          </w:tcPr>
          <w:p>
            <w:pPr>
              <w:spacing w:after="0"/>
              <w:rPr>
                <w:sz w:val="4"/>
                <w:szCs w:val="4"/>
                <w:color w:val="auto"/>
              </w:rPr>
            </w:pPr>
          </w:p>
        </w:tc>
        <w:tc>
          <w:tcPr>
            <w:tcW w:w="16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480" w:type="dxa"/>
            <w:vAlign w:val="bottom"/>
            <w:tcBorders>
              <w:bottom w:val="single" w:sz="8" w:color="D9D9D6"/>
            </w:tcBorders>
            <w:shd w:val="clear" w:color="auto" w:fill="D9D9D6"/>
          </w:tcPr>
          <w:p>
            <w:pPr>
              <w:spacing w:after="0"/>
              <w:rPr>
                <w:sz w:val="4"/>
                <w:szCs w:val="4"/>
                <w:color w:val="auto"/>
              </w:rPr>
            </w:pPr>
          </w:p>
        </w:tc>
        <w:tc>
          <w:tcPr>
            <w:tcW w:w="320" w:type="dxa"/>
            <w:vAlign w:val="bottom"/>
            <w:tcBorders>
              <w:bottom w:val="single" w:sz="8" w:color="D9D9D6"/>
            </w:tcBorders>
            <w:shd w:val="clear" w:color="auto" w:fill="D9D9D6"/>
          </w:tcPr>
          <w:p>
            <w:pPr>
              <w:spacing w:after="0"/>
              <w:rPr>
                <w:sz w:val="4"/>
                <w:szCs w:val="4"/>
                <w:color w:val="auto"/>
              </w:rPr>
            </w:pPr>
          </w:p>
        </w:tc>
        <w:tc>
          <w:tcPr>
            <w:tcW w:w="20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1080" w:type="dxa"/>
            <w:vAlign w:val="bottom"/>
            <w:tcBorders>
              <w:bottom w:val="single" w:sz="8" w:color="D9D9D6"/>
            </w:tcBorders>
            <w:gridSpan w:val="4"/>
            <w:vMerge w:val="continue"/>
            <w:shd w:val="clear" w:color="auto" w:fill="D9D9D6"/>
          </w:tcPr>
          <w:p>
            <w:pPr>
              <w:spacing w:after="0"/>
              <w:rPr>
                <w:sz w:val="4"/>
                <w:szCs w:val="4"/>
                <w:color w:val="auto"/>
              </w:rPr>
            </w:pPr>
          </w:p>
        </w:tc>
        <w:tc>
          <w:tcPr>
            <w:tcW w:w="180" w:type="dxa"/>
            <w:vAlign w:val="bottom"/>
            <w:tcBorders>
              <w:bottom w:val="single" w:sz="8" w:color="D9D9D6"/>
            </w:tcBorders>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00" w:type="dxa"/>
            <w:vAlign w:val="bottom"/>
            <w:tcBorders>
              <w:bottom w:val="single" w:sz="8" w:color="D9D9D6"/>
            </w:tcBorders>
            <w:shd w:val="clear" w:color="auto" w:fill="D9D9D6"/>
          </w:tcPr>
          <w:p>
            <w:pPr>
              <w:spacing w:after="0"/>
              <w:rPr>
                <w:sz w:val="15"/>
                <w:szCs w:val="15"/>
                <w:color w:val="auto"/>
              </w:rPr>
            </w:pPr>
          </w:p>
        </w:tc>
        <w:tc>
          <w:tcPr>
            <w:tcW w:w="6780" w:type="dxa"/>
            <w:vAlign w:val="bottom"/>
            <w:tcBorders>
              <w:bottom w:val="single" w:sz="8" w:color="D9D9D6"/>
            </w:tcBorders>
            <w:shd w:val="clear" w:color="auto" w:fill="D9D9D6"/>
          </w:tcPr>
          <w:p>
            <w:pPr>
              <w:spacing w:after="0"/>
              <w:rPr>
                <w:sz w:val="15"/>
                <w:szCs w:val="15"/>
                <w:color w:val="auto"/>
              </w:rPr>
            </w:pPr>
          </w:p>
        </w:tc>
        <w:tc>
          <w:tcPr>
            <w:tcW w:w="7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auto"/>
            </w:tcBorders>
            <w:shd w:val="clear" w:color="auto" w:fill="D9D9D6"/>
          </w:tcPr>
          <w:p>
            <w:pPr>
              <w:jc w:val="right"/>
              <w:spacing w:after="0" w:line="120" w:lineRule="exact"/>
              <w:rPr>
                <w:sz w:val="20"/>
                <w:szCs w:val="20"/>
                <w:color w:val="auto"/>
              </w:rPr>
            </w:pPr>
            <w:r>
              <w:rPr>
                <w:rFonts w:ascii="Arial" w:cs="Arial" w:eastAsia="Arial" w:hAnsi="Arial"/>
                <w:sz w:val="13"/>
                <w:szCs w:val="13"/>
                <w:color w:val="auto"/>
              </w:rPr>
              <w:t>2024</w:t>
            </w:r>
          </w:p>
        </w:tc>
        <w:tc>
          <w:tcPr>
            <w:tcW w:w="20" w:type="dxa"/>
            <w:vAlign w:val="bottom"/>
            <w:tcBorders>
              <w:bottom w:val="single" w:sz="8" w:color="D9D9D6"/>
            </w:tcBorders>
            <w:shd w:val="clear" w:color="auto" w:fill="D9D9D6"/>
          </w:tcPr>
          <w:p>
            <w:pPr>
              <w:spacing w:after="0"/>
              <w:rPr>
                <w:sz w:val="15"/>
                <w:szCs w:val="15"/>
                <w:color w:val="auto"/>
              </w:rPr>
            </w:pPr>
          </w:p>
        </w:tc>
        <w:tc>
          <w:tcPr>
            <w:tcW w:w="640" w:type="dxa"/>
            <w:vAlign w:val="bottom"/>
            <w:tcBorders>
              <w:bottom w:val="single" w:sz="8" w:color="D9D9D6"/>
            </w:tcBorders>
            <w:gridSpan w:val="2"/>
            <w:shd w:val="clear" w:color="auto" w:fill="D9D9D6"/>
          </w:tcPr>
          <w:p>
            <w:pPr>
              <w:spacing w:after="0"/>
              <w:rPr>
                <w:sz w:val="15"/>
                <w:szCs w:val="15"/>
                <w:color w:val="auto"/>
              </w:rPr>
            </w:pPr>
          </w:p>
        </w:tc>
        <w:tc>
          <w:tcPr>
            <w:tcW w:w="320" w:type="dxa"/>
            <w:vAlign w:val="bottom"/>
            <w:tcBorders>
              <w:bottom w:val="single" w:sz="8" w:color="auto"/>
            </w:tcBorders>
            <w:gridSpan w:val="2"/>
            <w:shd w:val="clear" w:color="auto" w:fill="D9D9D6"/>
          </w:tcPr>
          <w:p>
            <w:pPr>
              <w:jc w:val="right"/>
              <w:spacing w:after="0" w:line="120" w:lineRule="exact"/>
              <w:rPr>
                <w:sz w:val="20"/>
                <w:szCs w:val="20"/>
                <w:color w:val="auto"/>
              </w:rPr>
            </w:pPr>
            <w:r>
              <w:rPr>
                <w:rFonts w:ascii="Arial" w:cs="Arial" w:eastAsia="Arial" w:hAnsi="Arial"/>
                <w:sz w:val="13"/>
                <w:szCs w:val="13"/>
                <w:color w:val="auto"/>
              </w:rPr>
              <w:t>2023</w:t>
            </w:r>
          </w:p>
        </w:tc>
        <w:tc>
          <w:tcPr>
            <w:tcW w:w="20" w:type="dxa"/>
            <w:vAlign w:val="bottom"/>
            <w:tcBorders>
              <w:bottom w:val="single" w:sz="8" w:color="D9D9D6"/>
            </w:tcBorders>
            <w:shd w:val="clear" w:color="auto" w:fill="D9D9D6"/>
          </w:tcPr>
          <w:p>
            <w:pPr>
              <w:spacing w:after="0"/>
              <w:rPr>
                <w:sz w:val="15"/>
                <w:szCs w:val="15"/>
                <w:color w:val="auto"/>
              </w:rPr>
            </w:pPr>
          </w:p>
        </w:tc>
        <w:tc>
          <w:tcPr>
            <w:tcW w:w="480" w:type="dxa"/>
            <w:vAlign w:val="bottom"/>
            <w:tcBorders>
              <w:bottom w:val="single" w:sz="8" w:color="D9D9D6"/>
            </w:tcBorders>
            <w:shd w:val="clear" w:color="auto" w:fill="D9D9D6"/>
          </w:tcPr>
          <w:p>
            <w:pPr>
              <w:spacing w:after="0"/>
              <w:rPr>
                <w:sz w:val="15"/>
                <w:szCs w:val="15"/>
                <w:color w:val="auto"/>
              </w:rPr>
            </w:pPr>
          </w:p>
        </w:tc>
        <w:tc>
          <w:tcPr>
            <w:tcW w:w="520" w:type="dxa"/>
            <w:vAlign w:val="bottom"/>
            <w:tcBorders>
              <w:bottom w:val="single" w:sz="8" w:color="auto"/>
            </w:tcBorders>
            <w:gridSpan w:val="2"/>
            <w:shd w:val="clear" w:color="auto" w:fill="D9D9D6"/>
          </w:tcPr>
          <w:p>
            <w:pPr>
              <w:jc w:val="right"/>
              <w:spacing w:after="0" w:line="120" w:lineRule="exact"/>
              <w:rPr>
                <w:sz w:val="20"/>
                <w:szCs w:val="20"/>
                <w:color w:val="auto"/>
              </w:rPr>
            </w:pPr>
            <w:r>
              <w:rPr>
                <w:rFonts w:ascii="Arial" w:cs="Arial" w:eastAsia="Arial" w:hAnsi="Arial"/>
                <w:sz w:val="13"/>
                <w:szCs w:val="13"/>
                <w:color w:val="auto"/>
              </w:rPr>
              <w:t>Change</w:t>
            </w:r>
          </w:p>
        </w:tc>
        <w:tc>
          <w:tcPr>
            <w:tcW w:w="20" w:type="dxa"/>
            <w:vAlign w:val="bottom"/>
            <w:tcBorders>
              <w:bottom w:val="single" w:sz="8" w:color="D9D9D6"/>
            </w:tcBorders>
            <w:shd w:val="clear" w:color="auto" w:fill="D9D9D6"/>
          </w:tcPr>
          <w:p>
            <w:pPr>
              <w:spacing w:after="0"/>
              <w:rPr>
                <w:sz w:val="15"/>
                <w:szCs w:val="15"/>
                <w:color w:val="auto"/>
              </w:rPr>
            </w:pPr>
          </w:p>
        </w:tc>
        <w:tc>
          <w:tcPr>
            <w:tcW w:w="1080" w:type="dxa"/>
            <w:vAlign w:val="bottom"/>
            <w:tcBorders>
              <w:bottom w:val="single" w:sz="8" w:color="D9D9D6"/>
            </w:tcBorders>
            <w:gridSpan w:val="4"/>
            <w:shd w:val="clear" w:color="auto" w:fill="D9D9D6"/>
          </w:tcPr>
          <w:p>
            <w:pPr>
              <w:jc w:val="right"/>
              <w:ind w:right="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180" w:type="dxa"/>
            <w:vAlign w:val="bottom"/>
            <w:tcBorders>
              <w:bottom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518"/>
        </w:trPr>
        <w:tc>
          <w:tcPr>
            <w:tcW w:w="100" w:type="dxa"/>
            <w:vAlign w:val="bottom"/>
            <w:tcBorders>
              <w:top w:val="single" w:sz="8" w:color="D9D9D6"/>
            </w:tcBorders>
            <w:shd w:val="clear" w:color="auto" w:fill="D9D9D6"/>
          </w:tcPr>
          <w:p>
            <w:pPr>
              <w:spacing w:after="0"/>
              <w:rPr>
                <w:sz w:val="24"/>
                <w:szCs w:val="24"/>
                <w:color w:val="auto"/>
              </w:rPr>
            </w:pPr>
          </w:p>
        </w:tc>
        <w:tc>
          <w:tcPr>
            <w:tcW w:w="678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76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560" w:type="dxa"/>
            <w:vAlign w:val="bottom"/>
            <w:tcBorders>
              <w:top w:val="single" w:sz="8" w:color="D9D9D6"/>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48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20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D9D9D6"/>
            </w:tcBorders>
            <w:shd w:val="clear" w:color="auto" w:fill="D9D9D6"/>
          </w:tcPr>
          <w:p>
            <w:pPr>
              <w:spacing w:after="0"/>
              <w:rPr>
                <w:sz w:val="24"/>
                <w:szCs w:val="24"/>
                <w:color w:val="auto"/>
              </w:rPr>
            </w:pPr>
          </w:p>
        </w:tc>
        <w:tc>
          <w:tcPr>
            <w:tcW w:w="360" w:type="dxa"/>
            <w:vAlign w:val="bottom"/>
            <w:tcBorders>
              <w:top w:val="single" w:sz="8" w:color="auto"/>
            </w:tcBorders>
            <w:shd w:val="clear" w:color="auto" w:fill="D9D9D6"/>
          </w:tcPr>
          <w:p>
            <w:pPr>
              <w:spacing w:after="0"/>
              <w:rPr>
                <w:sz w:val="24"/>
                <w:szCs w:val="24"/>
                <w:color w:val="auto"/>
              </w:rPr>
            </w:pPr>
          </w:p>
        </w:tc>
        <w:tc>
          <w:tcPr>
            <w:tcW w:w="140" w:type="dxa"/>
            <w:vAlign w:val="bottom"/>
            <w:tcBorders>
              <w:top w:val="single" w:sz="8" w:color="auto"/>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Broadband</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$6,591</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$6,343</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3.9</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3.9 %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Wireless</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972</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858</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13.3</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13.3 %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240"/>
              <w:spacing w:after="0"/>
              <w:rPr>
                <w:sz w:val="20"/>
                <w:szCs w:val="20"/>
                <w:color w:val="auto"/>
              </w:rPr>
            </w:pPr>
            <w:r>
              <w:rPr>
                <w:rFonts w:ascii="Arial" w:cs="Arial" w:eastAsia="Arial" w:hAnsi="Arial"/>
                <w:sz w:val="14"/>
                <w:szCs w:val="14"/>
                <w:color w:val="auto"/>
              </w:rPr>
              <w:t>International Connectivity</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1,116</w:t>
            </w:r>
          </w:p>
        </w:tc>
        <w:tc>
          <w:tcPr>
            <w:tcW w:w="98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897</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24.4</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19.4</w:t>
            </w:r>
          </w:p>
        </w:tc>
        <w:tc>
          <w:tcPr>
            <w:tcW w:w="14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0" w:type="dxa"/>
            <w:vAlign w:val="bottom"/>
            <w:shd w:val="clear" w:color="auto" w:fill="D9D9D6"/>
          </w:tcPr>
          <w:p>
            <w:pPr>
              <w:spacing w:after="0"/>
              <w:rPr>
                <w:sz w:val="16"/>
                <w:szCs w:val="16"/>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Total Residential Connectivity</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8,679</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8,099</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7.2</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6.7</w:t>
            </w:r>
          </w:p>
        </w:tc>
        <w:tc>
          <w:tcPr>
            <w:tcW w:w="140" w:type="dxa"/>
            <w:vAlign w:val="bottom"/>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Video</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6,876</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7,382</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(6.9</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(7.7</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Advertising</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951</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907</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4.9</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3.5</w:t>
            </w:r>
          </w:p>
        </w:tc>
        <w:tc>
          <w:tcPr>
            <w:tcW w:w="140" w:type="dxa"/>
            <w:vAlign w:val="bottom"/>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1,362</w:t>
            </w:r>
          </w:p>
        </w:tc>
        <w:tc>
          <w:tcPr>
            <w:tcW w:w="98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1,482</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(8.1</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(9.0</w:t>
            </w:r>
          </w:p>
        </w:tc>
        <w:tc>
          <w:tcPr>
            <w:tcW w:w="22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$17,868</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$17,869</w:t>
            </w:r>
          </w:p>
        </w:tc>
        <w:tc>
          <w:tcPr>
            <w:tcW w:w="480" w:type="dxa"/>
            <w:vAlign w:val="bottom"/>
            <w:shd w:val="clear" w:color="auto" w:fill="D9D9D6"/>
          </w:tcPr>
          <w:p>
            <w:pPr>
              <w:spacing w:after="0"/>
              <w:rPr>
                <w:sz w:val="17"/>
                <w:szCs w:val="17"/>
                <w:color w:val="auto"/>
              </w:rPr>
            </w:pPr>
          </w:p>
        </w:tc>
        <w:tc>
          <w:tcPr>
            <w:tcW w:w="32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(0.8</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00" w:type="dxa"/>
            <w:vAlign w:val="bottom"/>
            <w:shd w:val="clear" w:color="auto" w:fill="D9D9D6"/>
          </w:tcPr>
          <w:p>
            <w:pPr>
              <w:spacing w:after="0"/>
              <w:rPr>
                <w:sz w:val="24"/>
                <w:szCs w:val="24"/>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Operating Expenses</w:t>
            </w:r>
          </w:p>
        </w:tc>
        <w:tc>
          <w:tcPr>
            <w:tcW w:w="7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4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Programming</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$4,405</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$4,600</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(4.2</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(5.1 %)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Non-Programming</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6,611</w:t>
            </w:r>
          </w:p>
        </w:tc>
        <w:tc>
          <w:tcPr>
            <w:tcW w:w="98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6,508</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1.6</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00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0.4 %</w:t>
            </w:r>
          </w:p>
        </w:tc>
        <w:tc>
          <w:tcPr>
            <w:tcW w:w="8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$11,016</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$11,108</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(0.8</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(1.9 %)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00" w:type="dxa"/>
            <w:vAlign w:val="bottom"/>
            <w:shd w:val="clear" w:color="auto" w:fill="D9D9D6"/>
          </w:tcPr>
          <w:p>
            <w:pPr>
              <w:spacing w:after="0"/>
              <w:rPr>
                <w:sz w:val="24"/>
                <w:szCs w:val="24"/>
                <w:color w:val="auto"/>
              </w:rPr>
            </w:pPr>
          </w:p>
        </w:tc>
        <w:tc>
          <w:tcPr>
            <w:tcW w:w="678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$6,852</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$6,762</w:t>
            </w: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1.3 %</w:t>
            </w:r>
          </w:p>
        </w:tc>
        <w:tc>
          <w:tcPr>
            <w:tcW w:w="20" w:type="dxa"/>
            <w:vAlign w:val="bottom"/>
            <w:shd w:val="clear" w:color="auto" w:fill="D9D9D6"/>
          </w:tcPr>
          <w:p>
            <w:pPr>
              <w:spacing w:after="0"/>
              <w:rPr>
                <w:sz w:val="24"/>
                <w:szCs w:val="24"/>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1.1 %</w:t>
            </w: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38.3 %</w:t>
            </w:r>
          </w:p>
        </w:tc>
        <w:tc>
          <w:tcPr>
            <w:tcW w:w="20" w:type="dxa"/>
            <w:vAlign w:val="bottom"/>
            <w:shd w:val="clear" w:color="auto" w:fill="D9D9D6"/>
          </w:tcPr>
          <w:p>
            <w:pPr>
              <w:spacing w:after="0"/>
              <w:rPr>
                <w:sz w:val="17"/>
                <w:szCs w:val="17"/>
                <w:color w:val="auto"/>
              </w:rPr>
            </w:pP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37.8 %</w:t>
            </w:r>
          </w:p>
        </w:tc>
        <w:tc>
          <w:tcPr>
            <w:tcW w:w="20" w:type="dxa"/>
            <w:vAlign w:val="bottom"/>
            <w:shd w:val="clear" w:color="auto" w:fill="D9D9D6"/>
          </w:tcPr>
          <w:p>
            <w:pPr>
              <w:spacing w:after="0"/>
              <w:rPr>
                <w:sz w:val="17"/>
                <w:szCs w:val="17"/>
                <w:color w:val="auto"/>
              </w:rPr>
            </w:pPr>
          </w:p>
        </w:tc>
        <w:tc>
          <w:tcPr>
            <w:tcW w:w="480" w:type="dxa"/>
            <w:vAlign w:val="bottom"/>
            <w:shd w:val="clear" w:color="auto" w:fill="D9D9D6"/>
          </w:tcPr>
          <w:p>
            <w:pPr>
              <w:spacing w:after="0"/>
              <w:rPr>
                <w:sz w:val="17"/>
                <w:szCs w:val="17"/>
                <w:color w:val="auto"/>
              </w:rPr>
            </w:pPr>
          </w:p>
        </w:tc>
        <w:tc>
          <w:tcPr>
            <w:tcW w:w="5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50 bps</w:t>
            </w:r>
          </w:p>
        </w:tc>
        <w:tc>
          <w:tcPr>
            <w:tcW w:w="500" w:type="dxa"/>
            <w:vAlign w:val="bottom"/>
            <w:shd w:val="clear" w:color="auto" w:fill="D9D9D6"/>
          </w:tcPr>
          <w:p>
            <w:pPr>
              <w:spacing w:after="0"/>
              <w:rPr>
                <w:sz w:val="17"/>
                <w:szCs w:val="17"/>
                <w:color w:val="auto"/>
              </w:rPr>
            </w:pPr>
          </w:p>
        </w:tc>
        <w:tc>
          <w:tcPr>
            <w:tcW w:w="5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60 bps</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780" w:type="dxa"/>
            <w:vAlign w:val="bottom"/>
            <w:shd w:val="clear" w:color="auto" w:fill="D9D9D6"/>
          </w:tcPr>
          <w:p>
            <w:pPr>
              <w:spacing w:after="0"/>
              <w:rPr>
                <w:sz w:val="5"/>
                <w:szCs w:val="5"/>
                <w:color w:val="auto"/>
              </w:rPr>
            </w:pPr>
          </w:p>
        </w:tc>
        <w:tc>
          <w:tcPr>
            <w:tcW w:w="76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56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48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Change percentages represent year/year growth rates. Change in Adjusted EBITDA margin is presented as year/year basis point changes.</w:t>
      </w:r>
    </w:p>
    <w:p>
      <w:pPr>
        <w:spacing w:after="0" w:line="30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Residential Connectivity &amp; Platforms was consistent with the prior year period, driven by increases in domestic broadband,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connectivity, domestic wireless and advertising revenue, offset by decreases in video and other revenue. Domestic broadband revenue increased due to higher average rates. International connectivity revenue increased due to an increase in broadband revenue from higher average rates and in wireless revenue, reflecting higher sales of wireless services and devices. These increases include the positive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impact of foreign currency. Domestic wireless revenue increased due to an increase in the number of customer lines. Advertising revenue increased primarily due to higher domestic political advertising, higher revenue from our advanced advertising business and the positive impact of foreign currency, partially offset by lower domestic advertising. Video revenue decreased due to a decline in the number of video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customers, partially offset by an overall increase in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26" w:right="339" w:bottom="1440" w:gutter="0" w:footer="0" w:header="0"/>
        </w:sectPr>
      </w:pPr>
    </w:p>
    <w:bookmarkStart w:id="6" w:name="page7"/>
    <w:bookmarkEnd w:id="6"/>
    <w:p>
      <w:pPr>
        <w:jc w:val="both"/>
        <w:spacing w:after="0" w:line="256" w:lineRule="auto"/>
        <w:rPr>
          <w:sz w:val="20"/>
          <w:szCs w:val="20"/>
          <w:color w:val="auto"/>
        </w:rPr>
      </w:pPr>
      <w:r>
        <w:rPr>
          <w:rFonts w:ascii="Arial" w:cs="Arial" w:eastAsia="Arial" w:hAnsi="Arial"/>
          <w:sz w:val="18"/>
          <w:szCs w:val="18"/>
          <w:color w:val="auto"/>
        </w:rPr>
        <w:t>average rates and the positive impact of foreign currency. Other revenue decreased primarily due to lower residential wireline voice revenue, driven by a decline in the number of customers.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Residential Connectivity &amp; Platforms increased due to lower operating expenses. Programming expenses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 decline in the number of domestic video customers, partially offset by rate increases under our domestic programming</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contracts and the impact of foreign currency. Non-programming expenses increased primarily due to higher technical and support costs, the impact of foreign currency and increased direct product costs, partially offset by lower spending on marketing and promotion expenses. </w:t>
      </w: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increased to 38.3%.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80" w:type="dxa"/>
            <w:vAlign w:val="bottom"/>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24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060" w:type="dxa"/>
            <w:vAlign w:val="bottom"/>
            <w:tcBorders>
              <w:right w:val="single" w:sz="8" w:color="D9D9D6"/>
            </w:tcBorders>
            <w:gridSpan w:val="2"/>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20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00" w:type="dxa"/>
            <w:vAlign w:val="bottom"/>
            <w:shd w:val="clear" w:color="auto" w:fill="D9D9D6"/>
          </w:tcPr>
          <w:p>
            <w:pPr>
              <w:spacing w:after="0"/>
              <w:rPr>
                <w:sz w:val="12"/>
                <w:szCs w:val="12"/>
                <w:color w:val="auto"/>
              </w:rPr>
            </w:pPr>
          </w:p>
        </w:tc>
        <w:tc>
          <w:tcPr>
            <w:tcW w:w="6820" w:type="dxa"/>
            <w:vAlign w:val="bottom"/>
            <w:shd w:val="clear" w:color="auto" w:fill="D9D9D6"/>
          </w:tcPr>
          <w:p>
            <w:pPr>
              <w:spacing w:after="0"/>
              <w:rPr>
                <w:sz w:val="12"/>
                <w:szCs w:val="12"/>
                <w:color w:val="auto"/>
              </w:rPr>
            </w:pPr>
          </w:p>
        </w:tc>
        <w:tc>
          <w:tcPr>
            <w:tcW w:w="64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00" w:type="dxa"/>
            <w:vAlign w:val="bottom"/>
            <w:gridSpan w:val="5"/>
            <w:vMerge w:val="restart"/>
            <w:shd w:val="clear" w:color="auto" w:fill="D9D9D6"/>
          </w:tcPr>
          <w:p>
            <w:pPr>
              <w:ind w:left="180"/>
              <w:spacing w:after="0"/>
              <w:rPr>
                <w:sz w:val="20"/>
                <w:szCs w:val="20"/>
                <w:color w:val="auto"/>
              </w:rPr>
            </w:pPr>
            <w:r>
              <w:rPr>
                <w:rFonts w:ascii="Arial" w:cs="Arial" w:eastAsia="Arial" w:hAnsi="Arial"/>
                <w:sz w:val="14"/>
                <w:szCs w:val="14"/>
                <w:color w:val="auto"/>
              </w:rPr>
              <w:t>1st Quarter</w:t>
            </w:r>
          </w:p>
        </w:tc>
        <w:tc>
          <w:tcPr>
            <w:tcW w:w="540" w:type="dxa"/>
            <w:vAlign w:val="bottom"/>
            <w:shd w:val="clear" w:color="auto" w:fill="D9D9D6"/>
          </w:tcPr>
          <w:p>
            <w:pPr>
              <w:spacing w:after="0"/>
              <w:rPr>
                <w:sz w:val="12"/>
                <w:szCs w:val="12"/>
                <w:color w:val="auto"/>
              </w:rPr>
            </w:pPr>
          </w:p>
        </w:tc>
        <w:tc>
          <w:tcPr>
            <w:tcW w:w="360" w:type="dxa"/>
            <w:vAlign w:val="bottom"/>
            <w:shd w:val="clear" w:color="auto" w:fill="D9D9D6"/>
          </w:tcPr>
          <w:p>
            <w:pPr>
              <w:spacing w:after="0"/>
              <w:rPr>
                <w:sz w:val="12"/>
                <w:szCs w:val="12"/>
                <w:color w:val="auto"/>
              </w:rPr>
            </w:pPr>
          </w:p>
        </w:tc>
        <w:tc>
          <w:tcPr>
            <w:tcW w:w="14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60" w:type="dxa"/>
            <w:vAlign w:val="bottom"/>
            <w:tcBorders>
              <w:right w:val="single" w:sz="8" w:color="D9D9D6"/>
            </w:tcBorders>
            <w:gridSpan w:val="2"/>
            <w:vMerge w:val="continue"/>
            <w:shd w:val="clear" w:color="auto" w:fill="D9D9D6"/>
          </w:tcPr>
          <w:p>
            <w:pPr>
              <w:spacing w:after="0"/>
              <w:rPr>
                <w:sz w:val="12"/>
                <w:szCs w:val="12"/>
                <w:color w:val="auto"/>
              </w:rPr>
            </w:pPr>
          </w:p>
        </w:tc>
        <w:tc>
          <w:tcPr>
            <w:tcW w:w="20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D9D9D6"/>
          </w:tcPr>
          <w:p>
            <w:pPr>
              <w:spacing w:after="0"/>
              <w:rPr>
                <w:sz w:val="7"/>
                <w:szCs w:val="7"/>
                <w:color w:val="auto"/>
              </w:rPr>
            </w:pPr>
          </w:p>
        </w:tc>
        <w:tc>
          <w:tcPr>
            <w:tcW w:w="6820" w:type="dxa"/>
            <w:vAlign w:val="bottom"/>
            <w:shd w:val="clear" w:color="auto" w:fill="D9D9D6"/>
          </w:tcPr>
          <w:p>
            <w:pPr>
              <w:spacing w:after="0"/>
              <w:rPr>
                <w:sz w:val="7"/>
                <w:szCs w:val="7"/>
                <w:color w:val="auto"/>
              </w:rPr>
            </w:pPr>
          </w:p>
        </w:tc>
        <w:tc>
          <w:tcPr>
            <w:tcW w:w="640" w:type="dxa"/>
            <w:vAlign w:val="bottom"/>
            <w:shd w:val="clear" w:color="auto" w:fill="D9D9D6"/>
          </w:tcPr>
          <w:p>
            <w:pPr>
              <w:spacing w:after="0"/>
              <w:rPr>
                <w:sz w:val="7"/>
                <w:szCs w:val="7"/>
                <w:color w:val="auto"/>
              </w:rPr>
            </w:pPr>
          </w:p>
        </w:tc>
        <w:tc>
          <w:tcPr>
            <w:tcW w:w="32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000" w:type="dxa"/>
            <w:vAlign w:val="bottom"/>
            <w:gridSpan w:val="5"/>
            <w:vMerge w:val="continue"/>
            <w:shd w:val="clear" w:color="auto" w:fill="D9D9D6"/>
          </w:tcPr>
          <w:p>
            <w:pPr>
              <w:spacing w:after="0"/>
              <w:rPr>
                <w:sz w:val="7"/>
                <w:szCs w:val="7"/>
                <w:color w:val="auto"/>
              </w:rPr>
            </w:pPr>
          </w:p>
        </w:tc>
        <w:tc>
          <w:tcPr>
            <w:tcW w:w="540" w:type="dxa"/>
            <w:vAlign w:val="bottom"/>
            <w:shd w:val="clear" w:color="auto" w:fill="D9D9D6"/>
          </w:tcPr>
          <w:p>
            <w:pPr>
              <w:spacing w:after="0"/>
              <w:rPr>
                <w:sz w:val="7"/>
                <w:szCs w:val="7"/>
                <w:color w:val="auto"/>
              </w:rPr>
            </w:pPr>
          </w:p>
        </w:tc>
        <w:tc>
          <w:tcPr>
            <w:tcW w:w="360" w:type="dxa"/>
            <w:vAlign w:val="bottom"/>
            <w:shd w:val="clear" w:color="auto" w:fill="D9D9D6"/>
          </w:tcPr>
          <w:p>
            <w:pPr>
              <w:spacing w:after="0"/>
              <w:rPr>
                <w:sz w:val="7"/>
                <w:szCs w:val="7"/>
                <w:color w:val="auto"/>
              </w:rPr>
            </w:pPr>
          </w:p>
        </w:tc>
        <w:tc>
          <w:tcPr>
            <w:tcW w:w="14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060" w:type="dxa"/>
            <w:vAlign w:val="bottom"/>
            <w:tcBorders>
              <w:right w:val="single" w:sz="8" w:color="D9D9D6"/>
            </w:tcBorders>
            <w:gridSpan w:val="2"/>
            <w:vMerge w:val="restart"/>
            <w:shd w:val="clear" w:color="auto" w:fill="D9D9D6"/>
          </w:tcPr>
          <w:p>
            <w:pPr>
              <w:jc w:val="right"/>
              <w:ind w:right="60"/>
              <w:spacing w:after="0" w:line="137" w:lineRule="exact"/>
              <w:rPr>
                <w:sz w:val="20"/>
                <w:szCs w:val="20"/>
                <w:color w:val="auto"/>
              </w:rPr>
            </w:pPr>
            <w:r>
              <w:rPr>
                <w:rFonts w:ascii="Arial" w:cs="Arial" w:eastAsia="Arial" w:hAnsi="Arial"/>
                <w:sz w:val="14"/>
                <w:szCs w:val="14"/>
                <w:color w:val="auto"/>
              </w:rPr>
              <w:t>Currency</w:t>
            </w:r>
          </w:p>
        </w:tc>
        <w:tc>
          <w:tcPr>
            <w:tcW w:w="200" w:type="dxa"/>
            <w:vAlign w:val="bottom"/>
            <w:shd w:val="clear" w:color="auto" w:fill="D9D9D6"/>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D9D9D6"/>
          </w:tcPr>
          <w:p>
            <w:pPr>
              <w:spacing w:after="0" w:line="20" w:lineRule="exact"/>
              <w:rPr>
                <w:sz w:val="1"/>
                <w:szCs w:val="1"/>
                <w:color w:val="auto"/>
              </w:rPr>
            </w:pPr>
          </w:p>
        </w:tc>
        <w:tc>
          <w:tcPr>
            <w:tcW w:w="6820" w:type="dxa"/>
            <w:vAlign w:val="bottom"/>
            <w:shd w:val="clear" w:color="auto" w:fill="D9D9D6"/>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060" w:type="dxa"/>
            <w:vAlign w:val="bottom"/>
            <w:tcBorders>
              <w:right w:val="single" w:sz="8" w:color="D9D9D6"/>
            </w:tcBorders>
            <w:gridSpan w:val="2"/>
            <w:vMerge w:val="continue"/>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100" w:type="dxa"/>
            <w:vAlign w:val="bottom"/>
            <w:shd w:val="clear" w:color="auto" w:fill="D9D9D6"/>
          </w:tcPr>
          <w:p>
            <w:pPr>
              <w:spacing w:after="0"/>
              <w:rPr>
                <w:sz w:val="3"/>
                <w:szCs w:val="3"/>
                <w:color w:val="auto"/>
              </w:rPr>
            </w:pPr>
          </w:p>
        </w:tc>
        <w:tc>
          <w:tcPr>
            <w:tcW w:w="6820" w:type="dxa"/>
            <w:vAlign w:val="bottom"/>
            <w:shd w:val="clear" w:color="auto" w:fill="D9D9D6"/>
          </w:tcPr>
          <w:p>
            <w:pPr>
              <w:spacing w:after="0"/>
              <w:rPr>
                <w:sz w:val="3"/>
                <w:szCs w:val="3"/>
                <w:color w:val="auto"/>
              </w:rPr>
            </w:pPr>
          </w:p>
        </w:tc>
        <w:tc>
          <w:tcPr>
            <w:tcW w:w="640" w:type="dxa"/>
            <w:vAlign w:val="bottom"/>
            <w:vMerge w:val="restart"/>
            <w:shd w:val="clear" w:color="auto" w:fill="D9D9D6"/>
          </w:tcPr>
          <w:p>
            <w:pPr>
              <w:spacing w:after="0"/>
              <w:rPr>
                <w:sz w:val="3"/>
                <w:szCs w:val="3"/>
                <w:color w:val="auto"/>
              </w:rPr>
            </w:pPr>
          </w:p>
        </w:tc>
        <w:tc>
          <w:tcPr>
            <w:tcW w:w="340" w:type="dxa"/>
            <w:vAlign w:val="bottom"/>
            <w:gridSpan w:val="2"/>
            <w:vMerge w:val="restart"/>
            <w:shd w:val="clear" w:color="auto" w:fill="D9D9D6"/>
          </w:tcPr>
          <w:p>
            <w:pPr>
              <w:jc w:val="right"/>
              <w:ind w:right="20"/>
              <w:spacing w:after="0"/>
              <w:rPr>
                <w:sz w:val="20"/>
                <w:szCs w:val="20"/>
                <w:color w:val="auto"/>
              </w:rPr>
            </w:pPr>
            <w:r>
              <w:rPr>
                <w:rFonts w:ascii="Arial" w:cs="Arial" w:eastAsia="Arial" w:hAnsi="Arial"/>
                <w:sz w:val="14"/>
                <w:szCs w:val="14"/>
                <w:color w:val="auto"/>
                <w:w w:val="96"/>
              </w:rPr>
              <w:t>2024</w:t>
            </w:r>
          </w:p>
        </w:tc>
        <w:tc>
          <w:tcPr>
            <w:tcW w:w="180" w:type="dxa"/>
            <w:vAlign w:val="bottom"/>
            <w:vMerge w:val="restart"/>
            <w:shd w:val="clear" w:color="auto" w:fill="D9D9D6"/>
          </w:tcPr>
          <w:p>
            <w:pPr>
              <w:spacing w:after="0"/>
              <w:rPr>
                <w:sz w:val="3"/>
                <w:szCs w:val="3"/>
                <w:color w:val="auto"/>
              </w:rPr>
            </w:pPr>
          </w:p>
        </w:tc>
        <w:tc>
          <w:tcPr>
            <w:tcW w:w="82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06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1060" w:type="dxa"/>
            <w:vAlign w:val="bottom"/>
            <w:tcBorders>
              <w:right w:val="single" w:sz="8" w:color="D9D9D6"/>
            </w:tcBorders>
            <w:gridSpan w:val="2"/>
            <w:vMerge w:val="continue"/>
            <w:shd w:val="clear" w:color="auto" w:fill="D9D9D6"/>
          </w:tcPr>
          <w:p>
            <w:pPr>
              <w:spacing w:after="0"/>
              <w:rPr>
                <w:sz w:val="3"/>
                <w:szCs w:val="3"/>
                <w:color w:val="auto"/>
              </w:rPr>
            </w:pPr>
          </w:p>
        </w:tc>
        <w:tc>
          <w:tcPr>
            <w:tcW w:w="200" w:type="dxa"/>
            <w:vAlign w:val="bottom"/>
            <w:shd w:val="clear" w:color="auto" w:fill="D9D9D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7"/>
        </w:trPr>
        <w:tc>
          <w:tcPr>
            <w:tcW w:w="100" w:type="dxa"/>
            <w:vAlign w:val="bottom"/>
            <w:shd w:val="clear" w:color="auto" w:fill="D9D9D6"/>
          </w:tcPr>
          <w:p>
            <w:pPr>
              <w:spacing w:after="0"/>
              <w:rPr>
                <w:sz w:val="12"/>
                <w:szCs w:val="12"/>
                <w:color w:val="auto"/>
              </w:rPr>
            </w:pPr>
          </w:p>
        </w:tc>
        <w:tc>
          <w:tcPr>
            <w:tcW w:w="6820" w:type="dxa"/>
            <w:vAlign w:val="bottom"/>
            <w:shd w:val="clear" w:color="auto" w:fill="D9D9D6"/>
          </w:tcPr>
          <w:p>
            <w:pPr>
              <w:spacing w:after="0"/>
              <w:rPr>
                <w:sz w:val="12"/>
                <w:szCs w:val="12"/>
                <w:color w:val="auto"/>
              </w:rPr>
            </w:pPr>
          </w:p>
        </w:tc>
        <w:tc>
          <w:tcPr>
            <w:tcW w:w="640" w:type="dxa"/>
            <w:vAlign w:val="bottom"/>
            <w:vMerge w:val="continue"/>
            <w:shd w:val="clear" w:color="auto" w:fill="D9D9D6"/>
          </w:tcPr>
          <w:p>
            <w:pPr>
              <w:spacing w:after="0"/>
              <w:rPr>
                <w:sz w:val="12"/>
                <w:szCs w:val="12"/>
                <w:color w:val="auto"/>
              </w:rPr>
            </w:pPr>
          </w:p>
        </w:tc>
        <w:tc>
          <w:tcPr>
            <w:tcW w:w="340" w:type="dxa"/>
            <w:vAlign w:val="bottom"/>
            <w:gridSpan w:val="2"/>
            <w:vMerge w:val="continue"/>
            <w:shd w:val="clear" w:color="auto" w:fill="D9D9D6"/>
          </w:tcPr>
          <w:p>
            <w:pPr>
              <w:spacing w:after="0"/>
              <w:rPr>
                <w:sz w:val="12"/>
                <w:szCs w:val="12"/>
                <w:color w:val="auto"/>
              </w:rPr>
            </w:pPr>
          </w:p>
        </w:tc>
        <w:tc>
          <w:tcPr>
            <w:tcW w:w="180" w:type="dxa"/>
            <w:vAlign w:val="bottom"/>
            <w:vMerge w:val="continue"/>
            <w:shd w:val="clear" w:color="auto" w:fill="D9D9D6"/>
          </w:tcPr>
          <w:p>
            <w:pPr>
              <w:spacing w:after="0"/>
              <w:rPr>
                <w:sz w:val="12"/>
                <w:szCs w:val="12"/>
                <w:color w:val="auto"/>
              </w:rPr>
            </w:pPr>
          </w:p>
        </w:tc>
        <w:tc>
          <w:tcPr>
            <w:tcW w:w="820" w:type="dxa"/>
            <w:vAlign w:val="bottom"/>
            <w:gridSpan w:val="4"/>
            <w:vMerge w:val="continue"/>
            <w:shd w:val="clear" w:color="auto" w:fill="D9D9D6"/>
          </w:tcPr>
          <w:p>
            <w:pPr>
              <w:spacing w:after="0"/>
              <w:rPr>
                <w:sz w:val="12"/>
                <w:szCs w:val="12"/>
                <w:color w:val="auto"/>
              </w:rPr>
            </w:pPr>
          </w:p>
        </w:tc>
        <w:tc>
          <w:tcPr>
            <w:tcW w:w="1060" w:type="dxa"/>
            <w:vAlign w:val="bottom"/>
            <w:gridSpan w:val="4"/>
            <w:vMerge w:val="continue"/>
            <w:shd w:val="clear" w:color="auto" w:fill="D9D9D6"/>
          </w:tcPr>
          <w:p>
            <w:pPr>
              <w:spacing w:after="0"/>
              <w:rPr>
                <w:sz w:val="12"/>
                <w:szCs w:val="12"/>
                <w:color w:val="auto"/>
              </w:rPr>
            </w:pPr>
          </w:p>
        </w:tc>
        <w:tc>
          <w:tcPr>
            <w:tcW w:w="1060" w:type="dxa"/>
            <w:vAlign w:val="bottom"/>
            <w:tcBorders>
              <w:right w:val="single" w:sz="8" w:color="D9D9D6"/>
            </w:tcBorders>
            <w:gridSpan w:val="2"/>
            <w:shd w:val="clear" w:color="auto" w:fill="D9D9D6"/>
          </w:tcPr>
          <w:p>
            <w:pPr>
              <w:jc w:val="right"/>
              <w:ind w:right="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20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D9D9D6"/>
            </w:tcBorders>
            <w:shd w:val="clear" w:color="auto" w:fill="D9D9D6"/>
          </w:tcPr>
          <w:p>
            <w:pPr>
              <w:spacing w:after="0" w:line="20" w:lineRule="exact"/>
              <w:rPr>
                <w:sz w:val="1"/>
                <w:szCs w:val="1"/>
                <w:color w:val="auto"/>
              </w:rPr>
            </w:pPr>
          </w:p>
        </w:tc>
        <w:tc>
          <w:tcPr>
            <w:tcW w:w="6820" w:type="dxa"/>
            <w:vAlign w:val="bottom"/>
            <w:tcBorders>
              <w:top w:val="single" w:sz="8" w:color="D9D9D6"/>
            </w:tcBorders>
            <w:shd w:val="clear" w:color="auto" w:fill="D9D9D6"/>
          </w:tcPr>
          <w:p>
            <w:pPr>
              <w:spacing w:after="0" w:line="20" w:lineRule="exact"/>
              <w:rPr>
                <w:sz w:val="1"/>
                <w:szCs w:val="1"/>
                <w:color w:val="auto"/>
              </w:rPr>
            </w:pPr>
          </w:p>
        </w:tc>
        <w:tc>
          <w:tcPr>
            <w:tcW w:w="64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D9D9D6"/>
            </w:tcBorders>
            <w:shd w:val="clear" w:color="auto" w:fill="D9D9D6"/>
          </w:tcPr>
          <w:p>
            <w:pPr>
              <w:spacing w:after="0" w:line="20" w:lineRule="exact"/>
              <w:rPr>
                <w:sz w:val="1"/>
                <w:szCs w:val="1"/>
                <w:color w:val="auto"/>
              </w:rPr>
            </w:pPr>
          </w:p>
        </w:tc>
        <w:tc>
          <w:tcPr>
            <w:tcW w:w="480" w:type="dxa"/>
            <w:vAlign w:val="bottom"/>
            <w:tcBorders>
              <w:top w:val="single" w:sz="8" w:color="D9D9D6"/>
            </w:tcBorders>
            <w:shd w:val="clear" w:color="auto" w:fill="D9D9D6"/>
          </w:tcPr>
          <w:p>
            <w:pPr>
              <w:spacing w:after="0" w:line="20" w:lineRule="exact"/>
              <w:rPr>
                <w:sz w:val="1"/>
                <w:szCs w:val="1"/>
                <w:color w:val="auto"/>
              </w:rPr>
            </w:pPr>
          </w:p>
        </w:tc>
        <w:tc>
          <w:tcPr>
            <w:tcW w:w="240" w:type="dxa"/>
            <w:vAlign w:val="bottom"/>
            <w:tcBorders>
              <w:top w:val="single" w:sz="8" w:color="auto"/>
            </w:tcBorders>
            <w:shd w:val="clear" w:color="auto" w:fill="D9D9D6"/>
          </w:tcPr>
          <w:p>
            <w:pPr>
              <w:spacing w:after="0" w:line="20" w:lineRule="exact"/>
              <w:rPr>
                <w:sz w:val="1"/>
                <w:szCs w:val="1"/>
                <w:color w:val="auto"/>
              </w:rPr>
            </w:pPr>
          </w:p>
        </w:tc>
        <w:tc>
          <w:tcPr>
            <w:tcW w:w="8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360" w:type="dxa"/>
            <w:vAlign w:val="bottom"/>
            <w:tcBorders>
              <w:top w:val="single" w:sz="8" w:color="auto"/>
            </w:tcBorders>
            <w:shd w:val="clear" w:color="auto" w:fill="D9D9D6"/>
          </w:tcPr>
          <w:p>
            <w:pPr>
              <w:spacing w:after="0" w:line="20" w:lineRule="exact"/>
              <w:rPr>
                <w:sz w:val="1"/>
                <w:szCs w:val="1"/>
                <w:color w:val="auto"/>
              </w:rPr>
            </w:pPr>
          </w:p>
        </w:tc>
        <w:tc>
          <w:tcPr>
            <w:tcW w:w="14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20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100" w:type="dxa"/>
            <w:vAlign w:val="bottom"/>
            <w:shd w:val="clear" w:color="auto" w:fill="D9D9D6"/>
          </w:tcPr>
          <w:p>
            <w:pPr>
              <w:spacing w:after="0"/>
              <w:rPr>
                <w:sz w:val="24"/>
                <w:szCs w:val="24"/>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$2,407</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$2,283</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5.4</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10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5.4 %</w:t>
            </w:r>
          </w:p>
        </w:tc>
        <w:tc>
          <w:tcPr>
            <w:tcW w:w="2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68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1,041</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952</w:t>
            </w:r>
          </w:p>
        </w:tc>
        <w:tc>
          <w:tcPr>
            <w:tcW w:w="90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9.4</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9.4 %</w:t>
            </w:r>
          </w:p>
        </w:tc>
        <w:tc>
          <w:tcPr>
            <w:tcW w:w="20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8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$1,366</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$1,332</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2.6</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10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2.6 %</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shd w:val="clear" w:color="auto" w:fill="D9D9D6"/>
          </w:tcPr>
          <w:p>
            <w:pPr>
              <w:spacing w:after="0"/>
              <w:rPr>
                <w:sz w:val="17"/>
                <w:szCs w:val="17"/>
                <w:color w:val="auto"/>
              </w:rPr>
            </w:pPr>
          </w:p>
        </w:tc>
        <w:tc>
          <w:tcPr>
            <w:tcW w:w="682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56.7 %</w:t>
            </w:r>
          </w:p>
        </w:tc>
        <w:tc>
          <w:tcPr>
            <w:tcW w:w="20" w:type="dxa"/>
            <w:vAlign w:val="bottom"/>
            <w:shd w:val="clear" w:color="auto" w:fill="D9D9D6"/>
          </w:tcPr>
          <w:p>
            <w:pPr>
              <w:spacing w:after="0"/>
              <w:rPr>
                <w:sz w:val="17"/>
                <w:szCs w:val="17"/>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58.3 %</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(160) bps</w:t>
            </w:r>
          </w:p>
        </w:tc>
        <w:tc>
          <w:tcPr>
            <w:tcW w:w="10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(160) bps</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820" w:type="dxa"/>
            <w:vAlign w:val="bottom"/>
            <w:shd w:val="clear" w:color="auto" w:fill="D9D9D6"/>
          </w:tcPr>
          <w:p>
            <w:pPr>
              <w:spacing w:after="0"/>
              <w:rPr>
                <w:sz w:val="5"/>
                <w:szCs w:val="5"/>
                <w:color w:val="auto"/>
              </w:rPr>
            </w:pPr>
          </w:p>
        </w:tc>
        <w:tc>
          <w:tcPr>
            <w:tcW w:w="64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480" w:type="dxa"/>
            <w:vAlign w:val="bottom"/>
            <w:shd w:val="clear" w:color="auto" w:fill="D9D9D6"/>
          </w:tcPr>
          <w:p>
            <w:pPr>
              <w:spacing w:after="0"/>
              <w:rPr>
                <w:sz w:val="5"/>
                <w:szCs w:val="5"/>
                <w:color w:val="auto"/>
              </w:rPr>
            </w:pPr>
          </w:p>
        </w:tc>
        <w:tc>
          <w:tcPr>
            <w:tcW w:w="24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4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560" w:type="dxa"/>
            <w:vAlign w:val="bottom"/>
            <w:tcBorders>
              <w:right w:val="single" w:sz="8" w:color="D9D9D6"/>
            </w:tcBorders>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Change percentages represent year/year growth rates. Change in Adjusted EBITDA margin is presented as year/year basis point changes.</w:t>
      </w:r>
    </w:p>
    <w:p>
      <w:pPr>
        <w:spacing w:after="0" w:line="3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Business Services Connectivity increased due to an increase in revenue from small business customers, driven by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rates, and an increase in revenue from medium-sized and enterprise customers.</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Business Services Connectivity increased due to higher revenue, partially offset by higher operating expenses.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increase in operating expenses was primarily due to increases in direct product costs, marketing and promotion expenses, and technical and support costs.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decreased to 56.7%.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56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Content &amp;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040" w:type="dxa"/>
            <w:vAlign w:val="bottom"/>
            <w:tcBorders>
              <w:bottom w:val="single" w:sz="8" w:color="D9D9D6"/>
            </w:tcBorders>
            <w:shd w:val="clear" w:color="auto" w:fill="D9D9D6"/>
          </w:tcPr>
          <w:p>
            <w:pPr>
              <w:spacing w:after="0"/>
              <w:rPr>
                <w:sz w:val="15"/>
                <w:szCs w:val="15"/>
                <w:color w:val="auto"/>
              </w:rPr>
            </w:pPr>
          </w:p>
        </w:tc>
        <w:tc>
          <w:tcPr>
            <w:tcW w:w="64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40" w:type="dxa"/>
            <w:vAlign w:val="bottom"/>
            <w:tcBorders>
              <w:bottom w:val="single" w:sz="8" w:color="D9D9D6"/>
            </w:tcBorders>
            <w:shd w:val="clear" w:color="auto" w:fill="D9D9D6"/>
          </w:tcPr>
          <w:p>
            <w:pPr>
              <w:spacing w:after="0"/>
              <w:rPr>
                <w:sz w:val="15"/>
                <w:szCs w:val="15"/>
                <w:color w:val="auto"/>
              </w:rPr>
            </w:pPr>
          </w:p>
        </w:tc>
        <w:tc>
          <w:tcPr>
            <w:tcW w:w="7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w w:val="99"/>
              </w:rPr>
              <w:t>1st Quarter</w:t>
            </w:r>
          </w:p>
        </w:tc>
        <w:tc>
          <w:tcPr>
            <w:tcW w:w="40" w:type="dxa"/>
            <w:vAlign w:val="bottom"/>
            <w:tcBorders>
              <w:bottom w:val="single" w:sz="8" w:color="D9D9D6"/>
            </w:tcBorders>
            <w:gridSpan w:val="2"/>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040" w:type="dxa"/>
            <w:vAlign w:val="bottom"/>
            <w:shd w:val="clear" w:color="auto" w:fill="D9D9D6"/>
          </w:tcPr>
          <w:p>
            <w:pPr>
              <w:spacing w:after="0"/>
              <w:rPr>
                <w:sz w:val="15"/>
                <w:szCs w:val="15"/>
                <w:color w:val="auto"/>
              </w:rPr>
            </w:pP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9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200" w:type="dxa"/>
            <w:vAlign w:val="bottom"/>
            <w:gridSpan w:val="5"/>
            <w:shd w:val="clear" w:color="auto" w:fill="D9D9D6"/>
          </w:tcPr>
          <w:p>
            <w:pPr>
              <w:ind w:left="56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0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Revenue</w:t>
            </w:r>
          </w:p>
        </w:tc>
        <w:tc>
          <w:tcPr>
            <w:tcW w:w="6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420" w:type="dxa"/>
            <w:vAlign w:val="bottom"/>
            <w:tcBorders>
              <w:top w:val="single" w:sz="8" w:color="D9D9D6"/>
            </w:tcBorders>
            <w:shd w:val="clear" w:color="auto" w:fill="D9D9D6"/>
          </w:tcPr>
          <w:p>
            <w:pPr>
              <w:spacing w:after="0"/>
              <w:rPr>
                <w:sz w:val="19"/>
                <w:szCs w:val="19"/>
                <w:color w:val="auto"/>
              </w:rPr>
            </w:pPr>
          </w:p>
        </w:tc>
        <w:tc>
          <w:tcPr>
            <w:tcW w:w="3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$6,371</w:t>
            </w:r>
          </w:p>
        </w:tc>
        <w:tc>
          <w:tcPr>
            <w:tcW w:w="9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$6,152</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3.6</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2,743</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2,956</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1,979</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1,949</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2"/>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19</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(36.8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(731)</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(817)</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10.5</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Revenue</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$10,374</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$10,259</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1.1</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Adjusted EBITDA</w:t>
            </w:r>
          </w:p>
        </w:tc>
        <w:tc>
          <w:tcPr>
            <w:tcW w:w="6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42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$827</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$880</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(6.1 %)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244</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277</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(12.2 %)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632</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658</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(3.9 %)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(243)</w:t>
            </w:r>
          </w:p>
        </w:tc>
        <w:tc>
          <w:tcPr>
            <w:tcW w:w="20" w:type="dxa"/>
            <w:vAlign w:val="bottom"/>
            <w:shd w:val="clear" w:color="auto" w:fill="D9D9D6"/>
          </w:tcPr>
          <w:p>
            <w:pPr>
              <w:spacing w:after="0"/>
              <w:rPr>
                <w:sz w:val="17"/>
                <w:szCs w:val="17"/>
                <w:color w:val="auto"/>
              </w:rPr>
            </w:pPr>
          </w:p>
        </w:tc>
        <w:tc>
          <w:tcPr>
            <w:tcW w:w="8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(232)</w:t>
            </w: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(4.8 %)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33</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w:t>
            </w:r>
          </w:p>
        </w:tc>
        <w:tc>
          <w:tcPr>
            <w:tcW w:w="20" w:type="dxa"/>
            <w:vAlign w:val="bottom"/>
            <w:tcBorders>
              <w:bottom w:val="single" w:sz="8" w:color="auto"/>
            </w:tcBorders>
            <w:shd w:val="clear" w:color="auto" w:fill="D9D9D6"/>
          </w:tcPr>
          <w:p>
            <w:pPr>
              <w:spacing w:after="0"/>
              <w:rPr>
                <w:sz w:val="17"/>
                <w:szCs w:val="17"/>
                <w:color w:val="auto"/>
              </w:rPr>
            </w:pP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36.9</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Adjusted EBITDA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$1,493</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$1,607</w:t>
            </w:r>
          </w:p>
        </w:tc>
        <w:tc>
          <w:tcPr>
            <w:tcW w:w="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(7.1</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highlight w:val="lightGray"/>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Content &amp; Experiences increased compared to the prior year period driven by Media and Theme Parks.</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Content &amp; Experiences decreased primarily due to decreases in Media, Studios and Theme Parks.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380" w:type="dxa"/>
            <w:vAlign w:val="bottom"/>
            <w:shd w:val="clear" w:color="auto" w:fill="D9D9D6"/>
          </w:tcPr>
          <w:p>
            <w:pPr>
              <w:spacing w:after="0"/>
              <w:rPr>
                <w:sz w:val="17"/>
                <w:szCs w:val="17"/>
                <w:color w:val="auto"/>
              </w:rPr>
            </w:pPr>
          </w:p>
        </w:tc>
        <w:tc>
          <w:tcPr>
            <w:tcW w:w="360" w:type="dxa"/>
            <w:vAlign w:val="bottom"/>
            <w:tcBorders>
              <w:right w:val="single" w:sz="8" w:color="D9D9D6"/>
            </w:tcBorders>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14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40" w:type="dxa"/>
            <w:vAlign w:val="bottom"/>
            <w:tcBorders>
              <w:bottom w:val="single" w:sz="8" w:color="D9D9D6"/>
              <w:right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740" w:type="dxa"/>
            <w:vAlign w:val="bottom"/>
            <w:tcBorders>
              <w:bottom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9"/>
              </w:rPr>
              <w:t>1st Quarter</w:t>
            </w:r>
          </w:p>
        </w:tc>
        <w:tc>
          <w:tcPr>
            <w:tcW w:w="240" w:type="dxa"/>
            <w:vAlign w:val="bottom"/>
            <w:tcBorders>
              <w:bottom w:val="single" w:sz="8" w:color="D9D9D6"/>
            </w:tcBorders>
            <w:shd w:val="clear" w:color="auto" w:fill="D9D9D6"/>
          </w:tcPr>
          <w:p>
            <w:pPr>
              <w:spacing w:after="0"/>
              <w:rPr>
                <w:sz w:val="15"/>
                <w:szCs w:val="15"/>
                <w:color w:val="auto"/>
              </w:rPr>
            </w:pPr>
          </w:p>
        </w:tc>
        <w:tc>
          <w:tcPr>
            <w:tcW w:w="28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140" w:type="dxa"/>
            <w:vAlign w:val="bottom"/>
            <w:shd w:val="clear" w:color="auto" w:fill="D9D9D6"/>
          </w:tcPr>
          <w:p>
            <w:pPr>
              <w:spacing w:after="0"/>
              <w:rPr>
                <w:sz w:val="15"/>
                <w:szCs w:val="15"/>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92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2023</w:t>
            </w:r>
          </w:p>
        </w:tc>
        <w:tc>
          <w:tcPr>
            <w:tcW w:w="240" w:type="dxa"/>
            <w:vAlign w:val="bottom"/>
            <w:shd w:val="clear" w:color="auto" w:fill="D9D9D6"/>
          </w:tcPr>
          <w:p>
            <w:pPr>
              <w:spacing w:after="0"/>
              <w:rPr>
                <w:sz w:val="15"/>
                <w:szCs w:val="15"/>
                <w:color w:val="auto"/>
              </w:rPr>
            </w:pPr>
          </w:p>
        </w:tc>
        <w:tc>
          <w:tcPr>
            <w:tcW w:w="920" w:type="dxa"/>
            <w:vAlign w:val="bottom"/>
            <w:gridSpan w:val="5"/>
            <w:shd w:val="clear" w:color="auto" w:fill="D9D9D6"/>
          </w:tcPr>
          <w:p>
            <w:pPr>
              <w:ind w:left="280"/>
              <w:spacing w:after="0"/>
              <w:rPr>
                <w:sz w:val="20"/>
                <w:szCs w:val="20"/>
                <w:color w:val="auto"/>
              </w:rPr>
            </w:pPr>
            <w:r>
              <w:rPr>
                <w:rFonts w:ascii="Arial" w:cs="Arial" w:eastAsia="Arial" w:hAnsi="Arial"/>
                <w:sz w:val="14"/>
                <w:szCs w:val="14"/>
                <w:color w:val="auto"/>
              </w:rPr>
              <w:t>Change</w:t>
            </w:r>
          </w:p>
        </w:tc>
      </w:tr>
      <w:tr>
        <w:trPr>
          <w:trHeight w:val="223"/>
        </w:trPr>
        <w:tc>
          <w:tcPr>
            <w:tcW w:w="120" w:type="dxa"/>
            <w:vAlign w:val="bottom"/>
            <w:tcBorders>
              <w:top w:val="single" w:sz="8" w:color="D9D9D6"/>
            </w:tcBorders>
            <w:shd w:val="clear" w:color="auto" w:fill="D9D9D6"/>
          </w:tcPr>
          <w:p>
            <w:pPr>
              <w:spacing w:after="0"/>
              <w:rPr>
                <w:sz w:val="19"/>
                <w:szCs w:val="19"/>
                <w:color w:val="auto"/>
              </w:rPr>
            </w:pPr>
          </w:p>
        </w:tc>
        <w:tc>
          <w:tcPr>
            <w:tcW w:w="81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right w:val="single" w:sz="8" w:color="D9D9D6"/>
            </w:tcBorders>
            <w:shd w:val="clear" w:color="auto" w:fill="D9D9D6"/>
          </w:tcPr>
          <w:p>
            <w:pPr>
              <w:spacing w:after="0"/>
              <w:rPr>
                <w:sz w:val="19"/>
                <w:szCs w:val="19"/>
                <w:color w:val="auto"/>
              </w:rPr>
            </w:pPr>
          </w:p>
        </w:tc>
        <w:tc>
          <w:tcPr>
            <w:tcW w:w="240" w:type="dxa"/>
            <w:vAlign w:val="bottom"/>
            <w:tcBorders>
              <w:top w:val="single" w:sz="8" w:color="D9D9D6"/>
            </w:tcBorders>
            <w:shd w:val="clear" w:color="auto" w:fill="D9D9D6"/>
          </w:tcPr>
          <w:p>
            <w:pPr>
              <w:spacing w:after="0"/>
              <w:rPr>
                <w:sz w:val="19"/>
                <w:szCs w:val="19"/>
                <w:color w:val="auto"/>
              </w:rPr>
            </w:pPr>
          </w:p>
        </w:tc>
        <w:tc>
          <w:tcPr>
            <w:tcW w:w="2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4"/>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Advertising</w:t>
            </w: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920" w:type="dxa"/>
            <w:vAlign w:val="bottom"/>
            <w:tcBorders>
              <w:right w:val="single" w:sz="8" w:color="D9D9D6"/>
            </w:tcBorders>
            <w:gridSpan w:val="3"/>
            <w:shd w:val="clear" w:color="auto" w:fill="DBDBDB"/>
          </w:tcPr>
          <w:p>
            <w:pPr>
              <w:jc w:val="right"/>
              <w:ind w:right="40"/>
              <w:spacing w:after="0"/>
              <w:rPr>
                <w:sz w:val="20"/>
                <w:szCs w:val="20"/>
                <w:color w:val="auto"/>
              </w:rPr>
            </w:pPr>
            <w:r>
              <w:rPr>
                <w:rFonts w:ascii="Arial" w:cs="Arial" w:eastAsia="Arial" w:hAnsi="Arial"/>
                <w:sz w:val="14"/>
                <w:szCs w:val="14"/>
                <w:color w:val="auto"/>
              </w:rPr>
              <w:t>$2,025</w:t>
            </w:r>
          </w:p>
        </w:tc>
        <w:tc>
          <w:tcPr>
            <w:tcW w:w="24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320" w:type="dxa"/>
            <w:vAlign w:val="bottom"/>
            <w:shd w:val="clear" w:color="auto" w:fill="D9D9D6"/>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3"/>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Distribution</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2,906</w:t>
            </w:r>
          </w:p>
        </w:tc>
        <w:tc>
          <w:tcPr>
            <w:tcW w:w="920" w:type="dxa"/>
            <w:vAlign w:val="bottom"/>
            <w:tcBorders>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2,709</w:t>
            </w:r>
          </w:p>
        </w:tc>
        <w:tc>
          <w:tcPr>
            <w:tcW w:w="240" w:type="dxa"/>
            <w:vAlign w:val="bottom"/>
            <w:shd w:val="clear" w:color="auto" w:fill="D9D9D6"/>
          </w:tcPr>
          <w:p>
            <w:pPr>
              <w:spacing w:after="0"/>
              <w:rPr>
                <w:sz w:val="17"/>
                <w:szCs w:val="17"/>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Networks</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1,021</w:t>
            </w:r>
          </w:p>
        </w:tc>
        <w:tc>
          <w:tcPr>
            <w:tcW w:w="920" w:type="dxa"/>
            <w:vAlign w:val="bottom"/>
            <w:tcBorders>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1,008</w:t>
            </w:r>
          </w:p>
        </w:tc>
        <w:tc>
          <w:tcPr>
            <w:tcW w:w="240" w:type="dxa"/>
            <w:vAlign w:val="bottom"/>
            <w:shd w:val="clear" w:color="auto" w:fill="D9D9D6"/>
          </w:tcPr>
          <w:p>
            <w:pPr>
              <w:spacing w:after="0"/>
              <w:rPr>
                <w:sz w:val="17"/>
                <w:szCs w:val="17"/>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420</w:t>
            </w:r>
          </w:p>
        </w:tc>
        <w:tc>
          <w:tcPr>
            <w:tcW w:w="920" w:type="dxa"/>
            <w:vAlign w:val="bottom"/>
            <w:tcBorders>
              <w:bottom w:val="single" w:sz="8" w:color="auto"/>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410</w:t>
            </w:r>
          </w:p>
        </w:tc>
        <w:tc>
          <w:tcPr>
            <w:tcW w:w="240" w:type="dxa"/>
            <w:vAlign w:val="bottom"/>
            <w:tcBorders>
              <w:bottom w:val="single" w:sz="8" w:color="auto"/>
            </w:tcBorders>
            <w:shd w:val="clear" w:color="auto" w:fill="D9D9D6"/>
          </w:tcPr>
          <w:p>
            <w:pPr>
              <w:spacing w:after="0"/>
              <w:rPr>
                <w:sz w:val="17"/>
                <w:szCs w:val="17"/>
                <w:color w:val="auto"/>
              </w:rPr>
            </w:pPr>
          </w:p>
        </w:tc>
        <w:tc>
          <w:tcPr>
            <w:tcW w:w="6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2.5</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$6,371</w:t>
            </w:r>
          </w:p>
        </w:tc>
        <w:tc>
          <w:tcPr>
            <w:tcW w:w="920" w:type="dxa"/>
            <w:vAlign w:val="bottom"/>
            <w:tcBorders>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b w:val="1"/>
                <w:bCs w:val="1"/>
                <w:color w:val="auto"/>
              </w:rPr>
              <w:t>$6,152</w:t>
            </w:r>
          </w:p>
        </w:tc>
        <w:tc>
          <w:tcPr>
            <w:tcW w:w="240" w:type="dxa"/>
            <w:vAlign w:val="bottom"/>
            <w:shd w:val="clear" w:color="auto" w:fill="D9D9D6"/>
          </w:tcPr>
          <w:p>
            <w:pPr>
              <w:spacing w:after="0"/>
              <w:rPr>
                <w:sz w:val="17"/>
                <w:szCs w:val="17"/>
                <w:color w:val="auto"/>
              </w:rPr>
            </w:pPr>
          </w:p>
        </w:tc>
        <w:tc>
          <w:tcPr>
            <w:tcW w:w="6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3.6</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5,545</w:t>
            </w:r>
          </w:p>
        </w:tc>
        <w:tc>
          <w:tcPr>
            <w:tcW w:w="920" w:type="dxa"/>
            <w:vAlign w:val="bottom"/>
            <w:tcBorders>
              <w:bottom w:val="single" w:sz="8" w:color="auto"/>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5,272</w:t>
            </w:r>
          </w:p>
        </w:tc>
        <w:tc>
          <w:tcPr>
            <w:tcW w:w="240" w:type="dxa"/>
            <w:vAlign w:val="bottom"/>
            <w:tcBorders>
              <w:bottom w:val="single" w:sz="8" w:color="auto"/>
            </w:tcBorders>
            <w:shd w:val="clear" w:color="auto" w:fill="D9D9D6"/>
          </w:tcPr>
          <w:p>
            <w:pPr>
              <w:spacing w:after="0"/>
              <w:rPr>
                <w:sz w:val="17"/>
                <w:szCs w:val="17"/>
                <w:color w:val="auto"/>
              </w:rPr>
            </w:pPr>
          </w:p>
        </w:tc>
        <w:tc>
          <w:tcPr>
            <w:tcW w:w="6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5.2</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37"/>
        </w:trPr>
        <w:tc>
          <w:tcPr>
            <w:tcW w:w="120" w:type="dxa"/>
            <w:vAlign w:val="bottom"/>
            <w:tcBorders>
              <w:bottom w:val="single" w:sz="8" w:color="D9D9D6"/>
            </w:tcBorders>
            <w:shd w:val="clear" w:color="auto" w:fill="D9D9D6"/>
          </w:tcPr>
          <w:p>
            <w:pPr>
              <w:spacing w:after="0"/>
              <w:rPr>
                <w:sz w:val="20"/>
                <w:szCs w:val="20"/>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Borders>
              <w:bottom w:val="single" w:sz="8" w:color="D9D9D6"/>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$827</w:t>
            </w:r>
          </w:p>
        </w:tc>
        <w:tc>
          <w:tcPr>
            <w:tcW w:w="920" w:type="dxa"/>
            <w:vAlign w:val="bottom"/>
            <w:tcBorders>
              <w:bottom w:val="single" w:sz="8" w:color="D9D9D6"/>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b w:val="1"/>
                <w:bCs w:val="1"/>
                <w:color w:val="auto"/>
              </w:rPr>
              <w:t>$880</w:t>
            </w:r>
          </w:p>
        </w:tc>
        <w:tc>
          <w:tcPr>
            <w:tcW w:w="240" w:type="dxa"/>
            <w:vAlign w:val="bottom"/>
            <w:tcBorders>
              <w:bottom w:val="single" w:sz="8" w:color="D9D9D6"/>
            </w:tcBorders>
            <w:shd w:val="clear" w:color="auto" w:fill="D9D9D6"/>
          </w:tcPr>
          <w:p>
            <w:pPr>
              <w:spacing w:after="0"/>
              <w:rPr>
                <w:sz w:val="20"/>
                <w:szCs w:val="20"/>
                <w:color w:val="auto"/>
              </w:rPr>
            </w:pPr>
          </w:p>
        </w:tc>
        <w:tc>
          <w:tcPr>
            <w:tcW w:w="60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(6.1</w:t>
            </w:r>
          </w:p>
        </w:tc>
        <w:tc>
          <w:tcPr>
            <w:tcW w:w="18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D9D9D6"/>
            </w:tcBorders>
            <w:shd w:val="clear" w:color="auto" w:fill="D9D9D6"/>
          </w:tcPr>
          <w:p>
            <w:pPr>
              <w:spacing w:after="0"/>
              <w:rPr>
                <w:sz w:val="20"/>
                <w:szCs w:val="20"/>
                <w:color w:val="auto"/>
              </w:rPr>
            </w:pPr>
          </w:p>
        </w:tc>
        <w:tc>
          <w:tcPr>
            <w:tcW w:w="120" w:type="dxa"/>
            <w:vAlign w:val="bottom"/>
            <w:tcBorders>
              <w:bottom w:val="single" w:sz="8" w:color="D9D9D6"/>
            </w:tcBorders>
            <w:shd w:val="clear" w:color="auto" w:fill="D9D9D6"/>
          </w:tcPr>
          <w:p>
            <w:pPr>
              <w:spacing w:after="0"/>
              <w:rPr>
                <w:sz w:val="20"/>
                <w:szCs w:val="20"/>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Media increased primarily due to higher domestic distribution revenue. Domestic distribution revenue increased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revenue at Peacock, driven by an increase in paid subscribers. International networks revenue increased primarily reflecting the positive impact of foreign currency. Domestic advertising revenue was consistent primarily due to lower revenue at our networks, offset by an increase in revenue at Peacock.</w:t>
      </w:r>
    </w:p>
    <w:p>
      <w:pPr>
        <w:spacing w:after="0" w:line="20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Media decreased due to higher operating expenses, which more than offset higher revenue. The increase in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was primarily due to higher programming costs at Peacock. Media results include $1.1 billion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$639 million related to Peacock, compared to $685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$704 million in the prior year period.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Studios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3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14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720" w:type="dxa"/>
            <w:vAlign w:val="bottom"/>
            <w:tcBorders>
              <w:bottom w:val="single" w:sz="8" w:color="auto"/>
            </w:tcBorders>
            <w:gridSpan w:val="3"/>
            <w:shd w:val="clear" w:color="auto" w:fill="D9D9D6"/>
          </w:tcPr>
          <w:p>
            <w:pPr>
              <w:spacing w:after="0"/>
              <w:rPr>
                <w:sz w:val="20"/>
                <w:szCs w:val="20"/>
                <w:color w:val="auto"/>
              </w:rPr>
            </w:pPr>
            <w:r>
              <w:rPr>
                <w:rFonts w:ascii="Arial" w:cs="Arial" w:eastAsia="Arial" w:hAnsi="Arial"/>
                <w:sz w:val="14"/>
                <w:szCs w:val="14"/>
                <w:color w:val="auto"/>
                <w:w w:val="99"/>
              </w:rPr>
              <w:t>1st Quarter</w:t>
            </w:r>
          </w:p>
        </w:tc>
        <w:tc>
          <w:tcPr>
            <w:tcW w:w="240" w:type="dxa"/>
            <w:vAlign w:val="bottom"/>
            <w:tcBorders>
              <w:bottom w:val="single" w:sz="8" w:color="D9D9D6"/>
            </w:tcBorders>
            <w:shd w:val="clear" w:color="auto" w:fill="D9D9D6"/>
          </w:tcPr>
          <w:p>
            <w:pPr>
              <w:spacing w:after="0"/>
              <w:rPr>
                <w:sz w:val="15"/>
                <w:szCs w:val="15"/>
                <w:color w:val="auto"/>
              </w:rPr>
            </w:pPr>
          </w:p>
        </w:tc>
        <w:tc>
          <w:tcPr>
            <w:tcW w:w="30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140" w:type="dxa"/>
            <w:vAlign w:val="bottom"/>
            <w:shd w:val="clear" w:color="auto" w:fill="D9D9D6"/>
          </w:tcPr>
          <w:p>
            <w:pPr>
              <w:spacing w:after="0"/>
              <w:rPr>
                <w:sz w:val="15"/>
                <w:szCs w:val="15"/>
                <w:color w:val="auto"/>
              </w:rPr>
            </w:pP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9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240" w:type="dxa"/>
            <w:vAlign w:val="bottom"/>
            <w:shd w:val="clear" w:color="auto" w:fill="D9D9D6"/>
          </w:tcPr>
          <w:p>
            <w:pPr>
              <w:spacing w:after="0"/>
              <w:rPr>
                <w:sz w:val="15"/>
                <w:szCs w:val="15"/>
                <w:color w:val="auto"/>
              </w:rPr>
            </w:pPr>
          </w:p>
        </w:tc>
        <w:tc>
          <w:tcPr>
            <w:tcW w:w="940" w:type="dxa"/>
            <w:vAlign w:val="bottom"/>
            <w:gridSpan w:val="5"/>
            <w:shd w:val="clear" w:color="auto" w:fill="D9D9D6"/>
          </w:tcPr>
          <w:p>
            <w:pPr>
              <w:ind w:left="30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1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D9D9D6"/>
            </w:tcBorders>
            <w:shd w:val="clear" w:color="auto" w:fill="D9D9D6"/>
          </w:tcPr>
          <w:p>
            <w:pPr>
              <w:spacing w:after="0"/>
              <w:rPr>
                <w:sz w:val="19"/>
                <w:szCs w:val="19"/>
                <w:color w:val="auto"/>
              </w:rPr>
            </w:pPr>
          </w:p>
        </w:tc>
        <w:tc>
          <w:tcPr>
            <w:tcW w:w="3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 Licensing</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$2,101</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$2,344</w:t>
            </w:r>
          </w:p>
        </w:tc>
        <w:tc>
          <w:tcPr>
            <w:tcW w:w="2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(10.4 %)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Theatrical</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330</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319</w:t>
            </w:r>
          </w:p>
        </w:tc>
        <w:tc>
          <w:tcPr>
            <w:tcW w:w="2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3.4 %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312</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292</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auto"/>
            </w:tcBorders>
            <w:shd w:val="clear" w:color="auto" w:fill="D9D9D6"/>
          </w:tcPr>
          <w:p>
            <w:pPr>
              <w:spacing w:after="0"/>
              <w:rPr>
                <w:sz w:val="17"/>
                <w:szCs w:val="17"/>
                <w:color w:val="auto"/>
              </w:rPr>
            </w:pPr>
          </w:p>
        </w:tc>
        <w:tc>
          <w:tcPr>
            <w:tcW w:w="80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6.6 %</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$2,743</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$2,956</w:t>
            </w:r>
          </w:p>
        </w:tc>
        <w:tc>
          <w:tcPr>
            <w:tcW w:w="2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8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(7.2 %)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2,499</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2,678</w:t>
            </w:r>
          </w:p>
        </w:tc>
        <w:tc>
          <w:tcPr>
            <w:tcW w:w="2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auto"/>
            </w:tcBorders>
            <w:shd w:val="clear" w:color="auto" w:fill="D9D9D6"/>
          </w:tcPr>
          <w:p>
            <w:pPr>
              <w:spacing w:after="0"/>
              <w:rPr>
                <w:sz w:val="17"/>
                <w:szCs w:val="17"/>
                <w:color w:val="auto"/>
              </w:rPr>
            </w:pPr>
          </w:p>
        </w:tc>
        <w:tc>
          <w:tcPr>
            <w:tcW w:w="62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(6.7</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$244</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$277</w:t>
            </w:r>
          </w:p>
        </w:tc>
        <w:tc>
          <w:tcPr>
            <w:tcW w:w="2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6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(12.2</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56"/>
        </w:trPr>
        <w:tc>
          <w:tcPr>
            <w:tcW w:w="120" w:type="dxa"/>
            <w:vAlign w:val="bottom"/>
            <w:shd w:val="clear" w:color="auto" w:fill="D9D9D6"/>
          </w:tcPr>
          <w:p>
            <w:pPr>
              <w:spacing w:after="0"/>
              <w:rPr>
                <w:sz w:val="4"/>
                <w:szCs w:val="4"/>
                <w:color w:val="auto"/>
              </w:rPr>
            </w:pPr>
          </w:p>
        </w:tc>
        <w:tc>
          <w:tcPr>
            <w:tcW w:w="814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24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Studios decreased due to lower content licensing revenue, primarily reflecting the timing of when content was made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by our film studios. Theatrical revenue increased due to the successful performance of recent releases, including </w:t>
      </w:r>
      <w:r>
        <w:rPr>
          <w:rFonts w:ascii="Arial" w:cs="Arial" w:eastAsia="Arial" w:hAnsi="Arial"/>
          <w:sz w:val="18"/>
          <w:szCs w:val="18"/>
          <w:i w:val="1"/>
          <w:iCs w:val="1"/>
          <w:color w:val="auto"/>
        </w:rPr>
        <w:t>Kung Fu Panda 4</w:t>
      </w:r>
      <w:r>
        <w:rPr>
          <w:rFonts w:ascii="Arial" w:cs="Arial" w:eastAsia="Arial" w:hAnsi="Arial"/>
          <w:sz w:val="18"/>
          <w:szCs w:val="18"/>
          <w:color w:val="auto"/>
        </w:rPr>
        <w:t xml:space="preserve"> and </w:t>
      </w:r>
      <w:r>
        <w:rPr>
          <w:rFonts w:ascii="Arial" w:cs="Arial" w:eastAsia="Arial" w:hAnsi="Arial"/>
          <w:sz w:val="18"/>
          <w:szCs w:val="18"/>
          <w:i w:val="1"/>
          <w:iCs w:val="1"/>
          <w:color w:val="auto"/>
        </w:rPr>
        <w:t>Migration</w:t>
      </w:r>
      <w:r>
        <w:rPr>
          <w:rFonts w:ascii="Arial" w:cs="Arial" w:eastAsia="Arial" w:hAnsi="Arial"/>
          <w:sz w:val="18"/>
          <w:szCs w:val="18"/>
          <w:color w:val="auto"/>
        </w:rPr>
        <w:t>, compared to theatrical releases in the prior year period, including</w:t>
      </w:r>
      <w:r>
        <w:rPr>
          <w:rFonts w:ascii="Arial" w:cs="Arial" w:eastAsia="Arial" w:hAnsi="Arial"/>
          <w:sz w:val="18"/>
          <w:szCs w:val="18"/>
          <w:i w:val="1"/>
          <w:iCs w:val="1"/>
          <w:color w:val="auto"/>
        </w:rPr>
        <w:t xml:space="preserve"> Puss in Boots: The Last Wish </w:t>
      </w:r>
      <w:r>
        <w:rPr>
          <w:rFonts w:ascii="Arial" w:cs="Arial" w:eastAsia="Arial" w:hAnsi="Arial"/>
          <w:sz w:val="18"/>
          <w:szCs w:val="18"/>
          <w:color w:val="auto"/>
        </w:rPr>
        <w:t>and</w:t>
      </w:r>
      <w:r>
        <w:rPr>
          <w:rFonts w:ascii="Arial" w:cs="Arial" w:eastAsia="Arial" w:hAnsi="Arial"/>
          <w:sz w:val="18"/>
          <w:szCs w:val="18"/>
          <w:i w:val="1"/>
          <w:iCs w:val="1"/>
          <w:color w:val="auto"/>
        </w:rPr>
        <w:t xml:space="preserve"> M3GAN</w:t>
      </w:r>
      <w:r>
        <w:rPr>
          <w:rFonts w:ascii="Arial" w:cs="Arial" w:eastAsia="Arial" w:hAnsi="Arial"/>
          <w:sz w:val="18"/>
          <w:szCs w:val="18"/>
          <w:color w:val="auto"/>
        </w:rPr>
        <w: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Studios decreased due to lower revenue, which more than offset lower operating expenses. The decrease in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primarily reflected lower programming and production expenses, mainly due to lower costs associated with the timing of when content was made available by our film studios.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82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300" w:type="dxa"/>
            <w:vAlign w:val="bottom"/>
            <w:shd w:val="clear" w:color="auto" w:fill="D9D9D6"/>
          </w:tcPr>
          <w:p>
            <w:pPr>
              <w:spacing w:after="0"/>
              <w:rPr>
                <w:sz w:val="19"/>
                <w:szCs w:val="19"/>
                <w:color w:val="auto"/>
              </w:rPr>
            </w:pPr>
          </w:p>
        </w:tc>
        <w:tc>
          <w:tcPr>
            <w:tcW w:w="22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222"/>
        </w:trPr>
        <w:tc>
          <w:tcPr>
            <w:tcW w:w="100" w:type="dxa"/>
            <w:vAlign w:val="bottom"/>
            <w:shd w:val="clear" w:color="auto" w:fill="D9D9D6"/>
          </w:tcPr>
          <w:p>
            <w:pPr>
              <w:spacing w:after="0"/>
              <w:rPr>
                <w:sz w:val="19"/>
                <w:szCs w:val="19"/>
                <w:color w:val="auto"/>
              </w:rPr>
            </w:pPr>
          </w:p>
        </w:tc>
        <w:tc>
          <w:tcPr>
            <w:tcW w:w="8220" w:type="dxa"/>
            <w:vAlign w:val="bottom"/>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126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1st Quarter</w:t>
            </w:r>
          </w:p>
        </w:tc>
        <w:tc>
          <w:tcPr>
            <w:tcW w:w="300" w:type="dxa"/>
            <w:vAlign w:val="bottom"/>
            <w:shd w:val="clear" w:color="auto" w:fill="D9D9D6"/>
          </w:tcPr>
          <w:p>
            <w:pPr>
              <w:spacing w:after="0"/>
              <w:rPr>
                <w:sz w:val="19"/>
                <w:szCs w:val="19"/>
                <w:color w:val="auto"/>
              </w:rPr>
            </w:pPr>
          </w:p>
        </w:tc>
        <w:tc>
          <w:tcPr>
            <w:tcW w:w="22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183"/>
        </w:trPr>
        <w:tc>
          <w:tcPr>
            <w:tcW w:w="100" w:type="dxa"/>
            <w:vAlign w:val="bottom"/>
            <w:tcBorders>
              <w:top w:val="single" w:sz="8" w:color="D9D9D6"/>
            </w:tcBorders>
            <w:shd w:val="clear" w:color="auto" w:fill="D9D9D6"/>
          </w:tcPr>
          <w:p>
            <w:pPr>
              <w:spacing w:after="0"/>
              <w:rPr>
                <w:sz w:val="15"/>
                <w:szCs w:val="15"/>
                <w:color w:val="auto"/>
              </w:rPr>
            </w:pPr>
          </w:p>
        </w:tc>
        <w:tc>
          <w:tcPr>
            <w:tcW w:w="8220" w:type="dxa"/>
            <w:vAlign w:val="bottom"/>
            <w:tcBorders>
              <w:top w:val="single" w:sz="8" w:color="D9D9D6"/>
            </w:tcBorders>
            <w:shd w:val="clear" w:color="auto" w:fill="D9D9D6"/>
          </w:tcPr>
          <w:p>
            <w:pPr>
              <w:spacing w:after="0"/>
              <w:rPr>
                <w:sz w:val="15"/>
                <w:szCs w:val="15"/>
                <w:color w:val="auto"/>
              </w:rPr>
            </w:pPr>
          </w:p>
        </w:tc>
        <w:tc>
          <w:tcPr>
            <w:tcW w:w="540" w:type="dxa"/>
            <w:vAlign w:val="bottom"/>
            <w:tcBorders>
              <w:top w:val="single" w:sz="8" w:color="D9D9D6"/>
            </w:tcBorders>
            <w:shd w:val="clear" w:color="auto" w:fill="D9D9D6"/>
          </w:tcPr>
          <w:p>
            <w:pPr>
              <w:spacing w:after="0"/>
              <w:rPr>
                <w:sz w:val="15"/>
                <w:szCs w:val="15"/>
                <w:color w:val="auto"/>
              </w:rPr>
            </w:pPr>
          </w:p>
        </w:tc>
        <w:tc>
          <w:tcPr>
            <w:tcW w:w="340" w:type="dxa"/>
            <w:vAlign w:val="bottom"/>
            <w:tcBorders>
              <w:top w:val="single" w:sz="8" w:color="D9D9D6"/>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2024</w:t>
            </w:r>
          </w:p>
        </w:tc>
        <w:tc>
          <w:tcPr>
            <w:tcW w:w="160" w:type="dxa"/>
            <w:vAlign w:val="bottom"/>
            <w:tcBorders>
              <w:top w:val="single" w:sz="8" w:color="D9D9D6"/>
            </w:tcBorders>
            <w:shd w:val="clear" w:color="auto" w:fill="D9D9D6"/>
          </w:tcPr>
          <w:p>
            <w:pPr>
              <w:spacing w:after="0"/>
              <w:rPr>
                <w:sz w:val="15"/>
                <w:szCs w:val="15"/>
                <w:color w:val="auto"/>
              </w:rPr>
            </w:pPr>
          </w:p>
        </w:tc>
        <w:tc>
          <w:tcPr>
            <w:tcW w:w="720" w:type="dxa"/>
            <w:vAlign w:val="bottom"/>
            <w:tcBorders>
              <w:top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540" w:type="dxa"/>
            <w:vAlign w:val="bottom"/>
            <w:tcBorders>
              <w:top w:val="single" w:sz="8" w:color="D9D9D6"/>
            </w:tcBorders>
            <w:shd w:val="clear" w:color="auto" w:fill="D9D9D6"/>
          </w:tcPr>
          <w:p>
            <w:pPr>
              <w:spacing w:after="0"/>
              <w:rPr>
                <w:sz w:val="15"/>
                <w:szCs w:val="15"/>
                <w:color w:val="auto"/>
              </w:rPr>
            </w:pPr>
          </w:p>
        </w:tc>
        <w:tc>
          <w:tcPr>
            <w:tcW w:w="620" w:type="dxa"/>
            <w:vAlign w:val="bottom"/>
            <w:tcBorders>
              <w:top w:val="single" w:sz="8" w:color="D9D9D6"/>
            </w:tcBorders>
            <w:gridSpan w:val="3"/>
            <w:shd w:val="clear" w:color="auto" w:fill="D9D9D6"/>
          </w:tcPr>
          <w:p>
            <w:pPr>
              <w:spacing w:after="0"/>
              <w:rPr>
                <w:sz w:val="20"/>
                <w:szCs w:val="20"/>
                <w:color w:val="auto"/>
              </w:rPr>
            </w:pPr>
            <w:r>
              <w:rPr>
                <w:rFonts w:ascii="Arial" w:cs="Arial" w:eastAsia="Arial" w:hAnsi="Arial"/>
                <w:sz w:val="14"/>
                <w:szCs w:val="14"/>
                <w:color w:val="auto"/>
              </w:rPr>
              <w:t>Change</w:t>
            </w:r>
          </w:p>
        </w:tc>
      </w:tr>
      <w:tr>
        <w:trPr>
          <w:trHeight w:val="20"/>
        </w:trPr>
        <w:tc>
          <w:tcPr>
            <w:tcW w:w="100" w:type="dxa"/>
            <w:vAlign w:val="bottom"/>
            <w:shd w:val="clear" w:color="auto" w:fill="D9D9D6"/>
          </w:tcPr>
          <w:p>
            <w:pPr>
              <w:spacing w:after="0" w:line="20" w:lineRule="exact"/>
              <w:rPr>
                <w:sz w:val="1"/>
                <w:szCs w:val="1"/>
                <w:color w:val="auto"/>
              </w:rPr>
            </w:pPr>
          </w:p>
        </w:tc>
        <w:tc>
          <w:tcPr>
            <w:tcW w:w="82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38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D9D9D6"/>
            </w:tcBorders>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r>
      <w:tr>
        <w:trPr>
          <w:trHeight w:val="559"/>
        </w:trPr>
        <w:tc>
          <w:tcPr>
            <w:tcW w:w="100" w:type="dxa"/>
            <w:vAlign w:val="bottom"/>
            <w:shd w:val="clear" w:color="auto" w:fill="D9D9D6"/>
          </w:tcPr>
          <w:p>
            <w:pPr>
              <w:spacing w:after="0"/>
              <w:rPr>
                <w:sz w:val="24"/>
                <w:szCs w:val="24"/>
                <w:color w:val="auto"/>
              </w:rPr>
            </w:pPr>
          </w:p>
        </w:tc>
        <w:tc>
          <w:tcPr>
            <w:tcW w:w="82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8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$1,979</w:t>
            </w:r>
          </w:p>
        </w:tc>
        <w:tc>
          <w:tcPr>
            <w:tcW w:w="8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$1,949</w:t>
            </w:r>
          </w:p>
        </w:tc>
        <w:tc>
          <w:tcPr>
            <w:tcW w:w="540" w:type="dxa"/>
            <w:vAlign w:val="bottom"/>
            <w:shd w:val="clear" w:color="auto" w:fill="D9D9D6"/>
          </w:tcPr>
          <w:p>
            <w:pPr>
              <w:spacing w:after="0"/>
              <w:rPr>
                <w:sz w:val="24"/>
                <w:szCs w:val="24"/>
                <w:color w:val="auto"/>
              </w:rPr>
            </w:pPr>
          </w:p>
        </w:tc>
        <w:tc>
          <w:tcPr>
            <w:tcW w:w="300" w:type="dxa"/>
            <w:vAlign w:val="bottom"/>
            <w:shd w:val="clear" w:color="auto" w:fill="D9D9D6"/>
          </w:tcPr>
          <w:p>
            <w:pPr>
              <w:jc w:val="right"/>
              <w:spacing w:after="0"/>
              <w:rPr>
                <w:sz w:val="20"/>
                <w:szCs w:val="20"/>
                <w:color w:val="auto"/>
              </w:rPr>
            </w:pPr>
            <w:r>
              <w:rPr>
                <w:rFonts w:ascii="Arial" w:cs="Arial" w:eastAsia="Arial" w:hAnsi="Arial"/>
                <w:sz w:val="14"/>
                <w:szCs w:val="14"/>
                <w:color w:val="auto"/>
              </w:rPr>
              <w:t>1.5</w:t>
            </w:r>
          </w:p>
        </w:tc>
        <w:tc>
          <w:tcPr>
            <w:tcW w:w="22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6"/>
          </w:tcPr>
          <w:p>
            <w:pPr>
              <w:spacing w:after="0"/>
              <w:rPr>
                <w:sz w:val="24"/>
                <w:szCs w:val="24"/>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82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1,347</w:t>
            </w:r>
          </w:p>
        </w:tc>
        <w:tc>
          <w:tcPr>
            <w:tcW w:w="880" w:type="dxa"/>
            <w:vAlign w:val="bottom"/>
            <w:tcBorders>
              <w:bottom w:val="single" w:sz="8" w:color="auto"/>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1,291</w:t>
            </w:r>
          </w:p>
        </w:tc>
        <w:tc>
          <w:tcPr>
            <w:tcW w:w="540" w:type="dxa"/>
            <w:vAlign w:val="bottom"/>
            <w:tcBorders>
              <w:bottom w:val="single" w:sz="8" w:color="auto"/>
            </w:tcBorders>
            <w:shd w:val="clear" w:color="auto" w:fill="D9D9D6"/>
          </w:tcPr>
          <w:p>
            <w:pPr>
              <w:spacing w:after="0"/>
              <w:rPr>
                <w:sz w:val="17"/>
                <w:szCs w:val="17"/>
                <w:color w:val="auto"/>
              </w:rPr>
            </w:pPr>
          </w:p>
        </w:tc>
        <w:tc>
          <w:tcPr>
            <w:tcW w:w="30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4.3</w:t>
            </w:r>
          </w:p>
        </w:tc>
        <w:tc>
          <w:tcPr>
            <w:tcW w:w="220" w:type="dxa"/>
            <w:vAlign w:val="bottom"/>
            <w:tcBorders>
              <w:bottom w:val="single" w:sz="8" w:color="auto"/>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9D9D6"/>
            </w:tcBorders>
            <w:shd w:val="clear" w:color="auto" w:fill="D9D9D6"/>
          </w:tcPr>
          <w:p>
            <w:pPr>
              <w:spacing w:after="0"/>
              <w:rPr>
                <w:sz w:val="17"/>
                <w:szCs w:val="17"/>
                <w:color w:val="auto"/>
              </w:rPr>
            </w:pPr>
          </w:p>
        </w:tc>
      </w:tr>
      <w:tr>
        <w:trPr>
          <w:trHeight w:val="201"/>
        </w:trPr>
        <w:tc>
          <w:tcPr>
            <w:tcW w:w="100" w:type="dxa"/>
            <w:vAlign w:val="bottom"/>
            <w:shd w:val="clear" w:color="auto" w:fill="D9D9D6"/>
          </w:tcPr>
          <w:p>
            <w:pPr>
              <w:spacing w:after="0"/>
              <w:rPr>
                <w:sz w:val="17"/>
                <w:szCs w:val="17"/>
                <w:color w:val="auto"/>
              </w:rPr>
            </w:pPr>
          </w:p>
        </w:tc>
        <w:tc>
          <w:tcPr>
            <w:tcW w:w="82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$632</w:t>
            </w:r>
          </w:p>
        </w:tc>
        <w:tc>
          <w:tcPr>
            <w:tcW w:w="88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$658</w:t>
            </w:r>
          </w:p>
        </w:tc>
        <w:tc>
          <w:tcPr>
            <w:tcW w:w="540" w:type="dxa"/>
            <w:vAlign w:val="bottom"/>
            <w:shd w:val="clear" w:color="auto" w:fill="D9D9D6"/>
          </w:tcPr>
          <w:p>
            <w:pPr>
              <w:spacing w:after="0"/>
              <w:rPr>
                <w:sz w:val="17"/>
                <w:szCs w:val="17"/>
                <w:color w:val="auto"/>
              </w:rPr>
            </w:pPr>
          </w:p>
        </w:tc>
        <w:tc>
          <w:tcPr>
            <w:tcW w:w="30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9"/>
              </w:rPr>
              <w:t>(3.9</w:t>
            </w:r>
          </w:p>
        </w:tc>
        <w:tc>
          <w:tcPr>
            <w:tcW w:w="22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D9D9D6"/>
          </w:tcPr>
          <w:p>
            <w:pPr>
              <w:spacing w:after="0"/>
              <w:rPr>
                <w:sz w:val="17"/>
                <w:szCs w:val="17"/>
                <w:color w:val="auto"/>
              </w:rPr>
            </w:pPr>
          </w:p>
        </w:tc>
      </w:tr>
      <w:tr>
        <w:trPr>
          <w:trHeight w:val="56"/>
        </w:trPr>
        <w:tc>
          <w:tcPr>
            <w:tcW w:w="100" w:type="dxa"/>
            <w:vAlign w:val="bottom"/>
            <w:shd w:val="clear" w:color="auto" w:fill="D9D9D6"/>
          </w:tcPr>
          <w:p>
            <w:pPr>
              <w:spacing w:after="0"/>
              <w:rPr>
                <w:sz w:val="4"/>
                <w:szCs w:val="4"/>
                <w:color w:val="auto"/>
              </w:rPr>
            </w:pPr>
          </w:p>
        </w:tc>
        <w:tc>
          <w:tcPr>
            <w:tcW w:w="82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220" w:type="dxa"/>
            <w:vAlign w:val="bottom"/>
            <w:tcBorders>
              <w:right w:val="single" w:sz="8" w:color="D9D9D6"/>
            </w:tcBorders>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Theme Parks increased due to higher revenue at our domestic theme parks. International theme parks revenue was consistent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higher underlying revenue, offset by the negative impact of foreign currency.</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Theme Parks decreased, reflecting higher operating expenses and the negative impact of foreign currency,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than offset higher revenue. The increase in operating expenses was primarily due to higher marketing and promotions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&amp;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Content &amp; Experiences Headquarters &amp; Other includes overhead, personnel costs and costs associated with corporate initiatives.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Headquarters &amp; Other Adjusted EBITDA loss in the first quarter was $243 million, compared to a loss of $232 million in the prior year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Amounts represent eliminations of transactions between our Content &amp; Experiences segments, the most significant being content licensing between the Studios and Media segments, which are affected by the timing of recognition of content licenses. Revenue eliminations were $ 731 million, compared to $817 million in the prior year period, and Adjusted EBITDA eliminations were a benefit of $33 million, compared to a benefit of $24 million in the prior year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68580" cy="1739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3990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7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right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162"/>
        </w:trPr>
        <w:tc>
          <w:tcPr>
            <w:tcW w:w="7760" w:type="dxa"/>
            <w:vAlign w:val="bottom"/>
          </w:tcPr>
          <w:p>
            <w:pPr>
              <w:spacing w:after="0"/>
              <w:rPr>
                <w:sz w:val="14"/>
                <w:szCs w:val="14"/>
                <w:color w:val="auto"/>
              </w:rPr>
            </w:pPr>
          </w:p>
        </w:tc>
        <w:tc>
          <w:tcPr>
            <w:tcW w:w="72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080" w:type="dxa"/>
            <w:vAlign w:val="bottom"/>
            <w:gridSpan w:val="5"/>
            <w:shd w:val="clear" w:color="auto" w:fill="D9D9D6"/>
          </w:tcPr>
          <w:p>
            <w:pPr>
              <w:ind w:left="200"/>
              <w:spacing w:after="0"/>
              <w:rPr>
                <w:sz w:val="20"/>
                <w:szCs w:val="20"/>
                <w:color w:val="auto"/>
              </w:rPr>
            </w:pPr>
            <w:r>
              <w:rPr>
                <w:rFonts w:ascii="Arial" w:cs="Arial" w:eastAsia="Arial" w:hAnsi="Arial"/>
                <w:sz w:val="14"/>
                <w:szCs w:val="14"/>
                <w:color w:val="auto"/>
              </w:rPr>
              <w:t>1st Quarter</w:t>
            </w:r>
          </w:p>
        </w:tc>
        <w:tc>
          <w:tcPr>
            <w:tcW w:w="5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0" w:type="dxa"/>
            <w:vAlign w:val="bottom"/>
            <w:tcBorders>
              <w:right w:val="single" w:sz="8" w:color="D9D9D6"/>
            </w:tcBorders>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72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0" w:type="dxa"/>
            <w:vAlign w:val="bottom"/>
            <w:tcBorders>
              <w:right w:val="single" w:sz="8" w:color="D9D9D6"/>
            </w:tcBorders>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83"/>
        </w:trPr>
        <w:tc>
          <w:tcPr>
            <w:tcW w:w="7760" w:type="dxa"/>
            <w:vAlign w:val="bottom"/>
          </w:tcPr>
          <w:p>
            <w:pPr>
              <w:spacing w:after="0"/>
              <w:rPr>
                <w:sz w:val="15"/>
                <w:szCs w:val="15"/>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200" w:type="dxa"/>
            <w:vAlign w:val="bottom"/>
            <w:shd w:val="clear" w:color="auto" w:fill="D9D9D6"/>
          </w:tcPr>
          <w:p>
            <w:pPr>
              <w:spacing w:after="0"/>
              <w:rPr>
                <w:sz w:val="15"/>
                <w:szCs w:val="15"/>
                <w:color w:val="auto"/>
              </w:rPr>
            </w:pPr>
          </w:p>
        </w:tc>
        <w:tc>
          <w:tcPr>
            <w:tcW w:w="8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220" w:type="dxa"/>
            <w:vAlign w:val="bottom"/>
            <w:gridSpan w:val="4"/>
            <w:shd w:val="clear" w:color="auto" w:fill="D9D9D6"/>
          </w:tcPr>
          <w:p>
            <w:pPr>
              <w:ind w:left="580"/>
              <w:spacing w:after="0"/>
              <w:rPr>
                <w:sz w:val="20"/>
                <w:szCs w:val="20"/>
                <w:color w:val="auto"/>
              </w:rPr>
            </w:pPr>
            <w:r>
              <w:rPr>
                <w:rFonts w:ascii="Arial" w:cs="Arial" w:eastAsia="Arial" w:hAnsi="Arial"/>
                <w:sz w:val="14"/>
                <w:szCs w:val="14"/>
                <w:color w:val="auto"/>
              </w:rPr>
              <w:t>Change</w:t>
            </w:r>
          </w:p>
        </w:tc>
      </w:tr>
      <w:tr>
        <w:trPr>
          <w:trHeight w:val="221"/>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Corporate &amp; Other</w:t>
            </w:r>
          </w:p>
        </w:tc>
        <w:tc>
          <w:tcPr>
            <w:tcW w:w="7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20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1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$767</w:t>
            </w:r>
          </w:p>
        </w:tc>
        <w:tc>
          <w:tcPr>
            <w:tcW w:w="20" w:type="dxa"/>
            <w:vAlign w:val="bottom"/>
            <w:shd w:val="clear" w:color="auto" w:fill="D9D9D6"/>
          </w:tcPr>
          <w:p>
            <w:pPr>
              <w:spacing w:after="0"/>
              <w:rPr>
                <w:sz w:val="17"/>
                <w:szCs w:val="17"/>
                <w:color w:val="auto"/>
              </w:rPr>
            </w:pPr>
          </w:p>
        </w:tc>
        <w:tc>
          <w:tcPr>
            <w:tcW w:w="10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$707</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8.6</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6"/>
          </w:tcPr>
          <w:p>
            <w:pPr>
              <w:spacing w:after="0"/>
              <w:rPr>
                <w:sz w:val="17"/>
                <w:szCs w:val="17"/>
                <w:color w:val="auto"/>
              </w:rPr>
            </w:pPr>
          </w:p>
        </w:tc>
      </w:tr>
      <w:tr>
        <w:trPr>
          <w:trHeight w:val="198"/>
        </w:trPr>
        <w:tc>
          <w:tcPr>
            <w:tcW w:w="77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1,096</w:t>
            </w:r>
          </w:p>
        </w:tc>
        <w:tc>
          <w:tcPr>
            <w:tcW w:w="2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995</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10.2</w:t>
            </w:r>
          </w:p>
        </w:tc>
        <w:tc>
          <w:tcPr>
            <w:tcW w:w="200" w:type="dxa"/>
            <w:vAlign w:val="bottom"/>
            <w:tcBorders>
              <w:bottom w:val="single" w:sz="8" w:color="auto"/>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($329)</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($288)</w:t>
            </w:r>
          </w:p>
        </w:tc>
        <w:tc>
          <w:tcPr>
            <w:tcW w:w="20" w:type="dxa"/>
            <w:vAlign w:val="bottom"/>
            <w:shd w:val="clear" w:color="auto" w:fill="D9D9D6"/>
          </w:tcPr>
          <w:p>
            <w:pPr>
              <w:spacing w:after="0"/>
              <w:rPr>
                <w:sz w:val="17"/>
                <w:szCs w:val="17"/>
                <w:color w:val="auto"/>
              </w:rPr>
            </w:pP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(14.2</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7"/>
                <w:szCs w:val="17"/>
                <w:color w:val="auto"/>
              </w:rPr>
            </w:pPr>
          </w:p>
        </w:tc>
      </w:tr>
      <w:tr>
        <w:trPr>
          <w:trHeight w:val="419"/>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Eliminations</w:t>
            </w:r>
          </w:p>
        </w:tc>
        <w:tc>
          <w:tcPr>
            <w:tcW w:w="7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tcBorders>
              <w:right w:val="single" w:sz="8" w:color="D9D9D6"/>
            </w:tcBorders>
            <w:shd w:val="clear" w:color="auto" w:fill="D9D9D6"/>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($1,358)</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($1,427)</w:t>
            </w:r>
          </w:p>
        </w:tc>
        <w:tc>
          <w:tcPr>
            <w:tcW w:w="20" w:type="dxa"/>
            <w:vAlign w:val="bottom"/>
            <w:shd w:val="clear" w:color="auto" w:fill="D9D9D6"/>
          </w:tcPr>
          <w:p>
            <w:pPr>
              <w:spacing w:after="0"/>
              <w:rPr>
                <w:sz w:val="17"/>
                <w:szCs w:val="17"/>
                <w:color w:val="auto"/>
              </w:rPr>
            </w:pPr>
          </w:p>
        </w:tc>
        <w:tc>
          <w:tcPr>
            <w:tcW w:w="110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(4.8 %)</w:t>
            </w:r>
          </w:p>
        </w:tc>
        <w:tc>
          <w:tcPr>
            <w:tcW w:w="120" w:type="dxa"/>
            <w:vAlign w:val="bottom"/>
          </w:tcPr>
          <w:p>
            <w:pPr>
              <w:spacing w:after="0"/>
              <w:rPr>
                <w:sz w:val="17"/>
                <w:szCs w:val="17"/>
                <w:color w:val="auto"/>
              </w:rPr>
            </w:pPr>
          </w:p>
        </w:tc>
      </w:tr>
      <w:tr>
        <w:trPr>
          <w:trHeight w:val="198"/>
        </w:trPr>
        <w:tc>
          <w:tcPr>
            <w:tcW w:w="77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(1,332)</w:t>
            </w:r>
          </w:p>
        </w:tc>
        <w:tc>
          <w:tcPr>
            <w:tcW w:w="2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(1,430)</w:t>
            </w:r>
          </w:p>
        </w:tc>
        <w:tc>
          <w:tcPr>
            <w:tcW w:w="20" w:type="dxa"/>
            <w:vAlign w:val="bottom"/>
            <w:tcBorders>
              <w:bottom w:val="single" w:sz="8" w:color="auto"/>
            </w:tcBorders>
            <w:shd w:val="clear" w:color="auto" w:fill="D9D9D6"/>
          </w:tcPr>
          <w:p>
            <w:pPr>
              <w:spacing w:after="0"/>
              <w:rPr>
                <w:sz w:val="17"/>
                <w:szCs w:val="17"/>
                <w:color w:val="auto"/>
              </w:rPr>
            </w:pPr>
          </w:p>
        </w:tc>
        <w:tc>
          <w:tcPr>
            <w:tcW w:w="1100" w:type="dxa"/>
            <w:vAlign w:val="bottom"/>
            <w:tcBorders>
              <w:bottom w:val="single" w:sz="8" w:color="auto"/>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(6.8 %)</w:t>
            </w:r>
          </w:p>
        </w:tc>
        <w:tc>
          <w:tcPr>
            <w:tcW w:w="120" w:type="dxa"/>
            <w:vAlign w:val="bottom"/>
          </w:tcPr>
          <w:p>
            <w:pPr>
              <w:spacing w:after="0"/>
              <w:rPr>
                <w:sz w:val="17"/>
                <w:szCs w:val="17"/>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($26)</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w:t>
            </w:r>
          </w:p>
        </w:tc>
        <w:tc>
          <w:tcPr>
            <w:tcW w:w="20" w:type="dxa"/>
            <w:vAlign w:val="bottom"/>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520" w:type="dxa"/>
            <w:vAlign w:val="bottom"/>
            <w:tcBorders>
              <w:right w:val="single" w:sz="8" w:color="D9D9D6"/>
            </w:tcBorders>
            <w:gridSpan w:val="2"/>
            <w:shd w:val="clear" w:color="auto" w:fill="D9D9D6"/>
          </w:tcPr>
          <w:p>
            <w:pPr>
              <w:jc w:val="right"/>
              <w:ind w:right="48"/>
              <w:spacing w:after="0"/>
              <w:rPr>
                <w:sz w:val="20"/>
                <w:szCs w:val="20"/>
                <w:color w:val="auto"/>
              </w:rPr>
            </w:pPr>
            <w:r>
              <w:rPr>
                <w:rFonts w:ascii="Arial" w:cs="Arial" w:eastAsia="Arial" w:hAnsi="Arial"/>
                <w:sz w:val="14"/>
                <w:szCs w:val="14"/>
                <w:b w:val="1"/>
                <w:bCs w:val="1"/>
                <w:color w:val="auto"/>
              </w:rPr>
              <w:t>NM</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-1542415</wp:posOffset>
            </wp:positionV>
            <wp:extent cx="7063740" cy="1705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63740" cy="1705610"/>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NM=comparison not meaningful.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Corporate &amp; Other primarily includes overhead and personnel costs; our Sky-branded video services and television networks in Germany; Comcast Spectacor, which owns the Philadelphia Flyers and the Wells Fargo Center arena in Philadelphia, Pennsylvania; and Xumo, our consolidated streaming platform joint venture beginning in June 2022. Corporate &amp; Other Adjusted EBITDA decreased primarily reflecting an increase in operating expenses primarily due to higher costs related to our corporate functions, Sky and Xumo.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Amounts represent eliminations of transactions between Connectivity &amp; Platforms, Content &amp; Experiences and other businesses, the most significant being distribution of television network programming between the Media and Residential Connectivity &amp; Platforms segments. Revenue eliminations were $1.4 billion, consistent with the prior year period, and Adjusted EBITDA eliminations were a loss of $26 million compared to a benefit of $3 million in the prior year period.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584"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t>Notes:</w:t>
      </w:r>
    </w:p>
    <w:p>
      <w:pPr>
        <w:spacing w:after="0" w:line="90"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25"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28"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5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 See Table 6 for reconciliations of non-GAAP financial measures.</w:t>
      </w:r>
    </w:p>
    <w:p>
      <w:pPr>
        <w:spacing w:after="0" w:line="117"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6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generally presented on a consistent basis with the respective segments and include direct revenue and operating costs and expenses attributed to the component operations.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Numerical information is presented on a rounded basis using actual amounts. Minor differences in totals and percentage calculations may exist due to rounding.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April 25, 2024,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A replay of the call will be available starting at 11:30 a.m. ET on Thursday, April 25, 2024, on the Investor Relations website.</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80" w:type="dxa"/>
            <w:vAlign w:val="bottom"/>
          </w:tcPr>
          <w:p>
            <w:pPr>
              <w:jc w:val="right"/>
              <w:ind w:right="2221"/>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25"/>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5"/>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790"/>
        </w:trPr>
        <w:tc>
          <w:tcPr>
            <w:tcW w:w="19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480" w:type="dxa"/>
            <w:vAlign w:val="bottom"/>
          </w:tcPr>
          <w:p>
            <w:pPr>
              <w:jc w:val="right"/>
              <w:ind w:right="2321"/>
              <w:spacing w:after="0"/>
              <w:rPr>
                <w:sz w:val="20"/>
                <w:szCs w:val="20"/>
                <w:color w:val="auto"/>
              </w:rPr>
            </w:pPr>
            <w:r>
              <w:rPr>
                <w:rFonts w:ascii="Arial" w:cs="Arial" w:eastAsia="Arial" w:hAnsi="Arial"/>
                <w:sz w:val="14"/>
                <w:szCs w:val="14"/>
                <w:color w:val="auto"/>
              </w:rPr>
              <w:t>8</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240"/>
          </w:cols>
          <w:pgMar w:left="320" w:top="63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laws and regulations; adverse decisions in litigation or governmental investigations;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692"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328930</wp:posOffset>
            </wp:positionV>
            <wp:extent cx="102870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2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900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50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rPr>
              <w:t>March 31,</w:t>
            </w:r>
          </w:p>
        </w:tc>
        <w:tc>
          <w:tcPr>
            <w:tcW w:w="720" w:type="dxa"/>
            <w:vAlign w:val="bottom"/>
          </w:tcPr>
          <w:p>
            <w:pPr>
              <w:spacing w:after="0"/>
              <w:rPr>
                <w:sz w:val="18"/>
                <w:szCs w:val="18"/>
                <w:color w:val="auto"/>
              </w:rPr>
            </w:pPr>
          </w:p>
        </w:tc>
      </w:tr>
      <w:tr>
        <w:trPr>
          <w:trHeight w:val="217"/>
        </w:trPr>
        <w:tc>
          <w:tcPr>
            <w:tcW w:w="900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2023</w:t>
            </w:r>
          </w:p>
        </w:tc>
      </w:tr>
      <w:tr>
        <w:trPr>
          <w:trHeight w:val="216"/>
        </w:trPr>
        <w:tc>
          <w:tcPr>
            <w:tcW w:w="900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$30,058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$29,691</w:t>
            </w:r>
          </w:p>
        </w:tc>
      </w:tr>
      <w:tr>
        <w:trPr>
          <w:trHeight w:val="477"/>
        </w:trPr>
        <w:tc>
          <w:tcPr>
            <w:tcW w:w="900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7"/>
        </w:trPr>
        <w:tc>
          <w:tcPr>
            <w:tcW w:w="900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8,823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9,004</w:t>
            </w: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1,963</w:t>
            </w: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9,857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9,301</w:t>
            </w: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2,175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2,264</w:t>
            </w:r>
          </w:p>
        </w:tc>
      </w:tr>
      <w:tr>
        <w:trPr>
          <w:trHeight w:val="217"/>
        </w:trPr>
        <w:tc>
          <w:tcPr>
            <w:tcW w:w="900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w:t>
            </w:r>
          </w:p>
        </w:tc>
      </w:tr>
      <w:tr>
        <w:trPr>
          <w:trHeight w:val="209"/>
        </w:trPr>
        <w:tc>
          <w:tcPr>
            <w:tcW w:w="9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24,248</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24,045</w:t>
            </w:r>
          </w:p>
        </w:tc>
      </w:tr>
      <w:tr>
        <w:trPr>
          <w:trHeight w:val="418"/>
        </w:trPr>
        <w:tc>
          <w:tcPr>
            <w:tcW w:w="900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5,810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5,646</w:t>
            </w:r>
          </w:p>
        </w:tc>
      </w:tr>
      <w:tr>
        <w:trPr>
          <w:trHeight w:val="486"/>
        </w:trPr>
        <w:tc>
          <w:tcPr>
            <w:tcW w:w="900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(1,002)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478"/>
        </w:trPr>
        <w:tc>
          <w:tcPr>
            <w:tcW w:w="900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7"/>
        </w:trPr>
        <w:tc>
          <w:tcPr>
            <w:tcW w:w="900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900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09"/>
        </w:trPr>
        <w:tc>
          <w:tcPr>
            <w:tcW w:w="9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r>
      <w:tr>
        <w:trPr>
          <w:trHeight w:val="472"/>
        </w:trPr>
        <w:tc>
          <w:tcPr>
            <w:tcW w:w="90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5,105</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5,243</w:t>
            </w:r>
          </w:p>
        </w:tc>
      </w:tr>
      <w:tr>
        <w:trPr>
          <w:trHeight w:val="480"/>
        </w:trPr>
        <w:tc>
          <w:tcPr>
            <w:tcW w:w="900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(1,328)</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w:t>
            </w:r>
          </w:p>
        </w:tc>
      </w:tr>
      <w:tr>
        <w:trPr>
          <w:trHeight w:val="472"/>
        </w:trPr>
        <w:tc>
          <w:tcPr>
            <w:tcW w:w="900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3,777</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3,767</w:t>
            </w:r>
          </w:p>
        </w:tc>
      </w:tr>
      <w:tr>
        <w:trPr>
          <w:trHeight w:val="486"/>
        </w:trPr>
        <w:tc>
          <w:tcPr>
            <w:tcW w:w="900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64"/>
        </w:trPr>
        <w:tc>
          <w:tcPr>
            <w:tcW w:w="900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r>
      <w:tr>
        <w:trPr>
          <w:trHeight w:val="210"/>
        </w:trPr>
        <w:tc>
          <w:tcPr>
            <w:tcW w:w="900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$3,857</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$3,834</w:t>
            </w:r>
          </w:p>
        </w:tc>
      </w:tr>
      <w:tr>
        <w:trPr>
          <w:trHeight w:val="20"/>
        </w:trPr>
        <w:tc>
          <w:tcPr>
            <w:tcW w:w="9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01"/>
        </w:trPr>
        <w:tc>
          <w:tcPr>
            <w:tcW w:w="9000" w:type="dxa"/>
            <w:vAlign w:val="bottom"/>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 shareholders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$0.97</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$0.91</w:t>
            </w:r>
          </w:p>
        </w:tc>
      </w:tr>
      <w:tr>
        <w:trPr>
          <w:trHeight w:val="21"/>
        </w:trPr>
        <w:tc>
          <w:tcPr>
            <w:tcW w:w="9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53"/>
        </w:trPr>
        <w:tc>
          <w:tcPr>
            <w:tcW w:w="900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3,992</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4,227</w:t>
            </w:r>
          </w:p>
        </w:tc>
      </w:tr>
      <w:tr>
        <w:trPr>
          <w:trHeight w:val="20"/>
        </w:trPr>
        <w:tc>
          <w:tcPr>
            <w:tcW w:w="9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736"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354965</wp:posOffset>
            </wp:positionV>
            <wp:extent cx="102870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15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rPr>
              <w:t>March 31,</w:t>
            </w:r>
          </w:p>
        </w:tc>
        <w:tc>
          <w:tcPr>
            <w:tcW w:w="740" w:type="dxa"/>
            <w:vAlign w:val="bottom"/>
          </w:tcPr>
          <w:p>
            <w:pPr>
              <w:spacing w:after="0"/>
              <w:rPr>
                <w:sz w:val="18"/>
                <w:szCs w:val="18"/>
                <w:color w:val="auto"/>
              </w:rPr>
            </w:pPr>
          </w:p>
        </w:tc>
      </w:tr>
      <w:tr>
        <w:trPr>
          <w:trHeight w:val="217"/>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2023</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$3,777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$3,767</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3,551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3,777</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373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(517)</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643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(446)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7,848</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7,228</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(2,630)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(2,664)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(679)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(765)</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(404)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(3,511)</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(repayments of) short-term borrowings, net</w:t>
            </w:r>
          </w:p>
        </w:tc>
        <w:tc>
          <w:tcPr>
            <w:tcW w:w="158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(289)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(2,664)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(2,176)</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(1,193)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(1,174)</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(4,023)</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(3,082)</w:t>
            </w: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796</w:t>
            </w: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6,282</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$6,586</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$5,577</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77"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328930</wp:posOffset>
            </wp:positionV>
            <wp:extent cx="102870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3</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2480" w:type="dxa"/>
            <w:vAlign w:val="bottom"/>
          </w:tcPr>
          <w:p>
            <w:pPr>
              <w:spacing w:after="0"/>
              <w:rPr>
                <w:sz w:val="18"/>
                <w:szCs w:val="18"/>
                <w:color w:val="auto"/>
              </w:rPr>
            </w:pPr>
          </w:p>
        </w:tc>
        <w:tc>
          <w:tcPr>
            <w:tcW w:w="1840" w:type="dxa"/>
            <w:vAlign w:val="bottom"/>
            <w:gridSpan w:val="2"/>
          </w:tcPr>
          <w:p>
            <w:pPr>
              <w:ind w:left="420"/>
              <w:spacing w:after="0"/>
              <w:rPr>
                <w:sz w:val="20"/>
                <w:szCs w:val="20"/>
                <w:color w:val="auto"/>
              </w:rPr>
            </w:pPr>
            <w:r>
              <w:rPr>
                <w:rFonts w:ascii="Arial" w:cs="Arial" w:eastAsia="Arial" w:hAnsi="Arial"/>
                <w:sz w:val="16"/>
                <w:szCs w:val="16"/>
                <w:b w:val="1"/>
                <w:bCs w:val="1"/>
                <w:color w:val="auto"/>
              </w:rPr>
              <w:t>March 31,</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40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Assets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$6,515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$6,215</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13,144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13,813</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4,319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3,959</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23,978</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23,987</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Film and television costs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12,757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12,920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9,548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9,385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59,918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59,686</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Goodwill</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58,668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59,268</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Franchise rights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59,365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27,063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27,867</w:t>
            </w:r>
          </w:p>
        </w:tc>
        <w:tc>
          <w:tcPr>
            <w:tcW w:w="0" w:type="dxa"/>
            <w:vAlign w:val="bottom"/>
          </w:tcPr>
          <w:p>
            <w:pPr>
              <w:spacing w:after="0"/>
              <w:rPr>
                <w:sz w:val="1"/>
                <w:szCs w:val="1"/>
                <w:color w:val="auto"/>
              </w:rPr>
            </w:pPr>
          </w:p>
        </w:tc>
      </w:tr>
      <w:tr>
        <w:trPr>
          <w:trHeight w:val="426"/>
        </w:trPr>
        <w:tc>
          <w:tcPr>
            <w:tcW w:w="5300" w:type="dxa"/>
            <w:vAlign w:val="bottom"/>
          </w:tcPr>
          <w:p>
            <w:pPr>
              <w:spacing w:after="0"/>
              <w:rPr>
                <w:sz w:val="20"/>
                <w:szCs w:val="20"/>
                <w:color w:val="auto"/>
              </w:rPr>
            </w:pPr>
            <w:r>
              <w:rPr>
                <w:rFonts w:ascii="Arial" w:cs="Arial" w:eastAsia="Arial" w:hAnsi="Arial"/>
                <w:sz w:val="16"/>
                <w:szCs w:val="16"/>
                <w:color w:val="auto"/>
              </w:rPr>
              <w:t>Other noncurrent assets, net</w:t>
            </w:r>
          </w:p>
        </w:tc>
        <w:tc>
          <w:tcPr>
            <w:tcW w:w="24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12,304</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12,333</w:t>
            </w:r>
          </w:p>
        </w:tc>
        <w:tc>
          <w:tcPr>
            <w:tcW w:w="0" w:type="dxa"/>
            <w:vAlign w:val="bottom"/>
          </w:tcPr>
          <w:p>
            <w:pPr>
              <w:spacing w:after="0"/>
              <w:rPr>
                <w:sz w:val="1"/>
                <w:szCs w:val="1"/>
                <w:color w:val="auto"/>
              </w:rPr>
            </w:pPr>
          </w:p>
        </w:tc>
      </w:tr>
      <w:tr>
        <w:trPr>
          <w:trHeight w:val="385"/>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$263,601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$264,811</w:t>
            </w: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530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5300" w:type="dxa"/>
            <w:vAlign w:val="bottom"/>
          </w:tcPr>
          <w:p>
            <w:pPr>
              <w:spacing w:after="0"/>
              <w:rPr>
                <w:sz w:val="20"/>
                <w:szCs w:val="20"/>
                <w:color w:val="auto"/>
              </w:rPr>
            </w:pPr>
            <w:r>
              <w:rPr>
                <w:rFonts w:ascii="Arial" w:cs="Arial" w:eastAsia="Arial" w:hAnsi="Arial"/>
                <w:sz w:val="16"/>
                <w:szCs w:val="16"/>
                <w:color w:val="auto"/>
              </w:rPr>
              <w:t>Current Liabilities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$11,792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$12,437</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participations and residuals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1,583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3,446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3,242</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11,834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11,613</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2,502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2,069</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Advance on sale of investment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9,167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9,167</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40,324</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40,198</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Noncurrent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94,071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95,021</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Deferred income taxes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25,978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26,003</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19,935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20,122</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243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424"/>
        </w:trPr>
        <w:tc>
          <w:tcPr>
            <w:tcW w:w="5300" w:type="dxa"/>
            <w:vAlign w:val="bottom"/>
          </w:tcPr>
          <w:p>
            <w:pPr>
              <w:spacing w:after="0"/>
              <w:rPr>
                <w:sz w:val="20"/>
                <w:szCs w:val="20"/>
                <w:color w:val="auto"/>
              </w:rPr>
            </w:pPr>
            <w:r>
              <w:rPr>
                <w:rFonts w:ascii="Arial" w:cs="Arial" w:eastAsia="Arial" w:hAnsi="Arial"/>
                <w:sz w:val="16"/>
                <w:szCs w:val="16"/>
                <w:color w:val="auto"/>
              </w:rPr>
              <w:t>Equity</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Comcast Corporation shareholders'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82,549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82,703</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500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equity</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83,049</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83,226</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$263,601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$264,811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2019"/>
              <w:spacing w:after="0"/>
              <w:rPr>
                <w:sz w:val="20"/>
                <w:szCs w:val="20"/>
                <w:color w:val="auto"/>
              </w:rPr>
            </w:pPr>
            <w:r>
              <w:rPr>
                <w:rFonts w:ascii="Arial" w:cs="Arial" w:eastAsia="Arial" w:hAnsi="Arial"/>
                <w:sz w:val="14"/>
                <w:szCs w:val="14"/>
                <w:color w:val="auto"/>
              </w:rPr>
              <w:t>12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5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36" w:right="339" w:bottom="1440" w:gutter="0" w:footer="0" w:header="0"/>
        </w:sectPr>
      </w:pPr>
    </w:p>
    <w:bookmarkStart w:id="15" w:name="page16"/>
    <w:bookmarkEnd w:id="15"/>
    <w:p>
      <w:pPr>
        <w:ind w:left="1"/>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6285865</wp:posOffset>
            </wp:positionH>
            <wp:positionV relativeFrom="page">
              <wp:posOffset>568960</wp:posOffset>
            </wp:positionV>
            <wp:extent cx="1028700" cy="43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37515"/>
                    </a:xfrm>
                    <a:prstGeom prst="rect">
                      <a:avLst/>
                    </a:prstGeom>
                    <a:noFill/>
                  </pic:spPr>
                </pic:pic>
              </a:graphicData>
            </a:graphic>
          </wp:anchor>
        </w:drawing>
        <w:t>TABLE 4</w:t>
      </w:r>
    </w:p>
    <w:p>
      <w:pPr>
        <w:spacing w:after="0" w:line="35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062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35"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196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 March</w:t>
            </w:r>
          </w:p>
        </w:tc>
      </w:tr>
      <w:tr>
        <w:trPr>
          <w:trHeight w:val="189"/>
        </w:trPr>
        <w:tc>
          <w:tcPr>
            <w:tcW w:w="9220" w:type="dxa"/>
            <w:vAlign w:val="bottom"/>
          </w:tcPr>
          <w:p>
            <w:pPr>
              <w:spacing w:after="0"/>
              <w:rPr>
                <w:sz w:val="16"/>
                <w:szCs w:val="16"/>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31,</w:t>
            </w:r>
          </w:p>
        </w:tc>
        <w:tc>
          <w:tcPr>
            <w:tcW w:w="760" w:type="dxa"/>
            <w:vAlign w:val="bottom"/>
          </w:tcPr>
          <w:p>
            <w:pPr>
              <w:spacing w:after="0"/>
              <w:rPr>
                <w:sz w:val="16"/>
                <w:szCs w:val="16"/>
                <w:color w:val="auto"/>
              </w:rPr>
            </w:pPr>
          </w:p>
        </w:tc>
      </w:tr>
      <w:tr>
        <w:trPr>
          <w:trHeight w:val="196"/>
        </w:trPr>
        <w:tc>
          <w:tcPr>
            <w:tcW w:w="9220" w:type="dxa"/>
            <w:vAlign w:val="bottom"/>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2023</w:t>
            </w:r>
          </w:p>
        </w:tc>
      </w:tr>
      <w:tr>
        <w:trPr>
          <w:trHeight w:val="196"/>
        </w:trPr>
        <w:tc>
          <w:tcPr>
            <w:tcW w:w="92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$3,857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$3,834</w:t>
            </w:r>
          </w:p>
        </w:tc>
      </w:tr>
      <w:tr>
        <w:trPr>
          <w:trHeight w:val="203"/>
        </w:trPr>
        <w:tc>
          <w:tcPr>
            <w:tcW w:w="922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03"/>
        </w:trPr>
        <w:tc>
          <w:tcPr>
            <w:tcW w:w="9220" w:type="dxa"/>
            <w:vAlign w:val="bottom"/>
          </w:tcPr>
          <w:p>
            <w:pPr>
              <w:spacing w:after="0"/>
              <w:rPr>
                <w:sz w:val="20"/>
                <w:szCs w:val="20"/>
                <w:color w:val="auto"/>
              </w:rPr>
            </w:pPr>
            <w:r>
              <w:rPr>
                <w:rFonts w:ascii="Arial" w:cs="Arial" w:eastAsia="Arial" w:hAnsi="Arial"/>
                <w:sz w:val="14"/>
                <w:szCs w:val="14"/>
                <w:color w:val="auto"/>
              </w:rPr>
              <w:t>Income tax expense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1,328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1,476</w:t>
            </w:r>
          </w:p>
        </w:tc>
      </w:tr>
      <w:tr>
        <w:trPr>
          <w:trHeight w:val="203"/>
        </w:trPr>
        <w:tc>
          <w:tcPr>
            <w:tcW w:w="9220" w:type="dxa"/>
            <w:vAlign w:val="bottom"/>
          </w:tcPr>
          <w:p>
            <w:pPr>
              <w:spacing w:after="0"/>
              <w:rPr>
                <w:sz w:val="20"/>
                <w:szCs w:val="20"/>
                <w:color w:val="auto"/>
              </w:rPr>
            </w:pPr>
            <w:r>
              <w:rPr>
                <w:rFonts w:ascii="Arial" w:cs="Arial" w:eastAsia="Arial" w:hAnsi="Arial"/>
                <w:sz w:val="14"/>
                <w:szCs w:val="14"/>
                <w:color w:val="auto"/>
              </w:rPr>
              <w:t>Interest expense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1,010</w:t>
            </w:r>
          </w:p>
        </w:tc>
      </w:tr>
      <w:tr>
        <w:trPr>
          <w:trHeight w:val="203"/>
        </w:trPr>
        <w:tc>
          <w:tcPr>
            <w:tcW w:w="922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(607)</w:t>
            </w:r>
          </w:p>
        </w:tc>
      </w:tr>
      <w:tr>
        <w:trPr>
          <w:trHeight w:val="203"/>
        </w:trPr>
        <w:tc>
          <w:tcPr>
            <w:tcW w:w="9220" w:type="dxa"/>
            <w:vAlign w:val="bottom"/>
          </w:tcPr>
          <w:p>
            <w:pPr>
              <w:spacing w:after="0"/>
              <w:rPr>
                <w:sz w:val="20"/>
                <w:szCs w:val="20"/>
                <w:color w:val="auto"/>
              </w:rPr>
            </w:pPr>
            <w:r>
              <w:rPr>
                <w:rFonts w:ascii="Arial" w:cs="Arial" w:eastAsia="Arial" w:hAnsi="Arial"/>
                <w:sz w:val="14"/>
                <w:szCs w:val="14"/>
                <w:color w:val="auto"/>
              </w:rPr>
              <w:t>Depreciation</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2,175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2,264</w:t>
            </w:r>
          </w:p>
        </w:tc>
      </w:tr>
      <w:tr>
        <w:trPr>
          <w:trHeight w:val="203"/>
        </w:trPr>
        <w:tc>
          <w:tcPr>
            <w:tcW w:w="9220" w:type="dxa"/>
            <w:vAlign w:val="bottom"/>
          </w:tcPr>
          <w:p>
            <w:pPr>
              <w:spacing w:after="0"/>
              <w:rPr>
                <w:sz w:val="20"/>
                <w:szCs w:val="20"/>
                <w:color w:val="auto"/>
              </w:rPr>
            </w:pPr>
            <w:r>
              <w:rPr>
                <w:rFonts w:ascii="Arial" w:cs="Arial" w:eastAsia="Arial" w:hAnsi="Arial"/>
                <w:sz w:val="14"/>
                <w:szCs w:val="14"/>
                <w:color w:val="auto"/>
              </w:rPr>
              <w:t>Amortization</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1,376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1,513</w:t>
            </w:r>
          </w:p>
        </w:tc>
      </w:tr>
      <w:tr>
        <w:trPr>
          <w:trHeight w:val="205"/>
        </w:trPr>
        <w:tc>
          <w:tcPr>
            <w:tcW w:w="9220" w:type="dxa"/>
            <w:vAlign w:val="bottom"/>
          </w:tcPr>
          <w:p>
            <w:pPr>
              <w:spacing w:after="0" w:line="205"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922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$9,355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$9,415</w:t>
            </w:r>
          </w:p>
        </w:tc>
      </w:tr>
      <w:tr>
        <w:trPr>
          <w:trHeight w:val="20"/>
        </w:trPr>
        <w:tc>
          <w:tcPr>
            <w:tcW w:w="9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4"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93"/>
        </w:trPr>
        <w:tc>
          <w:tcPr>
            <w:tcW w:w="9260" w:type="dxa"/>
            <w:vAlign w:val="bottom"/>
          </w:tcPr>
          <w:p>
            <w:pPr>
              <w:spacing w:after="0"/>
              <w:rPr>
                <w:sz w:val="16"/>
                <w:szCs w:val="16"/>
                <w:color w:val="auto"/>
              </w:rPr>
            </w:pPr>
          </w:p>
        </w:tc>
        <w:tc>
          <w:tcPr>
            <w:tcW w:w="132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6"/>
                <w:szCs w:val="16"/>
                <w:color w:val="auto"/>
              </w:rPr>
            </w:pPr>
          </w:p>
        </w:tc>
      </w:tr>
      <w:tr>
        <w:trPr>
          <w:trHeight w:val="196"/>
        </w:trPr>
        <w:tc>
          <w:tcPr>
            <w:tcW w:w="9260" w:type="dxa"/>
            <w:vAlign w:val="bottom"/>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6"/>
              </w:rPr>
              <w:t>2023</w:t>
            </w:r>
          </w:p>
        </w:tc>
      </w:tr>
      <w:tr>
        <w:trPr>
          <w:trHeight w:val="196"/>
        </w:trPr>
        <w:tc>
          <w:tcPr>
            <w:tcW w:w="926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$7,848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$7,228</w:t>
            </w:r>
          </w:p>
        </w:tc>
      </w:tr>
      <w:tr>
        <w:trPr>
          <w:trHeight w:val="203"/>
        </w:trPr>
        <w:tc>
          <w:tcPr>
            <w:tcW w:w="9260" w:type="dxa"/>
            <w:vAlign w:val="bottom"/>
          </w:tcPr>
          <w:p>
            <w:pPr>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(2,630)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(2,664)</w:t>
            </w:r>
          </w:p>
        </w:tc>
      </w:tr>
      <w:tr>
        <w:trPr>
          <w:trHeight w:val="204"/>
        </w:trPr>
        <w:tc>
          <w:tcPr>
            <w:tcW w:w="926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(679)</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w:t>
            </w:r>
          </w:p>
        </w:tc>
      </w:tr>
      <w:tr>
        <w:trPr>
          <w:trHeight w:val="197"/>
        </w:trPr>
        <w:tc>
          <w:tcPr>
            <w:tcW w:w="926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$4,538</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$3,800</w:t>
            </w:r>
          </w:p>
        </w:tc>
      </w:tr>
      <w:tr>
        <w:trPr>
          <w:trHeight w:val="20"/>
        </w:trPr>
        <w:tc>
          <w:tcPr>
            <w:tcW w:w="9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71151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90"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93"/>
        </w:trPr>
        <w:tc>
          <w:tcPr>
            <w:tcW w:w="9260" w:type="dxa"/>
            <w:vAlign w:val="bottom"/>
          </w:tcPr>
          <w:p>
            <w:pPr>
              <w:spacing w:after="0"/>
              <w:rPr>
                <w:sz w:val="16"/>
                <w:szCs w:val="16"/>
                <w:color w:val="auto"/>
              </w:rPr>
            </w:pPr>
          </w:p>
        </w:tc>
        <w:tc>
          <w:tcPr>
            <w:tcW w:w="132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6"/>
                <w:szCs w:val="16"/>
                <w:color w:val="auto"/>
              </w:rPr>
            </w:pPr>
          </w:p>
        </w:tc>
      </w:tr>
      <w:tr>
        <w:trPr>
          <w:trHeight w:val="196"/>
        </w:trPr>
        <w:tc>
          <w:tcPr>
            <w:tcW w:w="9260" w:type="dxa"/>
            <w:vAlign w:val="bottom"/>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6"/>
              </w:rPr>
              <w:t>2023</w:t>
            </w:r>
          </w:p>
        </w:tc>
      </w:tr>
      <w:tr>
        <w:trPr>
          <w:trHeight w:val="196"/>
        </w:trPr>
        <w:tc>
          <w:tcPr>
            <w:tcW w:w="926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$9,355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$9,415</w:t>
            </w:r>
          </w:p>
        </w:tc>
      </w:tr>
      <w:tr>
        <w:trPr>
          <w:trHeight w:val="203"/>
        </w:trPr>
        <w:tc>
          <w:tcPr>
            <w:tcW w:w="9260" w:type="dxa"/>
            <w:vAlign w:val="bottom"/>
          </w:tcPr>
          <w:p>
            <w:pPr>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(2,630)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(2,664)</w:t>
            </w:r>
          </w:p>
        </w:tc>
      </w:tr>
      <w:tr>
        <w:trPr>
          <w:trHeight w:val="203"/>
        </w:trPr>
        <w:tc>
          <w:tcPr>
            <w:tcW w:w="926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(679)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(765)</w:t>
            </w:r>
          </w:p>
        </w:tc>
      </w:tr>
      <w:tr>
        <w:trPr>
          <w:trHeight w:val="203"/>
        </w:trPr>
        <w:tc>
          <w:tcPr>
            <w:tcW w:w="9260" w:type="dxa"/>
            <w:vAlign w:val="bottom"/>
          </w:tcPr>
          <w:p>
            <w:pPr>
              <w:spacing w:after="0"/>
              <w:rPr>
                <w:sz w:val="20"/>
                <w:szCs w:val="20"/>
                <w:color w:val="auto"/>
              </w:rPr>
            </w:pPr>
            <w:r>
              <w:rPr>
                <w:rFonts w:ascii="Arial" w:cs="Arial" w:eastAsia="Arial" w:hAnsi="Arial"/>
                <w:sz w:val="14"/>
                <w:szCs w:val="14"/>
                <w:color w:val="auto"/>
              </w:rPr>
              <w:t>Cash interest expense</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(731)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(766)</w:t>
            </w:r>
          </w:p>
        </w:tc>
      </w:tr>
      <w:tr>
        <w:trPr>
          <w:trHeight w:val="203"/>
        </w:trPr>
        <w:tc>
          <w:tcPr>
            <w:tcW w:w="9260" w:type="dxa"/>
            <w:vAlign w:val="bottom"/>
          </w:tcPr>
          <w:p>
            <w:pPr>
              <w:spacing w:after="0"/>
              <w:rPr>
                <w:sz w:val="20"/>
                <w:szCs w:val="20"/>
                <w:color w:val="auto"/>
              </w:rPr>
            </w:pPr>
            <w:r>
              <w:rPr>
                <w:rFonts w:ascii="Arial" w:cs="Arial" w:eastAsia="Arial" w:hAnsi="Arial"/>
                <w:sz w:val="14"/>
                <w:szCs w:val="14"/>
                <w:color w:val="auto"/>
              </w:rPr>
              <w:t>Cash taxes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(349)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202"/>
        </w:trPr>
        <w:tc>
          <w:tcPr>
            <w:tcW w:w="926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(940)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(1,731)</w:t>
            </w:r>
          </w:p>
        </w:tc>
      </w:tr>
      <w:tr>
        <w:trPr>
          <w:trHeight w:val="203"/>
        </w:trPr>
        <w:tc>
          <w:tcPr>
            <w:tcW w:w="926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373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359</w:t>
            </w:r>
          </w:p>
        </w:tc>
      </w:tr>
      <w:tr>
        <w:trPr>
          <w:trHeight w:val="205"/>
        </w:trPr>
        <w:tc>
          <w:tcPr>
            <w:tcW w:w="9260" w:type="dxa"/>
            <w:vAlign w:val="bottom"/>
          </w:tcPr>
          <w:p>
            <w:pPr>
              <w:spacing w:after="0" w:line="205"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r>
      <w:tr>
        <w:trPr>
          <w:trHeight w:val="196"/>
        </w:trPr>
        <w:tc>
          <w:tcPr>
            <w:tcW w:w="926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$4,538</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$3,800</w:t>
            </w:r>
          </w:p>
        </w:tc>
      </w:tr>
      <w:tr>
        <w:trPr>
          <w:trHeight w:val="21"/>
        </w:trPr>
        <w:tc>
          <w:tcPr>
            <w:tcW w:w="9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321" w:right="20" w:hanging="321"/>
        <w:spacing w:after="0"/>
        <w:tabs>
          <w:tab w:leader="none" w:pos="321"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1st quarter 2024 and 2023 Adjusted EBITDA excludes $(6) and $(8) million of other operating and administrative expenses, respectively, related to our investment portfolio.</w:t>
      </w:r>
    </w:p>
    <w:p>
      <w:pPr>
        <w:spacing w:after="0" w:line="138" w:lineRule="exact"/>
        <w:rPr>
          <w:rFonts w:ascii="Arial" w:cs="Arial" w:eastAsia="Arial" w:hAnsi="Arial"/>
          <w:sz w:val="22"/>
          <w:szCs w:val="22"/>
          <w:color w:val="auto"/>
          <w:vertAlign w:val="superscript"/>
        </w:rPr>
      </w:pPr>
    </w:p>
    <w:p>
      <w:pPr>
        <w:ind w:left="321" w:right="440" w:hanging="321"/>
        <w:spacing w:after="0" w:line="188" w:lineRule="auto"/>
        <w:tabs>
          <w:tab w:leader="none" w:pos="321"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1st quarter 2024 and 2023 include adjustments of $(6) and $(8) million, respectively, of costs related to our investment portfolio as these amounts are excluded from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181"/>
          </w:cols>
          <w:pgMar w:left="359" w:top="898" w:right="359" w:bottom="1440" w:gutter="0" w:footer="0" w:header="0"/>
        </w:sectPr>
      </w:pPr>
    </w:p>
    <w:bookmarkStart w:id="16" w:name="page17"/>
    <w:bookmarkEnd w:id="16"/>
    <w:p>
      <w:pPr>
        <w:ind w:left="52"/>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5969000</wp:posOffset>
            </wp:positionH>
            <wp:positionV relativeFrom="page">
              <wp:posOffset>526415</wp:posOffset>
            </wp:positionV>
            <wp:extent cx="1080135" cy="462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80135" cy="462915"/>
                    </a:xfrm>
                    <a:prstGeom prst="rect">
                      <a:avLst/>
                    </a:prstGeom>
                    <a:noFill/>
                  </pic:spPr>
                </pic:pic>
              </a:graphicData>
            </a:graphic>
          </wp:anchor>
        </w:drawing>
        <w:t>TABLE 5</w:t>
      </w:r>
    </w:p>
    <w:p>
      <w:pPr>
        <w:spacing w:after="0" w:line="285"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17780</wp:posOffset>
            </wp:positionV>
            <wp:extent cx="70891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81" w:lineRule="exact"/>
        <w:rPr>
          <w:sz w:val="20"/>
          <w:szCs w:val="20"/>
          <w:color w:val="auto"/>
        </w:rPr>
      </w:pPr>
    </w:p>
    <w:tbl>
      <w:tblPr>
        <w:tblLayout w:type="fixed"/>
        <w:tblInd w:w="52"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116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100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rPr>
              <w:t>March 31,</w:t>
            </w: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20" w:type="dxa"/>
            <w:vAlign w:val="bottom"/>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62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EPS</w:t>
            </w:r>
          </w:p>
        </w:tc>
        <w:tc>
          <w:tcPr>
            <w:tcW w:w="52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ind w:right="16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08"/>
        </w:trPr>
        <w:tc>
          <w:tcPr>
            <w:tcW w:w="76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 diluted earnings per share attributable to Comcast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$3,857</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$0.97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$3,834</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91"/>
        </w:trPr>
        <w:tc>
          <w:tcPr>
            <w:tcW w:w="7620" w:type="dxa"/>
            <w:vAlign w:val="bottom"/>
          </w:tcPr>
          <w:p>
            <w:pPr>
              <w:ind w:left="160"/>
              <w:spacing w:after="0"/>
              <w:rPr>
                <w:sz w:val="20"/>
                <w:szCs w:val="20"/>
                <w:color w:val="auto"/>
              </w:rPr>
            </w:pPr>
            <w:r>
              <w:rPr>
                <w:rFonts w:ascii="Arial" w:cs="Arial" w:eastAsia="Arial" w:hAnsi="Arial"/>
                <w:sz w:val="14"/>
                <w:szCs w:val="14"/>
                <w:b w:val="1"/>
                <w:bCs w:val="1"/>
                <w:color w:val="auto"/>
              </w:rPr>
              <w:t>Corporation shareholders</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2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0.6 %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i w:val="1"/>
                <w:iCs w:val="1"/>
                <w:color w:val="auto"/>
              </w:rPr>
              <w:t>6.5 %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98"/>
        </w:trPr>
        <w:tc>
          <w:tcPr>
            <w:tcW w:w="762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$4,171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4"/>
                <w:szCs w:val="14"/>
                <w:i w:val="1"/>
                <w:iCs w:val="1"/>
                <w:color w:val="auto"/>
              </w:rPr>
              <w:t>Change</w:t>
            </w: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762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7.6 %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i w:val="1"/>
                <w:iCs w:val="1"/>
                <w:color w:val="auto"/>
              </w:rPr>
              <w:t>13.9 %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252" w:right="20" w:hanging="252"/>
        <w:spacing w:after="0" w:line="251" w:lineRule="auto"/>
        <w:tabs>
          <w:tab w:leader="none" w:pos="244"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65" w:lineRule="exact"/>
        <w:rPr>
          <w:sz w:val="20"/>
          <w:szCs w:val="20"/>
          <w:color w:val="auto"/>
        </w:rPr>
      </w:pPr>
    </w:p>
    <w:tbl>
      <w:tblPr>
        <w:tblLayout w:type="fixed"/>
        <w:tblInd w:w="392" w:type="dxa"/>
        <w:tblCellMar>
          <w:top w:w="0" w:type="dxa"/>
          <w:left w:w="0" w:type="dxa"/>
          <w:bottom w:w="0" w:type="dxa"/>
          <w:right w:w="0" w:type="dxa"/>
        </w:tblCellMar>
      </w:tblPr>
      <w:tr>
        <w:trPr>
          <w:trHeight w:val="166"/>
        </w:trPr>
        <w:tc>
          <w:tcPr>
            <w:tcW w:w="87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3"/>
                <w:szCs w:val="13"/>
                <w:color w:val="auto"/>
                <w:w w:val="97"/>
              </w:rPr>
              <w:t>Three Months Ended March 31,</w:t>
            </w:r>
          </w:p>
        </w:tc>
      </w:tr>
      <w:tr>
        <w:trPr>
          <w:trHeight w:val="183"/>
        </w:trPr>
        <w:tc>
          <w:tcPr>
            <w:tcW w:w="874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r>
      <w:tr>
        <w:trPr>
          <w:trHeight w:val="171"/>
        </w:trPr>
        <w:tc>
          <w:tcPr>
            <w:tcW w:w="874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$569</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w:t>
            </w:r>
          </w:p>
        </w:tc>
      </w:tr>
      <w:tr>
        <w:trPr>
          <w:trHeight w:val="174"/>
        </w:trPr>
        <w:tc>
          <w:tcPr>
            <w:tcW w:w="874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$437</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$431</w:t>
            </w:r>
          </w:p>
        </w:tc>
      </w:tr>
      <w:tr>
        <w:trPr>
          <w:trHeight w:val="20"/>
        </w:trPr>
        <w:tc>
          <w:tcPr>
            <w:tcW w:w="8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52" w:right="200" w:hanging="252"/>
        <w:spacing w:after="0" w:line="264" w:lineRule="auto"/>
        <w:tabs>
          <w:tab w:leader="none" w:pos="244"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252" w:lineRule="exact"/>
        <w:rPr>
          <w:sz w:val="20"/>
          <w:szCs w:val="20"/>
          <w:color w:val="auto"/>
        </w:rPr>
      </w:pPr>
    </w:p>
    <w:tbl>
      <w:tblPr>
        <w:tblLayout w:type="fixed"/>
        <w:tblInd w:w="392" w:type="dxa"/>
        <w:tblCellMar>
          <w:top w:w="0" w:type="dxa"/>
          <w:left w:w="0" w:type="dxa"/>
          <w:bottom w:w="0" w:type="dxa"/>
          <w:right w:w="0" w:type="dxa"/>
        </w:tblCellMar>
      </w:tblPr>
      <w:tr>
        <w:trPr>
          <w:trHeight w:val="166"/>
        </w:trPr>
        <w:tc>
          <w:tcPr>
            <w:tcW w:w="87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3"/>
                <w:szCs w:val="13"/>
                <w:color w:val="auto"/>
                <w:w w:val="97"/>
              </w:rPr>
              <w:t>Three Months Ended March 31,</w:t>
            </w:r>
          </w:p>
        </w:tc>
      </w:tr>
      <w:tr>
        <w:trPr>
          <w:trHeight w:val="183"/>
        </w:trPr>
        <w:tc>
          <w:tcPr>
            <w:tcW w:w="874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r>
      <w:tr>
        <w:trPr>
          <w:trHeight w:val="166"/>
        </w:trPr>
        <w:tc>
          <w:tcPr>
            <w:tcW w:w="874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79"/>
        </w:trPr>
        <w:tc>
          <w:tcPr>
            <w:tcW w:w="874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w:t>
            </w:r>
          </w:p>
        </w:tc>
      </w:tr>
      <w:tr>
        <w:trPr>
          <w:trHeight w:val="166"/>
        </w:trPr>
        <w:tc>
          <w:tcPr>
            <w:tcW w:w="874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(164)</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(515)</w:t>
            </w:r>
          </w:p>
        </w:tc>
      </w:tr>
      <w:tr>
        <w:trPr>
          <w:trHeight w:val="185"/>
        </w:trPr>
        <w:tc>
          <w:tcPr>
            <w:tcW w:w="874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w:t>
            </w:r>
          </w:p>
        </w:tc>
      </w:tr>
      <w:tr>
        <w:trPr>
          <w:trHeight w:val="20"/>
        </w:trPr>
        <w:tc>
          <w:tcPr>
            <w:tcW w:w="8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12"/>
          </w:cols>
          <w:pgMar w:left="328" w:top="858" w:right="35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543560</wp:posOffset>
            </wp:positionV>
            <wp:extent cx="1209040" cy="52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Constant Currency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0891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7460" w:type="dxa"/>
            <w:vAlign w:val="bottom"/>
          </w:tcPr>
          <w:p>
            <w:pPr>
              <w:spacing w:after="0"/>
              <w:rPr>
                <w:sz w:val="16"/>
                <w:szCs w:val="16"/>
                <w:color w:val="auto"/>
              </w:rPr>
            </w:pPr>
          </w:p>
        </w:tc>
        <w:tc>
          <w:tcPr>
            <w:tcW w:w="2580" w:type="dxa"/>
            <w:vAlign w:val="bottom"/>
            <w:gridSpan w:val="5"/>
          </w:tcPr>
          <w:p>
            <w:pPr>
              <w:jc w:val="center"/>
              <w:ind w:left="859"/>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March 31, 2023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320"/>
              <w:spacing w:after="0" w:line="163" w:lineRule="exact"/>
              <w:rPr>
                <w:sz w:val="20"/>
                <w:szCs w:val="20"/>
                <w:color w:val="auto"/>
              </w:rPr>
            </w:pPr>
            <w:r>
              <w:rPr>
                <w:rFonts w:ascii="Arial" w:cs="Arial" w:eastAsia="Arial" w:hAnsi="Arial"/>
                <w:sz w:val="16"/>
                <w:szCs w:val="16"/>
                <w:color w:val="auto"/>
              </w:rPr>
              <w:t>Effects of</w:t>
            </w:r>
          </w:p>
        </w:tc>
        <w:tc>
          <w:tcPr>
            <w:tcW w:w="940" w:type="dxa"/>
            <w:vAlign w:val="bottom"/>
          </w:tcPr>
          <w:p>
            <w:pPr>
              <w:jc w:val="right"/>
              <w:ind w:right="17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746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As Reported</w:t>
            </w:r>
          </w:p>
        </w:tc>
        <w:tc>
          <w:tcPr>
            <w:tcW w:w="120" w:type="dxa"/>
            <w:vAlign w:val="bottom"/>
          </w:tcPr>
          <w:p>
            <w:pPr>
              <w:spacing w:after="0"/>
              <w:rPr>
                <w:sz w:val="14"/>
                <w:szCs w:val="14"/>
                <w:color w:val="auto"/>
              </w:rPr>
            </w:pPr>
          </w:p>
        </w:tc>
        <w:tc>
          <w:tcPr>
            <w:tcW w:w="1320" w:type="dxa"/>
            <w:vAlign w:val="bottom"/>
            <w:gridSpan w:val="3"/>
          </w:tcPr>
          <w:p>
            <w:pPr>
              <w:jc w:val="center"/>
              <w:ind w:right="320"/>
              <w:spacing w:after="0" w:line="162" w:lineRule="exact"/>
              <w:rPr>
                <w:sz w:val="20"/>
                <w:szCs w:val="20"/>
                <w:color w:val="auto"/>
              </w:rPr>
            </w:pPr>
            <w:r>
              <w:rPr>
                <w:rFonts w:ascii="Arial" w:cs="Arial" w:eastAsia="Arial" w:hAnsi="Arial"/>
                <w:sz w:val="16"/>
                <w:szCs w:val="16"/>
                <w:color w:val="auto"/>
              </w:rPr>
              <w:t>Foreign</w:t>
            </w:r>
          </w:p>
        </w:tc>
        <w:tc>
          <w:tcPr>
            <w:tcW w:w="94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74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6"/>
                <w:szCs w:val="16"/>
                <w:color w:val="auto"/>
              </w:rPr>
              <w:t>Currency</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203"/>
        </w:trPr>
        <w:tc>
          <w:tcPr>
            <w:tcW w:w="7460" w:type="dxa"/>
            <w:vAlign w:val="bottom"/>
          </w:tcPr>
          <w:p>
            <w:pPr>
              <w:spacing w:after="0"/>
              <w:rPr>
                <w:sz w:val="20"/>
                <w:szCs w:val="20"/>
                <w:color w:val="auto"/>
              </w:rPr>
            </w:pPr>
            <w:r>
              <w:rPr>
                <w:rFonts w:ascii="Arial" w:cs="Arial" w:eastAsia="Arial" w:hAnsi="Arial"/>
                <w:sz w:val="16"/>
                <w:szCs w:val="16"/>
                <w:b w:val="1"/>
                <w:bCs w:val="1"/>
                <w:color w:val="auto"/>
              </w:rPr>
              <w:t>Reconciliation of Connectivity &amp; Platforms Constant Currency</w:t>
            </w: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460" w:type="dxa"/>
            <w:vAlign w:val="bottom"/>
          </w:tcPr>
          <w:p>
            <w:pPr>
              <w:spacing w:after="0"/>
              <w:rPr>
                <w:sz w:val="20"/>
                <w:szCs w:val="20"/>
                <w:color w:val="auto"/>
              </w:rPr>
            </w:pPr>
            <w:r>
              <w:rPr>
                <w:rFonts w:ascii="Arial" w:cs="Arial" w:eastAsia="Arial" w:hAnsi="Arial"/>
                <w:sz w:val="16"/>
                <w:szCs w:val="16"/>
                <w:b w:val="1"/>
                <w:bCs w:val="1"/>
                <w:color w:val="auto"/>
              </w:rPr>
              <w:t>Connectivity &amp; Platforms Revenue</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140" w:type="dxa"/>
            <w:vAlign w:val="bottom"/>
          </w:tcPr>
          <w:p>
            <w:pPr>
              <w:jc w:val="right"/>
              <w:spacing w:after="0"/>
              <w:rPr>
                <w:sz w:val="20"/>
                <w:szCs w:val="20"/>
                <w:color w:val="auto"/>
              </w:rPr>
            </w:pPr>
            <w:r>
              <w:rPr>
                <w:rFonts w:ascii="Arial" w:cs="Arial" w:eastAsia="Arial" w:hAnsi="Arial"/>
                <w:sz w:val="16"/>
                <w:szCs w:val="16"/>
                <w:color w:val="auto"/>
              </w:rPr>
              <w:t>$17,869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$18,004</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2,283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2,284</w:t>
            </w:r>
          </w:p>
        </w:tc>
        <w:tc>
          <w:tcPr>
            <w:tcW w:w="0" w:type="dxa"/>
            <w:vAlign w:val="bottom"/>
          </w:tcPr>
          <w:p>
            <w:pPr>
              <w:spacing w:after="0"/>
              <w:rPr>
                <w:sz w:val="1"/>
                <w:szCs w:val="1"/>
                <w:color w:val="auto"/>
              </w:rPr>
            </w:pPr>
          </w:p>
        </w:tc>
      </w:tr>
      <w:tr>
        <w:trPr>
          <w:trHeight w:val="218"/>
        </w:trPr>
        <w:tc>
          <w:tcPr>
            <w:tcW w:w="746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Revenue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$20,153</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$20,287</w:t>
            </w:r>
          </w:p>
        </w:tc>
        <w:tc>
          <w:tcPr>
            <w:tcW w:w="0" w:type="dxa"/>
            <w:vAlign w:val="bottom"/>
          </w:tcPr>
          <w:p>
            <w:pPr>
              <w:spacing w:after="0"/>
              <w:rPr>
                <w:sz w:val="1"/>
                <w:szCs w:val="1"/>
                <w:color w:val="auto"/>
              </w:rPr>
            </w:pPr>
          </w:p>
        </w:tc>
      </w:tr>
      <w:tr>
        <w:trPr>
          <w:trHeight w:val="357"/>
        </w:trPr>
        <w:tc>
          <w:tcPr>
            <w:tcW w:w="7460" w:type="dxa"/>
            <w:vAlign w:val="bottom"/>
          </w:tcPr>
          <w:p>
            <w:pPr>
              <w:spacing w:after="0"/>
              <w:rPr>
                <w:sz w:val="20"/>
                <w:szCs w:val="20"/>
                <w:color w:val="auto"/>
              </w:rPr>
            </w:pPr>
            <w:r>
              <w:rPr>
                <w:rFonts w:ascii="Arial" w:cs="Arial" w:eastAsia="Arial" w:hAnsi="Arial"/>
                <w:sz w:val="16"/>
                <w:szCs w:val="16"/>
                <w:b w:val="1"/>
                <w:bCs w:val="1"/>
                <w:color w:val="auto"/>
              </w:rPr>
              <w:t>Connectivity and Platforms Adjusted EBITDA</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140" w:type="dxa"/>
            <w:vAlign w:val="bottom"/>
          </w:tcPr>
          <w:p>
            <w:pPr>
              <w:jc w:val="right"/>
              <w:spacing w:after="0"/>
              <w:rPr>
                <w:sz w:val="20"/>
                <w:szCs w:val="20"/>
                <w:color w:val="auto"/>
              </w:rPr>
            </w:pPr>
            <w:r>
              <w:rPr>
                <w:rFonts w:ascii="Arial" w:cs="Arial" w:eastAsia="Arial" w:hAnsi="Arial"/>
                <w:sz w:val="16"/>
                <w:szCs w:val="16"/>
                <w:color w:val="auto"/>
              </w:rPr>
              <w:t>$6,762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$6,780</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1,332</w:t>
            </w:r>
          </w:p>
        </w:tc>
        <w:tc>
          <w:tcPr>
            <w:tcW w:w="120" w:type="dxa"/>
            <w:vAlign w:val="bottom"/>
          </w:tcPr>
          <w:p>
            <w:pPr>
              <w:spacing w:after="0"/>
              <w:rPr>
                <w:sz w:val="18"/>
                <w:szCs w:val="18"/>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1,332</w:t>
            </w:r>
          </w:p>
        </w:tc>
        <w:tc>
          <w:tcPr>
            <w:tcW w:w="0" w:type="dxa"/>
            <w:vAlign w:val="bottom"/>
          </w:tcPr>
          <w:p>
            <w:pPr>
              <w:spacing w:after="0"/>
              <w:rPr>
                <w:sz w:val="1"/>
                <w:szCs w:val="1"/>
                <w:color w:val="auto"/>
              </w:rPr>
            </w:pPr>
          </w:p>
        </w:tc>
      </w:tr>
      <w:tr>
        <w:trPr>
          <w:trHeight w:val="218"/>
        </w:trPr>
        <w:tc>
          <w:tcPr>
            <w:tcW w:w="746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$8,093</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$8,111</w:t>
            </w:r>
          </w:p>
        </w:tc>
        <w:tc>
          <w:tcPr>
            <w:tcW w:w="0" w:type="dxa"/>
            <w:vAlign w:val="bottom"/>
          </w:tcPr>
          <w:p>
            <w:pPr>
              <w:spacing w:after="0"/>
              <w:rPr>
                <w:sz w:val="1"/>
                <w:szCs w:val="1"/>
                <w:color w:val="auto"/>
              </w:rPr>
            </w:pPr>
          </w:p>
        </w:tc>
      </w:tr>
      <w:tr>
        <w:trPr>
          <w:trHeight w:val="357"/>
        </w:trPr>
        <w:tc>
          <w:tcPr>
            <w:tcW w:w="7460" w:type="dxa"/>
            <w:vAlign w:val="bottom"/>
          </w:tcPr>
          <w:p>
            <w:pPr>
              <w:spacing w:after="0"/>
              <w:rPr>
                <w:sz w:val="20"/>
                <w:szCs w:val="20"/>
                <w:color w:val="auto"/>
              </w:rPr>
            </w:pPr>
            <w:r>
              <w:rPr>
                <w:rFonts w:ascii="Arial" w:cs="Arial" w:eastAsia="Arial" w:hAnsi="Arial"/>
                <w:sz w:val="16"/>
                <w:szCs w:val="16"/>
                <w:b w:val="1"/>
                <w:bCs w:val="1"/>
                <w:color w:val="auto"/>
              </w:rPr>
              <w:t>Connectivity &amp; Platforms Adjusted EBITDA Margin</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140" w:type="dxa"/>
            <w:vAlign w:val="bottom"/>
          </w:tcPr>
          <w:p>
            <w:pPr>
              <w:jc w:val="right"/>
              <w:spacing w:after="0"/>
              <w:rPr>
                <w:sz w:val="20"/>
                <w:szCs w:val="20"/>
                <w:color w:val="auto"/>
              </w:rPr>
            </w:pPr>
            <w:r>
              <w:rPr>
                <w:rFonts w:ascii="Arial" w:cs="Arial" w:eastAsia="Arial" w:hAnsi="Arial"/>
                <w:sz w:val="16"/>
                <w:szCs w:val="16"/>
                <w:color w:val="auto"/>
              </w:rPr>
              <w:t>37.8 %</w:t>
            </w: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6"/>
                <w:szCs w:val="16"/>
                <w:color w:val="auto"/>
              </w:rPr>
              <w:t>(10) bps</w:t>
            </w:r>
          </w:p>
        </w:tc>
        <w:tc>
          <w:tcPr>
            <w:tcW w:w="940" w:type="dxa"/>
            <w:vAlign w:val="bottom"/>
          </w:tcPr>
          <w:p>
            <w:pPr>
              <w:jc w:val="right"/>
              <w:spacing w:after="0"/>
              <w:rPr>
                <w:sz w:val="20"/>
                <w:szCs w:val="20"/>
                <w:color w:val="auto"/>
              </w:rPr>
            </w:pPr>
            <w:r>
              <w:rPr>
                <w:rFonts w:ascii="Arial" w:cs="Arial" w:eastAsia="Arial" w:hAnsi="Arial"/>
                <w:sz w:val="16"/>
                <w:szCs w:val="16"/>
                <w:color w:val="auto"/>
              </w:rPr>
              <w:t>37.7 %</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58.3 %</w:t>
            </w: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6"/>
                <w:szCs w:val="16"/>
                <w:color w:val="auto"/>
              </w:rPr>
              <w:t>— bps</w:t>
            </w:r>
          </w:p>
        </w:tc>
        <w:tc>
          <w:tcPr>
            <w:tcW w:w="940" w:type="dxa"/>
            <w:vAlign w:val="bottom"/>
          </w:tcPr>
          <w:p>
            <w:pPr>
              <w:jc w:val="right"/>
              <w:spacing w:after="0"/>
              <w:rPr>
                <w:sz w:val="20"/>
                <w:szCs w:val="20"/>
                <w:color w:val="auto"/>
              </w:rPr>
            </w:pPr>
            <w:r>
              <w:rPr>
                <w:rFonts w:ascii="Arial" w:cs="Arial" w:eastAsia="Arial" w:hAnsi="Arial"/>
                <w:sz w:val="16"/>
                <w:szCs w:val="16"/>
                <w:color w:val="auto"/>
              </w:rPr>
              <w:t>58.3 %</w:t>
            </w:r>
          </w:p>
        </w:tc>
        <w:tc>
          <w:tcPr>
            <w:tcW w:w="0" w:type="dxa"/>
            <w:vAlign w:val="bottom"/>
          </w:tcPr>
          <w:p>
            <w:pPr>
              <w:spacing w:after="0"/>
              <w:rPr>
                <w:sz w:val="1"/>
                <w:szCs w:val="1"/>
                <w:color w:val="auto"/>
              </w:rPr>
            </w:pPr>
          </w:p>
        </w:tc>
      </w:tr>
      <w:tr>
        <w:trPr>
          <w:trHeight w:val="218"/>
        </w:trPr>
        <w:tc>
          <w:tcPr>
            <w:tcW w:w="746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 Margin</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40.2 %</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 bps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40.0 %</w:t>
            </w:r>
          </w:p>
        </w:tc>
        <w:tc>
          <w:tcPr>
            <w:tcW w:w="0" w:type="dxa"/>
            <w:vAlign w:val="bottom"/>
          </w:tcPr>
          <w:p>
            <w:pPr>
              <w:spacing w:after="0"/>
              <w:rPr>
                <w:sz w:val="1"/>
                <w:szCs w:val="1"/>
                <w:color w:val="auto"/>
              </w:rPr>
            </w:pPr>
          </w:p>
        </w:tc>
      </w:tr>
      <w:tr>
        <w:trPr>
          <w:trHeight w:val="439"/>
        </w:trPr>
        <w:tc>
          <w:tcPr>
            <w:tcW w:w="7460" w:type="dxa"/>
            <w:vAlign w:val="bottom"/>
          </w:tcPr>
          <w:p>
            <w:pPr>
              <w:spacing w:after="0"/>
              <w:rPr>
                <w:sz w:val="24"/>
                <w:szCs w:val="24"/>
                <w:color w:val="auto"/>
              </w:rPr>
            </w:pPr>
          </w:p>
        </w:tc>
        <w:tc>
          <w:tcPr>
            <w:tcW w:w="2580" w:type="dxa"/>
            <w:vAlign w:val="bottom"/>
            <w:gridSpan w:val="5"/>
          </w:tcPr>
          <w:p>
            <w:pPr>
              <w:jc w:val="center"/>
              <w:ind w:left="859"/>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March 31, 2023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320"/>
              <w:spacing w:after="0" w:line="163" w:lineRule="exact"/>
              <w:rPr>
                <w:sz w:val="20"/>
                <w:szCs w:val="20"/>
                <w:color w:val="auto"/>
              </w:rPr>
            </w:pPr>
            <w:r>
              <w:rPr>
                <w:rFonts w:ascii="Arial" w:cs="Arial" w:eastAsia="Arial" w:hAnsi="Arial"/>
                <w:sz w:val="16"/>
                <w:szCs w:val="16"/>
                <w:color w:val="auto"/>
              </w:rPr>
              <w:t>Effects of</w:t>
            </w:r>
          </w:p>
        </w:tc>
        <w:tc>
          <w:tcPr>
            <w:tcW w:w="940" w:type="dxa"/>
            <w:vAlign w:val="bottom"/>
          </w:tcPr>
          <w:p>
            <w:pPr>
              <w:jc w:val="right"/>
              <w:ind w:right="17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746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As Reported</w:t>
            </w:r>
          </w:p>
        </w:tc>
        <w:tc>
          <w:tcPr>
            <w:tcW w:w="120" w:type="dxa"/>
            <w:vAlign w:val="bottom"/>
          </w:tcPr>
          <w:p>
            <w:pPr>
              <w:spacing w:after="0"/>
              <w:rPr>
                <w:sz w:val="14"/>
                <w:szCs w:val="14"/>
                <w:color w:val="auto"/>
              </w:rPr>
            </w:pPr>
          </w:p>
        </w:tc>
        <w:tc>
          <w:tcPr>
            <w:tcW w:w="1320" w:type="dxa"/>
            <w:vAlign w:val="bottom"/>
            <w:gridSpan w:val="3"/>
          </w:tcPr>
          <w:p>
            <w:pPr>
              <w:jc w:val="center"/>
              <w:ind w:right="320"/>
              <w:spacing w:after="0" w:line="162" w:lineRule="exact"/>
              <w:rPr>
                <w:sz w:val="20"/>
                <w:szCs w:val="20"/>
                <w:color w:val="auto"/>
              </w:rPr>
            </w:pPr>
            <w:r>
              <w:rPr>
                <w:rFonts w:ascii="Arial" w:cs="Arial" w:eastAsia="Arial" w:hAnsi="Arial"/>
                <w:sz w:val="16"/>
                <w:szCs w:val="16"/>
                <w:color w:val="auto"/>
              </w:rPr>
              <w:t>Foreign</w:t>
            </w:r>
          </w:p>
        </w:tc>
        <w:tc>
          <w:tcPr>
            <w:tcW w:w="94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74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6"/>
                <w:szCs w:val="16"/>
                <w:color w:val="auto"/>
              </w:rPr>
              <w:t>Currency</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203"/>
        </w:trPr>
        <w:tc>
          <w:tcPr>
            <w:tcW w:w="7460" w:type="dxa"/>
            <w:vAlign w:val="bottom"/>
          </w:tcPr>
          <w:p>
            <w:pPr>
              <w:spacing w:after="0"/>
              <w:rPr>
                <w:sz w:val="20"/>
                <w:szCs w:val="20"/>
                <w:color w:val="auto"/>
              </w:rPr>
            </w:pPr>
            <w:r>
              <w:rPr>
                <w:rFonts w:ascii="Arial" w:cs="Arial" w:eastAsia="Arial" w:hAnsi="Arial"/>
                <w:sz w:val="16"/>
                <w:szCs w:val="16"/>
                <w:b w:val="1"/>
                <w:bCs w:val="1"/>
                <w:color w:val="auto"/>
              </w:rPr>
              <w:t>Reconciliation of Residential Connectivity &amp; Platforms Constant Currency</w:t>
            </w: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46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340"/>
              <w:spacing w:after="0"/>
              <w:rPr>
                <w:sz w:val="20"/>
                <w:szCs w:val="20"/>
                <w:color w:val="auto"/>
              </w:rPr>
            </w:pPr>
            <w:r>
              <w:rPr>
                <w:rFonts w:ascii="Arial" w:cs="Arial" w:eastAsia="Arial" w:hAnsi="Arial"/>
                <w:sz w:val="16"/>
                <w:szCs w:val="16"/>
                <w:color w:val="auto"/>
              </w:rPr>
              <w:t>Domestic broadband</w:t>
            </w:r>
          </w:p>
        </w:tc>
        <w:tc>
          <w:tcPr>
            <w:tcW w:w="1140" w:type="dxa"/>
            <w:vAlign w:val="bottom"/>
          </w:tcPr>
          <w:p>
            <w:pPr>
              <w:jc w:val="right"/>
              <w:spacing w:after="0"/>
              <w:rPr>
                <w:sz w:val="20"/>
                <w:szCs w:val="20"/>
                <w:color w:val="auto"/>
              </w:rPr>
            </w:pPr>
            <w:r>
              <w:rPr>
                <w:rFonts w:ascii="Arial" w:cs="Arial" w:eastAsia="Arial" w:hAnsi="Arial"/>
                <w:sz w:val="16"/>
                <w:szCs w:val="16"/>
                <w:color w:val="auto"/>
              </w:rPr>
              <w:t>$6,343</w:t>
            </w:r>
          </w:p>
        </w:tc>
        <w:tc>
          <w:tcPr>
            <w:tcW w:w="120" w:type="dxa"/>
            <w:vAlign w:val="bottom"/>
          </w:tcPr>
          <w:p>
            <w:pPr>
              <w:spacing w:after="0"/>
              <w:rPr>
                <w:sz w:val="18"/>
                <w:szCs w:val="18"/>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$6,343</w:t>
            </w:r>
          </w:p>
        </w:tc>
        <w:tc>
          <w:tcPr>
            <w:tcW w:w="0" w:type="dxa"/>
            <w:vAlign w:val="bottom"/>
          </w:tcPr>
          <w:p>
            <w:pPr>
              <w:spacing w:after="0"/>
              <w:rPr>
                <w:sz w:val="1"/>
                <w:szCs w:val="1"/>
                <w:color w:val="auto"/>
              </w:rPr>
            </w:pPr>
          </w:p>
        </w:tc>
      </w:tr>
      <w:tr>
        <w:trPr>
          <w:trHeight w:val="216"/>
        </w:trPr>
        <w:tc>
          <w:tcPr>
            <w:tcW w:w="7460" w:type="dxa"/>
            <w:vAlign w:val="bottom"/>
          </w:tcPr>
          <w:p>
            <w:pPr>
              <w:ind w:left="340"/>
              <w:spacing w:after="0"/>
              <w:rPr>
                <w:sz w:val="20"/>
                <w:szCs w:val="20"/>
                <w:color w:val="auto"/>
              </w:rPr>
            </w:pPr>
            <w:r>
              <w:rPr>
                <w:rFonts w:ascii="Arial" w:cs="Arial" w:eastAsia="Arial" w:hAnsi="Arial"/>
                <w:sz w:val="16"/>
                <w:szCs w:val="16"/>
                <w:color w:val="auto"/>
              </w:rPr>
              <w:t>Domestic wireless</w:t>
            </w:r>
          </w:p>
        </w:tc>
        <w:tc>
          <w:tcPr>
            <w:tcW w:w="1140" w:type="dxa"/>
            <w:vAlign w:val="bottom"/>
          </w:tcPr>
          <w:p>
            <w:pPr>
              <w:jc w:val="right"/>
              <w:spacing w:after="0"/>
              <w:rPr>
                <w:sz w:val="20"/>
                <w:szCs w:val="20"/>
                <w:color w:val="auto"/>
              </w:rPr>
            </w:pPr>
            <w:r>
              <w:rPr>
                <w:rFonts w:ascii="Arial" w:cs="Arial" w:eastAsia="Arial" w:hAnsi="Arial"/>
                <w:sz w:val="16"/>
                <w:szCs w:val="16"/>
                <w:color w:val="auto"/>
              </w:rPr>
              <w:t>858</w:t>
            </w:r>
          </w:p>
        </w:tc>
        <w:tc>
          <w:tcPr>
            <w:tcW w:w="120" w:type="dxa"/>
            <w:vAlign w:val="bottom"/>
          </w:tcPr>
          <w:p>
            <w:pPr>
              <w:spacing w:after="0"/>
              <w:rPr>
                <w:sz w:val="18"/>
                <w:szCs w:val="18"/>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16"/>
        </w:trPr>
        <w:tc>
          <w:tcPr>
            <w:tcW w:w="7460" w:type="dxa"/>
            <w:vAlign w:val="bottom"/>
          </w:tcPr>
          <w:p>
            <w:pPr>
              <w:ind w:left="340"/>
              <w:spacing w:after="0"/>
              <w:rPr>
                <w:sz w:val="20"/>
                <w:szCs w:val="20"/>
                <w:color w:val="auto"/>
              </w:rPr>
            </w:pPr>
            <w:r>
              <w:rPr>
                <w:rFonts w:ascii="Arial" w:cs="Arial" w:eastAsia="Arial" w:hAnsi="Arial"/>
                <w:sz w:val="16"/>
                <w:szCs w:val="16"/>
                <w:color w:val="auto"/>
              </w:rPr>
              <w:t>International connectivity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897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11"/>
        </w:trPr>
        <w:tc>
          <w:tcPr>
            <w:tcW w:w="7460" w:type="dxa"/>
            <w:vAlign w:val="bottom"/>
          </w:tcPr>
          <w:p>
            <w:pPr>
              <w:ind w:left="220"/>
              <w:spacing w:after="0"/>
              <w:rPr>
                <w:sz w:val="20"/>
                <w:szCs w:val="20"/>
                <w:color w:val="auto"/>
              </w:rPr>
            </w:pPr>
            <w:r>
              <w:rPr>
                <w:rFonts w:ascii="Arial" w:cs="Arial" w:eastAsia="Arial" w:hAnsi="Arial"/>
                <w:sz w:val="16"/>
                <w:szCs w:val="16"/>
                <w:color w:val="auto"/>
              </w:rPr>
              <w:t>Total residential connectivity</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$8,099</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$8,136</w:t>
            </w:r>
          </w:p>
        </w:tc>
        <w:tc>
          <w:tcPr>
            <w:tcW w:w="0" w:type="dxa"/>
            <w:vAlign w:val="bottom"/>
          </w:tcPr>
          <w:p>
            <w:pPr>
              <w:spacing w:after="0"/>
              <w:rPr>
                <w:sz w:val="1"/>
                <w:szCs w:val="1"/>
                <w:color w:val="auto"/>
              </w:rPr>
            </w:pPr>
          </w:p>
        </w:tc>
      </w:tr>
      <w:tr>
        <w:trPr>
          <w:trHeight w:val="215"/>
        </w:trPr>
        <w:tc>
          <w:tcPr>
            <w:tcW w:w="7460" w:type="dxa"/>
            <w:vAlign w:val="bottom"/>
          </w:tcPr>
          <w:p>
            <w:pPr>
              <w:ind w:left="220"/>
              <w:spacing w:after="0"/>
              <w:rPr>
                <w:sz w:val="20"/>
                <w:szCs w:val="20"/>
                <w:color w:val="auto"/>
              </w:rPr>
            </w:pPr>
            <w:r>
              <w:rPr>
                <w:rFonts w:ascii="Arial" w:cs="Arial" w:eastAsia="Arial" w:hAnsi="Arial"/>
                <w:sz w:val="16"/>
                <w:szCs w:val="16"/>
                <w:color w:val="auto"/>
              </w:rPr>
              <w:t>Video</w:t>
            </w:r>
          </w:p>
        </w:tc>
        <w:tc>
          <w:tcPr>
            <w:tcW w:w="1140" w:type="dxa"/>
            <w:vAlign w:val="bottom"/>
          </w:tcPr>
          <w:p>
            <w:pPr>
              <w:jc w:val="right"/>
              <w:spacing w:after="0"/>
              <w:rPr>
                <w:sz w:val="20"/>
                <w:szCs w:val="20"/>
                <w:color w:val="auto"/>
              </w:rPr>
            </w:pPr>
            <w:r>
              <w:rPr>
                <w:rFonts w:ascii="Arial" w:cs="Arial" w:eastAsia="Arial" w:hAnsi="Arial"/>
                <w:sz w:val="16"/>
                <w:szCs w:val="16"/>
                <w:color w:val="auto"/>
              </w:rPr>
              <w:t>7,382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7,451</w:t>
            </w: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6"/>
                <w:szCs w:val="16"/>
                <w:color w:val="auto"/>
              </w:rPr>
              <w:t>Advertising</w:t>
            </w:r>
          </w:p>
        </w:tc>
        <w:tc>
          <w:tcPr>
            <w:tcW w:w="1140" w:type="dxa"/>
            <w:vAlign w:val="bottom"/>
          </w:tcPr>
          <w:p>
            <w:pPr>
              <w:jc w:val="right"/>
              <w:spacing w:after="0"/>
              <w:rPr>
                <w:sz w:val="20"/>
                <w:szCs w:val="20"/>
                <w:color w:val="auto"/>
              </w:rPr>
            </w:pPr>
            <w:r>
              <w:rPr>
                <w:rFonts w:ascii="Arial" w:cs="Arial" w:eastAsia="Arial" w:hAnsi="Arial"/>
                <w:sz w:val="16"/>
                <w:szCs w:val="16"/>
                <w:color w:val="auto"/>
              </w:rPr>
              <w:t>907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6"/>
                <w:szCs w:val="16"/>
                <w:color w:val="auto"/>
              </w:rPr>
              <w:t>Other</w:t>
            </w:r>
          </w:p>
        </w:tc>
        <w:tc>
          <w:tcPr>
            <w:tcW w:w="1140" w:type="dxa"/>
            <w:vAlign w:val="bottom"/>
          </w:tcPr>
          <w:p>
            <w:pPr>
              <w:jc w:val="right"/>
              <w:spacing w:after="0"/>
              <w:rPr>
                <w:sz w:val="20"/>
                <w:szCs w:val="20"/>
                <w:color w:val="auto"/>
              </w:rPr>
            </w:pPr>
            <w:r>
              <w:rPr>
                <w:rFonts w:ascii="Arial" w:cs="Arial" w:eastAsia="Arial" w:hAnsi="Arial"/>
                <w:sz w:val="16"/>
                <w:szCs w:val="16"/>
                <w:color w:val="auto"/>
              </w:rPr>
              <w:t>1,482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218"/>
        </w:trPr>
        <w:tc>
          <w:tcPr>
            <w:tcW w:w="746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$17,869</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$18,004</w:t>
            </w:r>
          </w:p>
        </w:tc>
        <w:tc>
          <w:tcPr>
            <w:tcW w:w="0" w:type="dxa"/>
            <w:vAlign w:val="bottom"/>
          </w:tcPr>
          <w:p>
            <w:pPr>
              <w:spacing w:after="0"/>
              <w:rPr>
                <w:sz w:val="1"/>
                <w:szCs w:val="1"/>
                <w:color w:val="auto"/>
              </w:rPr>
            </w:pPr>
          </w:p>
        </w:tc>
      </w:tr>
      <w:tr>
        <w:trPr>
          <w:trHeight w:val="357"/>
        </w:trPr>
        <w:tc>
          <w:tcPr>
            <w:tcW w:w="746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220"/>
              <w:spacing w:after="0"/>
              <w:rPr>
                <w:sz w:val="20"/>
                <w:szCs w:val="20"/>
                <w:color w:val="auto"/>
              </w:rPr>
            </w:pPr>
            <w:r>
              <w:rPr>
                <w:rFonts w:ascii="Arial" w:cs="Arial" w:eastAsia="Arial" w:hAnsi="Arial"/>
                <w:sz w:val="16"/>
                <w:szCs w:val="16"/>
                <w:color w:val="auto"/>
              </w:rPr>
              <w:t>Programming</w:t>
            </w:r>
          </w:p>
        </w:tc>
        <w:tc>
          <w:tcPr>
            <w:tcW w:w="1140" w:type="dxa"/>
            <w:vAlign w:val="bottom"/>
          </w:tcPr>
          <w:p>
            <w:pPr>
              <w:jc w:val="right"/>
              <w:spacing w:after="0"/>
              <w:rPr>
                <w:sz w:val="20"/>
                <w:szCs w:val="20"/>
                <w:color w:val="auto"/>
              </w:rPr>
            </w:pPr>
            <w:r>
              <w:rPr>
                <w:rFonts w:ascii="Arial" w:cs="Arial" w:eastAsia="Arial" w:hAnsi="Arial"/>
                <w:sz w:val="16"/>
                <w:szCs w:val="16"/>
                <w:color w:val="auto"/>
              </w:rPr>
              <w:t>$4,600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$4,642</w:t>
            </w: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6"/>
                <w:szCs w:val="16"/>
                <w:color w:val="auto"/>
              </w:rPr>
              <w:t>Non-Programming</w:t>
            </w:r>
          </w:p>
        </w:tc>
        <w:tc>
          <w:tcPr>
            <w:tcW w:w="1140" w:type="dxa"/>
            <w:vAlign w:val="bottom"/>
          </w:tcPr>
          <w:p>
            <w:pPr>
              <w:jc w:val="right"/>
              <w:spacing w:after="0"/>
              <w:rPr>
                <w:sz w:val="20"/>
                <w:szCs w:val="20"/>
                <w:color w:val="auto"/>
              </w:rPr>
            </w:pPr>
            <w:r>
              <w:rPr>
                <w:rFonts w:ascii="Arial" w:cs="Arial" w:eastAsia="Arial" w:hAnsi="Arial"/>
                <w:sz w:val="16"/>
                <w:szCs w:val="16"/>
                <w:color w:val="auto"/>
              </w:rPr>
              <w:t>6,508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6,583</w:t>
            </w:r>
          </w:p>
        </w:tc>
        <w:tc>
          <w:tcPr>
            <w:tcW w:w="0" w:type="dxa"/>
            <w:vAlign w:val="bottom"/>
          </w:tcPr>
          <w:p>
            <w:pPr>
              <w:spacing w:after="0"/>
              <w:rPr>
                <w:sz w:val="1"/>
                <w:szCs w:val="1"/>
                <w:color w:val="auto"/>
              </w:rPr>
            </w:pPr>
          </w:p>
        </w:tc>
      </w:tr>
      <w:tr>
        <w:trPr>
          <w:trHeight w:val="218"/>
        </w:trPr>
        <w:tc>
          <w:tcPr>
            <w:tcW w:w="746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$11,108</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$11,224</w:t>
            </w:r>
          </w:p>
        </w:tc>
        <w:tc>
          <w:tcPr>
            <w:tcW w:w="0" w:type="dxa"/>
            <w:vAlign w:val="bottom"/>
          </w:tcPr>
          <w:p>
            <w:pPr>
              <w:spacing w:after="0"/>
              <w:rPr>
                <w:sz w:val="1"/>
                <w:szCs w:val="1"/>
                <w:color w:val="auto"/>
              </w:rPr>
            </w:pPr>
          </w:p>
        </w:tc>
      </w:tr>
      <w:tr>
        <w:trPr>
          <w:trHeight w:val="357"/>
        </w:trPr>
        <w:tc>
          <w:tcPr>
            <w:tcW w:w="746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$6,762</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$6,780</w:t>
            </w:r>
          </w:p>
        </w:tc>
        <w:tc>
          <w:tcPr>
            <w:tcW w:w="0" w:type="dxa"/>
            <w:vAlign w:val="bottom"/>
          </w:tcPr>
          <w:p>
            <w:pPr>
              <w:spacing w:after="0"/>
              <w:rPr>
                <w:sz w:val="1"/>
                <w:szCs w:val="1"/>
                <w:color w:val="auto"/>
              </w:rPr>
            </w:pPr>
          </w:p>
        </w:tc>
      </w:tr>
      <w:tr>
        <w:trPr>
          <w:trHeight w:val="223"/>
        </w:trPr>
        <w:tc>
          <w:tcPr>
            <w:tcW w:w="7460" w:type="dxa"/>
            <w:vAlign w:val="bottom"/>
          </w:tcPr>
          <w:p>
            <w:pPr>
              <w:ind w:left="220"/>
              <w:spacing w:after="0"/>
              <w:rPr>
                <w:sz w:val="20"/>
                <w:szCs w:val="20"/>
                <w:color w:val="auto"/>
              </w:rPr>
            </w:pPr>
            <w:r>
              <w:rPr>
                <w:rFonts w:ascii="Arial" w:cs="Arial" w:eastAsia="Arial" w:hAnsi="Arial"/>
                <w:sz w:val="16"/>
                <w:szCs w:val="16"/>
                <w:i w:val="1"/>
                <w:iCs w:val="1"/>
                <w:color w:val="auto"/>
              </w:rPr>
              <w:t>Adjusted EBITDA Margin</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37.8 %</w:t>
            </w:r>
          </w:p>
        </w:tc>
        <w:tc>
          <w:tcPr>
            <w:tcW w:w="120" w:type="dxa"/>
            <w:vAlign w:val="bottom"/>
          </w:tcPr>
          <w:p>
            <w:pPr>
              <w:spacing w:after="0"/>
              <w:rPr>
                <w:sz w:val="19"/>
                <w:szCs w:val="19"/>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(10) bps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37.7 %</w:t>
            </w:r>
          </w:p>
        </w:tc>
        <w:tc>
          <w:tcPr>
            <w:tcW w:w="0" w:type="dxa"/>
            <w:vAlign w:val="bottom"/>
          </w:tcPr>
          <w:p>
            <w:pPr>
              <w:spacing w:after="0"/>
              <w:rPr>
                <w:sz w:val="1"/>
                <w:szCs w:val="1"/>
                <w:color w:val="auto"/>
              </w:rPr>
            </w:pPr>
          </w:p>
        </w:tc>
      </w:tr>
      <w:tr>
        <w:trPr>
          <w:trHeight w:val="904"/>
        </w:trPr>
        <w:tc>
          <w:tcPr>
            <w:tcW w:w="7460" w:type="dxa"/>
            <w:vAlign w:val="bottom"/>
          </w:tcPr>
          <w:p>
            <w:pPr>
              <w:ind w:left="5400"/>
              <w:spacing w:after="0"/>
              <w:rPr>
                <w:sz w:val="20"/>
                <w:szCs w:val="20"/>
                <w:color w:val="auto"/>
              </w:rPr>
            </w:pPr>
            <w:r>
              <w:rPr>
                <w:rFonts w:ascii="Arial" w:cs="Arial" w:eastAsia="Arial" w:hAnsi="Arial"/>
                <w:sz w:val="14"/>
                <w:szCs w:val="14"/>
                <w:color w:val="auto"/>
              </w:rPr>
              <w:t>15</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80" w:top="1006" w:right="45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30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9"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3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3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Statements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Statements of Cash Flows and are therefore excluded from capital expenditures and cash paid for intangible assets for Free Cash Flow.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203"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62"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2024-04-25T06:15:25Z</dcterms:created>
  <dcterms:modified xsi:type="dcterms:W3CDTF">2024-04-25T06:15:25Z</dcterms:modified>
</cp:coreProperties>
</file>