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1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-160020</wp:posOffset>
            </wp:positionV>
            <wp:extent cx="762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40" w:type="dxa"/>
            <w:vAlign w:val="bottom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3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5283200</wp:posOffset>
            </wp:positionH>
            <wp:positionV relativeFrom="paragraph">
              <wp:posOffset>-579120</wp:posOffset>
            </wp:positionV>
            <wp:extent cx="7620" cy="5797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-586740</wp:posOffset>
            </wp:positionV>
            <wp:extent cx="7620" cy="5873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-563245</wp:posOffset>
            </wp:positionV>
            <wp:extent cx="1285240" cy="540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-1651000</wp:posOffset>
            </wp:positionH>
            <wp:positionV relativeFrom="paragraph">
              <wp:posOffset>30480</wp:posOffset>
            </wp:positionV>
            <wp:extent cx="6974205" cy="1543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54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980" w:space="620"/>
            <w:col w:w="848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HASSELL GERALD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COMCAST CORP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07/31/2020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9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18,199.933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07/31/2020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18,199.933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120,045.933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-2404110</wp:posOffset>
            </wp:positionV>
            <wp:extent cx="7036435" cy="2444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43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convert on a one-to-one basis.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has elected to notionally reinvest previously deferred compensation into another deferred compensation investment plan.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Elizabeth Wideman,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-25400</wp:posOffset>
            </wp:positionV>
            <wp:extent cx="13620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-17780</wp:posOffset>
            </wp:positionV>
            <wp:extent cx="1524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-80010</wp:posOffset>
            </wp:positionV>
            <wp:extent cx="46418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482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2020-08-04T15:46:16Z</dcterms:created>
  <dcterms:modified xsi:type="dcterms:W3CDTF">2020-08-04T15:46:16Z</dcterms:modified>
</cp:coreProperties>
</file>