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________________________</w:t>
      </w:r>
    </w:p>
    <w:p>
      <w:pPr>
        <w:spacing w:after="0" w:line="200" w:lineRule="exact"/>
        <w:rPr>
          <w:sz w:val="24"/>
          <w:szCs w:val="24"/>
          <w:color w:val="auto"/>
        </w:rPr>
      </w:pPr>
    </w:p>
    <w:p>
      <w:pPr>
        <w:spacing w:after="0" w:line="257" w:lineRule="exact"/>
        <w:rPr>
          <w:sz w:val="24"/>
          <w:szCs w:val="24"/>
          <w:color w:val="auto"/>
        </w:rPr>
      </w:pPr>
    </w:p>
    <w:tbl>
      <w:tblPr>
        <w:tblLayout w:type="fixed"/>
        <w:tblInd w:w="740" w:type="dxa"/>
        <w:tblCellMar>
          <w:top w:w="0" w:type="dxa"/>
          <w:left w:w="0" w:type="dxa"/>
          <w:bottom w:w="0" w:type="dxa"/>
          <w:right w:w="0" w:type="dxa"/>
        </w:tblCellMar>
      </w:tblPr>
      <w:tr>
        <w:trPr>
          <w:trHeight w:val="421"/>
        </w:trPr>
        <w:tc>
          <w:tcPr>
            <w:tcW w:w="2500" w:type="dxa"/>
            <w:vAlign w:val="bottom"/>
          </w:tcPr>
          <w:p>
            <w:pPr>
              <w:spacing w:after="0"/>
              <w:rPr>
                <w:sz w:val="24"/>
                <w:szCs w:val="24"/>
                <w:color w:val="auto"/>
              </w:rPr>
            </w:pPr>
          </w:p>
        </w:tc>
        <w:tc>
          <w:tcPr>
            <w:tcW w:w="7260" w:type="dxa"/>
            <w:vAlign w:val="bottom"/>
          </w:tcPr>
          <w:p>
            <w:pPr>
              <w:jc w:val="center"/>
              <w:ind w:right="2196"/>
              <w:spacing w:after="0"/>
              <w:rPr>
                <w:sz w:val="20"/>
                <w:szCs w:val="20"/>
                <w:color w:val="auto"/>
              </w:rPr>
            </w:pPr>
            <w:r>
              <w:rPr>
                <w:rFonts w:ascii="Arial" w:cs="Arial" w:eastAsia="Arial" w:hAnsi="Arial"/>
                <w:sz w:val="32"/>
                <w:szCs w:val="32"/>
                <w:b w:val="1"/>
                <w:bCs w:val="1"/>
                <w:color w:val="auto"/>
              </w:rPr>
              <w:t>FORM 8-K</w:t>
            </w:r>
          </w:p>
        </w:tc>
      </w:tr>
      <w:tr>
        <w:trPr>
          <w:trHeight w:val="534"/>
        </w:trPr>
        <w:tc>
          <w:tcPr>
            <w:tcW w:w="2500" w:type="dxa"/>
            <w:vAlign w:val="bottom"/>
          </w:tcPr>
          <w:p>
            <w:pPr>
              <w:spacing w:after="0"/>
              <w:rPr>
                <w:sz w:val="24"/>
                <w:szCs w:val="24"/>
                <w:color w:val="auto"/>
              </w:rPr>
            </w:pPr>
          </w:p>
        </w:tc>
        <w:tc>
          <w:tcPr>
            <w:tcW w:w="7260" w:type="dxa"/>
            <w:vAlign w:val="bottom"/>
          </w:tcPr>
          <w:p>
            <w:pPr>
              <w:jc w:val="center"/>
              <w:ind w:right="2196"/>
              <w:spacing w:after="0"/>
              <w:rPr>
                <w:sz w:val="20"/>
                <w:szCs w:val="20"/>
                <w:color w:val="auto"/>
              </w:rPr>
            </w:pPr>
            <w:r>
              <w:rPr>
                <w:rFonts w:ascii="Arial" w:cs="Arial" w:eastAsia="Arial" w:hAnsi="Arial"/>
                <w:sz w:val="29"/>
                <w:szCs w:val="29"/>
                <w:b w:val="1"/>
                <w:bCs w:val="1"/>
                <w:color w:val="auto"/>
                <w:w w:val="99"/>
              </w:rPr>
              <w:t>CURRENT REPORT</w:t>
            </w:r>
          </w:p>
        </w:tc>
      </w:tr>
      <w:tr>
        <w:trPr>
          <w:trHeight w:val="338"/>
        </w:trPr>
        <w:tc>
          <w:tcPr>
            <w:tcW w:w="2500" w:type="dxa"/>
            <w:vAlign w:val="bottom"/>
          </w:tcPr>
          <w:p>
            <w:pPr>
              <w:spacing w:after="0"/>
              <w:rPr>
                <w:sz w:val="24"/>
                <w:szCs w:val="24"/>
                <w:color w:val="auto"/>
              </w:rPr>
            </w:pPr>
          </w:p>
        </w:tc>
        <w:tc>
          <w:tcPr>
            <w:tcW w:w="7260" w:type="dxa"/>
            <w:vAlign w:val="bottom"/>
          </w:tcPr>
          <w:p>
            <w:pPr>
              <w:jc w:val="center"/>
              <w:ind w:right="2196"/>
              <w:spacing w:after="0"/>
              <w:rPr>
                <w:sz w:val="20"/>
                <w:szCs w:val="20"/>
                <w:color w:val="auto"/>
              </w:rPr>
            </w:pPr>
            <w:r>
              <w:rPr>
                <w:rFonts w:ascii="Arial" w:cs="Arial" w:eastAsia="Arial" w:hAnsi="Arial"/>
                <w:sz w:val="29"/>
                <w:szCs w:val="29"/>
                <w:b w:val="1"/>
                <w:bCs w:val="1"/>
                <w:color w:val="auto"/>
                <w:w w:val="89"/>
              </w:rPr>
              <w:t>Pursuant to Section 13 or 15(d) of the</w:t>
            </w:r>
          </w:p>
        </w:tc>
      </w:tr>
      <w:tr>
        <w:trPr>
          <w:trHeight w:val="375"/>
        </w:trPr>
        <w:tc>
          <w:tcPr>
            <w:tcW w:w="2500" w:type="dxa"/>
            <w:vAlign w:val="bottom"/>
          </w:tcPr>
          <w:p>
            <w:pPr>
              <w:spacing w:after="0"/>
              <w:rPr>
                <w:sz w:val="24"/>
                <w:szCs w:val="24"/>
                <w:color w:val="auto"/>
              </w:rPr>
            </w:pPr>
          </w:p>
        </w:tc>
        <w:tc>
          <w:tcPr>
            <w:tcW w:w="7260" w:type="dxa"/>
            <w:vAlign w:val="bottom"/>
          </w:tcPr>
          <w:p>
            <w:pPr>
              <w:jc w:val="center"/>
              <w:ind w:right="2216"/>
              <w:spacing w:after="0"/>
              <w:rPr>
                <w:sz w:val="20"/>
                <w:szCs w:val="20"/>
                <w:color w:val="auto"/>
              </w:rPr>
            </w:pPr>
            <w:r>
              <w:rPr>
                <w:rFonts w:ascii="Arial" w:cs="Arial" w:eastAsia="Arial" w:hAnsi="Arial"/>
                <w:sz w:val="29"/>
                <w:szCs w:val="29"/>
                <w:b w:val="1"/>
                <w:bCs w:val="1"/>
                <w:color w:val="auto"/>
                <w:w w:val="88"/>
              </w:rPr>
              <w:t>Securities Exchange Act of 1934</w:t>
            </w:r>
          </w:p>
        </w:tc>
      </w:tr>
      <w:tr>
        <w:trPr>
          <w:trHeight w:val="454"/>
        </w:trPr>
        <w:tc>
          <w:tcPr>
            <w:tcW w:w="2500" w:type="dxa"/>
            <w:vAlign w:val="bottom"/>
          </w:tcPr>
          <w:p>
            <w:pPr>
              <w:spacing w:after="0"/>
              <w:rPr>
                <w:sz w:val="24"/>
                <w:szCs w:val="24"/>
                <w:color w:val="auto"/>
              </w:rPr>
            </w:pPr>
          </w:p>
        </w:tc>
        <w:tc>
          <w:tcPr>
            <w:tcW w:w="7260" w:type="dxa"/>
            <w:vAlign w:val="bottom"/>
          </w:tcPr>
          <w:p>
            <w:pPr>
              <w:jc w:val="center"/>
              <w:ind w:right="2216"/>
              <w:spacing w:after="0"/>
              <w:rPr>
                <w:sz w:val="20"/>
                <w:szCs w:val="20"/>
                <w:color w:val="auto"/>
              </w:rPr>
            </w:pPr>
            <w:r>
              <w:rPr>
                <w:rFonts w:ascii="Arial" w:cs="Arial" w:eastAsia="Arial" w:hAnsi="Arial"/>
                <w:sz w:val="18"/>
                <w:szCs w:val="18"/>
                <w:color w:val="auto"/>
                <w:w w:val="92"/>
              </w:rPr>
              <w:t>Date of report (Date of earliest event reported): May 21, 2014</w:t>
            </w:r>
          </w:p>
        </w:tc>
      </w:tr>
      <w:tr>
        <w:trPr>
          <w:trHeight w:val="481"/>
        </w:trPr>
        <w:tc>
          <w:tcPr>
            <w:tcW w:w="2500" w:type="dxa"/>
            <w:vAlign w:val="bottom"/>
          </w:tcPr>
          <w:p>
            <w:pPr>
              <w:spacing w:after="0"/>
              <w:rPr>
                <w:sz w:val="24"/>
                <w:szCs w:val="24"/>
                <w:color w:val="auto"/>
              </w:rPr>
            </w:pPr>
          </w:p>
        </w:tc>
        <w:tc>
          <w:tcPr>
            <w:tcW w:w="7260" w:type="dxa"/>
            <w:vAlign w:val="bottom"/>
          </w:tcPr>
          <w:p>
            <w:pPr>
              <w:jc w:val="center"/>
              <w:ind w:right="2196"/>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500" w:type="dxa"/>
            <w:vAlign w:val="bottom"/>
          </w:tcPr>
          <w:p>
            <w:pPr>
              <w:spacing w:after="0"/>
              <w:rPr>
                <w:sz w:val="12"/>
                <w:szCs w:val="12"/>
                <w:color w:val="auto"/>
              </w:rPr>
            </w:pPr>
          </w:p>
        </w:tc>
        <w:tc>
          <w:tcPr>
            <w:tcW w:w="7260" w:type="dxa"/>
            <w:vAlign w:val="bottom"/>
          </w:tcPr>
          <w:p>
            <w:pPr>
              <w:jc w:val="center"/>
              <w:ind w:right="2216"/>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00" w:type="dxa"/>
            <w:vAlign w:val="bottom"/>
          </w:tcPr>
          <w:p>
            <w:pPr>
              <w:spacing w:after="0"/>
              <w:rPr>
                <w:sz w:val="15"/>
                <w:szCs w:val="15"/>
                <w:color w:val="auto"/>
              </w:rPr>
            </w:pPr>
          </w:p>
        </w:tc>
        <w:tc>
          <w:tcPr>
            <w:tcW w:w="7260" w:type="dxa"/>
            <w:vAlign w:val="bottom"/>
          </w:tcPr>
          <w:p>
            <w:pPr>
              <w:jc w:val="center"/>
              <w:ind w:right="2216"/>
              <w:spacing w:after="0"/>
              <w:rPr>
                <w:sz w:val="20"/>
                <w:szCs w:val="20"/>
                <w:color w:val="auto"/>
              </w:rPr>
            </w:pPr>
            <w:r>
              <w:rPr>
                <w:rFonts w:ascii="Arial" w:cs="Arial" w:eastAsia="Arial" w:hAnsi="Arial"/>
                <w:sz w:val="14"/>
                <w:szCs w:val="14"/>
                <w:color w:val="auto"/>
                <w:w w:val="93"/>
              </w:rPr>
              <w:t>as Specified in its Charter)</w:t>
            </w:r>
          </w:p>
        </w:tc>
      </w:tr>
      <w:tr>
        <w:trPr>
          <w:trHeight w:val="344"/>
        </w:trPr>
        <w:tc>
          <w:tcPr>
            <w:tcW w:w="2500" w:type="dxa"/>
            <w:vAlign w:val="bottom"/>
          </w:tcPr>
          <w:p>
            <w:pPr>
              <w:spacing w:after="0"/>
              <w:rPr>
                <w:sz w:val="24"/>
                <w:szCs w:val="24"/>
                <w:color w:val="auto"/>
              </w:rPr>
            </w:pPr>
          </w:p>
        </w:tc>
        <w:tc>
          <w:tcPr>
            <w:tcW w:w="7260" w:type="dxa"/>
            <w:vAlign w:val="bottom"/>
          </w:tcPr>
          <w:p>
            <w:pPr>
              <w:jc w:val="center"/>
              <w:ind w:right="2216"/>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00" w:type="dxa"/>
            <w:vAlign w:val="bottom"/>
          </w:tcPr>
          <w:p>
            <w:pPr>
              <w:spacing w:after="0"/>
              <w:rPr>
                <w:sz w:val="15"/>
                <w:szCs w:val="15"/>
                <w:color w:val="auto"/>
              </w:rPr>
            </w:pPr>
          </w:p>
        </w:tc>
        <w:tc>
          <w:tcPr>
            <w:tcW w:w="7260" w:type="dxa"/>
            <w:vAlign w:val="bottom"/>
          </w:tcPr>
          <w:p>
            <w:pPr>
              <w:jc w:val="center"/>
              <w:ind w:right="2216"/>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58"/>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001-32871</w:t>
            </w:r>
          </w:p>
        </w:tc>
        <w:tc>
          <w:tcPr>
            <w:tcW w:w="7260" w:type="dxa"/>
            <w:vAlign w:val="bottom"/>
          </w:tcPr>
          <w:p>
            <w:pPr>
              <w:jc w:val="center"/>
              <w:ind w:left="5196"/>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4"/>
              </w:rPr>
              <w:t>(Commission File Number)</w:t>
            </w:r>
          </w:p>
        </w:tc>
        <w:tc>
          <w:tcPr>
            <w:tcW w:w="7260" w:type="dxa"/>
            <w:vAlign w:val="bottom"/>
          </w:tcPr>
          <w:p>
            <w:pPr>
              <w:jc w:val="center"/>
              <w:ind w:left="5176"/>
              <w:spacing w:after="0"/>
              <w:rPr>
                <w:sz w:val="20"/>
                <w:szCs w:val="20"/>
                <w:color w:val="auto"/>
              </w:rPr>
            </w:pPr>
            <w:r>
              <w:rPr>
                <w:rFonts w:ascii="Arial" w:cs="Arial" w:eastAsia="Arial" w:hAnsi="Arial"/>
                <w:sz w:val="14"/>
                <w:szCs w:val="14"/>
                <w:color w:val="auto"/>
                <w:w w:val="97"/>
              </w:rPr>
              <w:t>(IRS Employer Identification No.)</w:t>
            </w:r>
          </w:p>
        </w:tc>
      </w:tr>
      <w:tr>
        <w:trPr>
          <w:trHeight w:val="358"/>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One Comcast Center</w:t>
            </w:r>
          </w:p>
        </w:tc>
        <w:tc>
          <w:tcPr>
            <w:tcW w:w="7260" w:type="dxa"/>
            <w:vAlign w:val="bottom"/>
          </w:tcPr>
          <w:p>
            <w:pPr>
              <w:spacing w:after="0"/>
              <w:rPr>
                <w:sz w:val="24"/>
                <w:szCs w:val="24"/>
                <w:color w:val="auto"/>
              </w:rPr>
            </w:pPr>
          </w:p>
        </w:tc>
      </w:tr>
      <w:tr>
        <w:trPr>
          <w:trHeight w:val="216"/>
        </w:trPr>
        <w:tc>
          <w:tcPr>
            <w:tcW w:w="2500" w:type="dxa"/>
            <w:vAlign w:val="bottom"/>
          </w:tcPr>
          <w:p>
            <w:pPr>
              <w:jc w:val="center"/>
              <w:ind w:right="97"/>
              <w:spacing w:after="0"/>
              <w:rPr>
                <w:sz w:val="20"/>
                <w:szCs w:val="20"/>
                <w:color w:val="auto"/>
              </w:rPr>
            </w:pPr>
            <w:r>
              <w:rPr>
                <w:rFonts w:ascii="Arial" w:cs="Arial" w:eastAsia="Arial" w:hAnsi="Arial"/>
                <w:sz w:val="18"/>
                <w:szCs w:val="18"/>
                <w:b w:val="1"/>
                <w:bCs w:val="1"/>
                <w:color w:val="auto"/>
                <w:w w:val="90"/>
              </w:rPr>
              <w:t>Philadelphia, PA</w:t>
            </w:r>
          </w:p>
        </w:tc>
        <w:tc>
          <w:tcPr>
            <w:tcW w:w="7260" w:type="dxa"/>
            <w:vAlign w:val="bottom"/>
          </w:tcPr>
          <w:p>
            <w:pPr>
              <w:jc w:val="center"/>
              <w:ind w:left="5196"/>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5"/>
              </w:rPr>
              <w:t>(Address of Principal Executive Offices)</w:t>
            </w:r>
          </w:p>
        </w:tc>
        <w:tc>
          <w:tcPr>
            <w:tcW w:w="7260" w:type="dxa"/>
            <w:vAlign w:val="bottom"/>
          </w:tcPr>
          <w:p>
            <w:pPr>
              <w:jc w:val="center"/>
              <w:ind w:left="5196"/>
              <w:spacing w:after="0"/>
              <w:rPr>
                <w:sz w:val="20"/>
                <w:szCs w:val="20"/>
                <w:color w:val="auto"/>
              </w:rPr>
            </w:pPr>
            <w:r>
              <w:rPr>
                <w:rFonts w:ascii="Arial" w:cs="Arial" w:eastAsia="Arial" w:hAnsi="Arial"/>
                <w:sz w:val="14"/>
                <w:szCs w:val="14"/>
                <w:color w:val="auto"/>
                <w:w w:val="96"/>
              </w:rPr>
              <w:t>(Zip Code)</w:t>
            </w:r>
          </w:p>
        </w:tc>
      </w:tr>
    </w:tbl>
    <w:p>
      <w:pPr>
        <w:spacing w:after="0" w:line="304"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333"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820" w:hanging="488"/>
        <w:spacing w:after="0"/>
        <w:tabs>
          <w:tab w:leader="none" w:pos="82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39" w:lineRule="exact"/>
        <w:rPr>
          <w:rFonts w:ascii="Arial" w:cs="Arial" w:eastAsia="Arial" w:hAnsi="Arial"/>
          <w:sz w:val="29"/>
          <w:szCs w:val="29"/>
          <w:color w:val="auto"/>
          <w:vertAlign w:val="superscript"/>
        </w:rPr>
      </w:pPr>
    </w:p>
    <w:p>
      <w:pPr>
        <w:ind w:left="820" w:hanging="488"/>
        <w:spacing w:after="0" w:line="229" w:lineRule="auto"/>
        <w:tabs>
          <w:tab w:leader="none" w:pos="82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0" w:lineRule="exact"/>
        <w:rPr>
          <w:rFonts w:ascii="Arial" w:cs="Arial" w:eastAsia="Arial" w:hAnsi="Arial"/>
          <w:sz w:val="29"/>
          <w:szCs w:val="29"/>
          <w:color w:val="auto"/>
          <w:vertAlign w:val="superscript"/>
        </w:rPr>
      </w:pPr>
    </w:p>
    <w:p>
      <w:pPr>
        <w:ind w:left="820" w:hanging="488"/>
        <w:spacing w:after="0" w:line="229" w:lineRule="auto"/>
        <w:tabs>
          <w:tab w:leader="none" w:pos="82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0" w:lineRule="exact"/>
        <w:rPr>
          <w:rFonts w:ascii="Arial" w:cs="Arial" w:eastAsia="Arial" w:hAnsi="Arial"/>
          <w:sz w:val="29"/>
          <w:szCs w:val="29"/>
          <w:color w:val="auto"/>
          <w:vertAlign w:val="superscript"/>
        </w:rPr>
      </w:pPr>
    </w:p>
    <w:p>
      <w:pPr>
        <w:ind w:left="820" w:hanging="488"/>
        <w:spacing w:after="0" w:line="229" w:lineRule="auto"/>
        <w:tabs>
          <w:tab w:leader="none" w:pos="82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 our annual meeting of shareholders held on May 21, 2014, our shareholders approved, or did not approve, the following proposals. The number of votes cast for and against (or withheld) and the number of abstentions and broker non-votes with respect to each such proposal are set forth below.</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(1) All of the director nominees named in the definitive proxy statement, dated April 11, 2014, were elected to serve as directors for one-year terms.</w:t>
      </w:r>
    </w:p>
    <w:p>
      <w:pPr>
        <w:spacing w:after="0" w:line="200" w:lineRule="exact"/>
        <w:rPr>
          <w:sz w:val="20"/>
          <w:szCs w:val="20"/>
          <w:color w:val="auto"/>
        </w:rPr>
      </w:pPr>
    </w:p>
    <w:p>
      <w:pPr>
        <w:spacing w:after="0" w:line="29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w w:val="91"/>
              </w:rPr>
              <w:t>Director</w:t>
            </w:r>
          </w:p>
        </w:tc>
        <w:tc>
          <w:tcPr>
            <w:tcW w:w="2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gridSpan w:val="2"/>
          </w:tcPr>
          <w:p>
            <w:pPr>
              <w:jc w:val="center"/>
              <w:ind w:right="880"/>
              <w:spacing w:after="0"/>
              <w:rPr>
                <w:sz w:val="20"/>
                <w:szCs w:val="20"/>
                <w:color w:val="auto"/>
              </w:rPr>
            </w:pPr>
            <w:r>
              <w:rPr>
                <w:rFonts w:ascii="Arial" w:cs="Arial" w:eastAsia="Arial" w:hAnsi="Arial"/>
                <w:sz w:val="18"/>
                <w:szCs w:val="18"/>
                <w:color w:val="auto"/>
                <w:w w:val="88"/>
              </w:rPr>
              <w:t>For</w:t>
            </w:r>
          </w:p>
        </w:tc>
        <w:tc>
          <w:tcPr>
            <w:tcW w:w="660" w:type="dxa"/>
            <w:vAlign w:val="bottom"/>
          </w:tcPr>
          <w:p>
            <w:pPr>
              <w:spacing w:after="0"/>
              <w:rPr>
                <w:sz w:val="17"/>
                <w:szCs w:val="17"/>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8"/>
                <w:szCs w:val="18"/>
                <w:color w:val="auto"/>
                <w:w w:val="91"/>
              </w:rPr>
              <w:t>Withheld</w:t>
            </w:r>
          </w:p>
        </w:tc>
        <w:tc>
          <w:tcPr>
            <w:tcW w:w="1300" w:type="dxa"/>
            <w:vAlign w:val="bottom"/>
          </w:tcPr>
          <w:p>
            <w:pPr>
              <w:jc w:val="right"/>
              <w:spacing w:after="0"/>
              <w:rPr>
                <w:sz w:val="20"/>
                <w:szCs w:val="20"/>
                <w:color w:val="auto"/>
              </w:rPr>
            </w:pPr>
            <w:r>
              <w:rPr>
                <w:rFonts w:ascii="Arial" w:cs="Arial" w:eastAsia="Arial" w:hAnsi="Arial"/>
                <w:sz w:val="18"/>
                <w:szCs w:val="18"/>
                <w:color w:val="auto"/>
                <w:w w:val="89"/>
              </w:rPr>
              <w:t>Broker Non-Votes</w:t>
            </w:r>
          </w:p>
        </w:tc>
      </w:tr>
      <w:tr>
        <w:trPr>
          <w:trHeight w:val="20"/>
        </w:trPr>
        <w:tc>
          <w:tcPr>
            <w:tcW w:w="6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355,167,064</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3,036,708</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355,693,380</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2,510,392</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356,294,398</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1,909,374</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340,738,488</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17,465,284</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355,472,180</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2,731,592</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Gerald L. Hassell</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341,805,892</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16,397,880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356,657,873</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1,544,899</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357,026,033</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1,177,739</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352,869,739</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5,334,033</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354,966,558</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3,237,214</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Johnathan A. Rodgers</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357,016,316</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1,187,456</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324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339,347,422</w:t>
            </w:r>
          </w:p>
        </w:tc>
        <w:tc>
          <w:tcPr>
            <w:tcW w:w="2360" w:type="dxa"/>
            <w:vAlign w:val="bottom"/>
            <w:gridSpan w:val="3"/>
          </w:tcPr>
          <w:p>
            <w:pPr>
              <w:jc w:val="right"/>
              <w:ind w:right="1020"/>
              <w:spacing w:after="0"/>
              <w:rPr>
                <w:sz w:val="20"/>
                <w:szCs w:val="20"/>
                <w:color w:val="auto"/>
              </w:rPr>
            </w:pPr>
            <w:r>
              <w:rPr>
                <w:rFonts w:ascii="Arial" w:cs="Arial" w:eastAsia="Arial" w:hAnsi="Arial"/>
                <w:sz w:val="18"/>
                <w:szCs w:val="18"/>
                <w:color w:val="auto"/>
              </w:rPr>
              <w:t>18,856,350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19,580,871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2014 fiscal year, as described in the proxy statement, was ratified.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For</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6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200" w:type="dxa"/>
            <w:vAlign w:val="bottom"/>
          </w:tcPr>
          <w:p>
            <w:pPr>
              <w:jc w:val="right"/>
              <w:ind w:right="1110"/>
              <w:spacing w:after="0"/>
              <w:rPr>
                <w:sz w:val="20"/>
                <w:szCs w:val="20"/>
                <w:color w:val="auto"/>
              </w:rPr>
            </w:pPr>
            <w:r>
              <w:rPr>
                <w:rFonts w:ascii="Arial" w:cs="Arial" w:eastAsia="Arial" w:hAnsi="Arial"/>
                <w:sz w:val="18"/>
                <w:szCs w:val="18"/>
                <w:color w:val="auto"/>
              </w:rPr>
              <w:t>374,673,020</w:t>
            </w:r>
          </w:p>
        </w:tc>
        <w:tc>
          <w:tcPr>
            <w:tcW w:w="3200" w:type="dxa"/>
            <w:vAlign w:val="bottom"/>
          </w:tcPr>
          <w:p>
            <w:pPr>
              <w:jc w:val="right"/>
              <w:ind w:right="1190"/>
              <w:spacing w:after="0"/>
              <w:rPr>
                <w:sz w:val="20"/>
                <w:szCs w:val="20"/>
                <w:color w:val="auto"/>
              </w:rPr>
            </w:pPr>
            <w:r>
              <w:rPr>
                <w:rFonts w:ascii="Arial" w:cs="Arial" w:eastAsia="Arial" w:hAnsi="Arial"/>
                <w:sz w:val="18"/>
                <w:szCs w:val="18"/>
                <w:color w:val="auto"/>
              </w:rPr>
              <w:t>2,268,128</w:t>
            </w:r>
          </w:p>
        </w:tc>
        <w:tc>
          <w:tcPr>
            <w:tcW w:w="2680" w:type="dxa"/>
            <w:vAlign w:val="bottom"/>
          </w:tcPr>
          <w:p>
            <w:pPr>
              <w:ind w:left="1300"/>
              <w:spacing w:after="0"/>
              <w:rPr>
                <w:sz w:val="20"/>
                <w:szCs w:val="20"/>
                <w:color w:val="auto"/>
              </w:rPr>
            </w:pPr>
            <w:r>
              <w:rPr>
                <w:rFonts w:ascii="Arial" w:cs="Arial" w:eastAsia="Arial" w:hAnsi="Arial"/>
                <w:sz w:val="18"/>
                <w:szCs w:val="18"/>
                <w:color w:val="auto"/>
              </w:rPr>
              <w:t>843,496</w:t>
            </w:r>
          </w:p>
        </w:tc>
        <w:tc>
          <w:tcPr>
            <w:tcW w:w="2340" w:type="dxa"/>
            <w:vAlign w:val="bottom"/>
          </w:tcPr>
          <w:p>
            <w:pPr>
              <w:jc w:val="center"/>
              <w:ind w:left="470"/>
              <w:spacing w:after="0"/>
              <w:rPr>
                <w:sz w:val="20"/>
                <w:szCs w:val="20"/>
                <w:color w:val="auto"/>
              </w:rPr>
            </w:pPr>
            <w:r>
              <w:rPr>
                <w:rFonts w:ascii="Arial" w:cs="Arial" w:eastAsia="Arial" w:hAnsi="Arial"/>
                <w:sz w:val="18"/>
                <w:szCs w:val="18"/>
                <w:color w:val="auto"/>
                <w:w w:val="99"/>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 Our executive compensation, as described in the proxy statement, was approved on an advisory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Abstain</w:t>
            </w:r>
          </w:p>
        </w:tc>
        <w:tc>
          <w:tcPr>
            <w:tcW w:w="23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2"/>
              </w:rPr>
              <w:t>Broker Non-Votes</w:t>
            </w:r>
          </w:p>
        </w:tc>
      </w:tr>
      <w:tr>
        <w:trPr>
          <w:trHeight w:val="224"/>
        </w:trPr>
        <w:tc>
          <w:tcPr>
            <w:tcW w:w="3180" w:type="dxa"/>
            <w:vAlign w:val="bottom"/>
          </w:tcPr>
          <w:p>
            <w:pPr>
              <w:jc w:val="right"/>
              <w:ind w:right="1090"/>
              <w:spacing w:after="0"/>
              <w:rPr>
                <w:sz w:val="20"/>
                <w:szCs w:val="20"/>
                <w:color w:val="auto"/>
              </w:rPr>
            </w:pPr>
            <w:r>
              <w:rPr>
                <w:rFonts w:ascii="Arial" w:cs="Arial" w:eastAsia="Arial" w:hAnsi="Arial"/>
                <w:sz w:val="18"/>
                <w:szCs w:val="18"/>
                <w:color w:val="auto"/>
              </w:rPr>
              <w:t>330,326,541</w:t>
            </w:r>
          </w:p>
        </w:tc>
        <w:tc>
          <w:tcPr>
            <w:tcW w:w="3220" w:type="dxa"/>
            <w:vAlign w:val="bottom"/>
          </w:tcPr>
          <w:p>
            <w:pPr>
              <w:jc w:val="right"/>
              <w:ind w:right="1150"/>
              <w:spacing w:after="0"/>
              <w:rPr>
                <w:sz w:val="20"/>
                <w:szCs w:val="20"/>
                <w:color w:val="auto"/>
              </w:rPr>
            </w:pPr>
            <w:r>
              <w:rPr>
                <w:rFonts w:ascii="Arial" w:cs="Arial" w:eastAsia="Arial" w:hAnsi="Arial"/>
                <w:sz w:val="18"/>
                <w:szCs w:val="18"/>
                <w:color w:val="auto"/>
              </w:rPr>
              <w:t>25,727,095</w:t>
            </w:r>
          </w:p>
        </w:tc>
        <w:tc>
          <w:tcPr>
            <w:tcW w:w="2720" w:type="dxa"/>
            <w:vAlign w:val="bottom"/>
          </w:tcPr>
          <w:p>
            <w:pPr>
              <w:jc w:val="right"/>
              <w:ind w:right="690"/>
              <w:spacing w:after="0"/>
              <w:rPr>
                <w:sz w:val="20"/>
                <w:szCs w:val="20"/>
                <w:color w:val="auto"/>
              </w:rPr>
            </w:pPr>
            <w:r>
              <w:rPr>
                <w:rFonts w:ascii="Arial" w:cs="Arial" w:eastAsia="Arial" w:hAnsi="Arial"/>
                <w:sz w:val="18"/>
                <w:szCs w:val="18"/>
                <w:color w:val="auto"/>
              </w:rPr>
              <w:t>2,150,137</w:t>
            </w:r>
          </w:p>
        </w:tc>
        <w:tc>
          <w:tcPr>
            <w:tcW w:w="2300" w:type="dxa"/>
            <w:vAlign w:val="bottom"/>
          </w:tcPr>
          <w:p>
            <w:pPr>
              <w:jc w:val="right"/>
              <w:ind w:right="390"/>
              <w:spacing w:after="0"/>
              <w:rPr>
                <w:sz w:val="20"/>
                <w:szCs w:val="20"/>
                <w:color w:val="auto"/>
              </w:rPr>
            </w:pPr>
            <w:r>
              <w:rPr>
                <w:rFonts w:ascii="Arial" w:cs="Arial" w:eastAsia="Arial" w:hAnsi="Arial"/>
                <w:sz w:val="18"/>
                <w:szCs w:val="18"/>
                <w:color w:val="auto"/>
              </w:rPr>
              <w:t>19,580,871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 A shareholder proposal to prepare an annual report on lobbying activities, as described in the proxy statement, was not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Abstain</w:t>
            </w:r>
          </w:p>
        </w:tc>
        <w:tc>
          <w:tcPr>
            <w:tcW w:w="22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2"/>
              </w:rPr>
              <w:t>Broker Non-Votes</w:t>
            </w:r>
          </w:p>
        </w:tc>
      </w:tr>
      <w:tr>
        <w:trPr>
          <w:trHeight w:val="224"/>
        </w:trPr>
        <w:tc>
          <w:tcPr>
            <w:tcW w:w="3140" w:type="dxa"/>
            <w:vAlign w:val="bottom"/>
          </w:tcPr>
          <w:p>
            <w:pPr>
              <w:jc w:val="right"/>
              <w:ind w:right="1090"/>
              <w:spacing w:after="0"/>
              <w:rPr>
                <w:sz w:val="20"/>
                <w:szCs w:val="20"/>
                <w:color w:val="auto"/>
              </w:rPr>
            </w:pPr>
            <w:r>
              <w:rPr>
                <w:rFonts w:ascii="Arial" w:cs="Arial" w:eastAsia="Arial" w:hAnsi="Arial"/>
                <w:sz w:val="18"/>
                <w:szCs w:val="18"/>
                <w:color w:val="auto"/>
              </w:rPr>
              <w:t>49,933,910</w:t>
            </w:r>
          </w:p>
        </w:tc>
        <w:tc>
          <w:tcPr>
            <w:tcW w:w="3260" w:type="dxa"/>
            <w:vAlign w:val="bottom"/>
          </w:tcPr>
          <w:p>
            <w:pPr>
              <w:jc w:val="right"/>
              <w:ind w:right="1090"/>
              <w:spacing w:after="0"/>
              <w:rPr>
                <w:sz w:val="20"/>
                <w:szCs w:val="20"/>
                <w:color w:val="auto"/>
              </w:rPr>
            </w:pPr>
            <w:r>
              <w:rPr>
                <w:rFonts w:ascii="Arial" w:cs="Arial" w:eastAsia="Arial" w:hAnsi="Arial"/>
                <w:sz w:val="18"/>
                <w:szCs w:val="18"/>
                <w:color w:val="auto"/>
              </w:rPr>
              <w:t>289,278,066</w:t>
            </w:r>
          </w:p>
        </w:tc>
        <w:tc>
          <w:tcPr>
            <w:tcW w:w="2740" w:type="dxa"/>
            <w:vAlign w:val="bottom"/>
          </w:tcPr>
          <w:p>
            <w:pPr>
              <w:jc w:val="right"/>
              <w:ind w:right="670"/>
              <w:spacing w:after="0"/>
              <w:rPr>
                <w:sz w:val="20"/>
                <w:szCs w:val="20"/>
                <w:color w:val="auto"/>
              </w:rPr>
            </w:pPr>
            <w:r>
              <w:rPr>
                <w:rFonts w:ascii="Arial" w:cs="Arial" w:eastAsia="Arial" w:hAnsi="Arial"/>
                <w:sz w:val="18"/>
                <w:szCs w:val="18"/>
                <w:color w:val="auto"/>
              </w:rPr>
              <w:t>18,991,797</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19,580,871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 A shareholder proposal to prohibit accelerated vesting upon a change in control, as described in the proxy statement, was not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Abstain</w:t>
            </w:r>
          </w:p>
        </w:tc>
        <w:tc>
          <w:tcPr>
            <w:tcW w:w="23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2"/>
              </w:rPr>
              <w:t>Broker Non-Votes</w:t>
            </w:r>
          </w:p>
        </w:tc>
      </w:tr>
      <w:tr>
        <w:trPr>
          <w:trHeight w:val="224"/>
        </w:trPr>
        <w:tc>
          <w:tcPr>
            <w:tcW w:w="3140" w:type="dxa"/>
            <w:vAlign w:val="bottom"/>
          </w:tcPr>
          <w:p>
            <w:pPr>
              <w:jc w:val="right"/>
              <w:ind w:right="1090"/>
              <w:spacing w:after="0"/>
              <w:rPr>
                <w:sz w:val="20"/>
                <w:szCs w:val="20"/>
                <w:color w:val="auto"/>
              </w:rPr>
            </w:pPr>
            <w:r>
              <w:rPr>
                <w:rFonts w:ascii="Arial" w:cs="Arial" w:eastAsia="Arial" w:hAnsi="Arial"/>
                <w:sz w:val="18"/>
                <w:szCs w:val="18"/>
                <w:color w:val="auto"/>
              </w:rPr>
              <w:t>84,307,068</w:t>
            </w:r>
          </w:p>
        </w:tc>
        <w:tc>
          <w:tcPr>
            <w:tcW w:w="3280" w:type="dxa"/>
            <w:vAlign w:val="bottom"/>
          </w:tcPr>
          <w:p>
            <w:pPr>
              <w:jc w:val="right"/>
              <w:ind w:right="1110"/>
              <w:spacing w:after="0"/>
              <w:rPr>
                <w:sz w:val="20"/>
                <w:szCs w:val="20"/>
                <w:color w:val="auto"/>
              </w:rPr>
            </w:pPr>
            <w:r>
              <w:rPr>
                <w:rFonts w:ascii="Arial" w:cs="Arial" w:eastAsia="Arial" w:hAnsi="Arial"/>
                <w:sz w:val="18"/>
                <w:szCs w:val="18"/>
                <w:color w:val="auto"/>
              </w:rPr>
              <w:t>272,289,982</w:t>
            </w:r>
          </w:p>
        </w:tc>
        <w:tc>
          <w:tcPr>
            <w:tcW w:w="2700" w:type="dxa"/>
            <w:vAlign w:val="bottom"/>
          </w:tcPr>
          <w:p>
            <w:pPr>
              <w:jc w:val="right"/>
              <w:ind w:right="690"/>
              <w:spacing w:after="0"/>
              <w:rPr>
                <w:sz w:val="20"/>
                <w:szCs w:val="20"/>
                <w:color w:val="auto"/>
              </w:rPr>
            </w:pPr>
            <w:r>
              <w:rPr>
                <w:rFonts w:ascii="Arial" w:cs="Arial" w:eastAsia="Arial" w:hAnsi="Arial"/>
                <w:sz w:val="18"/>
                <w:szCs w:val="18"/>
                <w:color w:val="auto"/>
              </w:rPr>
              <w:t>1,606,723</w:t>
            </w:r>
          </w:p>
        </w:tc>
        <w:tc>
          <w:tcPr>
            <w:tcW w:w="2300" w:type="dxa"/>
            <w:vAlign w:val="bottom"/>
          </w:tcPr>
          <w:p>
            <w:pPr>
              <w:jc w:val="right"/>
              <w:ind w:right="390"/>
              <w:spacing w:after="0"/>
              <w:rPr>
                <w:sz w:val="20"/>
                <w:szCs w:val="20"/>
                <w:color w:val="auto"/>
              </w:rPr>
            </w:pPr>
            <w:r>
              <w:rPr>
                <w:rFonts w:ascii="Arial" w:cs="Arial" w:eastAsia="Arial" w:hAnsi="Arial"/>
                <w:sz w:val="18"/>
                <w:szCs w:val="18"/>
                <w:color w:val="auto"/>
              </w:rPr>
              <w:t>19,580,871</w:t>
            </w:r>
          </w:p>
        </w:tc>
      </w:tr>
    </w:tbl>
    <w:p>
      <w:pPr>
        <w:spacing w:after="0" w:line="214"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shareholder floor proposal to conduct a feasibility study on prohibiting the use of company funds to directly influence the outcome of any election or referendum and to report to shareholders thereon was not approved.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6"/>
              </w:rPr>
              <w:t>For</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000" w:type="dxa"/>
            <w:vAlign w:val="bottom"/>
          </w:tcPr>
          <w:p>
            <w:pPr>
              <w:jc w:val="right"/>
              <w:ind w:right="1310"/>
              <w:spacing w:after="0"/>
              <w:rPr>
                <w:sz w:val="20"/>
                <w:szCs w:val="20"/>
                <w:color w:val="auto"/>
              </w:rPr>
            </w:pPr>
            <w:r>
              <w:rPr>
                <w:rFonts w:ascii="Arial" w:cs="Arial" w:eastAsia="Arial" w:hAnsi="Arial"/>
                <w:sz w:val="18"/>
                <w:szCs w:val="18"/>
                <w:color w:val="auto"/>
              </w:rPr>
              <w:t>5</w:t>
            </w:r>
          </w:p>
        </w:tc>
        <w:tc>
          <w:tcPr>
            <w:tcW w:w="3460" w:type="dxa"/>
            <w:vAlign w:val="bottom"/>
          </w:tcPr>
          <w:p>
            <w:pPr>
              <w:jc w:val="right"/>
              <w:ind w:right="1150"/>
              <w:spacing w:after="0"/>
              <w:rPr>
                <w:sz w:val="20"/>
                <w:szCs w:val="20"/>
                <w:color w:val="auto"/>
              </w:rPr>
            </w:pPr>
            <w:r>
              <w:rPr>
                <w:rFonts w:ascii="Arial" w:cs="Arial" w:eastAsia="Arial" w:hAnsi="Arial"/>
                <w:sz w:val="18"/>
                <w:szCs w:val="18"/>
                <w:color w:val="auto"/>
              </w:rPr>
              <w:t>358,203,768</w:t>
            </w:r>
          </w:p>
        </w:tc>
        <w:tc>
          <w:tcPr>
            <w:tcW w:w="2620" w:type="dxa"/>
            <w:vAlign w:val="bottom"/>
          </w:tcPr>
          <w:p>
            <w:pPr>
              <w:jc w:val="right"/>
              <w:ind w:right="970"/>
              <w:spacing w:after="0"/>
              <w:rPr>
                <w:sz w:val="20"/>
                <w:szCs w:val="20"/>
                <w:color w:val="auto"/>
              </w:rPr>
            </w:pPr>
            <w:r>
              <w:rPr>
                <w:rFonts w:ascii="Arial" w:cs="Arial" w:eastAsia="Arial" w:hAnsi="Arial"/>
                <w:sz w:val="18"/>
                <w:szCs w:val="18"/>
                <w:color w:val="auto"/>
              </w:rPr>
              <w:t>0</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19,580,871</w:t>
            </w:r>
          </w:p>
        </w:tc>
      </w:tr>
      <w:tr>
        <w:trPr>
          <w:trHeight w:val="887"/>
        </w:trPr>
        <w:tc>
          <w:tcPr>
            <w:tcW w:w="300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600" w:type="dxa"/>
            <w:vAlign w:val="bottom"/>
            <w:gridSpan w:val="3"/>
          </w:tcPr>
          <w:p>
            <w:pPr>
              <w:ind w:left="2060"/>
              <w:spacing w:after="0"/>
              <w:rPr>
                <w:sz w:val="20"/>
                <w:szCs w:val="20"/>
                <w:color w:val="auto"/>
              </w:rPr>
            </w:pPr>
            <w:r>
              <w:rPr>
                <w:rFonts w:ascii="Arial" w:cs="Arial" w:eastAsia="Arial" w:hAnsi="Arial"/>
                <w:sz w:val="18"/>
                <w:szCs w:val="18"/>
                <w:b w:val="1"/>
                <w:bCs w:val="1"/>
                <w:color w:val="auto"/>
              </w:rPr>
              <w:t>COMCAST CORPORATION</w:t>
            </w:r>
          </w:p>
        </w:tc>
        <w:tc>
          <w:tcPr>
            <w:tcW w:w="116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May 22, 2014</w:t>
            </w:r>
          </w:p>
        </w:tc>
        <w:tc>
          <w:tcPr>
            <w:tcW w:w="6600" w:type="dxa"/>
            <w:vAlign w:val="bottom"/>
            <w:gridSpan w:val="3"/>
          </w:tcPr>
          <w:p>
            <w:pPr>
              <w:ind w:left="2060"/>
              <w:spacing w:after="0"/>
              <w:rPr>
                <w:sz w:val="20"/>
                <w:szCs w:val="20"/>
                <w:color w:val="auto"/>
              </w:rPr>
            </w:pPr>
            <w:r>
              <w:rPr>
                <w:rFonts w:ascii="Arial" w:cs="Arial" w:eastAsia="Arial" w:hAnsi="Arial"/>
                <w:sz w:val="18"/>
                <w:szCs w:val="18"/>
                <w:color w:val="auto"/>
              </w:rPr>
              <w:t>By:  /s/ Lawrence J. Salva</w:t>
            </w:r>
          </w:p>
        </w:tc>
        <w:tc>
          <w:tcPr>
            <w:tcW w:w="116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Lawrence J. Salva</w:t>
            </w:r>
          </w:p>
        </w:tc>
        <w:tc>
          <w:tcPr>
            <w:tcW w:w="116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Senior Vice President; Chief Accounting</w:t>
            </w:r>
          </w:p>
        </w:tc>
        <w:tc>
          <w:tcPr>
            <w:tcW w:w="116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rPr>
              <w:t>Officer and Controller</w:t>
            </w:r>
          </w:p>
        </w:tc>
        <w:tc>
          <w:tcPr>
            <w:tcW w:w="1160" w:type="dxa"/>
            <w:vAlign w:val="bottom"/>
          </w:tcPr>
          <w:p>
            <w:pPr>
              <w:spacing w:after="0"/>
              <w:rPr>
                <w:sz w:val="20"/>
                <w:szCs w:val="20"/>
                <w:color w:val="auto"/>
              </w:rPr>
            </w:pPr>
          </w:p>
        </w:tc>
      </w:tr>
      <w:tr>
        <w:trPr>
          <w:trHeight w:val="1091"/>
        </w:trPr>
        <w:tc>
          <w:tcPr>
            <w:tcW w:w="36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7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2019-12-07T03:05:08Z</dcterms:created>
  <dcterms:modified xsi:type="dcterms:W3CDTF">2019-12-07T03:05:08Z</dcterms:modified>
</cp:coreProperties>
</file>