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17, 2020</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(State or other jurisdiction of incorporation)</w:t>
      </w:r>
    </w:p>
    <w:p>
      <w:pPr>
        <w:sectPr>
          <w:pgSz w:w="11900" w:h="16838" w:orient="portrait"/>
          <w:cols w:equalWidth="0" w:num="1">
            <w:col w:w="11240"/>
          </w:cols>
          <w:pgMar w:left="320" w:top="792" w:right="339" w:bottom="576" w:gutter="0" w:footer="0" w:header="0"/>
        </w:sectPr>
      </w:pPr>
    </w:p>
    <w:p>
      <w:pPr>
        <w:spacing w:after="0" w:line="9" w:lineRule="exact"/>
        <w:rPr>
          <w:sz w:val="24"/>
          <w:szCs w:val="24"/>
          <w:color w:val="auto"/>
        </w:rPr>
      </w:pPr>
    </w:p>
    <w:p>
      <w:pPr>
        <w:jc w:val="center"/>
        <w:ind w:right="3740"/>
        <w:spacing w:after="0"/>
        <w:rPr>
          <w:sz w:val="20"/>
          <w:szCs w:val="20"/>
          <w:color w:val="auto"/>
        </w:rPr>
      </w:pPr>
      <w:r>
        <w:rPr>
          <w:rFonts w:ascii="Arial" w:cs="Arial" w:eastAsia="Arial" w:hAnsi="Arial"/>
          <w:sz w:val="18"/>
          <w:szCs w:val="18"/>
          <w:b w:val="1"/>
          <w:bCs w:val="1"/>
          <w:color w:val="auto"/>
        </w:rPr>
        <w:t>001-32871</w:t>
      </w:r>
    </w:p>
    <w:p>
      <w:pPr>
        <w:spacing w:after="0" w:line="9" w:lineRule="exact"/>
        <w:rPr>
          <w:sz w:val="24"/>
          <w:szCs w:val="24"/>
          <w:color w:val="auto"/>
        </w:rPr>
      </w:pPr>
    </w:p>
    <w:p>
      <w:pPr>
        <w:jc w:val="center"/>
        <w:ind w:right="3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8"/>
          <w:szCs w:val="18"/>
          <w:b w:val="1"/>
          <w:bCs w:val="1"/>
          <w:color w:val="auto"/>
        </w:rPr>
        <w:t>27-0000798</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7360" w:space="720"/>
            <w:col w:w="3160"/>
          </w:cols>
          <w:pgMar w:left="320" w:top="792" w:right="339" w:bottom="576" w:gutter="0" w:footer="0" w:header="0"/>
          <w:type w:val="continuous"/>
        </w:sectPr>
      </w:pPr>
    </w:p>
    <w:p>
      <w:pPr>
        <w:spacing w:after="0" w:line="5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5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8240" w:space="720"/>
            <w:col w:w="2280"/>
          </w:cols>
          <w:pgMar w:left="320" w:top="792" w:right="339" w:bottom="576"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38"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9"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2027</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CMCS27</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CMCS29</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2032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CMCS32</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 Notes due 2036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CMCS36</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2040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CMCS40</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CMCSA/22</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CCGBP29</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 Exchangeable Subordinated Debentures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57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12529"/>
        </w:rPr>
        <w:t xml:space="preserve">On June 18, 2020, </w:t>
      </w:r>
      <w:r>
        <w:rPr>
          <w:rFonts w:ascii="Arial" w:cs="Arial" w:eastAsia="Arial" w:hAnsi="Arial"/>
          <w:sz w:val="18"/>
          <w:szCs w:val="18"/>
          <w:color w:val="000000"/>
        </w:rPr>
        <w:t>Comcast Corporation (“Comcast”) announced that, as of 5:00 p.m., New York City time, on June 17, 2020, it had received tenders for an</w:t>
      </w:r>
      <w:r>
        <w:rPr>
          <w:rFonts w:ascii="Arial" w:cs="Arial" w:eastAsia="Arial" w:hAnsi="Arial"/>
          <w:sz w:val="18"/>
          <w:szCs w:val="18"/>
          <w:color w:val="212529"/>
        </w:rPr>
        <w:t xml:space="preserve"> </w:t>
      </w:r>
      <w:r>
        <w:rPr>
          <w:rFonts w:ascii="Arial" w:cs="Arial" w:eastAsia="Arial" w:hAnsi="Arial"/>
          <w:sz w:val="18"/>
          <w:szCs w:val="18"/>
          <w:color w:val="000000"/>
        </w:rPr>
        <w:t>aggregate principal amount of $585,105,000 of the $1,000,000,000 total outstanding aggregate principal amount of its Floating Rate Notes due October 2021 (the “Comcast Notes”), and NBCUniversal Enterprise, Inc., a subsidiary of Comcast, had received tenders for an aggregate principal amount of $1,191,465,000 of the $1,500,000,000 total outstanding aggregate principal amount of its Senior Floating Rate Notes due April 2021 (the “NBCU Enterprise Notes” and, together with the Comcast Notes, the “Notes”), in each case in the cash tender offers announced on June 11, 2020, which were made pursuant to the Offer to Purchase and the related Letter of Transmittal and Notice of Guaranteed Delivery, each dated June 11, 2020 (the “Tender Offer Documents”).</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 additional $1,041,000 aggregate principal amount of the Comcast Notes were tendered pursuant to the guaranteed delivery procedures described in the Tender Offer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hereto and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Current Report on Form 8-K is neither an offer to sell nor a solicitation of offers to buy any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34"/>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Number</w:t>
            </w:r>
          </w:p>
        </w:tc>
        <w:tc>
          <w:tcPr>
            <w:tcW w:w="460" w:type="dxa"/>
            <w:vAlign w:val="bottom"/>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101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Comcast press release dated June 18, 2020 announcing the results of the tender offers.</w:t>
              </w:r>
            </w:hyperlink>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11"/>
        </w:trPr>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June 18, 2020</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Elizabeth Wideman</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Elizabeth Wideman</w:t>
            </w: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Title:  Vice President, Senior Deputy General Counsel and Assistant</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ind w:left="560"/>
              <w:spacing w:after="0"/>
              <w:rPr>
                <w:sz w:val="20"/>
                <w:szCs w:val="20"/>
                <w:color w:val="auto"/>
              </w:rPr>
            </w:pPr>
            <w:r>
              <w:rPr>
                <w:rFonts w:ascii="Arial" w:cs="Arial" w:eastAsia="Arial" w:hAnsi="Arial"/>
                <w:sz w:val="18"/>
                <w:szCs w:val="18"/>
                <w:color w:val="auto"/>
              </w:rPr>
              <w:t>Secretary</w:t>
            </w:r>
          </w:p>
        </w:tc>
      </w:tr>
      <w:tr>
        <w:trPr>
          <w:trHeight w:val="311"/>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1440180" cy="62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280"/>
        <w:spacing w:after="0" w:line="282" w:lineRule="auto"/>
        <w:rPr>
          <w:sz w:val="20"/>
          <w:szCs w:val="20"/>
          <w:color w:val="auto"/>
        </w:rPr>
      </w:pPr>
      <w:r>
        <w:rPr>
          <w:rFonts w:ascii="Arial" w:cs="Arial" w:eastAsia="Arial" w:hAnsi="Arial"/>
          <w:sz w:val="18"/>
          <w:szCs w:val="18"/>
          <w:b w:val="1"/>
          <w:bCs w:val="1"/>
          <w:color w:val="auto"/>
        </w:rPr>
        <w:t>Comcast Corporation and NBCUniversal Enterprise, Inc. Announce Results of Tender Offers for Certain of their Outstanding Senior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June 18, 2020 9:00 AM Eastern Daylight Time</w:t>
      </w:r>
    </w:p>
    <w:p>
      <w:pPr>
        <w:spacing w:after="0" w:line="2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PHILADELPHIA, Pennsylvania.--(BUSINESS WIRE)—Comcast Corporation (“</w:t>
      </w:r>
      <w:r>
        <w:rPr>
          <w:rFonts w:ascii="Arial" w:cs="Arial" w:eastAsia="Arial" w:hAnsi="Arial"/>
          <w:sz w:val="17"/>
          <w:szCs w:val="17"/>
          <w:b w:val="1"/>
          <w:bCs w:val="1"/>
          <w:color w:val="auto"/>
        </w:rPr>
        <w:t>Comcast</w:t>
      </w:r>
      <w:r>
        <w:rPr>
          <w:rFonts w:ascii="Arial" w:cs="Arial" w:eastAsia="Arial" w:hAnsi="Arial"/>
          <w:sz w:val="17"/>
          <w:szCs w:val="17"/>
          <w:color w:val="auto"/>
        </w:rPr>
        <w:t>”) announced that, as of 5:00 p.m., New York City time, on June 17, 2020 (the “</w:t>
      </w:r>
      <w:r>
        <w:rPr>
          <w:rFonts w:ascii="Arial" w:cs="Arial" w:eastAsia="Arial" w:hAnsi="Arial"/>
          <w:sz w:val="17"/>
          <w:szCs w:val="17"/>
          <w:b w:val="1"/>
          <w:bCs w:val="1"/>
          <w:color w:val="auto"/>
        </w:rPr>
        <w:t>Expiration Time</w:t>
      </w:r>
      <w:r>
        <w:rPr>
          <w:rFonts w:ascii="Arial" w:cs="Arial" w:eastAsia="Arial" w:hAnsi="Arial"/>
          <w:sz w:val="17"/>
          <w:szCs w:val="17"/>
          <w:color w:val="auto"/>
        </w:rPr>
        <w:t>”), it had received tenders for an aggregate principal amount of $585,105,000 of the $1,000,000,000 total outstanding aggregate principal amount of its Floating Rate Notes due October 2021 (the “</w:t>
      </w:r>
      <w:r>
        <w:rPr>
          <w:rFonts w:ascii="Arial" w:cs="Arial" w:eastAsia="Arial" w:hAnsi="Arial"/>
          <w:sz w:val="17"/>
          <w:szCs w:val="17"/>
          <w:b w:val="1"/>
          <w:bCs w:val="1"/>
          <w:color w:val="auto"/>
        </w:rPr>
        <w:t>Comcast Notes</w:t>
      </w:r>
      <w:r>
        <w:rPr>
          <w:rFonts w:ascii="Arial" w:cs="Arial" w:eastAsia="Arial" w:hAnsi="Arial"/>
          <w:sz w:val="17"/>
          <w:szCs w:val="17"/>
          <w:color w:val="auto"/>
        </w:rPr>
        <w:t>”), and NBCUniversal Enterprise, Inc., a subsidiary of Comcast (“</w:t>
      </w:r>
      <w:r>
        <w:rPr>
          <w:rFonts w:ascii="Arial" w:cs="Arial" w:eastAsia="Arial" w:hAnsi="Arial"/>
          <w:sz w:val="17"/>
          <w:szCs w:val="17"/>
          <w:b w:val="1"/>
          <w:bCs w:val="1"/>
          <w:color w:val="auto"/>
        </w:rPr>
        <w:t>NBCU Enterprise</w:t>
      </w:r>
      <w:r>
        <w:rPr>
          <w:rFonts w:ascii="Arial" w:cs="Arial" w:eastAsia="Arial" w:hAnsi="Arial"/>
          <w:sz w:val="17"/>
          <w:szCs w:val="17"/>
          <w:color w:val="auto"/>
        </w:rPr>
        <w:t>” and, together with Comcast, the “</w:t>
      </w:r>
      <w:r>
        <w:rPr>
          <w:rFonts w:ascii="Arial" w:cs="Arial" w:eastAsia="Arial" w:hAnsi="Arial"/>
          <w:sz w:val="17"/>
          <w:szCs w:val="17"/>
          <w:b w:val="1"/>
          <w:bCs w:val="1"/>
          <w:color w:val="auto"/>
        </w:rPr>
        <w:t>Issuers</w:t>
      </w:r>
      <w:r>
        <w:rPr>
          <w:rFonts w:ascii="Arial" w:cs="Arial" w:eastAsia="Arial" w:hAnsi="Arial"/>
          <w:sz w:val="17"/>
          <w:szCs w:val="17"/>
          <w:color w:val="auto"/>
        </w:rPr>
        <w:t>”) had received tenders for an aggregate principal amount of $1,191,465,000 of the $1,500,000,000 total outstanding aggregate principal amount of its Senior Floating Rate Notes due April 2021 (the “</w:t>
      </w:r>
      <w:r>
        <w:rPr>
          <w:rFonts w:ascii="Arial" w:cs="Arial" w:eastAsia="Arial" w:hAnsi="Arial"/>
          <w:sz w:val="17"/>
          <w:szCs w:val="17"/>
          <w:b w:val="1"/>
          <w:bCs w:val="1"/>
          <w:color w:val="auto"/>
        </w:rPr>
        <w:t>NBCU Enterprise Notes</w:t>
      </w:r>
      <w:r>
        <w:rPr>
          <w:rFonts w:ascii="Arial" w:cs="Arial" w:eastAsia="Arial" w:hAnsi="Arial"/>
          <w:sz w:val="17"/>
          <w:szCs w:val="17"/>
          <w:color w:val="auto"/>
        </w:rPr>
        <w:t>” and, together with the Comcast Notes, the “</w:t>
      </w:r>
      <w:r>
        <w:rPr>
          <w:rFonts w:ascii="Arial" w:cs="Arial" w:eastAsia="Arial" w:hAnsi="Arial"/>
          <w:sz w:val="17"/>
          <w:szCs w:val="17"/>
          <w:b w:val="1"/>
          <w:bCs w:val="1"/>
          <w:color w:val="auto"/>
        </w:rPr>
        <w:t>Notes</w:t>
      </w:r>
      <w:r>
        <w:rPr>
          <w:rFonts w:ascii="Arial" w:cs="Arial" w:eastAsia="Arial" w:hAnsi="Arial"/>
          <w:sz w:val="17"/>
          <w:szCs w:val="17"/>
          <w:color w:val="auto"/>
        </w:rPr>
        <w:t>”), in each case in the cash tender offers announced on June 11, 2020, which were made pursuant to the Offer to Purchase and the related Letter of Transmittal and Notice of Guaranteed Delivery, each dated June 11, 2020 (the “</w:t>
      </w:r>
      <w:r>
        <w:rPr>
          <w:rFonts w:ascii="Arial" w:cs="Arial" w:eastAsia="Arial" w:hAnsi="Arial"/>
          <w:sz w:val="17"/>
          <w:szCs w:val="17"/>
          <w:b w:val="1"/>
          <w:bCs w:val="1"/>
          <w:color w:val="auto"/>
        </w:rPr>
        <w:t>Tender Offer Documents</w:t>
      </w:r>
      <w:r>
        <w:rPr>
          <w:rFonts w:ascii="Arial" w:cs="Arial" w:eastAsia="Arial" w:hAnsi="Arial"/>
          <w:sz w:val="17"/>
          <w:szCs w:val="17"/>
          <w:color w:val="auto"/>
        </w:rPr>
        <w:t>”). An additional $1,041,000 aggregate principal amount of the Comcast Notes were tendered pursuant to the guaranteed delivery procedures described in the Tender Offer Documents.</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Issuers have accepted for purchase all Notes validly tendered and not validly withdrawn at or prior to the Expiration Time. Holders whose Notes have been accepted for purchase will also receive accrued and unpaid interest on the purchased Notes from the last interest payment date for such Notes up to, but excluding, the Settlement Date (as defined below). The Issuers also expect to accept Notes validly tendered and delivered pursuant to the guaranteed delivery procedures described in the Tender Offer Documents. The Issuers will not accept any further tenders.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Settlement Date for Notes validly tendered and not validly withdrawn at or prior to the Expiration Time is expected to be June 22, 2020. The purchase of the Notes will be funded by cash on hand.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 and MUFG Securities Americas Inc. served as Joint Dealer Managers for the tender offer.</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news release is neither an offer to purchase nor a solicitation of an offer to sell any securities. The tender offers were made only by, and pursuant to the terms of, the Tender Offer Documents. The tender offers were not made in any jurisdiction in which the making or acceptance thereof would not be in compliance with the securities, blue sky or other laws of such jurisdiction. In any jurisdiction where the laws require the tender offers to be made by a licensed broker or dealer, the tender offers were made by the Joint Dealer Managers on behalf of the Issuers. None of the Issuers, the Tender and Information Agent or the Joint Dealer Managers, nor any of their affiliates, has made any recommendation as to whether holders should tender or refrain from tendering all or any portion of their Notes in response to the 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Comcast Corporation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Communications, LLC (“</w:t>
      </w:r>
      <w:r>
        <w:rPr>
          <w:rFonts w:ascii="Arial" w:cs="Arial" w:eastAsia="Arial" w:hAnsi="Arial"/>
          <w:sz w:val="16"/>
          <w:szCs w:val="16"/>
          <w:b w:val="1"/>
          <w:bCs w:val="1"/>
          <w:color w:val="auto"/>
        </w:rPr>
        <w:t>Comcast Cable</w:t>
      </w:r>
      <w:r>
        <w:rPr>
          <w:rFonts w:ascii="Arial" w:cs="Arial" w:eastAsia="Arial" w:hAnsi="Arial"/>
          <w:sz w:val="16"/>
          <w:szCs w:val="16"/>
          <w:color w:val="auto"/>
        </w:rPr>
        <w:t>”), NBCUniversal Media, LLC (“</w:t>
      </w:r>
      <w:r>
        <w:rPr>
          <w:rFonts w:ascii="Arial" w:cs="Arial" w:eastAsia="Arial" w:hAnsi="Arial"/>
          <w:sz w:val="16"/>
          <w:szCs w:val="16"/>
          <w:b w:val="1"/>
          <w:bCs w:val="1"/>
          <w:color w:val="auto"/>
        </w:rPr>
        <w:t>NBCUniversal</w:t>
      </w:r>
      <w:r>
        <w:rPr>
          <w:rFonts w:ascii="Arial" w:cs="Arial" w:eastAsia="Arial" w:hAnsi="Arial"/>
          <w:sz w:val="16"/>
          <w:szCs w:val="16"/>
          <w:color w:val="auto"/>
        </w:rPr>
        <w:t>”), and Sky Limited (“</w:t>
      </w:r>
      <w:r>
        <w:rPr>
          <w:rFonts w:ascii="Arial" w:cs="Arial" w:eastAsia="Arial" w:hAnsi="Arial"/>
          <w:sz w:val="16"/>
          <w:szCs w:val="16"/>
          <w:b w:val="1"/>
          <w:bCs w:val="1"/>
          <w:color w:val="auto"/>
        </w:rPr>
        <w:t>Sky</w:t>
      </w:r>
      <w:r>
        <w:rPr>
          <w:rFonts w:ascii="Arial" w:cs="Arial" w:eastAsia="Arial" w:hAnsi="Arial"/>
          <w:sz w:val="16"/>
          <w:szCs w:val="16"/>
          <w:color w:val="auto"/>
        </w:rPr>
        <w:t>”).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 Visit www.comcastcorporation.com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could have a material adverse effect on our businesses and results of operations;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businesses operate in highly competitive and dynamic industries, and our businesses and results of operations could be adversely affected if we do not compete effectively;</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continue to adversely affect our businesses and challenge existing business models;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Comcast Cable’s and Sky’s video businesses;</w:t>
      </w:r>
    </w:p>
    <w:p>
      <w:pPr>
        <w:spacing w:after="0" w:line="248"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programming distribution and licensing agreements, or the renewal of these agreements on less favorable terms, could adversely affect our businesses;</w:t>
      </w:r>
    </w:p>
    <w:p>
      <w:pPr>
        <w:spacing w:after="0" w:line="170" w:lineRule="exact"/>
        <w:rPr>
          <w:rFonts w:ascii="Arial" w:cs="Arial" w:eastAsia="Arial" w:hAnsi="Arial"/>
          <w:sz w:val="18"/>
          <w:szCs w:val="18"/>
          <w:color w:val="auto"/>
        </w:rPr>
      </w:pPr>
    </w:p>
    <w:p>
      <w:pPr>
        <w:ind w:left="980" w:right="54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telecommunications access regulations, the loss of Sky’s transmission agreements with satellite or telecommunications providers or the renewal of these agreements on less favorable terms could adversely affect Sky’s businesses;</w:t>
      </w:r>
    </w:p>
    <w:p>
      <w:pPr>
        <w:spacing w:after="0" w:line="123"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present many risks, and we may not realize the financial and strategic goals that we had contemplated;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labor disputes, whether involving employees or sports organizations, may disrupt our operations and adversely affect our businesses;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key management personnel or popular on-air and creative talent could have an adverse effect on our businesses; and</w:t>
      </w:r>
    </w:p>
    <w:p>
      <w:pPr>
        <w:spacing w:after="0" w:line="236"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You should not place undue reliance on any forward-looking statements, which speak only as of the date made. Factors or events that could cause our actual results to differ may emerge from time to time, and it is not possible to predict all of them.</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44" w:right="479" w:bottom="1440" w:gutter="0" w:footer="0" w:header="0"/>
        </w:sectPr>
      </w:pPr>
    </w:p>
    <w:bookmarkStart w:id="6" w:name="page7"/>
    <w:bookmarkEnd w:id="6"/>
    <w:p>
      <w:pPr>
        <w:jc w:val="both"/>
        <w:ind w:firstLine="324"/>
        <w:spacing w:after="0" w:line="263" w:lineRule="auto"/>
        <w:rPr>
          <w:sz w:val="20"/>
          <w:szCs w:val="20"/>
          <w:color w:val="auto"/>
        </w:rPr>
      </w:pPr>
      <w:r>
        <w:rPr>
          <w:rFonts w:ascii="Arial" w:cs="Arial" w:eastAsia="Arial" w:hAnsi="Arial"/>
          <w:sz w:val="18"/>
          <w:szCs w:val="18"/>
          <w:color w:val="auto"/>
        </w:rPr>
        <w:t>The foregoing list of factors is not exhaustive. For discussion of these and other factors that may cause actual results to differ from expectations, look under the captions “Forward Looking Statements” and “Risk Factors” in Comcast’s Annual Report on Form 10-K for the year ended December 31, 2019 and Quarterly Report on Form 10-Q for the quarter ended March 31, 2020 as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Jane Kearns (215) 286-4794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 Kaplan (215) 286-6527</w:t>
      </w: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80"/>
      </w:cols>
      <w:pgMar w:left="320" w:top="54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2020-06-18T09:23:14Z</dcterms:created>
  <dcterms:modified xsi:type="dcterms:W3CDTF">2020-06-18T09:23:14Z</dcterms:modified>
</cp:coreProperties>
</file>