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333-266390</w:t>
      </w:r>
    </w:p>
    <w:p>
      <w:pPr>
        <w:spacing w:after="0" w:line="135" w:lineRule="exact"/>
        <w:rPr>
          <w:sz w:val="24"/>
          <w:szCs w:val="24"/>
          <w:color w:val="auto"/>
        </w:rPr>
      </w:pPr>
    </w:p>
    <w:p>
      <w:pPr>
        <w:ind w:left="120" w:right="220"/>
        <w:spacing w:after="0" w:line="262"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supplement is not complete and may be changed. A registration statement relating to these securities has become effective under the Securities Act of 1933, as amended. This preliminary prospectus supplement and the accompanying prospectus are not an offer to sell these securities, and are not soliciting an offer to buy these securities, in any jurisdiction where the offer or sale is not permitted.</w:t>
      </w:r>
    </w:p>
    <w:p>
      <w:pPr>
        <w:spacing w:after="0" w:line="1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FEBRUARY 7, 2023</w:t>
      </w:r>
    </w:p>
    <w:p>
      <w:pPr>
        <w:spacing w:after="0" w:line="22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 prospectus dated July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160020</wp:posOffset>
            </wp:positionV>
            <wp:extent cx="1397000"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00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5100" w:hanging="820"/>
        <w:spacing w:after="0"/>
        <w:tabs>
          <w:tab w:leader="none" w:pos="510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Notes due 20 (the “notes”) will bear interest at a rate of % per year and will mature on , 20 . We will pay interest on the notes on and of each year, beginning on , 2023. We may redeem any of the notes at any time by paying the applicable redemption price described under the heading “Description of the Notes—Optional Redemption.”</w:t>
      </w:r>
    </w:p>
    <w:p>
      <w:pPr>
        <w:spacing w:after="0" w:line="176" w:lineRule="exact"/>
        <w:rPr>
          <w:sz w:val="24"/>
          <w:szCs w:val="24"/>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w:t>
      </w:r>
    </w:p>
    <w:p>
      <w:pPr>
        <w:spacing w:after="0" w:line="140" w:lineRule="exact"/>
        <w:rPr>
          <w:sz w:val="24"/>
          <w:szCs w:val="24"/>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intend to allocate an amount equal to the net proceeds from this offering, after deducting the underwriting commission, fees and expenses, to the financing or refinancing, in whole or in part, of one or more Eligible Green Investments (as defined herein). See “Use of Proceeds” in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right="4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certain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S-5 of this prospectus supplement and “Item 1A—Risk Factors” beginning on page 24 of Comcast Corporation’s (“Comcast”) Annual Report on Form 10-K for the year ended December 31, 2022, which is incorporated by reference herein.</w:t>
      </w:r>
    </w:p>
    <w:p>
      <w:pPr>
        <w:spacing w:after="0" w:line="188"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Price to</w:t>
            </w:r>
          </w:p>
        </w:tc>
        <w:tc>
          <w:tcPr>
            <w:tcW w:w="520" w:type="dxa"/>
            <w:vAlign w:val="bottom"/>
          </w:tcPr>
          <w:p>
            <w:pPr>
              <w:spacing w:after="0"/>
              <w:rPr>
                <w:sz w:val="13"/>
                <w:szCs w:val="13"/>
                <w:color w:val="auto"/>
              </w:rPr>
            </w:pPr>
          </w:p>
        </w:tc>
        <w:tc>
          <w:tcPr>
            <w:tcW w:w="18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500" w:type="dxa"/>
            <w:vAlign w:val="bottom"/>
            <w:gridSpan w:val="3"/>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Proceeds to Us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300" w:type="dxa"/>
            <w:vAlign w:val="bottom"/>
            <w:gridSpan w:val="2"/>
          </w:tcPr>
          <w:p>
            <w:pPr>
              <w:ind w:left="2720"/>
              <w:spacing w:after="0"/>
              <w:rPr>
                <w:sz w:val="20"/>
                <w:szCs w:val="20"/>
                <w:color w:val="auto"/>
              </w:rPr>
            </w:pPr>
            <w:r>
              <w:rPr>
                <w:rFonts w:ascii="Times New Roman" w:cs="Times New Roman" w:eastAsia="Times New Roman" w:hAnsi="Times New Roman"/>
                <w:sz w:val="14"/>
                <w:szCs w:val="14"/>
                <w:b w:val="1"/>
                <w:bCs w:val="1"/>
                <w:color w:val="auto"/>
              </w:rPr>
              <w:t>Investors</w:t>
            </w: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2"/>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380" w:type="dxa"/>
            <w:vAlign w:val="bottom"/>
          </w:tcPr>
          <w:p>
            <w:pPr>
              <w:spacing w:after="0"/>
              <w:rPr>
                <w:sz w:val="15"/>
                <w:szCs w:val="15"/>
                <w:color w:val="auto"/>
              </w:rPr>
            </w:pPr>
          </w:p>
        </w:tc>
        <w:tc>
          <w:tcPr>
            <w:tcW w:w="112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 due 20</w:t>
            </w:r>
          </w:p>
        </w:tc>
        <w:tc>
          <w:tcPr>
            <w:tcW w:w="860" w:type="dxa"/>
            <w:vAlign w:val="bottom"/>
            <w:tcBorders>
              <w:top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w:t>
            </w:r>
          </w:p>
        </w:tc>
        <w:tc>
          <w:tcPr>
            <w:tcW w:w="2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79"/>
              </w:rPr>
              <w:t>%</w:t>
            </w:r>
          </w:p>
        </w:tc>
        <w:tc>
          <w:tcPr>
            <w:tcW w:w="3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spacing w:after="0"/>
              <w:rPr>
                <w:sz w:val="20"/>
                <w:szCs w:val="20"/>
                <w:color w:val="auto"/>
              </w:rPr>
            </w:pPr>
          </w:p>
        </w:tc>
        <w:tc>
          <w:tcPr>
            <w:tcW w:w="330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2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30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1220" w:type="dxa"/>
            <w:vAlign w:val="bottom"/>
            <w:tcBorders>
              <w:bottom w:val="single" w:sz="8" w:color="auto"/>
            </w:tcBorders>
            <w:gridSpan w:val="2"/>
          </w:tcPr>
          <w:p>
            <w:pPr>
              <w:spacing w:after="0"/>
              <w:rPr>
                <w:sz w:val="10"/>
                <w:szCs w:val="10"/>
                <w:color w:val="auto"/>
              </w:rPr>
            </w:pPr>
          </w:p>
        </w:tc>
        <w:tc>
          <w:tcPr>
            <w:tcW w:w="1800" w:type="dxa"/>
            <w:vAlign w:val="bottom"/>
            <w:gridSpan w:val="2"/>
          </w:tcPr>
          <w:p>
            <w:pPr>
              <w:spacing w:after="0"/>
              <w:rPr>
                <w:sz w:val="10"/>
                <w:szCs w:val="10"/>
                <w:color w:val="auto"/>
              </w:rPr>
            </w:pPr>
          </w:p>
        </w:tc>
        <w:tc>
          <w:tcPr>
            <w:tcW w:w="3300" w:type="dxa"/>
            <w:vAlign w:val="bottom"/>
            <w:gridSpan w:val="2"/>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02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(1)   Plus accrued interest, if any, from</w:t>
            </w:r>
          </w:p>
        </w:tc>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2023, if settlement occurs after that date.</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or the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7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will be ready for delivery only through The Depository Trust Company and its participants, including Euroclear SA/NV (“Euroclear”)</w:t>
      </w:r>
    </w:p>
    <w:p>
      <w:pPr>
        <w:spacing w:after="0" w:line="27" w:lineRule="exact"/>
        <w:rPr>
          <w:sz w:val="24"/>
          <w:szCs w:val="24"/>
          <w:color w:val="auto"/>
        </w:rPr>
      </w:pPr>
    </w:p>
    <w:p>
      <w:pPr>
        <w:ind w:left="120" w:right="320"/>
        <w:spacing w:after="0" w:line="260" w:lineRule="auto"/>
        <w:rPr>
          <w:sz w:val="20"/>
          <w:szCs w:val="20"/>
          <w:color w:val="auto"/>
        </w:rPr>
      </w:pPr>
      <w:r>
        <w:rPr>
          <w:rFonts w:ascii="Times New Roman" w:cs="Times New Roman" w:eastAsia="Times New Roman" w:hAnsi="Times New Roman"/>
          <w:sz w:val="18"/>
          <w:szCs w:val="18"/>
          <w:color w:val="auto"/>
        </w:rPr>
        <w:t>and Clearstream Banking SA (“Clearstream”), in book-entry form on or about , 2023 which is the business day following the date of this prospectus supplement.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212725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ectPr>
          <w:pgSz w:w="11900" w:h="16838" w:orient="portrait"/>
          <w:cols w:equalWidth="0" w:num="1">
            <w:col w:w="11140"/>
          </w:cols>
          <w:pgMar w:left="320" w:top="226" w:right="439" w:bottom="1440" w:gutter="0" w:footer="0" w:header="0"/>
        </w:sectPr>
      </w:pPr>
    </w:p>
    <w:p>
      <w:pPr>
        <w:spacing w:after="0" w:line="24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BofA Securities</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Academy Securities</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Loop Capital Markets</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tabs>
          <w:tab w:leader="none" w:pos="2100" w:val="left"/>
        </w:tabs>
        <w:rPr>
          <w:sz w:val="20"/>
          <w:szCs w:val="20"/>
          <w:color w:val="auto"/>
        </w:rPr>
      </w:pPr>
      <w:r>
        <w:rPr>
          <w:rFonts w:ascii="Times New Roman" w:cs="Times New Roman" w:eastAsia="Times New Roman" w:hAnsi="Times New Roman"/>
          <w:sz w:val="22"/>
          <w:szCs w:val="22"/>
          <w:b w:val="1"/>
          <w:bCs w:val="1"/>
          <w:color w:val="auto"/>
        </w:rPr>
        <w:t>Ramirez &amp; Co., Inc.</w:t>
      </w:r>
      <w:r>
        <w:rPr>
          <w:sz w:val="20"/>
          <w:szCs w:val="20"/>
          <w:color w:val="auto"/>
        </w:rPr>
        <w:tab/>
      </w:r>
      <w:r>
        <w:rPr>
          <w:rFonts w:ascii="Times New Roman" w:cs="Times New Roman" w:eastAsia="Times New Roman" w:hAnsi="Times New Roman"/>
          <w:sz w:val="21"/>
          <w:szCs w:val="21"/>
          <w:b w:val="1"/>
          <w:bCs w:val="1"/>
          <w:color w:val="auto"/>
        </w:rPr>
        <w:t>Siebert Williams Shank</w:t>
      </w:r>
    </w:p>
    <w:p>
      <w:pPr>
        <w:spacing w:after="0" w:line="33" w:lineRule="exact"/>
        <w:rPr>
          <w:sz w:val="24"/>
          <w:szCs w:val="24"/>
          <w:color w:val="auto"/>
        </w:rPr>
      </w:pPr>
    </w:p>
    <w:p>
      <w:pPr>
        <w:sectPr>
          <w:pgSz w:w="11900" w:h="16838" w:orient="portrait"/>
          <w:cols w:equalWidth="0" w:num="4">
            <w:col w:w="1760" w:space="480"/>
            <w:col w:w="1820" w:space="360"/>
            <w:col w:w="2040" w:space="360"/>
            <w:col w:w="4320"/>
          </w:cols>
          <w:pgMar w:left="320" w:top="226" w:right="43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Green Structuring Agent</w:t>
      </w:r>
    </w:p>
    <w:p>
      <w:pPr>
        <w:sectPr>
          <w:pgSz w:w="11900" w:h="16838" w:orient="portrait"/>
          <w:cols w:equalWidth="0" w:num="1">
            <w:col w:w="11140"/>
          </w:cols>
          <w:pgMar w:left="320" w:top="226" w:right="439" w:bottom="1440" w:gutter="0" w:footer="0" w:header="0"/>
          <w:type w:val="continuous"/>
        </w:sectPr>
      </w:pPr>
    </w:p>
    <w:p>
      <w:pPr>
        <w:spacing w:after="0" w:line="200"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2023.</w:t>
      </w:r>
    </w:p>
    <w:p>
      <w:pPr>
        <w:sectPr>
          <w:pgSz w:w="11900" w:h="16838" w:orient="portrait"/>
          <w:cols w:equalWidth="0" w:num="2">
            <w:col w:w="6660" w:space="600"/>
            <w:col w:w="3880"/>
          </w:cols>
          <w:pgMar w:left="320" w:top="22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90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417"/>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gridSpan w:val="3"/>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3900" w:type="dxa"/>
            <w:vAlign w:val="bottom"/>
          </w:tcPr>
          <w:p>
            <w:pPr>
              <w:spacing w:after="0"/>
              <w:rPr>
                <w:sz w:val="24"/>
                <w:szCs w:val="24"/>
                <w:color w:val="auto"/>
              </w:rPr>
            </w:pPr>
          </w:p>
        </w:tc>
        <w:tc>
          <w:tcPr>
            <w:tcW w:w="4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3"/>
            <w:vMerge w:val="continue"/>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9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3800" w:type="dxa"/>
            <w:vAlign w:val="bottom"/>
            <w:gridSpan w:val="5"/>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40" w:type="dxa"/>
            <w:vAlign w:val="bottom"/>
            <w:gridSpan w:val="6"/>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4900" w:type="dxa"/>
            <w:vAlign w:val="bottom"/>
            <w:gridSpan w:val="8"/>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6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Consequences for Non-U.S. Holders</w:t>
            </w: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196"/>
        </w:trPr>
        <w:tc>
          <w:tcPr>
            <w:tcW w:w="51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15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5660" w:type="dxa"/>
            <w:vAlign w:val="bottom"/>
            <w:gridSpan w:val="14"/>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S-26</w:t>
            </w:r>
          </w:p>
        </w:tc>
        <w:tc>
          <w:tcPr>
            <w:tcW w:w="0" w:type="dxa"/>
            <w:vAlign w:val="bottom"/>
          </w:tcPr>
          <w:p>
            <w:pPr>
              <w:spacing w:after="0"/>
              <w:rPr>
                <w:sz w:val="1"/>
                <w:szCs w:val="1"/>
                <w:color w:val="auto"/>
              </w:rPr>
            </w:pPr>
          </w:p>
        </w:tc>
      </w:tr>
      <w:tr>
        <w:trPr>
          <w:trHeight w:val="453"/>
        </w:trPr>
        <w:tc>
          <w:tcPr>
            <w:tcW w:w="5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3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The Companies</w:t>
            </w:r>
          </w:p>
        </w:tc>
        <w:tc>
          <w:tcPr>
            <w:tcW w:w="5500" w:type="dxa"/>
            <w:vAlign w:val="bottom"/>
            <w:gridSpan w:val="13"/>
          </w:tcPr>
          <w:p>
            <w:pPr>
              <w:spacing w:after="0"/>
              <w:rPr>
                <w:sz w:val="24"/>
                <w:szCs w:val="24"/>
                <w:color w:val="auto"/>
              </w:rPr>
            </w:pP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6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Caution Concerning Forward-Looking Statements</w:t>
            </w:r>
          </w:p>
        </w:tc>
        <w:tc>
          <w:tcPr>
            <w:tcW w:w="4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6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3060" w:type="dxa"/>
            <w:vAlign w:val="bottom"/>
            <w:gridSpan w:val="3"/>
          </w:tcPr>
          <w:p>
            <w:pPr>
              <w:spacing w:after="0"/>
              <w:rPr>
                <w:sz w:val="17"/>
                <w:szCs w:val="17"/>
                <w:color w:val="auto"/>
              </w:rPr>
            </w:pPr>
          </w:p>
        </w:tc>
        <w:tc>
          <w:tcPr>
            <w:tcW w:w="4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5480" w:type="dxa"/>
            <w:vAlign w:val="bottom"/>
            <w:gridSpan w:val="12"/>
          </w:tcPr>
          <w:p>
            <w:pPr>
              <w:spacing w:after="0"/>
              <w:rPr>
                <w:sz w:val="17"/>
                <w:szCs w:val="17"/>
                <w:color w:val="auto"/>
              </w:rPr>
            </w:pPr>
          </w:p>
        </w:tc>
        <w:tc>
          <w:tcPr>
            <w:tcW w:w="4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 and Guarantees</w:t>
            </w:r>
          </w:p>
        </w:tc>
        <w:tc>
          <w:tcPr>
            <w:tcW w:w="3320" w:type="dxa"/>
            <w:vAlign w:val="bottom"/>
            <w:gridSpan w:val="4"/>
          </w:tcPr>
          <w:p>
            <w:pPr>
              <w:spacing w:after="0"/>
              <w:rPr>
                <w:sz w:val="17"/>
                <w:szCs w:val="17"/>
                <w:color w:val="auto"/>
              </w:rPr>
            </w:pPr>
          </w:p>
        </w:tc>
        <w:tc>
          <w:tcPr>
            <w:tcW w:w="4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6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Global Securities</w:t>
            </w:r>
          </w:p>
        </w:tc>
        <w:tc>
          <w:tcPr>
            <w:tcW w:w="4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620" w:type="dxa"/>
            <w:vAlign w:val="bottom"/>
            <w:gridSpan w:val="7"/>
          </w:tcPr>
          <w:p>
            <w:pPr>
              <w:spacing w:after="0"/>
              <w:rPr>
                <w:sz w:val="17"/>
                <w:szCs w:val="17"/>
                <w:color w:val="auto"/>
              </w:rPr>
            </w:pPr>
          </w:p>
        </w:tc>
        <w:tc>
          <w:tcPr>
            <w:tcW w:w="4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5240" w:type="dxa"/>
            <w:vAlign w:val="bottom"/>
            <w:gridSpan w:val="10"/>
          </w:tcPr>
          <w:p>
            <w:pPr>
              <w:spacing w:after="0"/>
              <w:rPr>
                <w:sz w:val="17"/>
                <w:szCs w:val="17"/>
                <w:color w:val="auto"/>
              </w:rPr>
            </w:pPr>
          </w:p>
        </w:tc>
        <w:tc>
          <w:tcPr>
            <w:tcW w:w="4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5660" w:type="dxa"/>
            <w:vAlign w:val="bottom"/>
            <w:gridSpan w:val="14"/>
          </w:tcPr>
          <w:p>
            <w:pPr>
              <w:spacing w:after="0"/>
              <w:rPr>
                <w:sz w:val="17"/>
                <w:szCs w:val="17"/>
                <w:color w:val="auto"/>
              </w:rPr>
            </w:pPr>
          </w:p>
        </w:tc>
        <w:tc>
          <w:tcPr>
            <w:tcW w:w="4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4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580" w:type="dxa"/>
            <w:vAlign w:val="bottom"/>
            <w:gridSpan w:val="9"/>
            <w:shd w:val="clear" w:color="auto" w:fill="0000EE"/>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4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not, and the underwriters have not, authorized anyone to provide any information other than that contained or incorporated by reference in this prospectus supplement, the accompanying prospectus or any free writing prospectus prepared by or on behalf of us or to which we have referred you. We and the underwriters take no responsibility for, and can provide no assurance as to the reliability of, any other information that others may give you. If information in this prospectus supplement is inconsistent with the accompanying prospectus, you should rely on this prospectus supplement.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refer to Comcast Corporation in this prospectus supplement as “Comcast,” and Comcast and its consolidated subsidiaries as “we,” “us,” “our” or comparable terms and Sky Limited (formerly Sky plc) and its consolidated subsidiaries as “Sky.” We refer to Comcast Cable Communications, LLC and its consolidated subsidiaries as “Comcast Cable,” NBCUniversal Media, LLC and its consolidated subsidiaries as “NBCUniversal,” and both of them collectively as the “guarantors.”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proxy statements and information statements and amendments to reports filed or furnished pursuant to the Securities Exchange Act of 1934, as amended (the “Exchange Act”), with the SEC. The SEC maintains an internet website at www.sec.gov that contains periodic and current reports, proxy and information statements, and other information regarding registrants that file electronically with the SEC. 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supplement incorporates by reference the documents of Comcast set forth below that we have previously filed with the SEC:</w:t>
      </w:r>
    </w:p>
    <w:p>
      <w:pPr>
        <w:spacing w:after="0" w:line="13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Annual Report on </w:t>
      </w:r>
      <w:hyperlink r:id="rId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on February 3, 2023.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Current Report on </w:t>
      </w:r>
      <w:hyperlink r:id="rId16">
        <w:r>
          <w:rPr>
            <w:rFonts w:ascii="Times New Roman" w:cs="Times New Roman" w:eastAsia="Times New Roman" w:hAnsi="Times New Roman"/>
            <w:sz w:val="18"/>
            <w:szCs w:val="18"/>
            <w:u w:val="single" w:color="auto"/>
            <w:color w:val="0000EE"/>
          </w:rPr>
          <w:t>Form 8-K</w:t>
        </w:r>
      </w:hyperlink>
      <w:r>
        <w:rPr>
          <w:rFonts w:ascii="Times New Roman" w:cs="Times New Roman" w:eastAsia="Times New Roman" w:hAnsi="Times New Roman"/>
          <w:sz w:val="18"/>
          <w:szCs w:val="18"/>
          <w:color w:val="auto"/>
        </w:rPr>
        <w:t>, filed on January 6, 2023.</w:t>
      </w:r>
    </w:p>
    <w:p>
      <w:pPr>
        <w:spacing w:after="0" w:line="225" w:lineRule="exact"/>
        <w:rPr>
          <w:rFonts w:ascii="Times New Roman" w:cs="Times New Roman" w:eastAsia="Times New Roman" w:hAnsi="Times New Roman"/>
          <w:sz w:val="18"/>
          <w:szCs w:val="18"/>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and the accompanying prospectus additional documents that we may file with the SEC under Sections 13(a), 13(c), 14 or 15(d) of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20"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20"/>
          </w:cols>
          <w:pgMar w:left="320" w:top="455"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01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98970" cy="59016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are a global media and technology company with three primary businesses: Comcast Cable, NBCUniversal and Sky. We present our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operations in five reportable business segments: (1) Comcast Cable in one reportable business segment, referred to as Cable Communications;</w:t>
      </w:r>
    </w:p>
    <w:p>
      <w:pPr>
        <w:spacing w:after="0" w:line="9" w:lineRule="exact"/>
        <w:rPr>
          <w:sz w:val="20"/>
          <w:szCs w:val="20"/>
          <w:color w:val="auto"/>
        </w:rPr>
      </w:pPr>
    </w:p>
    <w:p>
      <w:pPr>
        <w:ind w:left="560" w:hanging="262"/>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NBCUniversal in three reportable business segments: Media, Studios and Theme Parks (collectively, the “NBCUniversal segments”); and</w:t>
      </w:r>
    </w:p>
    <w:p>
      <w:pPr>
        <w:spacing w:after="0" w:line="9" w:lineRule="exact"/>
        <w:rPr>
          <w:rFonts w:ascii="Times New Roman" w:cs="Times New Roman" w:eastAsia="Times New Roman" w:hAnsi="Times New Roman"/>
          <w:sz w:val="18"/>
          <w:szCs w:val="18"/>
          <w:color w:val="auto"/>
        </w:rPr>
      </w:pPr>
    </w:p>
    <w:p>
      <w:pPr>
        <w:ind w:left="560" w:hanging="262"/>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 in one reportable business segment.</w:t>
      </w:r>
    </w:p>
    <w:p>
      <w:pPr>
        <w:spacing w:after="0" w:line="112" w:lineRule="exact"/>
        <w:rPr>
          <w:rFonts w:ascii="Times New Roman" w:cs="Times New Roman" w:eastAsia="Times New Roman" w:hAnsi="Times New Roman"/>
          <w:sz w:val="18"/>
          <w:szCs w:val="18"/>
          <w:color w:val="auto"/>
        </w:rPr>
      </w:pPr>
    </w:p>
    <w:p>
      <w:pPr>
        <w:ind w:left="1240" w:right="380" w:hanging="415"/>
        <w:spacing w:after="0" w:line="266" w:lineRule="auto"/>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Communications: Consists of the operations of Comcast Cable, which is a leading provider of broadband, video, voice, wireless, and other services to residential customers in the United States under the Xfinity brand; we also provide these and other services to business customers and sell advertising.</w:t>
      </w:r>
    </w:p>
    <w:p>
      <w:pPr>
        <w:spacing w:after="0" w:line="81" w:lineRule="exact"/>
        <w:rPr>
          <w:rFonts w:ascii="Times New Roman" w:cs="Times New Roman" w:eastAsia="Times New Roman" w:hAnsi="Times New Roman"/>
          <w:sz w:val="18"/>
          <w:szCs w:val="18"/>
          <w:color w:val="auto"/>
        </w:rPr>
      </w:pPr>
    </w:p>
    <w:p>
      <w:pPr>
        <w:jc w:val="both"/>
        <w:ind w:left="1240" w:right="40" w:hanging="415"/>
        <w:spacing w:after="0" w:line="266" w:lineRule="auto"/>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Consists primarily of NBCUniversal’s television and streaming platforms, including national, regional and international cable networks; the NBC and Telemundo broadcast networks, NBC and Telemundo owned local broadcast television stations; and Peacock, our direct-to-consumer streaming service.</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Studios: Consists primarily of NBCUniversal’s film and television studio production and distribution operations.</w:t>
      </w:r>
    </w:p>
    <w:p>
      <w:pPr>
        <w:spacing w:after="0" w:line="130"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Theme Parks: Consists primarily of our Universal theme parks in Orlando, Florida; Hollywood, California; Osaka, Japan; and Beijing, China.</w:t>
      </w:r>
    </w:p>
    <w:p>
      <w:pPr>
        <w:spacing w:after="0" w:line="67" w:lineRule="exact"/>
        <w:rPr>
          <w:rFonts w:ascii="Times New Roman" w:cs="Times New Roman" w:eastAsia="Times New Roman" w:hAnsi="Times New Roman"/>
          <w:sz w:val="18"/>
          <w:szCs w:val="18"/>
          <w:color w:val="auto"/>
        </w:rPr>
      </w:pPr>
    </w:p>
    <w:p>
      <w:pPr>
        <w:ind w:left="1240" w:right="560" w:hanging="415"/>
        <w:spacing w:after="0" w:line="266" w:lineRule="auto"/>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 Consists of the operations of Sky, one of Europe’s leading entertainment companies, which primarily includes a direct-to-consumer business, providing video, broadband, voice and wireless phone services, and a content business, operating entertainment networks, the Sky News broadcast network and Sky Sports networks.</w:t>
      </w:r>
    </w:p>
    <w:p>
      <w:pPr>
        <w:spacing w:after="0" w:line="176"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Our other business interests consist primarily of the operations of Comcast Spectacor, which owns the Philadelphia Flyers and the Wells Fargo Center arena in Philadelphia, Pennsylvania, and other business initiatives.</w:t>
      </w:r>
    </w:p>
    <w:p>
      <w:pPr>
        <w:spacing w:after="0" w:line="162" w:lineRule="exact"/>
        <w:rPr>
          <w:sz w:val="20"/>
          <w:szCs w:val="20"/>
          <w:color w:val="auto"/>
        </w:rPr>
      </w:pPr>
    </w:p>
    <w:p>
      <w:pPr>
        <w:jc w:val="both"/>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supplement. For instructions on how to find copies of these and our other filings incorporated by reference in this prospectus supplement, see “Available Information” in this prospectus supplement.</w:t>
      </w:r>
    </w:p>
    <w:p>
      <w:pPr>
        <w:spacing w:after="0" w:line="176"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Comcast’s principal executive offices are located at One Comcast Center, Philadelphia, Pennsylvania 19103-2838. Comcast’s telephone number is (215) 286-1700. The address of our website is www.comcastcorporation.com. The information on, or accessible through, our website is not part of this prospectus supplement or the accompanying prospectus.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Guarantors</w:t>
      </w:r>
    </w:p>
    <w:p>
      <w:pPr>
        <w:spacing w:after="0" w:line="121" w:lineRule="exact"/>
        <w:rPr>
          <w:sz w:val="20"/>
          <w:szCs w:val="20"/>
          <w:color w:val="auto"/>
        </w:rPr>
      </w:pPr>
    </w:p>
    <w:p>
      <w:pPr>
        <w:jc w:val="both"/>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on the notes will be fully and unconditionally guaranteed by each of Comcast Cable Communications, LLC and NBCUniversal Media, LLC. In this prospectus supplement, we refer to these guarantors as the guarantors and to these guarantees as the guarantees.</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00"/>
          </w:cols>
          <w:pgMar w:left="320" w:top="455" w:right="6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3500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98970" cy="13500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131" w:lineRule="exact"/>
        <w:rPr>
          <w:sz w:val="20"/>
          <w:szCs w:val="20"/>
          <w:color w:val="auto"/>
        </w:rPr>
      </w:pPr>
    </w:p>
    <w:p>
      <w:pPr>
        <w:ind w:left="12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w:t>
      </w:r>
    </w:p>
    <w:p>
      <w:pPr>
        <w:spacing w:after="0" w:line="225"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Comcast Cable’s principal place of business is One Comcast Center, Philadelphia, Pennsylvania 19103-2838. NBCUniversal’s principal executive offices are located at 30 Rockefeller Plaza, New York, New York 10112-0015.</w:t>
      </w:r>
    </w:p>
    <w:p>
      <w:pPr>
        <w:spacing w:after="0" w:line="27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880"/>
          </w:cols>
          <w:pgMar w:left="320" w:top="455" w:right="6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2980" w:type="dxa"/>
            <w:vAlign w:val="bottom"/>
            <w:tcBorders>
              <w:top w:val="single" w:sz="8" w:color="auto"/>
              <w:left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9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2400" w:type="dxa"/>
            <w:vAlign w:val="bottom"/>
            <w:tcBorders>
              <w:top w:val="single" w:sz="8" w:color="auto"/>
              <w:right w:val="single" w:sz="8" w:color="auto"/>
            </w:tcBorders>
          </w:tcPr>
          <w:p>
            <w:pPr>
              <w:spacing w:after="0"/>
              <w:rPr>
                <w:sz w:val="24"/>
                <w:szCs w:val="24"/>
                <w:color w:val="auto"/>
              </w:rPr>
            </w:pPr>
          </w:p>
        </w:tc>
      </w:tr>
      <w:tr>
        <w:trPr>
          <w:trHeight w:val="45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31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Comcast Corporation.</w:t>
            </w: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r>
      <w:tr>
        <w:trPr>
          <w:trHeight w:val="473"/>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Securities Offered</w:t>
            </w:r>
          </w:p>
        </w:tc>
        <w:tc>
          <w:tcPr>
            <w:tcW w:w="15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aggregate principal amount of</w:t>
            </w:r>
          </w:p>
        </w:tc>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 Notes due 20  .</w:t>
            </w:r>
          </w:p>
        </w:tc>
        <w:tc>
          <w:tcPr>
            <w:tcW w:w="2400" w:type="dxa"/>
            <w:vAlign w:val="bottom"/>
            <w:tcBorders>
              <w:right w:val="single" w:sz="8" w:color="auto"/>
            </w:tcBorders>
          </w:tcPr>
          <w:p>
            <w:pPr>
              <w:spacing w:after="0"/>
              <w:rPr>
                <w:sz w:val="24"/>
                <w:szCs w:val="24"/>
                <w:color w:val="auto"/>
              </w:rPr>
            </w:pPr>
          </w:p>
        </w:tc>
      </w:tr>
      <w:tr>
        <w:trPr>
          <w:trHeight w:val="473"/>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Maturity</w:t>
            </w:r>
          </w:p>
        </w:tc>
        <w:tc>
          <w:tcPr>
            <w:tcW w:w="31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The notes will mature 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  .</w:t>
            </w:r>
          </w:p>
        </w:tc>
        <w:tc>
          <w:tcPr>
            <w:tcW w:w="152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8040" w:type="dxa"/>
            <w:vAlign w:val="bottom"/>
            <w:tcBorders>
              <w:right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Interest on the notes will accrue at the rate of   % per year, payable semiannually in cash</w:t>
            </w:r>
          </w:p>
        </w:tc>
      </w:tr>
      <w:tr>
        <w:trPr>
          <w:trHeight w:val="234"/>
        </w:trPr>
        <w:tc>
          <w:tcPr>
            <w:tcW w:w="2980" w:type="dxa"/>
            <w:vAlign w:val="bottom"/>
            <w:tcBorders>
              <w:left w:val="single" w:sz="8" w:color="auto"/>
            </w:tcBorders>
          </w:tcPr>
          <w:p>
            <w:pPr>
              <w:spacing w:after="0"/>
              <w:rPr>
                <w:sz w:val="20"/>
                <w:szCs w:val="20"/>
                <w:color w:val="auto"/>
              </w:rPr>
            </w:pPr>
          </w:p>
        </w:tc>
        <w:tc>
          <w:tcPr>
            <w:tcW w:w="31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in arrears on each</w:t>
            </w: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and</w:t>
            </w:r>
          </w:p>
        </w:tc>
        <w:tc>
          <w:tcPr>
            <w:tcW w:w="15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 beginning</w:t>
            </w:r>
          </w:p>
        </w:tc>
        <w:tc>
          <w:tcPr>
            <w:tcW w:w="2400" w:type="dxa"/>
            <w:vAlign w:val="bottom"/>
            <w:tcBorders>
              <w:right w:val="single" w:sz="8" w:color="auto"/>
            </w:tcBorders>
          </w:tcPr>
          <w:p>
            <w:pPr>
              <w:jc w:val="right"/>
              <w:ind w:right="1670"/>
              <w:spacing w:after="0"/>
              <w:rPr>
                <w:sz w:val="20"/>
                <w:szCs w:val="20"/>
                <w:color w:val="auto"/>
              </w:rPr>
            </w:pPr>
            <w:r>
              <w:rPr>
                <w:rFonts w:ascii="Times New Roman" w:cs="Times New Roman" w:eastAsia="Times New Roman" w:hAnsi="Times New Roman"/>
                <w:sz w:val="18"/>
                <w:szCs w:val="18"/>
                <w:color w:val="auto"/>
              </w:rPr>
              <w:t>, 2023.</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8040" w:type="dxa"/>
            <w:vAlign w:val="bottom"/>
            <w:tcBorders>
              <w:right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The notes will be unsecured and will rank equally with all of our and the guarantors’</w:t>
            </w:r>
          </w:p>
        </w:tc>
      </w:tr>
      <w:tr>
        <w:trPr>
          <w:trHeight w:val="234"/>
        </w:trPr>
        <w:tc>
          <w:tcPr>
            <w:tcW w:w="2980" w:type="dxa"/>
            <w:vAlign w:val="bottom"/>
            <w:tcBorders>
              <w:left w:val="single" w:sz="8" w:color="auto"/>
            </w:tcBorders>
          </w:tcPr>
          <w:p>
            <w:pPr>
              <w:spacing w:after="0"/>
              <w:rPr>
                <w:sz w:val="20"/>
                <w:szCs w:val="20"/>
                <w:color w:val="auto"/>
              </w:rPr>
            </w:pPr>
          </w:p>
        </w:tc>
        <w:tc>
          <w:tcPr>
            <w:tcW w:w="564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unsecured and unsubordinated indebtedness.</w:t>
            </w:r>
          </w:p>
        </w:tc>
        <w:tc>
          <w:tcPr>
            <w:tcW w:w="2400" w:type="dxa"/>
            <w:vAlign w:val="bottom"/>
            <w:tcBorders>
              <w:right w:val="single" w:sz="8" w:color="auto"/>
            </w:tcBorders>
          </w:tcPr>
          <w:p>
            <w:pPr>
              <w:spacing w:after="0"/>
              <w:rPr>
                <w:sz w:val="20"/>
                <w:szCs w:val="20"/>
                <w:color w:val="auto"/>
              </w:rPr>
            </w:pPr>
          </w:p>
        </w:tc>
      </w:tr>
      <w:tr>
        <w:trPr>
          <w:trHeight w:val="45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Guarantors</w:t>
            </w:r>
          </w:p>
        </w:tc>
        <w:tc>
          <w:tcPr>
            <w:tcW w:w="412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Comcast Cable and NBCUniversal.</w:t>
            </w:r>
          </w:p>
        </w:tc>
        <w:tc>
          <w:tcPr>
            <w:tcW w:w="152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Guarantees</w:t>
            </w:r>
          </w:p>
        </w:tc>
        <w:tc>
          <w:tcPr>
            <w:tcW w:w="8040" w:type="dxa"/>
            <w:vAlign w:val="bottom"/>
            <w:tcBorders>
              <w:right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The guarantors will fully and unconditionally guarantee the notes, including the payment of</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principal, premium, if any, and interest. The guarantees will rank equally with all other</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general unsecured and unsubordinated obligations of the guarantors.</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8040" w:type="dxa"/>
            <w:vAlign w:val="bottom"/>
            <w:tcBorders>
              <w:right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We may, at our option, redeem the notes, in whole or in part, at any time at the applicable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redemption price determined as set forth under the heading “Description of the Notes—</w:t>
            </w:r>
          </w:p>
        </w:tc>
      </w:tr>
      <w:tr>
        <w:trPr>
          <w:trHeight w:val="234"/>
        </w:trPr>
        <w:tc>
          <w:tcPr>
            <w:tcW w:w="2980" w:type="dxa"/>
            <w:vAlign w:val="bottom"/>
            <w:tcBorders>
              <w:left w:val="single" w:sz="8" w:color="auto"/>
            </w:tcBorders>
          </w:tcPr>
          <w:p>
            <w:pPr>
              <w:spacing w:after="0"/>
              <w:rPr>
                <w:sz w:val="20"/>
                <w:szCs w:val="20"/>
                <w:color w:val="auto"/>
              </w:rPr>
            </w:pPr>
          </w:p>
        </w:tc>
        <w:tc>
          <w:tcPr>
            <w:tcW w:w="31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Optional Redemption.”</w:t>
            </w:r>
          </w:p>
        </w:tc>
        <w:tc>
          <w:tcPr>
            <w:tcW w:w="9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0" w:type="dxa"/>
            <w:vAlign w:val="bottom"/>
            <w:tcBorders>
              <w:right w:val="single" w:sz="8" w:color="auto"/>
            </w:tcBorders>
          </w:tcPr>
          <w:p>
            <w:pPr>
              <w:spacing w:after="0"/>
              <w:rPr>
                <w:sz w:val="20"/>
                <w:szCs w:val="20"/>
                <w:color w:val="auto"/>
              </w:rPr>
            </w:pP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040" w:type="dxa"/>
            <w:vAlign w:val="bottom"/>
            <w:tcBorders>
              <w:right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We intend to allocate an amount equal to the net proceeds from this offering, after</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deducting the underwriting commission, fees and expenses, to the financing or refinancing,</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in whole or in part, of one or more Eligible Green Investments. See “Use of Proceeds.”</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Book-Entry</w:t>
            </w:r>
          </w:p>
        </w:tc>
        <w:tc>
          <w:tcPr>
            <w:tcW w:w="8040" w:type="dxa"/>
            <w:vAlign w:val="bottom"/>
            <w:tcBorders>
              <w:right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The notes will be issued in book-entry form and will be represented by global notes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deposited with, or on behalf of, DTC and registered in the name of DTC or its nominees.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Beneficial interests in any of the notes will be shown on, and transfers will be effected only</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through, records maintained by DTC or its nominee or indirectly through organizations that</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have accounts with DTC, including Euroclear and Clearstream, and these beneficial</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interests may not be exchanged for certificated notes, except in limited circumstances. See</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“Description of the Notes—Book-Entry System” in this prospectus supplement.</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Additional Notes</w:t>
            </w:r>
          </w:p>
        </w:tc>
        <w:tc>
          <w:tcPr>
            <w:tcW w:w="8040" w:type="dxa"/>
            <w:vAlign w:val="bottom"/>
            <w:tcBorders>
              <w:right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We have the ability to “reopen” these notes and issue additional notes. Additional notes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will be consolidated with and form a single series with the notes then outstanding; provided</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that if such additional notes are not fungible with the notes offered hereby for U.S. federal</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income tax purposes, such additional notes will have one or more separate CUSIP</w:t>
            </w:r>
          </w:p>
        </w:tc>
      </w:tr>
      <w:tr>
        <w:trPr>
          <w:trHeight w:val="234"/>
        </w:trPr>
        <w:tc>
          <w:tcPr>
            <w:tcW w:w="2980" w:type="dxa"/>
            <w:vAlign w:val="bottom"/>
            <w:tcBorders>
              <w:left w:val="single" w:sz="8" w:color="auto"/>
            </w:tcBorders>
          </w:tcPr>
          <w:p>
            <w:pPr>
              <w:spacing w:after="0"/>
              <w:rPr>
                <w:sz w:val="20"/>
                <w:szCs w:val="20"/>
                <w:color w:val="auto"/>
              </w:rPr>
            </w:pPr>
          </w:p>
        </w:tc>
        <w:tc>
          <w:tcPr>
            <w:tcW w:w="31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numbers.</w:t>
            </w:r>
          </w:p>
        </w:tc>
        <w:tc>
          <w:tcPr>
            <w:tcW w:w="9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0" w:type="dxa"/>
            <w:vAlign w:val="bottom"/>
            <w:tcBorders>
              <w:right w:val="single" w:sz="8" w:color="auto"/>
            </w:tcBorders>
          </w:tcPr>
          <w:p>
            <w:pPr>
              <w:spacing w:after="0"/>
              <w:rPr>
                <w:sz w:val="20"/>
                <w:szCs w:val="20"/>
                <w:color w:val="auto"/>
              </w:rPr>
            </w:pP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040" w:type="dxa"/>
            <w:vAlign w:val="bottom"/>
            <w:tcBorders>
              <w:right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You should consider carefully all the information set forth and incorporated by reference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this prospectus supplement and the accompanying prospectus and, in particular, you should</w:t>
            </w:r>
          </w:p>
        </w:tc>
      </w:tr>
      <w:tr>
        <w:trPr>
          <w:trHeight w:val="234"/>
        </w:trPr>
        <w:tc>
          <w:tcPr>
            <w:tcW w:w="2980" w:type="dxa"/>
            <w:vAlign w:val="bottom"/>
            <w:tcBorders>
              <w:left w:val="single" w:sz="8" w:color="auto"/>
            </w:tcBorders>
          </w:tcPr>
          <w:p>
            <w:pPr>
              <w:spacing w:after="0"/>
              <w:rPr>
                <w:sz w:val="20"/>
                <w:szCs w:val="20"/>
                <w:color w:val="auto"/>
              </w:rPr>
            </w:pPr>
          </w:p>
        </w:tc>
        <w:tc>
          <w:tcPr>
            <w:tcW w:w="31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evaluate the</w:t>
            </w:r>
          </w:p>
        </w:tc>
        <w:tc>
          <w:tcPr>
            <w:tcW w:w="9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0" w:type="dxa"/>
            <w:vAlign w:val="bottom"/>
            <w:tcBorders>
              <w:right w:val="single" w:sz="8" w:color="auto"/>
            </w:tcBorders>
          </w:tcPr>
          <w:p>
            <w:pPr>
              <w:spacing w:after="0"/>
              <w:rPr>
                <w:sz w:val="20"/>
                <w:szCs w:val="20"/>
                <w:color w:val="auto"/>
              </w:rPr>
            </w:pPr>
          </w:p>
        </w:tc>
      </w:tr>
      <w:tr>
        <w:trPr>
          <w:trHeight w:val="159"/>
        </w:trPr>
        <w:tc>
          <w:tcPr>
            <w:tcW w:w="2980" w:type="dxa"/>
            <w:vAlign w:val="bottom"/>
            <w:tcBorders>
              <w:left w:val="single" w:sz="8" w:color="auto"/>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2400" w:type="dxa"/>
            <w:vAlign w:val="bottom"/>
            <w:tcBorders>
              <w:bottom w:val="single" w:sz="8" w:color="auto"/>
              <w:right w:val="single" w:sz="8" w:color="auto"/>
            </w:tcBorders>
          </w:tcPr>
          <w:p>
            <w:pPr>
              <w:spacing w:after="0"/>
              <w:rPr>
                <w:sz w:val="13"/>
                <w:szCs w:val="13"/>
                <w:color w:val="auto"/>
              </w:rPr>
            </w:pPr>
          </w:p>
        </w:tc>
      </w:tr>
      <w:tr>
        <w:trPr>
          <w:trHeight w:val="361"/>
        </w:trPr>
        <w:tc>
          <w:tcPr>
            <w:tcW w:w="2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5"/>
              </w:rPr>
              <w:t>S-3</w:t>
            </w: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929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6998970" cy="9296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58" w:lineRule="auto"/>
        <w:rPr>
          <w:sz w:val="20"/>
          <w:szCs w:val="20"/>
          <w:color w:val="auto"/>
        </w:rPr>
      </w:pPr>
      <w:r>
        <w:rPr>
          <w:rFonts w:ascii="Times New Roman" w:cs="Times New Roman" w:eastAsia="Times New Roman" w:hAnsi="Times New Roman"/>
          <w:sz w:val="18"/>
          <w:szCs w:val="18"/>
          <w:color w:val="auto"/>
        </w:rPr>
        <w:t>specific factors set forth under the heading “Risk Factors” beginning on page S-5 of this prospectus supplement and described under “Item 1A—Risk Factors” in our Annual Report on Form 10-K for the year ended December 31, 2022, as well as the other information contained or incorporated herein by reference, before investing in any of the notes offered hereby.</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the notes involves risks. Before deciding whether to purchase the notes, you should consider the risks discussed below or elsewhere in this prospectus supplement, including those set forth in our filings with the SEC that we have incorporated by reference in this prospectus supplement and the accompanying prospectus. Additional risks and uncertainties not presently known to us or that we currently believe to be immaterial may also impair our business operations.</w:t>
      </w:r>
    </w:p>
    <w:p>
      <w:pPr>
        <w:spacing w:after="0" w:line="180"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Any of the risks discussed below or elsewhere in this prospectus supplement or in our SEC filings incorporated by reference in this prospectus supplement and the accompanying prospectus, and other risks we have not anticipated or discussed, could have a material impact on our business, prospects, financial condition or results of operations. In that case, our ability to pay interest on the notes when due or to repay the notes at maturity could be adversely affected, and the trading price of the notes could decline substantially.</w:t>
      </w:r>
    </w:p>
    <w:p>
      <w:pPr>
        <w:spacing w:after="0" w:line="28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There can be no assurance that the anticipated use of proceeds of the notes to finance or refinance Eligible Green Investments will be suitable for the investment criteria of an investor.</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intend to allocate an amount equal to the net proceeds from this offering to finance or refinance, in whole or in part, new or existing Eligible Green Investments, but no assurance can be given that any such Eligible Green Investments will be capable of being implemented or implemented substantially, or that such Eligible Green Investments will be completed within any specified time period or at all or with the results or outcome (whether or not related to the environmental or sustainability impact) as originally expected or anticipated. The examples of projects set forth under the heading “Use of Proceeds” in this prospectus supplement are for illustrative purposes only, and no assurance can be provided that disbursements for projects with these specific characteristics will be made by us with the net proceeds from the notes. We have significant flexibility in allocating the net proceeds from the issuance of the notes, including re-allocating the net proceeds in the event we determine in our discretion that projects receiving allocations no longer meet the eligibility criteria for Eligible Green Investments, and may also be unable to allocate the net proceeds as intended. We may also in our discretion update or amend our green financing policies from time to time, which gives us further flexibility with respect to both the allocation of the net proceeds from the issuance of the notes as well as the reporting about such allocation or the environmental impact of the Eligible Green Investments to which such net proceeds may be allocated. No underwriter for this offering or the trustee under the indenture (as defined below) is responsible for assessing or verifying whether or not the Eligible Green Investments to which we allocate the net proceeds from this offering meet the criteria described under the heading “Use of Proceeds” in this prospectus supplement, or for the monitoring of the use of proceeds. Neither the terms of the notes nor the Indenture require us to use the proceeds as described under the heading “Use of Proceeds” and any failure by us to comply with the anticipated use of proceeds will not constitute a breach of or an event of default under the notes or the Indenture.</w:t>
      </w:r>
    </w:p>
    <w:p>
      <w:pPr>
        <w:spacing w:after="0" w:line="196" w:lineRule="exact"/>
        <w:rPr>
          <w:sz w:val="20"/>
          <w:szCs w:val="20"/>
          <w:color w:val="auto"/>
        </w:rPr>
      </w:pPr>
    </w:p>
    <w:p>
      <w:pPr>
        <w:ind w:left="120" w:right="200" w:firstLine="440"/>
        <w:spacing w:after="0" w:line="253" w:lineRule="auto"/>
        <w:rPr>
          <w:sz w:val="20"/>
          <w:szCs w:val="20"/>
          <w:color w:val="auto"/>
        </w:rPr>
      </w:pPr>
      <w:r>
        <w:rPr>
          <w:rFonts w:ascii="Times New Roman" w:cs="Times New Roman" w:eastAsia="Times New Roman" w:hAnsi="Times New Roman"/>
          <w:sz w:val="18"/>
          <w:szCs w:val="18"/>
          <w:color w:val="auto"/>
        </w:rPr>
        <w:t>Prospective investors should carefully review the information set out in this prospectus supplement regarding such use of the net proceeds and must determine for themselves the relevance of such information for the purpose of any investment in the notes together with any other investigation such investor deems necessary. In particular, no assurance is given by us or any underwriter of the notes that the use of such net proceeds to fund any Eligible Green Investments will satisfy (or will continue to satisfy), whether in whole or in part, any present or future investor expectations, requirements, taxonomies, standards, or other investment criteria, or guidelines with which such investor or its investments are required to comply, whether by any present or future applicable laws or regulations or by its own governing rules or investment portfolio mandates, ratings mandates or criteria, taxonomies, or standards, or other independent expectations, in particular with regard to any direct or indirect environmental or sustainability impact of any projects or uses, the subject of or related to, any Eligible Green Investments. Any failure by us to allocate an amount equal to the net proceeds from this offering to finance or refinance one or more Eligible Green Investments, or the failure of those investments or financings to satisfy investor expectations or requirements, could have a material adverse effect on the market price of the notes and/or result in adverse consequences for certain investors with mandates to invest in securities to be used for a particular purpose.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Eligible Green Investments to which we allocate the net proceeds from this offering have complex direct or indirect environmental or sustainability impacts, and adverse environmental or social impacts may occur during the design, construction, and operation of the projects. In addition, projects may become controversial or criticized by activist groups or other stakeholders, which could have a negative effect on the trading price of the notes.</w:t>
      </w:r>
    </w:p>
    <w:p>
      <w:pPr>
        <w:spacing w:after="0" w:line="284"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color w:val="auto"/>
        </w:rPr>
        <w:t>There is no legal, regulatory, or market definition of or standardized criteria for what constitutes a “green,” “sustainable,” or other equivalently labeled project, and any such designations made by third parties with respect to the notes may not be suitable for the investment criteria of an investor.</w:t>
      </w:r>
    </w:p>
    <w:p>
      <w:pPr>
        <w:spacing w:after="0" w:line="6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There is currently no clear definition (legal, regulatory, or otherwise) of, nor market consensus as to what constitutes, a “green,” “sustainable,” or an equivalently labeled project, or as to what precise attributes are required for a particular project to be defined as “green,” “sustainable,” or such other equivalent label, and no assurance can be given that such a clear definition or consensus will develop over time or, if such definition or consensus develops in the future, that the Eligible Green Investments will meet such criteria. Accordingly, no assurance is or can be given to investors that any Eligible Green Investments selected to receive an allocation of funds from the net proceeds from this offering will meet any or all investor expectations regarding such “green,” “sustainable,” or other equivalently labeled performance objectives, or that any adverse environmental, social, and/or other impacts will not occur during the implementation of any Eligible Green Investments financed or refinanced, in whole or in part, by the net proceeds from this offering.</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No assurance or representation is given as to the suitability or reliability for any purpose whatsoever of any opinion or certification of any third party (whether or not solicited by us), including any second party opinion such as that discussed under “Use of Proceeds” in this prospectus supplement, that may be made available and, in particular, with respect to whether any Eligible Green Investments fulfill any environmental, sustainability, and/or other criteria. For the avoidance of doubt, any such opinion or certification is not and shall not be deemed to be incorporated into and/or form part of this prospectus supplement and the accompanying prospectus. Any such opinion or certification is not, nor should be deemed to be, a recommendation by us or any underwriter, or any other person (including, without limitation, the trustee), to buy, sell, or hold the notes. Any such opinion or certification is only current as of the date that opinion or certification was initially issued. Prospective investors must determine for themselves the relevance of any such opinion or certification and/or the information contained therein and/or the provider of such opinion or certification for the purpose of any investment in the notes. The providers of such opinions and certifications are not currently subject to any specific regulatory or other regime or oversight. Any withdrawal of any such opinion or certification or any additional opinion or certification attesting that we are not complying in whole or in part with any matters for which such opinion or certification is opining or certifying may have a material adverse effect on the value of the notes and/or result in adverse consequences for certain investors with mandates to invest in securities to be used for a particular purpose.</w:t>
      </w:r>
    </w:p>
    <w:p>
      <w:pPr>
        <w:spacing w:after="0" w:line="294"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color w:val="auto"/>
        </w:rPr>
        <w:t>The notes may not be listed or admitted to any dedicated “green,” “sustainable,” or other equivalently-labeled segment of any stock exchange or securities market or included in any green bond or similar index, and any such potential listing, admission, or inclusion may not be indicative that the notes will be suitable for the investment criteria of an investor.</w:t>
      </w:r>
    </w:p>
    <w:p>
      <w:pPr>
        <w:spacing w:after="0" w:line="6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While no assurance can be given that any such listing or admission will happen, in the event that the notes are listed or admitted to trading on any dedicated “green,” “sustainable,” or other equivalently-labeled segment of any stock exchange or securities market (whether or not regulated) or included in any green bond or similar index, no representation or assurance can be given by Comcast, any underwriter, or any other person:</w:t>
      </w:r>
    </w:p>
    <w:p>
      <w:pPr>
        <w:spacing w:after="0" w:line="81" w:lineRule="exact"/>
        <w:rPr>
          <w:sz w:val="20"/>
          <w:szCs w:val="20"/>
          <w:color w:val="auto"/>
        </w:rPr>
      </w:pPr>
    </w:p>
    <w:p>
      <w:pPr>
        <w:ind w:left="1080" w:right="200" w:hanging="424"/>
        <w:spacing w:after="0" w:line="258"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listing, admission, or inclusion would satisfy (or would continue to satisfy), whether in whole or in part, any present or future investor expectations or requirements, taxonomies, or standards or other investment criteria or guidelines with which such investor or its investments are required to comply, whether by any present or future applicable laws or regulations or by such investor’s own governing documents or rules or investment portfolio mandates, ratings mandates, or other expectations, in particular with regard to any direct or indirect environmental or sustainability impact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200"/>
        <w:spacing w:after="0" w:line="312" w:lineRule="auto"/>
        <w:rPr>
          <w:sz w:val="20"/>
          <w:szCs w:val="20"/>
          <w:color w:val="auto"/>
        </w:rPr>
      </w:pPr>
      <w:r>
        <w:rPr>
          <w:rFonts w:ascii="Times New Roman" w:cs="Times New Roman" w:eastAsia="Times New Roman" w:hAnsi="Times New Roman"/>
          <w:sz w:val="17"/>
          <w:szCs w:val="17"/>
          <w:color w:val="auto"/>
        </w:rPr>
        <w:t>of any projects or uses, the subject of or related to, any Eligible Green Investments (and it should be noted that the criteria for any such listing or admission to trading or for inclusion in an index may vary from one stock exchange, securities market, or index to another); or</w:t>
      </w:r>
    </w:p>
    <w:p>
      <w:pPr>
        <w:spacing w:after="0" w:line="45"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such listing or admission to trading will be maintained during the life of the notes.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the notes are listed on any such exchange or securities market or included in any such index, any change to the listing or admission status of the notes or their inclusion in any such index, including, but not limited to, if the notes are no longer being listed or admitted to trading on any stock exchange or securities market or included in any index, may have a material adverse effect on the value of the notes and/or result in adverse consequences for certain investors with mandates to invest in securities to be used for a particular purpose.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intend to allocate an amount equal to the net proceeds from this offering, after deducting the underwriting commission, fees and expenses, to the financing or refinancing, in whole or in part, of one or more green projects, assets or activities that meet the eligibility criteria described below (such projects, “Eligible Green Investments”). Eligible Green Investments may include new and existing investments made by Comcast that meet the eligibility criteria set forth below and occur within the two full calendar years prior to the consummation of this offering through maturity of the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Eligibility Criteria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that each of our Eligible Green Investments will meet one or more of the following eligibility criteria.</w:t>
      </w:r>
    </w:p>
    <w:p>
      <w:pPr>
        <w:spacing w:after="0" w:line="131" w:lineRule="exact"/>
        <w:rPr>
          <w:sz w:val="20"/>
          <w:szCs w:val="20"/>
          <w:color w:val="auto"/>
        </w:rPr>
      </w:pPr>
    </w:p>
    <w:p>
      <w:pPr>
        <w:jc w:val="both"/>
        <w:ind w:left="1080" w:right="240" w:hanging="424"/>
        <w:spacing w:after="0" w:line="312" w:lineRule="auto"/>
        <w:tabs>
          <w:tab w:leader="none" w:pos="10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Renewable Energy—expenditures related to the construction, development, acquisition, operation, or maintenance of renewable energy generation, such as solar and wind energy, that are long-term and new to the grid, as well as renewable energy storage projects, such as:</w:t>
      </w:r>
    </w:p>
    <w:p>
      <w:pPr>
        <w:spacing w:after="0" w:line="45"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related to generation, transmission, distribution and storage of owned or on-site renewable energy projects;</w:t>
      </w:r>
    </w:p>
    <w:p>
      <w:pPr>
        <w:spacing w:after="0" w:line="130" w:lineRule="exact"/>
        <w:rPr>
          <w:rFonts w:ascii="Times New Roman" w:cs="Times New Roman" w:eastAsia="Times New Roman" w:hAnsi="Times New Roman"/>
          <w:sz w:val="18"/>
          <w:szCs w:val="18"/>
          <w:color w:val="auto"/>
        </w:rPr>
      </w:pPr>
    </w:p>
    <w:p>
      <w:pPr>
        <w:ind w:left="1540" w:right="80" w:hanging="331"/>
        <w:spacing w:after="0" w:line="282"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renewable energy in our global operations through power purchase agreements, virtual power purchase agreements, and green tariffs or other supplier retail products that are:</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(i.e., at least 5 years); and</w:t>
      </w:r>
    </w:p>
    <w:p>
      <w:pPr>
        <w:spacing w:after="0" w:line="130" w:lineRule="exact"/>
        <w:rPr>
          <w:rFonts w:ascii="Times New Roman" w:cs="Times New Roman" w:eastAsia="Times New Roman" w:hAnsi="Times New Roman"/>
          <w:sz w:val="18"/>
          <w:szCs w:val="18"/>
          <w:color w:val="auto"/>
        </w:rPr>
      </w:pPr>
    </w:p>
    <w:p>
      <w:pPr>
        <w:ind w:left="2200" w:right="380" w:hanging="545"/>
        <w:spacing w:after="0" w:line="282" w:lineRule="auto"/>
        <w:tabs>
          <w:tab w:leader="none" w:pos="220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prior to the commencement, or in the case of rehabilitated projects, the re-commencement, of commercial operation of the renewable project, thus supporting the addition of new renewable energy to the grid.</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Efficiency—expenditures related to the design, construction, manufacture, installation, or operation of systems, products, and technologies intended to reduce energy consumption or greenhouse gas emission, such as:</w:t>
      </w:r>
    </w:p>
    <w:p>
      <w:pPr>
        <w:spacing w:after="0" w:line="67" w:lineRule="exact"/>
        <w:rPr>
          <w:rFonts w:ascii="Times New Roman" w:cs="Times New Roman" w:eastAsia="Times New Roman" w:hAnsi="Times New Roman"/>
          <w:sz w:val="18"/>
          <w:szCs w:val="18"/>
          <w:color w:val="auto"/>
        </w:rPr>
      </w:pPr>
    </w:p>
    <w:p>
      <w:pPr>
        <w:ind w:left="1540" w:right="20" w:hanging="331"/>
        <w:spacing w:after="0" w:line="266"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to minimize energy use in offices and everyday operations, such as sensors and controls, LED lighting, energy efficient HVAC systems, cooling towers, and remote management and data management applications, with projected energy savings of up to 15 - 30%; or</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exploration and implementation of energy efficiencies in consumer equipment, such as set-top boxes, gateways, and televisions.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 Buildings, Campuses, Communities, and Cities—expenditures related to design, construction, and improvement of real estate projects that have received (in the past two calendar years) or are expected to receive (within the next three years) regional, national, or international third-party sustainable certifications or verifications and meet the following eligibility requirements:</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sustainable certifications or verifications include:</w:t>
      </w:r>
    </w:p>
    <w:p>
      <w:pPr>
        <w:spacing w:after="0" w:line="130" w:lineRule="exact"/>
        <w:rPr>
          <w:rFonts w:ascii="Times New Roman" w:cs="Times New Roman" w:eastAsia="Times New Roman" w:hAnsi="Times New Roman"/>
          <w:sz w:val="18"/>
          <w:szCs w:val="18"/>
          <w:color w:val="auto"/>
        </w:rPr>
      </w:pPr>
    </w:p>
    <w:p>
      <w:pPr>
        <w:ind w:left="2200" w:right="780" w:hanging="545"/>
        <w:spacing w:after="0" w:line="282" w:lineRule="auto"/>
        <w:tabs>
          <w:tab w:leader="none" w:pos="220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in Energy and Environmental Design Gold or higher (for Building, Campus, or Community and City designations);</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STAR rating of 85 or higher;</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Research Establishment Environmental Assessment Methodology Excellent or Outstanding; and</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equivalent third-party verified green building certification;</w:t>
      </w:r>
    </w:p>
    <w:p>
      <w:pPr>
        <w:spacing w:after="0" w:line="130" w:lineRule="exact"/>
        <w:rPr>
          <w:rFonts w:ascii="Times New Roman" w:cs="Times New Roman" w:eastAsia="Times New Roman" w:hAnsi="Times New Roman"/>
          <w:sz w:val="18"/>
          <w:szCs w:val="18"/>
          <w:color w:val="auto"/>
        </w:rPr>
      </w:pPr>
    </w:p>
    <w:p>
      <w:pPr>
        <w:ind w:left="1540" w:right="360" w:hanging="331"/>
        <w:spacing w:after="0" w:line="282"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qualifying buildings (such as office buildings, technical facilities, and studios), eligible expenditures include the full cost of design and construction, or improvements required to obtain the sustainable certification;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80"/>
          </w:cols>
          <w:pgMar w:left="320" w:top="455"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80" w:hanging="331"/>
        <w:spacing w:after="0" w:line="266"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qualifying campus or community and city certifications, under which a multi-building campus or a theme park may be certified, eligible expenditures include those directly related to projects required to meet the sustainable certification, and do not include the full cost of design, construction, or improvement for the entire campus, community, or city;</w:t>
      </w:r>
    </w:p>
    <w:p>
      <w:pPr>
        <w:spacing w:after="0" w:line="81"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leasing, new or existing buildings that have received one of the above third party-verified green building certifications, and that meet the following criteria:</w:t>
      </w:r>
    </w:p>
    <w:p>
      <w:pPr>
        <w:spacing w:after="0" w:line="67" w:lineRule="exact"/>
        <w:rPr>
          <w:rFonts w:ascii="Times New Roman" w:cs="Times New Roman" w:eastAsia="Times New Roman" w:hAnsi="Times New Roman"/>
          <w:sz w:val="18"/>
          <w:szCs w:val="18"/>
          <w:color w:val="auto"/>
        </w:rPr>
      </w:pPr>
    </w:p>
    <w:p>
      <w:pPr>
        <w:ind w:left="2200" w:right="200" w:hanging="545"/>
        <w:spacing w:after="0" w:line="282" w:lineRule="auto"/>
        <w:tabs>
          <w:tab w:leader="none" w:pos="220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that were entered into prior to the operation of the building, thereby contributing to the addition of new sustainable buildings to the community; and</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leases (at least 15 years).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Transportation—expenditures related to the acquisition, design, development, construction, maintenance, or operation of electric and alternative vehicles and related infrastructure, such as:</w:t>
      </w:r>
    </w:p>
    <w:p>
      <w:pPr>
        <w:spacing w:after="0" w:line="67" w:lineRule="exact"/>
        <w:rPr>
          <w:rFonts w:ascii="Times New Roman" w:cs="Times New Roman" w:eastAsia="Times New Roman" w:hAnsi="Times New Roman"/>
          <w:sz w:val="18"/>
          <w:szCs w:val="18"/>
          <w:color w:val="auto"/>
        </w:rPr>
      </w:pPr>
    </w:p>
    <w:p>
      <w:pPr>
        <w:ind w:left="1540" w:right="80" w:hanging="331"/>
        <w:spacing w:after="0" w:line="261"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(whether owned or leased) of vehicles, such as cars, trucks, vans, buses, trams, trolleys and carts, that are based on clean transportation technologies, including electric, hydrogen and hybrid vehicles, or new clean vehicle types that may become available as technology evolves, subject to the condition that any qualifying vehicle must have CO2 emissions less than or equal to 50g per passenger-km;</w:t>
      </w:r>
    </w:p>
    <w:p>
      <w:pPr>
        <w:spacing w:after="0" w:line="85"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of electric vehicle charging infrastructure.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Circular Economy Adapted Products, Production Technologies, and Processes—expenditures related to designing out waste in Comcast’s products and services, and projects for waste prevention, reduction, and recycling for Comcast’s facilities, operations, and supply chain, such as:</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use of sustainable, recycled, refurbished, or reused materials and components in our products and services;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recovery of materials;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recycling of packaging;</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E-waste;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plastic usage and/or waste.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Process of Project Evaluation and Selection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net proceeds from this offering will be allocated across Eligible Green Investments evaluated and selected by representatives from Comcast’s Sustainability, Treasury, Finance, Accounting and Legal teams based on compliance with the eligibility criteria set forth above. On an annual basis, these teams will evaluate the ongoing eligibility of selected projects through the maturity of the notes. Projects selected for allocation from the proceeds of this offering will be consistent with our existing corporate policies and procedures, such as our internal environmental health and safety policies and practices, our Code of Conduct, our Code of Conduct for Suppliers and Business Partners, our Statement on Modern Slavery and Supply Chain Values, and our Human Rights Statement, with evaluations, as appropriate, of any perceived environmental and social risks and benefits associated with the project.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of Proceeds</w:t>
      </w:r>
    </w:p>
    <w:p>
      <w:pPr>
        <w:spacing w:after="0" w:line="121" w:lineRule="exact"/>
        <w:rPr>
          <w:sz w:val="20"/>
          <w:szCs w:val="20"/>
          <w:color w:val="auto"/>
        </w:rPr>
      </w:pPr>
    </w:p>
    <w:p>
      <w:pPr>
        <w:jc w:val="both"/>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intend to allocate an amount equal to the net proceeds from this offering to the financing or refinancing of existing and future Eligible Green Investments. Pending allocation, an amount equal to the net proceeds from this offering may be held in accordance with our internal investment policy and normal liquidity practices. Actual spend allocated to Eligible Green Investments will be tracked by our Finance department and will be reflected in our internal records. If at some point during the life of the notes, a project to which funds have been previously allocated no longer meets the eligibility criteria listed above, we intend to reallocate the funds to other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Eligible Green Investments with commercially reasonable efforts. Any payment of principal and interest on the notes will be made from our corporate account and will not be linked to the performance of any Eligible Green Investment.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Until full allocation of the net proceeds from this offering, we will publish an annual report (each, a “Green Financing Report”) that will include:</w:t>
      </w:r>
    </w:p>
    <w:p>
      <w:pPr>
        <w:spacing w:after="0" w:line="131" w:lineRule="exact"/>
        <w:rPr>
          <w:sz w:val="20"/>
          <w:szCs w:val="20"/>
          <w:color w:val="auto"/>
        </w:rPr>
      </w:pPr>
    </w:p>
    <w:p>
      <w:pPr>
        <w:ind w:left="108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net proceeds from this offering that have been allocated to one or more Eligible Green Investments either individually or by category;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Eligible Green Investments at such level of detail as we deem appropriate under the circumstances;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 studies and expected impact metrics, where applicable and feasible;</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amount of net proceeds from this offering yet to be allocated to Eligible Green Investments at the end of the reporting period;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Assertions by Comcast’s management with respect to (i) and (iv) above.</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Examples of the impact metrics that may be included in any report we publish are as follows, and we expect to disclose the methodology used to calculate such metrics where helpful:</w:t>
      </w:r>
    </w:p>
    <w:p>
      <w:pPr>
        <w:spacing w:after="0" w:line="67"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Energy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GHG emissions reduced/avoided in metric tons of CO2 equivalent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renewable energy generation (MWh/GWh)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Efficiency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GHG emissions reduced/avoided in metric tons of CO2 equivalent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reduction in energy consumption (MWh)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 Buildings, Campuses, Communities and Cities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Square footage of new green certified buildings, by certification type and level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Transportation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GHG emissions reduced/avoided in metric tons of CO2 equivalent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clean vehicles deployed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Circular Economy Adapted Products, Production Technologies, and Processes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GHG emissions reduced/avoided in metric tons of CO2 equivalent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prevented, minimized, reused, or recycled in metric tons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External Review</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retained an independent consultant with recognized environmental expertise to provide a Second Party Opinion (“SPO”) on the environmental benefits of our Green Financing Framework, dated January 2023 (the “Framework”), as well as the alignment to the International Capital Markets Association (ICMA) Green Bond Principles 2021 (with June 2022 Appendix 1).</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On an annual basis, starting no later than one year after the consummation of this offering and until full allocation of the net proceeds from this offering, we expect each Green Financing Report to be accompanied by a</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verification or attestation report from an external accountant with respect to the firm’s examination of assertions by our management as to the amount of the net proceeds from this offering that have been allocated to Eligible Green Investments. This examination will be conducted in accordance with attestation standards established by the American Institute of Certified Public Accountants.</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For the avoidance of doubt, none of the Framework, the SPO, or any Green Financing Report, are, and none shall be deemed to be, incorporated by reference into or form a part of this prospectus supplement or the accompanying prospectus.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080"/>
          </w:cols>
          <w:pgMar w:left="320" w:top="455" w:right="4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88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8880" w:type="dxa"/>
            <w:vAlign w:val="bottom"/>
          </w:tcPr>
          <w:p>
            <w:pPr>
              <w:ind w:left="2320"/>
              <w:spacing w:after="0"/>
              <w:rPr>
                <w:sz w:val="20"/>
                <w:szCs w:val="20"/>
                <w:color w:val="auto"/>
              </w:rPr>
            </w:pPr>
            <w:r>
              <w:rPr>
                <w:rFonts w:ascii="Times New Roman" w:cs="Times New Roman" w:eastAsia="Times New Roman" w:hAnsi="Times New Roman"/>
                <w:sz w:val="18"/>
                <w:szCs w:val="18"/>
                <w:b w:val="1"/>
                <w:bCs w:val="1"/>
                <w:color w:val="auto"/>
              </w:rPr>
              <w:t>DESCRIPTION OF THE NOTES</w:t>
            </w:r>
          </w:p>
        </w:tc>
      </w:tr>
      <w:tr>
        <w:trPr>
          <w:trHeight w:val="432"/>
        </w:trPr>
        <w:tc>
          <w:tcPr>
            <w:tcW w:w="2000" w:type="dxa"/>
            <w:vAlign w:val="bottom"/>
            <w:gridSpan w:val="2"/>
          </w:tcPr>
          <w:p>
            <w:pPr>
              <w:ind w:left="560"/>
              <w:spacing w:after="0"/>
              <w:rPr>
                <w:sz w:val="20"/>
                <w:szCs w:val="20"/>
                <w:color w:val="auto"/>
              </w:rPr>
            </w:pPr>
            <w:r>
              <w:rPr>
                <w:rFonts w:ascii="Times New Roman" w:cs="Times New Roman" w:eastAsia="Times New Roman" w:hAnsi="Times New Roman"/>
                <w:sz w:val="18"/>
                <w:szCs w:val="18"/>
                <w:i w:val="1"/>
                <w:iCs w:val="1"/>
                <w:color w:val="auto"/>
              </w:rPr>
              <w:t>We are offering $</w:t>
            </w:r>
          </w:p>
        </w:tc>
        <w:tc>
          <w:tcPr>
            <w:tcW w:w="888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aggregate principal amount of our   % Notes due 20  . The notes will be a separate series of securities issued under a</w:t>
            </w:r>
          </w:p>
        </w:tc>
      </w:tr>
    </w:tbl>
    <w:p>
      <w:pPr>
        <w:ind w:left="120"/>
        <w:spacing w:after="0" w:line="25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senior indenture dated September 18, 2013, entered into among us, the guarantors and The Bank of New York Mellon, as trustee, as amended by the first supplemental indenture dated as of November 17, 2015, entered into among us, the guarantors and The Bank of New York Mellon, as trustee, and as further amended by the second supplemental indenture dated as of July 29, 2022, entered into among us, the guarantors and The Bank of New York Mellon, as trustee (as amended, the “indenture”). The notes will be our direct unsecured and unsubordinated obligations and will be fully and unconditionally guaranteed by Comcast Cable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the notes and issue additional notes. Additional notes will be consolidated with and form a single series with the notes then outstanding; provided that if such additional notes are not fungible with the notes offered hereby for U.S. federal income tax purposes, such additional notes will have one or more separate CUSIP numbers. Copies of the indenture and the form of notes are available from us upon request.</w:t>
      </w:r>
    </w:p>
    <w:p>
      <w:pPr>
        <w:spacing w:after="0" w:line="191"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Basic Terms of the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w:t>
      </w:r>
    </w:p>
    <w:p>
      <w:pPr>
        <w:spacing w:after="0" w:line="131" w:lineRule="exact"/>
        <w:rPr>
          <w:sz w:val="20"/>
          <w:szCs w:val="20"/>
          <w:color w:val="auto"/>
        </w:rPr>
      </w:pPr>
    </w:p>
    <w:p>
      <w:pPr>
        <w:ind w:left="1080" w:right="2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rank equally with all of our other unsecured and unsubordinated debt and will be entitled to the benefits of the guarantees described below;</w:t>
      </w:r>
    </w:p>
    <w:p>
      <w:pPr>
        <w:spacing w:after="0" w:line="6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will be issued in an initial aggregate principal amount of $</w:t>
            </w:r>
          </w:p>
        </w:tc>
        <w:tc>
          <w:tcPr>
            <w:tcW w:w="14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will mature on</w:t>
            </w:r>
          </w:p>
        </w:tc>
        <w:tc>
          <w:tcPr>
            <w:tcW w:w="15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 20  ;</w:t>
            </w: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19"/>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will bear interest at the rate of   % per year, payable semiannually on each</w:t>
            </w:r>
          </w:p>
        </w:tc>
        <w:tc>
          <w:tcPr>
            <w:tcW w:w="1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w:t>
            </w:r>
          </w:p>
        </w:tc>
        <w:tc>
          <w:tcPr>
            <w:tcW w:w="1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beginning</w:t>
            </w:r>
          </w:p>
        </w:tc>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2023, to</w:t>
            </w:r>
          </w:p>
        </w:tc>
      </w:tr>
      <w:tr>
        <w:trPr>
          <w:trHeight w:val="234"/>
        </w:trPr>
        <w:tc>
          <w:tcPr>
            <w:tcW w:w="240" w:type="dxa"/>
            <w:vAlign w:val="bottom"/>
          </w:tcPr>
          <w:p>
            <w:pPr>
              <w:spacing w:after="0"/>
              <w:rPr>
                <w:sz w:val="20"/>
                <w:szCs w:val="20"/>
                <w:color w:val="auto"/>
              </w:rPr>
            </w:pPr>
          </w:p>
        </w:tc>
        <w:tc>
          <w:tcPr>
            <w:tcW w:w="3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holders of record on the preceding</w:t>
            </w:r>
          </w:p>
        </w:tc>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and</w:t>
            </w:r>
          </w:p>
        </w:tc>
        <w:tc>
          <w:tcPr>
            <w:tcW w:w="14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 and</w:t>
            </w:r>
          </w:p>
        </w:tc>
        <w:tc>
          <w:tcPr>
            <w:tcW w:w="1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03"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issuable in fully registered form, in denominations of $2,000 and in multiples of $1,000 in excess thereof.</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Payments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on the notes will be computed on the basis of a 360-day year consisting of twelve 30-day months.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Interest on the notes will accrue from (i) the earlier of , 2023 and the date of original issuance or (ii) from the most recent interest payment date to which interest has been paid, and will be payable semiannually on the interest payment dates described for each year.</w:t>
      </w:r>
    </w:p>
    <w:p>
      <w:pPr>
        <w:spacing w:after="0" w:line="162"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more information on payment and transfer procedures for the notes, see “—Book-Entry System” below.</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46"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560"/>
        <w:spacing w:after="0"/>
        <w:tabs>
          <w:tab w:leader="none" w:pos="1660" w:val="left"/>
          <w:tab w:leader="none" w:pos="2160" w:val="left"/>
          <w:tab w:leader="none" w:pos="2620" w:val="left"/>
        </w:tabs>
        <w:rPr>
          <w:sz w:val="20"/>
          <w:szCs w:val="20"/>
          <w:color w:val="auto"/>
        </w:rPr>
      </w:pPr>
      <w:r>
        <w:rPr>
          <w:rFonts w:ascii="Times New Roman" w:cs="Times New Roman" w:eastAsia="Times New Roman" w:hAnsi="Times New Roman"/>
          <w:sz w:val="18"/>
          <w:szCs w:val="18"/>
          <w:color w:val="auto"/>
        </w:rPr>
        <w:t>Prior to</w:t>
      </w:r>
      <w:r>
        <w:rPr>
          <w:sz w:val="20"/>
          <w:szCs w:val="20"/>
          <w:color w:val="auto"/>
        </w:rPr>
        <w:tab/>
      </w:r>
      <w:r>
        <w:rPr>
          <w:rFonts w:ascii="Times New Roman" w:cs="Times New Roman" w:eastAsia="Times New Roman" w:hAnsi="Times New Roman"/>
          <w:sz w:val="18"/>
          <w:szCs w:val="18"/>
          <w:color w:val="auto"/>
        </w:rPr>
        <w:t>, 20</w:t>
        <w:tab/>
        <w:t>(</w:t>
      </w:r>
      <w:r>
        <w:rPr>
          <w:sz w:val="20"/>
          <w:szCs w:val="20"/>
          <w:color w:val="auto"/>
        </w:rPr>
        <w:tab/>
      </w:r>
      <w:r>
        <w:rPr>
          <w:rFonts w:ascii="Times New Roman" w:cs="Times New Roman" w:eastAsia="Times New Roman" w:hAnsi="Times New Roman"/>
          <w:sz w:val="18"/>
          <w:szCs w:val="18"/>
          <w:color w:val="auto"/>
        </w:rPr>
        <w:t>months prior to the maturity date of the notes) (the “Par Call Date”), we may redeem the notes at our option, in whole</w:t>
      </w:r>
    </w:p>
    <w:p>
      <w:pPr>
        <w:spacing w:after="0" w:line="27" w:lineRule="exact"/>
        <w:rPr>
          <w:sz w:val="20"/>
          <w:szCs w:val="20"/>
          <w:color w:val="auto"/>
        </w:rPr>
      </w:pPr>
    </w:p>
    <w:p>
      <w:pPr>
        <w:ind w:left="120" w:right="400"/>
        <w:spacing w:after="0" w:line="260" w:lineRule="auto"/>
        <w:rPr>
          <w:sz w:val="20"/>
          <w:szCs w:val="20"/>
          <w:color w:val="auto"/>
        </w:rPr>
      </w:pPr>
      <w:r>
        <w:rPr>
          <w:rFonts w:ascii="Times New Roman" w:cs="Times New Roman" w:eastAsia="Times New Roman" w:hAnsi="Times New Roman"/>
          <w:sz w:val="18"/>
          <w:szCs w:val="18"/>
          <w:color w:val="auto"/>
        </w:rPr>
        <w:t>or in part, at any time and from time to time, at a redemption price (expressed as a percentage of the principal amount and rounded to three decimal places) equal to the greater of:</w:t>
      </w:r>
    </w:p>
    <w:p>
      <w:pPr>
        <w:spacing w:after="0" w:line="73" w:lineRule="exact"/>
        <w:rPr>
          <w:sz w:val="20"/>
          <w:szCs w:val="20"/>
          <w:color w:val="auto"/>
        </w:rPr>
      </w:pPr>
    </w:p>
    <w:p>
      <w:pPr>
        <w:jc w:val="both"/>
        <w:ind w:left="560" w:right="280" w:hanging="4"/>
        <w:spacing w:after="0" w:line="276" w:lineRule="auto"/>
        <w:tabs>
          <w:tab w:leader="none" w:pos="95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sum of the present values of the remaining scheduled payments of principal and interest thereon discounted to the redemption date (assuming, for this purpose, that the notes matured on the Par Call Date) on a semi-annual basis (assuming a 360-day year consisting of twelve</w:t>
      </w:r>
    </w:p>
    <w:p>
      <w:pPr>
        <w:spacing w:after="0" w:line="1" w:lineRule="exact"/>
        <w:rPr>
          <w:sz w:val="20"/>
          <w:szCs w:val="20"/>
          <w:color w:val="auto"/>
        </w:rPr>
      </w:pPr>
    </w:p>
    <w:p>
      <w:pPr>
        <w:ind w:left="560"/>
        <w:spacing w:after="0"/>
        <w:tabs>
          <w:tab w:leader="none" w:pos="4320" w:val="left"/>
        </w:tabs>
        <w:rPr>
          <w:sz w:val="20"/>
          <w:szCs w:val="20"/>
          <w:color w:val="auto"/>
        </w:rPr>
      </w:pPr>
      <w:r>
        <w:rPr>
          <w:rFonts w:ascii="Times New Roman" w:cs="Times New Roman" w:eastAsia="Times New Roman" w:hAnsi="Times New Roman"/>
          <w:sz w:val="18"/>
          <w:szCs w:val="18"/>
          <w:color w:val="auto"/>
        </w:rPr>
        <w:t>30-day months) at the Treasury Rate plus</w:t>
      </w:r>
      <w:r>
        <w:rPr>
          <w:sz w:val="20"/>
          <w:szCs w:val="20"/>
          <w:color w:val="auto"/>
        </w:rPr>
        <w:tab/>
      </w:r>
      <w:r>
        <w:rPr>
          <w:rFonts w:ascii="Times New Roman" w:cs="Times New Roman" w:eastAsia="Times New Roman" w:hAnsi="Times New Roman"/>
          <w:sz w:val="17"/>
          <w:szCs w:val="17"/>
          <w:color w:val="auto"/>
        </w:rPr>
        <w:t>basis points, less (b) interest accrued to the date of redemption, and</w:t>
      </w:r>
    </w:p>
    <w:p>
      <w:pPr>
        <w:spacing w:after="0" w:line="99" w:lineRule="exact"/>
        <w:rPr>
          <w:sz w:val="20"/>
          <w:szCs w:val="20"/>
          <w:color w:val="auto"/>
        </w:rPr>
      </w:pPr>
    </w:p>
    <w:p>
      <w:pPr>
        <w:ind w:left="940" w:hanging="384"/>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we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us in accordance with the following two paragraphs.</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notes to be redeemed.</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if the notes are in the form of one or more global securities, in accordance with the procedures of The Depository Trust Company (or another depositary) or, if the notes are not in the form of one or more global securities, by lot.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registered in the name of The Depository Trust Company (or another depositary) or such depositary’s nominee, the redemption of the notes shall be done in accordance with the policies and procedures of the depositary.</w:t>
      </w:r>
    </w:p>
    <w:p>
      <w:pPr>
        <w:spacing w:after="0" w:line="18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redemption date, interest will cease to accrue on the notes or portions thereof called for redemption.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Mandatory Redemption or Sinking 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will be no mandatory redemption prior to maturity or sinking fund payments for the notes.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does not limit the amount of debt we may issue under the indenture or otherwise.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83"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Holders may hold interests in the notes outside the United States through Euroclear or Clearstream if they are participants in those systems, or indirectly through organizations which are participants in those systems.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DTC</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162"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8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Certificated Notes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54" w:lineRule="exact"/>
        <w:rPr>
          <w:sz w:val="20"/>
          <w:szCs w:val="20"/>
          <w:color w:val="auto"/>
        </w:rPr>
      </w:pPr>
    </w:p>
    <w:p>
      <w:pPr>
        <w:ind w:left="560" w:right="140" w:firstLine="419"/>
        <w:spacing w:after="0" w:line="282" w:lineRule="auto"/>
        <w:tabs>
          <w:tab w:leader="none" w:pos="137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53" w:lineRule="exact"/>
        <w:rPr>
          <w:rFonts w:ascii="Times New Roman" w:cs="Times New Roman" w:eastAsia="Times New Roman" w:hAnsi="Times New Roman"/>
          <w:sz w:val="18"/>
          <w:szCs w:val="18"/>
          <w:color w:val="auto"/>
        </w:rPr>
      </w:pPr>
    </w:p>
    <w:p>
      <w:pPr>
        <w:ind w:left="1360" w:hanging="381"/>
        <w:spacing w:after="0"/>
        <w:tabs>
          <w:tab w:leader="none" w:pos="1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 our discretion at any time determine not to have all the notes represented by the Global Notes; or</w:t>
      </w:r>
    </w:p>
    <w:p>
      <w:pPr>
        <w:spacing w:after="0" w:line="117" w:lineRule="exact"/>
        <w:rPr>
          <w:rFonts w:ascii="Times New Roman" w:cs="Times New Roman" w:eastAsia="Times New Roman" w:hAnsi="Times New Roman"/>
          <w:sz w:val="18"/>
          <w:szCs w:val="18"/>
          <w:color w:val="auto"/>
        </w:rPr>
      </w:pPr>
    </w:p>
    <w:p>
      <w:pPr>
        <w:ind w:left="1360" w:hanging="381"/>
        <w:spacing w:after="0"/>
        <w:tabs>
          <w:tab w:leader="none" w:pos="1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entitling the holders of the applicable notes to accelerate the maturity thereof has occurred and is continuing.</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Same-Day Payment</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7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FOR NON-U.S. HOLDERS</w:t>
      </w:r>
    </w:p>
    <w:p>
      <w:pPr>
        <w:spacing w:after="0" w:line="22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the material U.S. federal income tax consequences of ownership and disposition of the notes. This discussion only applies to notes that meet all of the following conditions:</w:t>
      </w:r>
    </w:p>
    <w:p>
      <w:pPr>
        <w:spacing w:after="0" w:line="67" w:lineRule="exact"/>
        <w:rPr>
          <w:sz w:val="20"/>
          <w:szCs w:val="20"/>
          <w:color w:val="auto"/>
        </w:rPr>
      </w:pPr>
    </w:p>
    <w:p>
      <w:pPr>
        <w:ind w:left="1080" w:right="16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held as capital assets;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beneficially owned by Non-U.S. Holders (as defined below).</w:t>
      </w:r>
    </w:p>
    <w:p>
      <w:pPr>
        <w:spacing w:after="0" w:line="225"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This discussion does not describe all of the tax consequences that may be relevant to beneficial owners of notes in light of their particular circumstances or to beneficial owners of notes subject to special rules, such as:</w:t>
      </w:r>
    </w:p>
    <w:p>
      <w:pPr>
        <w:spacing w:after="0" w:line="67"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the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foreign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notes as part of a hedge, straddle or other integrated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arrangements or entities classified as partnerships for U.S. federal income tax purposes; or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for U.S. federal income tax purposes to conform the timing of income accruals with respect to the notes to their financial statements under Section 451 of the Internal Revenue Code of 1986, as amended (the “Code”).</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a partnership or other arrangement or entity classified as a partnership for U.S. federal income tax purposes holds notes, the tax treatment of a partner will generally depend upon the status of the partner and the activities of the partnership. A partner of a partnership holding notes is urged to consult his, her or its tax advisor.</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non-U.S. taxing jurisdiction.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 the term “Non-U.S. Holder” means a beneficial owner of a note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not a U.S. citizen and who is classified as a nonresident for U.S. federal income tax purposes;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estate or trust.</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“Non-U.S. Holder” does not include an individual present in the United States for 183 days or more in the taxable year of disposition or a former citizen or former resident of the United States. Such persons are urged to consult their tax advisors regarding the U.S. federal income tax consequences of the sale, exchange or other disposition of a note.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on a Note</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81" w:lineRule="exact"/>
        <w:rPr>
          <w:sz w:val="20"/>
          <w:szCs w:val="20"/>
          <w:color w:val="auto"/>
        </w:rPr>
      </w:pPr>
    </w:p>
    <w:p>
      <w:pPr>
        <w:ind w:left="1080" w:right="1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does not own, actually or constructively, 10% or more of the total combined voting power of all classes of our stock entitled to vote and is not a controlled foreign corporation related, directly or indirectly, to us through stock ownership;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requirement described below has been fulfilled with respect to the beneficial owner, as discussed below.</w:t>
      </w:r>
    </w:p>
    <w:p>
      <w:pPr>
        <w:spacing w:after="0" w:line="225"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Interest on a note described above will not be exempt from withholding tax unless the beneficial owner of that note certifies on a properly executed Internal Revenue Service Form W-8BEN or W-8BEN-E (or successor form), as appropriate, under penalties of perjury, that it is not a U.S. person.</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a Non-U.S. Holder of a note is engaged in a trade or business in the United States, and if interest on the note is effectively connected with the conduct of such trade or business (and, if required by an applicable income tax treaty, is attributable to a U.S. permanent establishment or a fixed base of the Non-U.S. Holder), the Non-U.S. Holder will generally not be subject to the withholding discussed in the preceding paragraphs if a properly executed, applicable Form W-8 (generally an Internal Revenue Service Form W-8ECI) is provided to the applicable withholding agent. Such a Non-U.S. Holder will, however, generally be taxed on such interest in the same manner as a U.S. person, unless an applicable income tax treaty provides otherwise. These Non-U.S.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Exchange, Redemption or Other Disposition of a Note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Subject to the discussions below concerning backup withholding and FATCA, a Non-U.S. Holder will not be subject to U.S. federal income tax on gain realized on the sale, exchange, redemption or other disposition of such note, unless the gain is effectively connected with the conduct by the holder of a trade or business in the United States (and, if required by an applicable income tax treaty, is attributable to a U.S. permanent establishment or a fixed base of the Non-U.S. Holder).</w:t>
      </w:r>
    </w:p>
    <w:p>
      <w:pPr>
        <w:spacing w:after="0" w:line="180"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If a Non-U.S. Holder of a note is engaged in a trade or business in the United States, and if gain realized by the Non-U.S. Holder on a sale, exchange, redemption or other disposition of such note is effectively connected with the conduct of such trade or business, the Non-U.S. Holder will generally be taxed in the same manner as a U.S. person, subject to an applicable income tax treaty providing otherwise. These Non-U.S. Holders are urged to consult their tax advisors with respect to other U.S. tax consequences of the ownership and disposition of notes, including the possible imposition of an additional branch profits tax at a rate of 30% (or lower treaty rate).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Internal Revenue Service in connection with interest payments on the notes. Unless a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U.S.-source interest and, subject to the discussion of certain proposed U.S. Treasury regulations below,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w:t>
      </w:r>
    </w:p>
    <w:p>
      <w:pPr>
        <w:spacing w:after="0" w:line="18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U.S. Treasury Department has released proposed regulations which, if finalized in their present form, would eliminate FATCA withholding on the gross proceeds of a sale, exchange, redemption or other disposition of a note (other than amounts treated as interest). In the preamble to the proposed regulations, the U.S. Treasury Department indicated that taxpayers may rely on the proposed regulations until final regulations are issued.</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effects of FATCA on their investment in the notes. We will not pay additional amounts with respect to any withholding taxes imposed under FATCA.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intend to offer the notes through the underwriters named below. Subject to the terms and conditions contained in an underwriting agreement, we have agreed to sell to the underwriters and the underwriters severally, and not jointly, have agreed to purchase from us, the principal amount of the notes listed opposite their names below.</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Notes To Be</w:t>
            </w:r>
          </w:p>
        </w:tc>
        <w:tc>
          <w:tcPr>
            <w:tcW w:w="0" w:type="dxa"/>
            <w:vAlign w:val="bottom"/>
          </w:tcPr>
          <w:p>
            <w:pPr>
              <w:spacing w:after="0"/>
              <w:rPr>
                <w:sz w:val="1"/>
                <w:szCs w:val="1"/>
                <w:color w:val="auto"/>
              </w:rPr>
            </w:pPr>
          </w:p>
        </w:tc>
      </w:tr>
      <w:tr>
        <w:trPr>
          <w:trHeight w:val="173"/>
        </w:trPr>
        <w:tc>
          <w:tcPr>
            <w:tcW w:w="6500" w:type="dxa"/>
            <w:vAlign w:val="bottom"/>
            <w:gridSpan w:val="2"/>
            <w:vMerge w:val="continue"/>
          </w:tcPr>
          <w:p>
            <w:pPr>
              <w:spacing w:after="0"/>
              <w:rPr>
                <w:sz w:val="15"/>
                <w:szCs w:val="15"/>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209"/>
        </w:trPr>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Samuel A. Ramirez &amp; Company, Inc.</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Siebert Williams Shank &amp; Co., LLC</w:t>
            </w:r>
          </w:p>
        </w:tc>
        <w:tc>
          <w:tcPr>
            <w:tcW w:w="9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 of 1933, as amended, or to contribute to payments the several underwriters may be required to make in respect of those liabilities.</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they propose initially to offer the notes to the public at the public offering price on the cover page of this prospectus supplement, and to dealers at that price less a concession not in excess of % of the principal amount of the notes. The underwriters may allow, and the dealers may reallow, a discount not in excess of % of the principal amount of the notes to other dealers. After the initial public offering, the public offering prices, concessions and discounts may be changed.</w:t>
      </w:r>
    </w:p>
    <w:p>
      <w:pPr>
        <w:spacing w:after="0" w:line="180" w:lineRule="exact"/>
        <w:rPr>
          <w:sz w:val="20"/>
          <w:szCs w:val="20"/>
          <w:color w:val="auto"/>
        </w:rPr>
      </w:pPr>
    </w:p>
    <w:p>
      <w:pPr>
        <w:ind w:left="560"/>
        <w:spacing w:after="0"/>
        <w:tabs>
          <w:tab w:leader="none" w:pos="7520" w:val="left"/>
        </w:tabs>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to be $</w:t>
      </w:r>
      <w:r>
        <w:rPr>
          <w:sz w:val="20"/>
          <w:szCs w:val="20"/>
          <w:color w:val="auto"/>
        </w:rPr>
        <w:tab/>
      </w:r>
      <w:r>
        <w:rPr>
          <w:rFonts w:ascii="Times New Roman" w:cs="Times New Roman" w:eastAsia="Times New Roman" w:hAnsi="Times New Roman"/>
          <w:sz w:val="16"/>
          <w:szCs w:val="16"/>
          <w:color w:val="auto"/>
        </w:rPr>
        <w: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and Short Positions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8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260" w:firstLine="440"/>
        <w:spacing w:after="0" w:line="281" w:lineRule="auto"/>
        <w:rPr>
          <w:sz w:val="20"/>
          <w:szCs w:val="20"/>
          <w:color w:val="auto"/>
        </w:rPr>
      </w:pPr>
      <w:r>
        <w:rPr>
          <w:rFonts w:ascii="Times New Roman" w:cs="Times New Roman" w:eastAsia="Times New Roman" w:hAnsi="Times New Roman"/>
          <w:sz w:val="17"/>
          <w:szCs w:val="17"/>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 Furthermore, certain of the underwriters and their respective affiliates may, from time to time, enter into arms-length transactions with us in the ordinary course of their business.</w:t>
      </w:r>
    </w:p>
    <w:p>
      <w:pPr>
        <w:spacing w:after="0" w:line="16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9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(as amended, “EUWA”); (ii) 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2(1) of Regulation (EU) No 600/2014 as it forms part of domestic law by virtue of the EUWA; or</w:t>
      </w:r>
    </w:p>
    <w:p>
      <w:pPr>
        <w:spacing w:after="0" w:line="5" w:lineRule="exact"/>
        <w:rPr>
          <w:sz w:val="20"/>
          <w:szCs w:val="20"/>
          <w:color w:val="auto"/>
        </w:rPr>
      </w:pPr>
    </w:p>
    <w:p>
      <w:pPr>
        <w:ind w:left="120" w:right="20" w:hanging="4"/>
        <w:spacing w:after="0" w:line="253" w:lineRule="auto"/>
        <w:tabs>
          <w:tab w:leader="none" w:pos="4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Article 2 of Regulation (EU) 2017/1129 as it forms part of domestic law by virtue of the EUWA (the “UK Prospectus Regulation”).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notes may not be offered or sold by means of any document other than to persons whose ordinary business is to buy or sell shares or debentures, whether as principal or agent, or in circumstances that do not constitute an offer to</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060"/>
          </w:cols>
          <w:pgMar w:left="320" w:top="455" w:right="5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Korea</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notes have not been and will not be registered with the Financial Services Commission of Korea for public offering in Korea. Furthermore, the notes may not be resold to Korean residents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72" w:lineRule="exact"/>
        <w:rPr>
          <w:sz w:val="20"/>
          <w:szCs w:val="20"/>
          <w:color w:val="auto"/>
        </w:rPr>
      </w:pPr>
    </w:p>
    <w:p>
      <w:pPr>
        <w:ind w:left="560" w:right="500" w:firstLine="419"/>
        <w:spacing w:after="0" w:line="282" w:lineRule="auto"/>
        <w:tabs>
          <w:tab w:leader="none" w:pos="133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53" w:lineRule="exact"/>
        <w:rPr>
          <w:rFonts w:ascii="Times New Roman" w:cs="Times New Roman" w:eastAsia="Times New Roman" w:hAnsi="Times New Roman"/>
          <w:sz w:val="18"/>
          <w:szCs w:val="18"/>
          <w:color w:val="auto"/>
        </w:rPr>
      </w:pPr>
    </w:p>
    <w:p>
      <w:pPr>
        <w:ind w:left="560" w:right="640" w:firstLine="419"/>
        <w:spacing w:after="0" w:line="282" w:lineRule="auto"/>
        <w:tabs>
          <w:tab w:leader="none" w:pos="138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53" w:lineRule="exact"/>
        <w:rPr>
          <w:rFonts w:ascii="Times New Roman" w:cs="Times New Roman" w:eastAsia="Times New Roman" w:hAnsi="Times New Roman"/>
          <w:sz w:val="18"/>
          <w:szCs w:val="18"/>
          <w:color w:val="auto"/>
        </w:rPr>
      </w:pPr>
    </w:p>
    <w:p>
      <w:pPr>
        <w:ind w:left="1420" w:hanging="441"/>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w:t>
      </w:r>
    </w:p>
    <w:p>
      <w:pPr>
        <w:spacing w:after="0" w:line="117" w:lineRule="exact"/>
        <w:rPr>
          <w:sz w:val="20"/>
          <w:szCs w:val="20"/>
          <w:color w:val="auto"/>
        </w:rPr>
      </w:pPr>
    </w:p>
    <w:p>
      <w:pPr>
        <w:ind w:left="560" w:right="760" w:firstLine="419"/>
        <w:spacing w:after="0" w:line="282" w:lineRule="auto"/>
        <w:tabs>
          <w:tab w:leader="none" w:pos="13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40" w:firstLine="419"/>
        <w:spacing w:after="0" w:line="261" w:lineRule="auto"/>
        <w:tabs>
          <w:tab w:leader="none" w:pos="13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72" w:lineRule="exact"/>
        <w:rPr>
          <w:sz w:val="20"/>
          <w:szCs w:val="20"/>
          <w:color w:val="auto"/>
        </w:rPr>
      </w:pPr>
    </w:p>
    <w:p>
      <w:pPr>
        <w:ind w:left="560" w:right="1040" w:firstLine="419"/>
        <w:spacing w:after="0" w:line="282" w:lineRule="auto"/>
        <w:tabs>
          <w:tab w:leader="none" w:pos="133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53" w:lineRule="exact"/>
        <w:rPr>
          <w:rFonts w:ascii="Times New Roman" w:cs="Times New Roman" w:eastAsia="Times New Roman" w:hAnsi="Times New Roman"/>
          <w:sz w:val="18"/>
          <w:szCs w:val="18"/>
          <w:color w:val="auto"/>
        </w:rPr>
      </w:pPr>
    </w:p>
    <w:p>
      <w:pPr>
        <w:ind w:left="1380" w:hanging="401"/>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17" w:lineRule="exact"/>
        <w:rPr>
          <w:rFonts w:ascii="Times New Roman" w:cs="Times New Roman" w:eastAsia="Times New Roman" w:hAnsi="Times New Roman"/>
          <w:sz w:val="18"/>
          <w:szCs w:val="18"/>
          <w:color w:val="auto"/>
        </w:rPr>
      </w:pPr>
    </w:p>
    <w:p>
      <w:pPr>
        <w:ind w:left="1420" w:hanging="441"/>
        <w:spacing w:after="0"/>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17" w:lineRule="exact"/>
        <w:rPr>
          <w:rFonts w:ascii="Times New Roman" w:cs="Times New Roman" w:eastAsia="Times New Roman" w:hAnsi="Times New Roman"/>
          <w:sz w:val="18"/>
          <w:szCs w:val="18"/>
          <w:color w:val="auto"/>
        </w:rPr>
      </w:pPr>
    </w:p>
    <w:p>
      <w:pPr>
        <w:ind w:left="1420" w:hanging="441"/>
        <w:spacing w:after="0"/>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17" w:lineRule="exact"/>
        <w:rPr>
          <w:rFonts w:ascii="Times New Roman" w:cs="Times New Roman" w:eastAsia="Times New Roman" w:hAnsi="Times New Roman"/>
          <w:sz w:val="18"/>
          <w:szCs w:val="18"/>
          <w:color w:val="auto"/>
        </w:rPr>
      </w:pPr>
    </w:p>
    <w:p>
      <w:pPr>
        <w:ind w:left="560" w:right="480" w:firstLine="419"/>
        <w:spacing w:after="0" w:line="282" w:lineRule="auto"/>
        <w:tabs>
          <w:tab w:leader="none" w:pos="137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Singapore Securities and Futures Act Product Classification—Solely for the purposes of our obligations pursuant to Sections 309(B)(1)(a) and 309(B)(1)(c) of the SFA, we have determined, and hereby notify all relevant persons (as defined in Section 309A(1) of the SFA) that the notes are “prescribed capital markets products” (as defined in the Securities and Futures (Capital Markets Products) Regulations 2018 of Singapore) and Excluded Investment Products (as defined in MAS Notice SFA 04-N12: Notice on the Sale of Investment Products and MAS Notice FAA-N16: Notice on Recommendations on Investment Products). Any reference to any term as defined in the SFA, or any provision in the SFA is a reference to that term as modified or amended from time to time including by such of its subsidiary legislation as may be applicable at the relevant time.</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is not intended to constitute an offer or solicitation to purchase or invest in the notes described herein.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offering of the notes has not been approved or licensed by the UAE Central Bank, the UAE Securities and Commodities Authority (“SCA”), the Dubai Financial Services Authority (“DFSA”) or any other relevant licensing authorities in the UAE, and the notes may not be offered to the public in the UAE (including the DIFC). This prospectus supplement is being issued to a limited number of institutional and individual investors:</w:t>
      </w:r>
    </w:p>
    <w:p>
      <w:pPr>
        <w:spacing w:after="0" w:line="68" w:lineRule="exact"/>
        <w:rPr>
          <w:sz w:val="20"/>
          <w:szCs w:val="20"/>
          <w:color w:val="auto"/>
        </w:rPr>
      </w:pPr>
    </w:p>
    <w:p>
      <w:pPr>
        <w:ind w:left="560" w:right="140" w:firstLine="419"/>
        <w:spacing w:after="0" w:line="282" w:lineRule="auto"/>
        <w:tabs>
          <w:tab w:leader="none" w:pos="13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meet the criteria of a “Qualified Investor” as defined in the SCA Board of Directors Decision No. 3 R.M. of 2017 (but excluding subparagraph 1(d) in the “Qualified Investor” definition relating to natural persons);</w:t>
      </w:r>
    </w:p>
    <w:p>
      <w:pPr>
        <w:spacing w:after="0" w:line="53" w:lineRule="exact"/>
        <w:rPr>
          <w:rFonts w:ascii="Times New Roman" w:cs="Times New Roman" w:eastAsia="Times New Roman" w:hAnsi="Times New Roman"/>
          <w:sz w:val="18"/>
          <w:szCs w:val="18"/>
          <w:color w:val="auto"/>
        </w:rPr>
      </w:pPr>
    </w:p>
    <w:p>
      <w:pPr>
        <w:ind w:left="560" w:right="280" w:firstLine="419"/>
        <w:spacing w:after="0" w:line="282" w:lineRule="auto"/>
        <w:tabs>
          <w:tab w:leader="none" w:pos="137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their request and confirmation that they understand that the notes have not been approved or licensed by or registered with the UAE Central Bank, the SCA, DFSA or any other relevant licensing authorities or governmental agencies in the UAE; and</w:t>
      </w:r>
    </w:p>
    <w:p>
      <w:pPr>
        <w:spacing w:after="0" w:line="53" w:lineRule="exact"/>
        <w:rPr>
          <w:rFonts w:ascii="Times New Roman" w:cs="Times New Roman" w:eastAsia="Times New Roman" w:hAnsi="Times New Roman"/>
          <w:sz w:val="18"/>
          <w:szCs w:val="18"/>
          <w:color w:val="auto"/>
        </w:rPr>
      </w:pPr>
    </w:p>
    <w:p>
      <w:pPr>
        <w:ind w:left="560" w:right="60" w:firstLine="419"/>
        <w:spacing w:after="0" w:line="282" w:lineRule="auto"/>
        <w:tabs>
          <w:tab w:leader="none" w:pos="13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their confirmation that they understand that the prospectus supplement must not be provided to any person other than the original recipient, and may not be reproduced or used for any other purpose.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Investors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purchaser and holder of the notes (or any interest therein) will be deemed to have represented by its purchase or holding of the notes that either (a) it is not, and its purchase and holding of the notes is not made on behalf of or with assets of, (i) an employee benefit plan that is subject to Title I of the Employee Retirement Income Security Act of 1974, as amended (“ERISA”), (ii) a plan, account or other arrangement that is subject to Section 4975 of the Internal Revenue Code of 1986, as amended (the “Code”), (iii) an entity whose underlying assets include the assets of any such employee benefit plan, plan, account or arrangement or (iv) a governmental, church or non-U.S. plan that is subject to any state, local or other federal law or non-U.S. law that is substantially similar to the provisions of Title I of ERISA or Section 4975 of the Code (“Similar Law”), or (b) its purchase, holding and subsequent disposition of the notes will not constitute or result in a non-exempt prohibited transaction under Section 406 of ERISA or Section 4975 of the Code or violate any Similar Law.</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Various legal matters relating to the offering will be passed upon for us by Elizabeth Wideman, Esquire, Senior Vice President, Senior Deputy General Counsel and Assistant Secretary, Francis M. Buono, Esquire, Executive Vice President, Legal Regulatory Affairs and Senior Deputy General Counsel of Comcast Corporation, and by Davis Polk &amp; Wardwell LLP, New York, New York. Cahill Gordon &amp; Reindel LLP, New York, New York, is representing the underwriters.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Comcast Corporation as of December 31, 2022 and 2021, and for each of the three years in the period ended December 31, 2022, incorporated by reference in this Prospectus Supplement by reference to Comcast Corporation’s annual report on Form 10-K for the year ended December 31, 2022,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upon their authority as experts in accounting and auditing.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208280</wp:posOffset>
            </wp:positionV>
            <wp:extent cx="1397000" cy="4889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39700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types of securities that may be offered and sold from time to time by Comcast Corporation or by selling security holders under this prospectus:</w:t>
      </w:r>
    </w:p>
    <w:p>
      <w:pPr>
        <w:sectPr>
          <w:pgSz w:w="11900" w:h="16838" w:orient="portrait"/>
          <w:cols w:equalWidth="0" w:num="1">
            <w:col w:w="11060"/>
          </w:cols>
          <w:pgMar w:left="320" w:top="455" w:right="519" w:bottom="1440" w:gutter="0" w:footer="0" w:header="0"/>
        </w:sectPr>
      </w:pP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 Unsecured senior debt securities</w:t>
      </w:r>
    </w:p>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 Preferred stock</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 Warrants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 Depositary shares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 Purchase contracts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 Class A common stock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 Units</w:t>
      </w:r>
    </w:p>
    <w:p>
      <w:pPr>
        <w:spacing w:after="0" w:line="415" w:lineRule="exact"/>
        <w:rPr>
          <w:sz w:val="20"/>
          <w:szCs w:val="20"/>
          <w:color w:val="auto"/>
        </w:rPr>
      </w:pPr>
    </w:p>
    <w:p>
      <w:pPr>
        <w:sectPr>
          <w:pgSz w:w="11900" w:h="16838" w:orient="portrait"/>
          <w:cols w:equalWidth="0" w:num="2">
            <w:col w:w="5300" w:space="720"/>
            <w:col w:w="5040"/>
          </w:cols>
          <w:pgMar w:left="320" w:top="455" w:right="519" w:bottom="1440" w:gutter="0" w:footer="0" w:header="0"/>
          <w:type w:val="continuous"/>
        </w:sectPr>
      </w:pPr>
    </w:p>
    <w:p>
      <w:pPr>
        <w:spacing w:after="0" w:line="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indicated in the relevant prospectus supplement, the securities may be fully and unconditionally guaranteed by a number of our wholly owned subsidiaries named in this prospectus.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is quoted on the Nasdaq Global Select Market under the ticker symbol “CMCSA.” On July 28, 2022, the reported last sale price on the Nasdaq Global Select Market for our Class A common stock was $39.41.</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 Maturity</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 Redemption terms</w:t>
            </w:r>
          </w:p>
        </w:tc>
        <w:tc>
          <w:tcPr>
            <w:tcW w:w="27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 Subsidiary guarantees</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 Dividends</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 Liquidation amount</w:t>
            </w:r>
          </w:p>
        </w:tc>
        <w:tc>
          <w:tcPr>
            <w:tcW w:w="27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 Currency of payments</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 Conversion or exchange rights</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 Sinking fund terms</w:t>
            </w:r>
          </w:p>
        </w:tc>
        <w:tc>
          <w:tcPr>
            <w:tcW w:w="2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•   Amount payable at maturity</w:t>
            </w: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 Interest rate</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 Listing on a securities exchange</w:t>
            </w:r>
          </w:p>
        </w:tc>
        <w:tc>
          <w:tcPr>
            <w:tcW w:w="2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certain risks. See “Item 1A—Risk Factors” beginning on page 22 of our Annual Report on Form 10-K for the fiscal year ended December 31, 2021, which is incorporated by reference herein.</w:t>
      </w:r>
    </w:p>
    <w:p>
      <w:pPr>
        <w:spacing w:after="0" w:line="155" w:lineRule="exact"/>
        <w:rPr>
          <w:sz w:val="20"/>
          <w:szCs w:val="20"/>
          <w:color w:val="auto"/>
        </w:rPr>
      </w:pPr>
    </w:p>
    <w:p>
      <w:pPr>
        <w:jc w:val="both"/>
        <w:ind w:left="120" w:right="5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Securities and Exchange Commission (the “SEC” or the “Commission”) and state securities regulators have not approved or disapproved of these securities, or determined if this prospectus is truthful or complete. Any representation to the contrary is a criminal offense.</w:t>
      </w:r>
    </w:p>
    <w:p>
      <w:pPr>
        <w:spacing w:after="0" w:line="175"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date of this prospectus is July 29, 2022</w:t>
      </w:r>
    </w:p>
    <w:p>
      <w:pPr>
        <w:sectPr>
          <w:pgSz w:w="11900" w:h="16838" w:orient="portrait"/>
          <w:cols w:equalWidth="0" w:num="1">
            <w:col w:w="11060"/>
          </w:cols>
          <w:pgMar w:left="320" w:top="455" w:right="51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0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6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440" w:type="dxa"/>
            <w:vAlign w:val="bottom"/>
            <w:gridSpan w:val="5"/>
            <w:vMerge w:val="restart"/>
          </w:tcPr>
          <w:p>
            <w:pPr>
              <w:spacing w:after="0"/>
              <w:rPr>
                <w:sz w:val="24"/>
                <w:szCs w:val="24"/>
                <w:color w:val="auto"/>
              </w:rPr>
            </w:pPr>
          </w:p>
        </w:tc>
        <w:tc>
          <w:tcPr>
            <w:tcW w:w="6560" w:type="dxa"/>
            <w:vAlign w:val="bottom"/>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0"/>
        </w:trPr>
        <w:tc>
          <w:tcPr>
            <w:tcW w:w="1640" w:type="dxa"/>
            <w:vAlign w:val="bottom"/>
            <w:tcBorders>
              <w:bottom w:val="single" w:sz="8" w:color="0000EE"/>
            </w:tcBorders>
            <w:gridSpan w:val="9"/>
            <w:vMerge w:val="continue"/>
          </w:tcPr>
          <w:p>
            <w:pPr>
              <w:spacing w:after="0"/>
              <w:rPr>
                <w:sz w:val="13"/>
                <w:szCs w:val="13"/>
                <w:color w:val="auto"/>
              </w:rPr>
            </w:pPr>
          </w:p>
        </w:tc>
        <w:tc>
          <w:tcPr>
            <w:tcW w:w="2440" w:type="dxa"/>
            <w:vAlign w:val="bottom"/>
            <w:gridSpan w:val="5"/>
            <w:vMerge w:val="continue"/>
          </w:tcPr>
          <w:p>
            <w:pPr>
              <w:spacing w:after="0"/>
              <w:rPr>
                <w:sz w:val="13"/>
                <w:szCs w:val="13"/>
                <w:color w:val="auto"/>
              </w:rPr>
            </w:pPr>
          </w:p>
        </w:tc>
        <w:tc>
          <w:tcPr>
            <w:tcW w:w="6560" w:type="dxa"/>
            <w:vAlign w:val="bottom"/>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The Companies</w:t>
            </w:r>
          </w:p>
        </w:tc>
        <w:tc>
          <w:tcPr>
            <w:tcW w:w="2940" w:type="dxa"/>
            <w:vAlign w:val="bottom"/>
            <w:gridSpan w:val="11"/>
          </w:tcPr>
          <w:p>
            <w:pPr>
              <w:spacing w:after="0"/>
              <w:rPr>
                <w:sz w:val="18"/>
                <w:szCs w:val="18"/>
                <w:color w:val="auto"/>
              </w:rPr>
            </w:pPr>
          </w:p>
        </w:tc>
        <w:tc>
          <w:tcPr>
            <w:tcW w:w="6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Caution Concerning Forward-Looking Statements</w:t>
            </w:r>
          </w:p>
        </w:tc>
        <w:tc>
          <w:tcPr>
            <w:tcW w:w="460" w:type="dxa"/>
            <w:vAlign w:val="bottom"/>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2900" w:type="dxa"/>
            <w:vAlign w:val="bottom"/>
            <w:gridSpan w:val="9"/>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 and Guarantees</w:t>
            </w:r>
          </w:p>
        </w:tc>
        <w:tc>
          <w:tcPr>
            <w:tcW w:w="700" w:type="dxa"/>
            <w:vAlign w:val="bottom"/>
            <w:gridSpan w:val="3"/>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Global Securities</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040" w:type="dxa"/>
            <w:vAlign w:val="bottom"/>
            <w:gridSpan w:val="4"/>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660" w:type="dxa"/>
            <w:vAlign w:val="bottom"/>
            <w:gridSpan w:val="7"/>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080" w:type="dxa"/>
            <w:vAlign w:val="bottom"/>
            <w:gridSpan w:val="12"/>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580" w:type="dxa"/>
            <w:vAlign w:val="bottom"/>
            <w:gridSpan w:val="8"/>
            <w:shd w:val="clear" w:color="auto" w:fill="0000EE"/>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36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Part II Information Not Required in Prospectus</w:t>
            </w:r>
          </w:p>
        </w:tc>
        <w:tc>
          <w:tcPr>
            <w:tcW w:w="480" w:type="dxa"/>
            <w:vAlign w:val="bottom"/>
            <w:gridSpan w:val="2"/>
          </w:tcPr>
          <w:p>
            <w:pPr>
              <w:spacing w:after="0"/>
              <w:rPr>
                <w:sz w:val="17"/>
                <w:szCs w:val="17"/>
                <w:color w:val="auto"/>
              </w:rPr>
            </w:pPr>
          </w:p>
        </w:tc>
        <w:tc>
          <w:tcPr>
            <w:tcW w:w="6560" w:type="dxa"/>
            <w:vAlign w:val="bottom"/>
          </w:tcPr>
          <w:p>
            <w:pPr>
              <w:spacing w:after="0"/>
              <w:rPr>
                <w:sz w:val="17"/>
                <w:szCs w:val="17"/>
                <w:color w:val="auto"/>
              </w:rPr>
            </w:pPr>
          </w:p>
        </w:tc>
        <w:tc>
          <w:tcPr>
            <w:tcW w:w="3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II-1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83"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We refer to Comcast Corporation in this prospectus as “Comcast,” and Comcast and its consolidated subsidiaries as “we,” “us,” “our” or comparable terms; Comcast Holdings Corporation as “Comcast Holdings” and Sky Limited and its consolidated subsidiaries as “Sky.” We refer to Comcast Cable Communications, LLC and its consolidated subsidiaries as “Comcast Cable,” NBCUniversal Media, LLC and its consolidated subsidiaries as “NBCUniversal,” and both of them collectively as the “Guarantors.”</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“Available Information.”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global media and technology company with three primary businesses, Comcast Cable, NBCUniversal and Sky.</w:t>
      </w:r>
    </w:p>
    <w:p>
      <w:pPr>
        <w:spacing w:after="0" w:line="225"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We present our operations in five reportable business segments: (1) Comcast Cable in one reportable business segment, referred to as Cable Communications; (2) NBCUniversal in three reportable business segments: Media, Studios and Theme Parks (collectively, the “NBCUniversal segments”); and (3) Sky in one reportable business segment.</w:t>
      </w:r>
    </w:p>
    <w:p>
      <w:pPr>
        <w:spacing w:after="0" w:line="77" w:lineRule="exact"/>
        <w:rPr>
          <w:sz w:val="20"/>
          <w:szCs w:val="20"/>
          <w:color w:val="auto"/>
        </w:rPr>
      </w:pPr>
    </w:p>
    <w:p>
      <w:pPr>
        <w:ind w:left="1080" w:right="120" w:hanging="424"/>
        <w:spacing w:after="0" w:line="268"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Cable Communications: </w:t>
      </w:r>
      <w:r>
        <w:rPr>
          <w:rFonts w:ascii="Times New Roman" w:cs="Times New Roman" w:eastAsia="Times New Roman" w:hAnsi="Times New Roman"/>
          <w:sz w:val="18"/>
          <w:szCs w:val="18"/>
          <w:color w:val="auto"/>
        </w:rPr>
        <w:t>Consists of the operations of Comcast Cable, which is a leading provider of broadband, video, voice, wireless,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services to residential customers in the United States under the Xfinity brand; we also provide these and other services to business customers and sell advertising.</w:t>
      </w:r>
    </w:p>
    <w:p>
      <w:pPr>
        <w:spacing w:after="0" w:line="76" w:lineRule="exact"/>
        <w:rPr>
          <w:rFonts w:ascii="Times New Roman" w:cs="Times New Roman" w:eastAsia="Times New Roman" w:hAnsi="Times New Roman"/>
          <w:sz w:val="18"/>
          <w:szCs w:val="18"/>
          <w:color w:val="auto"/>
        </w:rPr>
      </w:pPr>
    </w:p>
    <w:p>
      <w:pPr>
        <w:jc w:val="both"/>
        <w:ind w:left="1080" w:right="320" w:hanging="424"/>
        <w:spacing w:after="0" w:line="317" w:lineRule="auto"/>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Media: </w:t>
      </w:r>
      <w:r>
        <w:rPr>
          <w:rFonts w:ascii="Times New Roman" w:cs="Times New Roman" w:eastAsia="Times New Roman" w:hAnsi="Times New Roman"/>
          <w:sz w:val="17"/>
          <w:szCs w:val="17"/>
          <w:color w:val="auto"/>
        </w:rPr>
        <w:t>Consists primarily of NBCUniversal’s television and streaming platforms, including national, regional and international 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networks; the NBC and Telemundo broadcast networks, NBC and Telemundo owned local broadcast television stations; and Peacock.</w:t>
      </w:r>
    </w:p>
    <w:p>
      <w:pPr>
        <w:spacing w:after="0" w:line="37"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Studios: </w:t>
      </w:r>
      <w:r>
        <w:rPr>
          <w:rFonts w:ascii="Times New Roman" w:cs="Times New Roman" w:eastAsia="Times New Roman" w:hAnsi="Times New Roman"/>
          <w:sz w:val="18"/>
          <w:szCs w:val="18"/>
          <w:color w:val="auto"/>
        </w:rPr>
        <w:t>Consists primarily of NBCUniversal’s film and television studio production and distribution operations.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Theme Parks: </w:t>
      </w:r>
      <w:r>
        <w:rPr>
          <w:rFonts w:ascii="Times New Roman" w:cs="Times New Roman" w:eastAsia="Times New Roman" w:hAnsi="Times New Roman"/>
          <w:sz w:val="18"/>
          <w:szCs w:val="18"/>
          <w:color w:val="auto"/>
        </w:rPr>
        <w:t>Consists primarily of our Universal theme parks in Orlando, Florida; Hollywood, California; Osaka, Japan; and Beijing,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China.</w:t>
      </w:r>
    </w:p>
    <w:p>
      <w:pPr>
        <w:spacing w:after="0" w:line="60" w:lineRule="exact"/>
        <w:rPr>
          <w:rFonts w:ascii="Times New Roman" w:cs="Times New Roman" w:eastAsia="Times New Roman" w:hAnsi="Times New Roman"/>
          <w:sz w:val="18"/>
          <w:szCs w:val="18"/>
          <w:color w:val="auto"/>
        </w:rPr>
      </w:pPr>
    </w:p>
    <w:p>
      <w:pPr>
        <w:ind w:left="1080" w:right="120" w:hanging="424"/>
        <w:spacing w:after="0" w:line="268"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Sky: </w:t>
      </w:r>
      <w:r>
        <w:rPr>
          <w:rFonts w:ascii="Times New Roman" w:cs="Times New Roman" w:eastAsia="Times New Roman" w:hAnsi="Times New Roman"/>
          <w:sz w:val="18"/>
          <w:szCs w:val="18"/>
          <w:color w:val="auto"/>
        </w:rPr>
        <w:t>Consists of the operations of Sky, one of Europe’s leading entertainment companies, which primarily includes a direct-to-consumer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providing video, broadband, voice and wireless phone services, and a content business, operating entertainment networks, the Sky News broadcast network and Sky Sports networks.</w:t>
      </w:r>
    </w:p>
    <w:p>
      <w:pPr>
        <w:spacing w:after="0" w:line="17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other business interests consist primarily of the operations of Comcast Spectacor, which owns the Philadelphia Flyers and the Wells Fargo Center arena in Philadelphia, Pennsylvania, and other business initiatives.</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 in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Guarantors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131" w:lineRule="exact"/>
        <w:rPr>
          <w:sz w:val="20"/>
          <w:szCs w:val="20"/>
          <w:color w:val="auto"/>
        </w:rPr>
      </w:pPr>
    </w:p>
    <w:p>
      <w:pPr>
        <w:ind w:left="1080" w:right="2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55"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Comcast Cable Communications, LLC</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Comcast Cable, which was incorporated in 1981 as a Delaware corporation, became a Delaware limited liability company in 2003 and is an indirect wholly owned subsidiary of ours.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NBCUniversal Media, LLC</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Comcast and Comcast Cable are located at One Comcast Center, Philadelphia, Pennsylvania 19103-2838, and our telephone number is (215) 286-1700.</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NBCUniversal are located at 30 Rockefeller Plaza, New York, New York 10112-0015, and its telephone number is (212) 664-4444.</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maintain a website at http://www.comcastcorporation.com where general information about us is available. We are not incorporating the contents of the website into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229"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 —Risk Factors” in our Annual Report on Form 10-K for the year ended December 31, 2021 incorporated herein by reference. Actual events or our actual results may differ materially from any of our forward-looking statements. We undertake no obligation to update any forward-looking statements.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businesses may be affected by, among other things, the following:</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had, and may continue to have, a material adverse effect on our businesses and results of operations;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operate in highly competitive and dynamic industries, and our businesses and results of operations could be adversely affected if we do not compete effectively;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continue to adversely affect our businesses and challenge existing business models;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advertisers’ expenditures or changes in advertising markets could negatively impact our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expenses for our video services are increasing, which could adversely affect our Cable Communications’ video businesses;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programming distribution and licensing agreements, or the renewal of these agreements on less favorable terms, could adversely affect its businesses;</w:t>
      </w:r>
    </w:p>
    <w:p>
      <w:pPr>
        <w:spacing w:after="0" w:line="67" w:lineRule="exact"/>
        <w:rPr>
          <w:rFonts w:ascii="Times New Roman" w:cs="Times New Roman" w:eastAsia="Times New Roman" w:hAnsi="Times New Roman"/>
          <w:sz w:val="18"/>
          <w:szCs w:val="18"/>
          <w:color w:val="auto"/>
        </w:rPr>
      </w:pPr>
    </w:p>
    <w:p>
      <w:pPr>
        <w:jc w:val="both"/>
        <w:ind w:left="1080" w:right="680" w:hanging="424"/>
        <w:spacing w:after="0" w:line="312" w:lineRule="auto"/>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favorable European telecommunications access regulations, the loss of Sky’s transmission access agreements with satellite or telecommunications providers or the renewal of these agreements on less favorable terms could adversely affect Sky’s businesses;</w:t>
      </w:r>
    </w:p>
    <w:p>
      <w:pPr>
        <w:spacing w:after="0" w:line="45" w:lineRule="exact"/>
        <w:rPr>
          <w:rFonts w:ascii="Times New Roman" w:cs="Times New Roman" w:eastAsia="Times New Roman" w:hAnsi="Times New Roman"/>
          <w:sz w:val="17"/>
          <w:szCs w:val="17"/>
          <w:color w:val="auto"/>
        </w:rPr>
      </w:pPr>
    </w:p>
    <w:p>
      <w:pPr>
        <w:ind w:left="1080" w:right="2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using and protecting certain intellectual property rights and on not infringing the intellectual property rights of others;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necessary hardware, software and operational support;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keeping pace with technological developments;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attack, information or security breach, or technology disruption or failure may negatively impact our ability to conduct our business or result in the misuse of confidential information, all of which could adversely affect our business, reputation and results of operations;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have a negative impact on our businesses;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including our acquisitions of Sky, and other strategic initiatives present many risks, and we may not realize the financial and strategic goals that we had contemplated;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relating to doing business internationally that could adversely affect our businesses;</w:t>
      </w:r>
    </w:p>
    <w:p>
      <w:pPr>
        <w:spacing w:after="0" w:line="130" w:lineRule="exact"/>
        <w:rPr>
          <w:rFonts w:ascii="Times New Roman" w:cs="Times New Roman" w:eastAsia="Times New Roman" w:hAnsi="Times New Roman"/>
          <w:sz w:val="18"/>
          <w:szCs w:val="18"/>
          <w:color w:val="auto"/>
        </w:rPr>
      </w:pPr>
    </w:p>
    <w:p>
      <w:pPr>
        <w:ind w:left="5580" w:right="140" w:hanging="4924"/>
        <w:spacing w:after="0" w:line="454" w:lineRule="auto"/>
        <w:tabs>
          <w:tab w:leader="none" w:pos="108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and other uncontrollable events could adversely affect our business, reputation and results of operations; 4</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management personnel or popular on-air and creative talent could have an adverse effect on our businesses;</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regulation by federal, state, local and foreign authorities, which impose additional costs and restrictions on our businesses;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litigation or governmental investigation results could require us to pay significant amounts or lead to onerous operating procedures;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whether involving employees or sports organizations, may disrupt our operations and adversely affect our businesses;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320" w:top="455"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intend to pay quarterly dividends at an annualized rate currently of $1.08 per share, although each dividend is subject to approval by our Board of Directors. Our Board of Directors retains the right to change our dividend policy at any time.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 AND GUARANTEES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 and the second supplemental indenture dated as of July 29, 2022, entered into among us, the guarantors named therein and The Bank of New York Mellon, as trustee.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senior indenture is included as an exhibit to the registration statement of which this prospectus is a part.</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should look in the applicable prospectus supplement for the following terms of the debt securities being offered:</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their principal amount (i.e., price) at which the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debt securities will mature and the right, if any, to extend such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per year, at which the debt securities will bear interest, or the method of determining such rate or rates;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payment of additional amounts for taxes and any provision for redemption, if we must pay such additional amounts in respect of any debt security;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may be converted or exchanged for the cash value of other securities issued by us or by a third party;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“reopen” a series of the debt securities and issue additional debt securities of such series; and</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62"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section, the following terms have the meanings set forth below.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“Aggregate Debt” means, with respect to an Obligor, the sum of the following as of the date of determination:</w:t>
      </w:r>
    </w:p>
    <w:p>
      <w:pPr>
        <w:spacing w:after="0" w:line="117" w:lineRule="exact"/>
        <w:rPr>
          <w:sz w:val="20"/>
          <w:szCs w:val="20"/>
          <w:color w:val="auto"/>
        </w:rPr>
      </w:pPr>
    </w:p>
    <w:p>
      <w:pPr>
        <w:ind w:left="120" w:right="460" w:firstLine="436"/>
        <w:spacing w:after="0" w:line="282" w:lineRule="auto"/>
        <w:tabs>
          <w:tab w:leader="none" w:pos="8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such Obligor’s Indebtedness incurred after the date of initial issuance of the senior debt securities and secured by Liens not permitted by the first sentence under “—Limitation on Liens Securing Indebtedness”;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5" w:right="5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36"/>
        <w:spacing w:after="0" w:line="282"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Obligor’s Attributable Liens in respect of sale and lease-back transactions entered into after the date of the initial issuance of the senior debt securities pursuant to the second paragraph of “—Limitation on Sale and Lease-Back Transactions.”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“Attributable Liens” means in connection with a sale and lease-back transaction of an Obligor the lesser of:</w:t>
      </w:r>
    </w:p>
    <w:p>
      <w:pPr>
        <w:spacing w:after="0" w:line="225" w:lineRule="exact"/>
        <w:rPr>
          <w:sz w:val="20"/>
          <w:szCs w:val="20"/>
          <w:color w:val="auto"/>
        </w:rPr>
      </w:pPr>
    </w:p>
    <w:p>
      <w:pPr>
        <w:ind w:left="120" w:right="640" w:firstLine="436"/>
        <w:spacing w:after="0" w:line="282" w:lineRule="auto"/>
        <w:tabs>
          <w:tab w:leader="none" w:pos="80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subject to such transaction (as determined in good faith by our board of directors (in our case) or the equivalent governing body of any Guarantor); and</w:t>
      </w:r>
    </w:p>
    <w:p>
      <w:pPr>
        <w:spacing w:after="0" w:line="161" w:lineRule="exact"/>
        <w:rPr>
          <w:rFonts w:ascii="Times New Roman" w:cs="Times New Roman" w:eastAsia="Times New Roman" w:hAnsi="Times New Roman"/>
          <w:sz w:val="18"/>
          <w:szCs w:val="18"/>
          <w:color w:val="auto"/>
        </w:rPr>
      </w:pPr>
    </w:p>
    <w:p>
      <w:pPr>
        <w:ind w:left="120" w:right="160" w:firstLine="436"/>
        <w:spacing w:after="0" w:line="266" w:lineRule="auto"/>
        <w:tabs>
          <w:tab w:leader="none" w:pos="8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“Consolidated Net Worth” of any Person means, as of any date of determination, stockholders’ equity or members’ capital of such Person as reflected on the most recent consolidated balance sheet of such Person and prepared in accordance with GAAP.</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“Lien” means any lien, security interest, charge or encumbrance of any kind (including any conditional sale or other title retention agreement, any lease in the nature thereof, and any agreement to give any security interest).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“Obligor” means us and the Guarantors.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“Permitted Liens” means, with respect to an Obligor:</w:t>
      </w:r>
    </w:p>
    <w:p>
      <w:pPr>
        <w:spacing w:after="0" w:line="117" w:lineRule="exact"/>
        <w:rPr>
          <w:sz w:val="20"/>
          <w:szCs w:val="20"/>
          <w:color w:val="auto"/>
        </w:rPr>
      </w:pPr>
    </w:p>
    <w:p>
      <w:pPr>
        <w:ind w:left="120" w:right="80" w:firstLine="436"/>
        <w:spacing w:after="0" w:line="266" w:lineRule="auto"/>
        <w:tabs>
          <w:tab w:leader="none" w:pos="8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75" w:lineRule="exact"/>
        <w:rPr>
          <w:rFonts w:ascii="Times New Roman" w:cs="Times New Roman" w:eastAsia="Times New Roman" w:hAnsi="Times New Roman"/>
          <w:sz w:val="18"/>
          <w:szCs w:val="18"/>
          <w:color w:val="auto"/>
        </w:rPr>
      </w:pPr>
    </w:p>
    <w:p>
      <w:pPr>
        <w:ind w:left="120" w:firstLine="436"/>
        <w:spacing w:after="0" w:line="255" w:lineRule="auto"/>
        <w:tabs>
          <w:tab w:leader="none" w:pos="8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88" w:lineRule="exact"/>
        <w:rPr>
          <w:rFonts w:ascii="Times New Roman" w:cs="Times New Roman" w:eastAsia="Times New Roman" w:hAnsi="Times New Roman"/>
          <w:sz w:val="18"/>
          <w:szCs w:val="18"/>
          <w:color w:val="auto"/>
        </w:rPr>
      </w:pPr>
    </w:p>
    <w:p>
      <w:pPr>
        <w:ind w:left="120" w:right="580" w:firstLine="436"/>
        <w:spacing w:after="0" w:line="282" w:lineRule="auto"/>
        <w:tabs>
          <w:tab w:leader="none" w:pos="8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161" w:lineRule="exact"/>
        <w:rPr>
          <w:rFonts w:ascii="Times New Roman" w:cs="Times New Roman" w:eastAsia="Times New Roman" w:hAnsi="Times New Roman"/>
          <w:sz w:val="18"/>
          <w:szCs w:val="18"/>
          <w:color w:val="auto"/>
        </w:rPr>
      </w:pPr>
    </w:p>
    <w:p>
      <w:pPr>
        <w:ind w:left="120" w:right="180" w:firstLine="436"/>
        <w:spacing w:after="0" w:line="282" w:lineRule="auto"/>
        <w:tabs>
          <w:tab w:leader="none" w:pos="8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61" w:lineRule="exact"/>
        <w:rPr>
          <w:rFonts w:ascii="Times New Roman" w:cs="Times New Roman" w:eastAsia="Times New Roman" w:hAnsi="Times New Roman"/>
          <w:sz w:val="18"/>
          <w:szCs w:val="18"/>
          <w:color w:val="auto"/>
        </w:rPr>
      </w:pPr>
    </w:p>
    <w:p>
      <w:pPr>
        <w:ind w:left="120" w:right="120" w:firstLine="436"/>
        <w:spacing w:after="0" w:line="282" w:lineRule="auto"/>
        <w:tabs>
          <w:tab w:leader="none" w:pos="8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reimbursement obligations with respect to letters of credit that encumber documents and other Property relating to such letters of credit and the products and proceeds thereof;</w:t>
      </w:r>
    </w:p>
    <w:p>
      <w:pPr>
        <w:spacing w:after="0" w:line="161" w:lineRule="exact"/>
        <w:rPr>
          <w:rFonts w:ascii="Times New Roman" w:cs="Times New Roman" w:eastAsia="Times New Roman" w:hAnsi="Times New Roman"/>
          <w:sz w:val="18"/>
          <w:szCs w:val="18"/>
          <w:color w:val="auto"/>
        </w:rPr>
      </w:pPr>
    </w:p>
    <w:p>
      <w:pPr>
        <w:ind w:left="120" w:right="120" w:firstLine="436"/>
        <w:spacing w:after="0" w:line="266" w:lineRule="auto"/>
        <w:tabs>
          <w:tab w:leader="none" w:pos="7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us or any Guarantor;</w:t>
      </w:r>
    </w:p>
    <w:p>
      <w:pPr>
        <w:spacing w:after="0" w:line="225" w:lineRule="exact"/>
        <w:rPr>
          <w:rFonts w:ascii="Times New Roman" w:cs="Times New Roman" w:eastAsia="Times New Roman" w:hAnsi="Times New Roman"/>
          <w:sz w:val="18"/>
          <w:szCs w:val="18"/>
          <w:color w:val="auto"/>
        </w:rPr>
      </w:pPr>
    </w:p>
    <w:p>
      <w:pPr>
        <w:ind w:left="120" w:right="60" w:firstLine="436"/>
        <w:spacing w:after="0" w:line="266" w:lineRule="auto"/>
        <w:tabs>
          <w:tab w:leader="none" w:pos="8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75"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7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61" w:lineRule="exact"/>
        <w:rPr>
          <w:rFonts w:ascii="Times New Roman" w:cs="Times New Roman" w:eastAsia="Times New Roman" w:hAnsi="Times New Roman"/>
          <w:sz w:val="18"/>
          <w:szCs w:val="18"/>
          <w:color w:val="auto"/>
        </w:rPr>
      </w:pPr>
    </w:p>
    <w:p>
      <w:pPr>
        <w:ind w:left="120" w:right="500" w:firstLine="436"/>
        <w:spacing w:after="0" w:line="282" w:lineRule="auto"/>
        <w:tabs>
          <w:tab w:leader="none" w:pos="7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61" w:lineRule="exact"/>
        <w:rPr>
          <w:rFonts w:ascii="Times New Roman" w:cs="Times New Roman" w:eastAsia="Times New Roman" w:hAnsi="Times New Roman"/>
          <w:sz w:val="18"/>
          <w:szCs w:val="18"/>
          <w:color w:val="auto"/>
        </w:rPr>
      </w:pPr>
    </w:p>
    <w:p>
      <w:pPr>
        <w:ind w:left="120" w:right="60" w:firstLine="436"/>
        <w:spacing w:after="0" w:line="266" w:lineRule="auto"/>
        <w:tabs>
          <w:tab w:leader="none" w:pos="8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pledges or deposits of Property to secure performance in connection with operating leases made in the ordinary course of business to which such Obligor is a party as lessee, provided that the aggregate value of all such pledges and deposits in connection with any such lease does not at any time exceed 16 2/3% of the annual fixed rentals payable under such lease;</w:t>
      </w:r>
    </w:p>
    <w:p>
      <w:pPr>
        <w:spacing w:after="0" w:line="175" w:lineRule="exact"/>
        <w:rPr>
          <w:rFonts w:ascii="Times New Roman" w:cs="Times New Roman" w:eastAsia="Times New Roman" w:hAnsi="Times New Roman"/>
          <w:sz w:val="18"/>
          <w:szCs w:val="18"/>
          <w:color w:val="auto"/>
        </w:rPr>
      </w:pPr>
    </w:p>
    <w:p>
      <w:pPr>
        <w:ind w:left="780" w:hanging="224"/>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436"/>
        <w:spacing w:after="0" w:line="282" w:lineRule="auto"/>
        <w:tabs>
          <w:tab w:leader="none" w:pos="8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5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“margin stock” (as defined in Regulation U of the Board of Governors of the Federal Reserve System);</w:t>
      </w:r>
    </w:p>
    <w:p>
      <w:pPr>
        <w:spacing w:after="0" w:line="117"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8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permitted under sale and lease-back transactions, and any renewals or extensions thereof, so long as the Indebtedness secured thereby does not exceed $300,000,000 in the aggregate;</w:t>
      </w:r>
    </w:p>
    <w:p>
      <w:pPr>
        <w:spacing w:after="0" w:line="53" w:lineRule="exact"/>
        <w:rPr>
          <w:rFonts w:ascii="Times New Roman" w:cs="Times New Roman" w:eastAsia="Times New Roman" w:hAnsi="Times New Roman"/>
          <w:sz w:val="18"/>
          <w:szCs w:val="18"/>
          <w:color w:val="auto"/>
        </w:rPr>
      </w:pPr>
    </w:p>
    <w:p>
      <w:pPr>
        <w:ind w:left="120" w:right="200" w:firstLine="436"/>
        <w:spacing w:after="0" w:line="282" w:lineRule="auto"/>
        <w:tabs>
          <w:tab w:leader="none" w:pos="8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53" w:lineRule="exact"/>
        <w:rPr>
          <w:rFonts w:ascii="Times New Roman" w:cs="Times New Roman" w:eastAsia="Times New Roman" w:hAnsi="Times New Roman"/>
          <w:sz w:val="18"/>
          <w:szCs w:val="18"/>
          <w:color w:val="auto"/>
        </w:rPr>
      </w:pPr>
    </w:p>
    <w:p>
      <w:pPr>
        <w:ind w:left="120" w:right="300" w:firstLine="436"/>
        <w:spacing w:after="0" w:line="266" w:lineRule="auto"/>
        <w:tabs>
          <w:tab w:leader="none" w:pos="8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67" w:lineRule="exact"/>
        <w:rPr>
          <w:rFonts w:ascii="Times New Roman" w:cs="Times New Roman" w:eastAsia="Times New Roman" w:hAnsi="Times New Roman"/>
          <w:sz w:val="18"/>
          <w:szCs w:val="18"/>
          <w:color w:val="auto"/>
        </w:rPr>
      </w:pPr>
    </w:p>
    <w:p>
      <w:pPr>
        <w:ind w:left="120" w:right="140" w:firstLine="436"/>
        <w:spacing w:after="0" w:line="266" w:lineRule="auto"/>
        <w:tabs>
          <w:tab w:leader="none" w:pos="7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67"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Take-or-pay obligations arising in the ordinary course of business.</w:t>
      </w:r>
    </w:p>
    <w:p>
      <w:pPr>
        <w:spacing w:after="0" w:line="225"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“Property” means with respect to any Person any property or asset, whether real, personal or mixed, or tangible or intangible, including shares of capital stock.</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Senior Debt Securities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131" w:lineRule="exact"/>
        <w:rPr>
          <w:sz w:val="20"/>
          <w:szCs w:val="20"/>
          <w:color w:val="auto"/>
        </w:rPr>
      </w:pPr>
    </w:p>
    <w:p>
      <w:pPr>
        <w:ind w:left="1080" w:right="3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and the Guarantors have agreed to some restrictions on our activities for the benefit of holders of all series of senior debt securities issued under the senior indenture. The restrictive covenants summarized below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will apply, unless the covenants are waived or amended, so long as any of the senior debt securities are outstanding.</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 Securing Indebtedness.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senior debt securities of each series, each Obligor will covenant under the senior 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85"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as of the date of initial issuance of the senior debt securities of such series;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after the date of initial issuance of the senior debt securities of such series, created in favor of the registered holders of the senior debt securities of such series;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58"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 and Lease-Back Transactions.</w:t>
      </w:r>
    </w:p>
    <w:p>
      <w:pPr>
        <w:spacing w:after="0" w:line="121" w:lineRule="exact"/>
        <w:rPr>
          <w:sz w:val="20"/>
          <w:szCs w:val="20"/>
          <w:color w:val="auto"/>
        </w:rPr>
      </w:pPr>
    </w:p>
    <w:p>
      <w:pPr>
        <w:jc w:val="both"/>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With respect to the senior debt securities of each series, each Obligor will covenant under the senior indenture not to enter into any sale and lease-back transaction for the sale and leasing back of any Property, whether owned at the time the senior indenture is executed or acquired afterward, unless:</w:t>
      </w:r>
    </w:p>
    <w:p>
      <w:pPr>
        <w:spacing w:after="0" w:line="45"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entered into prior to the date of the initial issuance of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for the sale and leasing back to such Obligor of any Property by one of its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involves a lease for less than three years;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 would be entitled to incur Indebtedness secured by a mortgage on the Property to be leased in an amount equal to the Attributable Liens with respect to such sale and lease-back transaction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360"/>
        <w:spacing w:after="0" w:line="282" w:lineRule="auto"/>
        <w:rPr>
          <w:sz w:val="20"/>
          <w:szCs w:val="20"/>
          <w:color w:val="auto"/>
        </w:rPr>
      </w:pPr>
      <w:r>
        <w:rPr>
          <w:rFonts w:ascii="Times New Roman" w:cs="Times New Roman" w:eastAsia="Times New Roman" w:hAnsi="Times New Roman"/>
          <w:sz w:val="18"/>
          <w:szCs w:val="18"/>
          <w:color w:val="auto"/>
        </w:rPr>
        <w:t>without equally and ratably securing the senior debt securities of such series pursuant to the first paragraph of “—Limitation on Liens Securing Indebtedness” above; or</w:t>
      </w:r>
    </w:p>
    <w:p>
      <w:pPr>
        <w:spacing w:after="0" w:line="67" w:lineRule="exact"/>
        <w:rPr>
          <w:sz w:val="20"/>
          <w:szCs w:val="20"/>
          <w:color w:val="auto"/>
        </w:rPr>
      </w:pPr>
    </w:p>
    <w:p>
      <w:pPr>
        <w:ind w:left="1080" w:hanging="424"/>
        <w:spacing w:after="0" w:line="261"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Consolidation, Merger and Sale of Assets.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not consolidate or combine with or merge with or into or, directly or indirectly, sell, assign, 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81" w:lineRule="exact"/>
        <w:rPr>
          <w:sz w:val="20"/>
          <w:szCs w:val="20"/>
          <w:color w:val="auto"/>
        </w:rPr>
      </w:pPr>
    </w:p>
    <w:p>
      <w:pPr>
        <w:ind w:left="1080" w:right="14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81"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or series of transactions on a pro forma basis, no default has occurred and is continuing;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restrictions in the third bullet above shall not be applicable to:</w:t>
      </w:r>
    </w:p>
    <w:p>
      <w:pPr>
        <w:spacing w:after="0" w:line="131" w:lineRule="exact"/>
        <w:rPr>
          <w:sz w:val="20"/>
          <w:szCs w:val="20"/>
          <w:color w:val="auto"/>
        </w:rPr>
      </w:pPr>
    </w:p>
    <w:p>
      <w:pPr>
        <w:ind w:left="1080" w:right="10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67"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us, and may exercise every right and power of ours under the indenture with the same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effect 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Existence.</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Except as permitted under “—Consolidation, Merger and Sale of Assets,” the indenture requires us to do or cause to be done all things 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Information.</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furnish to the trustee any document or report we are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following will constitute an event of default in the senior indenture with respect to the senior debt securities of any series: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default in paying interest on the senior debt securities of such series when it becomes due and the default continues for a period of 30 days 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more;</w:t>
      </w:r>
    </w:p>
    <w:p>
      <w:pPr>
        <w:spacing w:after="0" w:line="207" w:lineRule="exact"/>
        <w:rPr>
          <w:sz w:val="20"/>
          <w:szCs w:val="20"/>
          <w:color w:val="auto"/>
        </w:rPr>
      </w:pPr>
    </w:p>
    <w:p>
      <w:pPr>
        <w:ind w:left="820" w:hanging="264"/>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paying principal on the senior debt securities of such series when due;</w:t>
      </w:r>
    </w:p>
    <w:p>
      <w:pPr>
        <w:spacing w:after="0" w:line="225" w:lineRule="exact"/>
        <w:rPr>
          <w:rFonts w:ascii="Times New Roman" w:cs="Times New Roman" w:eastAsia="Times New Roman" w:hAnsi="Times New Roman"/>
          <w:sz w:val="18"/>
          <w:szCs w:val="18"/>
          <w:color w:val="auto"/>
        </w:rPr>
      </w:pPr>
    </w:p>
    <w:p>
      <w:pPr>
        <w:jc w:val="both"/>
        <w:ind w:left="120" w:right="40" w:firstLine="436"/>
        <w:spacing w:after="0" w:line="261" w:lineRule="auto"/>
        <w:tabs>
          <w:tab w:leader="none" w:pos="80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7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events of bankruptcy, insolvency, reorganization, administration or similar proceedings with respect to us or any Obligor have occurred;</w:t>
      </w:r>
    </w:p>
    <w:p>
      <w:pPr>
        <w:spacing w:after="0" w:line="38"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7"/>
          <w:szCs w:val="17"/>
          <w:color w:val="auto"/>
        </w:rPr>
      </w:pPr>
    </w:p>
    <w:p>
      <w:pPr>
        <w:ind w:left="800" w:hanging="244"/>
        <w:spacing w:after="0"/>
        <w:tabs>
          <w:tab w:leader="none" w:pos="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shall not be (or shall be claimed by the relevant Guarantor not to be) in full force and effect.</w:t>
      </w:r>
    </w:p>
    <w:p>
      <w:pPr>
        <w:spacing w:after="0" w:line="225" w:lineRule="exact"/>
        <w:rPr>
          <w:sz w:val="20"/>
          <w:szCs w:val="20"/>
          <w:color w:val="auto"/>
        </w:rPr>
      </w:pPr>
    </w:p>
    <w:p>
      <w:pPr>
        <w:jc w:val="both"/>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6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80"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9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furnish to the trustee an annual statement as to compliance with all conditions and covenants under the senior indenture within 120 days of the end of each fiscal year.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Discharge and Defeasance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67"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senior debt securities of such series that have been authenticated and delivered have been canceled or delivered to the trustee for cancellation; or</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258"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88"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then due and payable under the indenture with respect to the senior debt securities of such series; and</w:t>
      </w:r>
    </w:p>
    <w:p>
      <w:pPr>
        <w:spacing w:after="0" w:line="67" w:lineRule="exact"/>
        <w:rPr>
          <w:rFonts w:ascii="Times New Roman" w:cs="Times New Roman" w:eastAsia="Times New Roman" w:hAnsi="Times New Roman"/>
          <w:sz w:val="18"/>
          <w:szCs w:val="18"/>
          <w:color w:val="auto"/>
        </w:rPr>
      </w:pPr>
    </w:p>
    <w:p>
      <w:pPr>
        <w:jc w:val="both"/>
        <w:ind w:left="1080" w:right="48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8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senior debt securities of such series to receive principal or interest when due;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 the provisions relating to the resignation and removal of the trustee and the appointment of a successor trustee;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“—Events of Default” will no longer constitute an event of default for that series.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with respect to outstanding senior debt securities and Guarantees of any series:</w:t>
      </w:r>
    </w:p>
    <w:p>
      <w:pPr>
        <w:spacing w:after="0" w:line="131" w:lineRule="exact"/>
        <w:rPr>
          <w:sz w:val="20"/>
          <w:szCs w:val="20"/>
          <w:color w:val="auto"/>
        </w:rPr>
      </w:pPr>
    </w:p>
    <w:p>
      <w:pPr>
        <w:ind w:left="1080" w:hanging="424"/>
        <w:spacing w:after="0" w:line="312" w:lineRule="auto"/>
        <w:tabs>
          <w:tab w:leader="none" w:pos="10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Obligations (measured with respect to the scheduled payments of principal and interest thereon);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cash and U.S. Government Obligations;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85" w:lineRule="exact"/>
        <w:rPr>
          <w:sz w:val="20"/>
          <w:szCs w:val="20"/>
          <w:color w:val="auto"/>
        </w:rPr>
      </w:pPr>
    </w:p>
    <w:p>
      <w:pPr>
        <w:ind w:left="1080" w:right="80" w:hanging="424"/>
        <w:spacing w:after="0" w:line="261"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85"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85"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88"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guarantees or any other material agreement or instrument to which we are a party;</w:t>
      </w:r>
    </w:p>
    <w:p>
      <w:pPr>
        <w:spacing w:after="0" w:line="81"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Modification and Waiver</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the Guarantors and the trustee may amend or modify the senior indenture or the senior debt securities of any series without notice to or the consent of any holder in order to:</w:t>
      </w:r>
    </w:p>
    <w:p>
      <w:pPr>
        <w:spacing w:after="0" w:line="67" w:lineRule="exact"/>
        <w:rPr>
          <w:sz w:val="20"/>
          <w:szCs w:val="20"/>
          <w:color w:val="auto"/>
        </w:rPr>
      </w:pPr>
    </w:p>
    <w:p>
      <w:pPr>
        <w:ind w:left="1080" w:right="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ambiguities, omissions, defects or inconsistencies in the senior indenture in a manner that does not adversely affect the interests of the holders in any material respect;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would provide any additional rights or benefits to the holders of the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or add guarantors with respect to the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senior debt securities of any series;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320" w:top="455" w:right="5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 or terms of senior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senior debt securities in addition to or in place of certificated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appointment by a successor trustee;</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the indenture under the Trust Indenture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any provision in the indenture to this “Description of Debt Securities and Guarantees”;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holder in any material respect.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94" w:lineRule="exact"/>
        <w:rPr>
          <w:sz w:val="20"/>
          <w:szCs w:val="20"/>
          <w:color w:val="auto"/>
        </w:rPr>
      </w:pPr>
    </w:p>
    <w:p>
      <w:pPr>
        <w:ind w:left="1080" w:right="4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extend the fixed maturity, of the senior debt securities of such series or alter or waive the redemption provisions of the senior debt securities of such series;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principal, any premium or interest is paid;</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outstanding of senior debt securities of such series which must consent to an amendment, supplement or waiver or consent to take any 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payment default with respect to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interest rate or extend the time for payment of interest on the senior debt securities of such series;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ranking of the senior debt securities of such series.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 Personal Liability of Incorporators, Stockholders, Officers, Directors, or Employees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Concerning the Trustee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senior indenture, including any Guarantee, and each senior debt security is governed by and construed in accordance with the laws of the State of New York.</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have normal banking relationships with the trustee under the senior indenture in the ordinary course of business.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Convertible Debt Securities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8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87"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55" w:right="5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Subject to the preferential rights of any preferred stock then outstanding, holders of our Class A common stock and Class B common stock are entitled to receive, from time to time, when, as and if declared, in the discretion of our Board of Directors, such cash dividends as our Board of Directors may from time to time determine, out of such funds as are legally available therefor, in proportion to the number of shares held by them, respectively, without regard to class.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Holders of our Class A common stock and Class B common stock will also be entitled to receive, from time to time, when, as and if declared by our Board of Directors, such dividends of our stock or other property as our Board of Directors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intend to pay quarterly dividends at an annualized rate currently of $1.08 per share, although each dividend is subject to approval by our Board of Directors. See “Dividend Policy”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Approval Rights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articles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of incorporation or by-law amendments (such as an amendment to the articles of incorporation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Shareholder</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Brian L. Roberts, our Chairman, Chief Executive Officer and President, beneficially owns all outstanding shares of our Class B common stock, which has a nondilutable 33 1/3%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2022, if Mr. Roberts were to convert the Class B common stock he beneficially owns into Class A common stock, Mr. Roberts would beneficially own approximately 1% of the Class A common stock that would be outstanding after the conversion.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of Class B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Class B common stock is convertible share for share into Class A common stock, subject to certain restrictions.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Preference on Liquidation</w:t>
      </w:r>
    </w:p>
    <w:p>
      <w:pPr>
        <w:spacing w:after="0" w:line="12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Mergers, Consolidations, Etc.</w:t>
      </w:r>
    </w:p>
    <w:p>
      <w:pPr>
        <w:spacing w:after="0" w:line="121" w:lineRule="exact"/>
        <w:rPr>
          <w:sz w:val="20"/>
          <w:szCs w:val="20"/>
          <w:color w:val="auto"/>
        </w:rPr>
      </w:pPr>
    </w:p>
    <w:p>
      <w:pPr>
        <w:jc w:val="both"/>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Our articles of incorporation provide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Equiniti Trust Company D/B/A EQ Shareowner Services, P.O. Box 64854, St.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Paul, Minnesota 55164-0854. Its telephone number is (888) 883-8903.</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or selling security holders may sell the securities being offered hereby in four ways:</w:t>
      </w:r>
    </w:p>
    <w:p>
      <w:pPr>
        <w:spacing w:after="0" w:line="131"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customers or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As to matters governed by Pennsylvania law, Elizabeth Wideman, Esquire, Senior Vice President, Senior Deputy General Counsel and Assistant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Comcast Corporation as of December 31, 2021 and 2020, and for each of the three years in the period ended December 31, 2021, incorporated by reference in this Prospectus by reference to Comcast Corporation’s annual report on Form 10-K for the year ended December 31, 2021,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upon their authority as experts in accounting and auditing.</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Comcast files annual and quarterly reports and separate special reports and other information with the SEC. Comcast Cable and NBCUniversal do not currently file information with the SEC. Although Comcast Cable and NBCUniversal would normally be required to file information with the SEC on an ongoing basis, we expect that they will continue to be exempt from this filing obligation for as long as we continue to file our information with the SEC. Our SEC filings, including the complete registration statement and all of the exhibits to it, are available through the SEC’s website at http://www.sec.gov.</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incorporates by reference the documents set forth below that we have previously filed with the SEC:</w:t>
      </w:r>
    </w:p>
    <w:p>
      <w:pPr>
        <w:spacing w:after="0" w:line="131"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Annual Report on </w:t>
      </w:r>
      <w:hyperlink r:id="rId7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on February 2, 2022.</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Quarterly Reports on Form 10-Q for the quarters ended </w:t>
      </w:r>
      <w:hyperlink r:id="rId77">
        <w:r>
          <w:rPr>
            <w:rFonts w:ascii="Times New Roman" w:cs="Times New Roman" w:eastAsia="Times New Roman" w:hAnsi="Times New Roman"/>
            <w:sz w:val="18"/>
            <w:szCs w:val="18"/>
            <w:u w:val="single" w:color="auto"/>
            <w:color w:val="0000EE"/>
          </w:rPr>
          <w:t>March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8">
        <w:r>
          <w:rPr>
            <w:rFonts w:ascii="Times New Roman" w:cs="Times New Roman" w:eastAsia="Times New Roman" w:hAnsi="Times New Roman"/>
            <w:sz w:val="18"/>
            <w:szCs w:val="18"/>
            <w:u w:val="single" w:color="auto"/>
            <w:color w:val="0000EE"/>
          </w:rPr>
          <w:t>June 30, 2022</w:t>
        </w:r>
      </w:hyperlink>
      <w:r>
        <w:rPr>
          <w:rFonts w:ascii="Times New Roman" w:cs="Times New Roman" w:eastAsia="Times New Roman" w:hAnsi="Times New Roman"/>
          <w:sz w:val="18"/>
          <w:szCs w:val="18"/>
          <w:color w:val="auto"/>
        </w:rPr>
        <w:t>, filed on April 28, 2022 and July 28, 2022, respectively.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Current Report on Form 8-K filed on </w:t>
      </w:r>
      <w:hyperlink r:id="rId79">
        <w:r>
          <w:rPr>
            <w:rFonts w:ascii="Times New Roman" w:cs="Times New Roman" w:eastAsia="Times New Roman" w:hAnsi="Times New Roman"/>
            <w:sz w:val="18"/>
            <w:szCs w:val="18"/>
            <w:u w:val="single" w:color="auto"/>
            <w:color w:val="0000EE"/>
          </w:rPr>
          <w:t>June 3,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sections of Comcast’s Definitive Proxy Statement on </w:t>
      </w:r>
      <w:hyperlink r:id="rId80">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2022 annual meeting of shareholders incorporated by reference in Comcast’s Annual Report on </w:t>
      </w:r>
      <w:hyperlink r:id="rId7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included in Item 3.02 under the caption “Amended and Restated Description of our Class A Common Stock” in Comcast’s Current Report on </w:t>
      </w:r>
      <w:hyperlink r:id="rId81">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December 15, 2015, as the same may be further amended from time to time.</w:t>
      </w:r>
    </w:p>
    <w:p>
      <w:pPr>
        <w:spacing w:after="0" w:line="162" w:lineRule="exact"/>
        <w:rPr>
          <w:rFonts w:ascii="Times New Roman" w:cs="Times New Roman" w:eastAsia="Times New Roman" w:hAnsi="Times New Roman"/>
          <w:sz w:val="18"/>
          <w:szCs w:val="18"/>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into this prospectus additional documents that we may file with the SEC under Sections 13(a), 13(c), 14 or 15(d) of the Exchange Act until we sell all of the securities we are offering. Any statement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16"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5"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060" w:hanging="1084"/>
        <w:spacing w:after="0"/>
        <w:tabs>
          <w:tab w:leader="none" w:pos="5060" w:val="left"/>
        </w:tabs>
        <w:numPr>
          <w:ilvl w:val="0"/>
          <w:numId w:val="54"/>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29"/>
          <w:szCs w:val="29"/>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1732915</wp:posOffset>
            </wp:positionV>
            <wp:extent cx="1474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120" w:type="dxa"/>
        <w:tblCellMar>
          <w:top w:w="0" w:type="dxa"/>
          <w:left w:w="0" w:type="dxa"/>
          <w:bottom w:w="0" w:type="dxa"/>
          <w:right w:w="0" w:type="dxa"/>
        </w:tblCellMar>
      </w:tblPr>
      <w:tr>
        <w:trPr>
          <w:trHeight w:val="288"/>
        </w:trPr>
        <w:tc>
          <w:tcPr>
            <w:tcW w:w="1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000" w:type="dxa"/>
            <w:vAlign w:val="bottom"/>
          </w:tcPr>
          <w:p>
            <w:pPr>
              <w:jc w:val="right"/>
              <w:ind w:right="4018"/>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tc>
      </w:tr>
      <w:tr>
        <w:trPr>
          <w:trHeight w:val="456"/>
        </w:trPr>
        <w:tc>
          <w:tcPr>
            <w:tcW w:w="1940" w:type="dxa"/>
            <w:vAlign w:val="bottom"/>
          </w:tcPr>
          <w:p>
            <w:pPr>
              <w:jc w:val="center"/>
              <w:ind w:right="6"/>
              <w:spacing w:after="0"/>
              <w:rPr>
                <w:sz w:val="20"/>
                <w:szCs w:val="20"/>
                <w:color w:val="auto"/>
              </w:rPr>
            </w:pPr>
            <w:r>
              <w:rPr>
                <w:rFonts w:ascii="Times New Roman" w:cs="Times New Roman" w:eastAsia="Times New Roman" w:hAnsi="Times New Roman"/>
                <w:sz w:val="22"/>
                <w:szCs w:val="22"/>
                <w:b w:val="1"/>
                <w:bCs w:val="1"/>
                <w:color w:val="auto"/>
                <w:w w:val="98"/>
              </w:rPr>
              <w:t>BofA Securities</w:t>
            </w:r>
          </w:p>
        </w:tc>
        <w:tc>
          <w:tcPr>
            <w:tcW w:w="20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Academy Securities</w:t>
            </w:r>
          </w:p>
        </w:tc>
        <w:tc>
          <w:tcPr>
            <w:tcW w:w="70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Loop Capital Markets   Ramirez &amp; Co., Inc.   Siebert Williams Shank</w:t>
            </w:r>
          </w:p>
        </w:tc>
      </w:tr>
      <w:tr>
        <w:trPr>
          <w:trHeight w:val="214"/>
        </w:trPr>
        <w:tc>
          <w:tcPr>
            <w:tcW w:w="1940" w:type="dxa"/>
            <w:vAlign w:val="bottom"/>
          </w:tcPr>
          <w:p>
            <w:pPr>
              <w:jc w:val="center"/>
              <w:ind w:right="26"/>
              <w:spacing w:after="0"/>
              <w:rPr>
                <w:sz w:val="20"/>
                <w:szCs w:val="20"/>
                <w:color w:val="auto"/>
              </w:rPr>
            </w:pPr>
            <w:r>
              <w:rPr>
                <w:rFonts w:ascii="Times New Roman" w:cs="Times New Roman" w:eastAsia="Times New Roman" w:hAnsi="Times New Roman"/>
                <w:sz w:val="16"/>
                <w:szCs w:val="16"/>
                <w:b w:val="1"/>
                <w:bCs w:val="1"/>
                <w:i w:val="1"/>
                <w:iCs w:val="1"/>
                <w:color w:val="auto"/>
              </w:rPr>
              <w:t>Green Structuring Agent</w:t>
            </w:r>
          </w:p>
        </w:tc>
        <w:tc>
          <w:tcPr>
            <w:tcW w:w="208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668"/>
        </w:trPr>
        <w:tc>
          <w:tcPr>
            <w:tcW w:w="1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000" w:type="dxa"/>
            <w:vAlign w:val="bottom"/>
          </w:tcPr>
          <w:p>
            <w:pPr>
              <w:jc w:val="right"/>
              <w:ind w:right="4918"/>
              <w:spacing w:after="0"/>
              <w:rPr>
                <w:sz w:val="20"/>
                <w:szCs w:val="20"/>
                <w:color w:val="auto"/>
              </w:rPr>
            </w:pPr>
            <w:r>
              <w:rPr>
                <w:rFonts w:ascii="Times New Roman" w:cs="Times New Roman" w:eastAsia="Times New Roman" w:hAnsi="Times New Roman"/>
                <w:sz w:val="18"/>
                <w:szCs w:val="18"/>
                <w:b w:val="1"/>
                <w:bCs w:val="1"/>
                <w:color w:val="auto"/>
              </w:rPr>
              <w:t>, 2023</w:t>
            </w:r>
          </w:p>
        </w:tc>
      </w:tr>
      <w:tr>
        <w:trPr>
          <w:trHeight w:val="648"/>
        </w:trPr>
        <w:tc>
          <w:tcPr>
            <w:tcW w:w="19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140"/>
      </w:cols>
      <w:pgMar w:left="32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2"/>
    </w:lvl>
    <w:lvl w:ilvl="1">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7C3DBD3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737B8DDC"/>
    <w:multiLevelType w:val="hybridMultilevel"/>
    <w:lvl w:ilvl="0">
      <w:lvlJc w:val="left"/>
      <w:lvlText w:val="%1."/>
      <w:numFmt w:val="lowerRoman"/>
      <w:start w:val="1"/>
    </w:lvl>
  </w:abstractNum>
  <w:abstractNum w:abstractNumId="9">
    <w:nsid w:val="6CEAF087"/>
    <w:multiLevelType w:val="hybridMultilevel"/>
    <w:lvl w:ilvl="0">
      <w:lvlJc w:val="left"/>
      <w:lvlText w:val="•"/>
      <w:numFmt w:val="bullet"/>
      <w:start w:val="1"/>
    </w:lvl>
    <w:lvl w:ilvl="1">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2"/>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1)"/>
      <w:numFmt w:val="lowerRoman"/>
      <w:start w:val="3"/>
    </w:lvl>
  </w:abstractNum>
  <w:abstractNum w:abstractNumId="21">
    <w:nsid w:val="5C482A97"/>
    <w:multiLevelType w:val="hybridMultilevel"/>
    <w:lvl w:ilvl="0">
      <w:lvlJc w:val="left"/>
      <w:lvlText w:val="(%1)"/>
      <w:numFmt w:val="lowerRoman"/>
      <w:start w:val="1"/>
    </w:lvl>
  </w:abstractNum>
  <w:abstractNum w:abstractNumId="22">
    <w:nsid w:val="2463B9EA"/>
    <w:multiLevelType w:val="hybridMultilevel"/>
    <w:lvl w:ilvl="0">
      <w:lvlJc w:val="left"/>
      <w:lvlText w:val="(%1)"/>
      <w:numFmt w:val="lowerLetter"/>
      <w:start w:val="1"/>
    </w:lvl>
  </w:abstractNum>
  <w:abstractNum w:abstractNumId="23">
    <w:nsid w:val="5E884ADC"/>
    <w:multiLevelType w:val="hybridMultilevel"/>
    <w:lvl w:ilvl="0">
      <w:lvlJc w:val="left"/>
      <w:lvlText w:val="(%1)"/>
      <w:numFmt w:val="lowerLetter"/>
      <w:start w:val="2"/>
    </w:lvl>
  </w:abstractNum>
  <w:abstractNum w:abstractNumId="24">
    <w:nsid w:val="51EAD36B"/>
    <w:multiLevelType w:val="hybridMultilevel"/>
    <w:lvl w:ilvl="0">
      <w:lvlJc w:val="left"/>
      <w:lvlText w:val="(%1)"/>
      <w:numFmt w:val="lowerRoman"/>
      <w:start w:val="1"/>
    </w:lvl>
  </w:abstractNum>
  <w:abstractNum w:abstractNumId="25">
    <w:nsid w:val="2D517796"/>
    <w:multiLevelType w:val="hybridMultilevel"/>
    <w:lvl w:ilvl="0">
      <w:lvlJc w:val="left"/>
      <w:lvlText w:val="(%1)"/>
      <w:numFmt w:val="lowerLetter"/>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1)"/>
      <w:numFmt w:val="lowerLetter"/>
      <w:start w:val="1"/>
    </w:lvl>
  </w:abstractNum>
  <w:abstractNum w:abstractNumId="33">
    <w:nsid w:val="725A06FB"/>
    <w:multiLevelType w:val="hybridMultilevel"/>
    <w:lvl w:ilvl="0">
      <w:lvlJc w:val="left"/>
      <w:lvlText w:val="(%1)"/>
      <w:numFmt w:val="lowerLetter"/>
      <w:start w:val="2"/>
    </w:lvl>
  </w:abstractNum>
  <w:abstractNum w:abstractNumId="34">
    <w:nsid w:val="2CD89A32"/>
    <w:multiLevelType w:val="hybridMultilevel"/>
    <w:lvl w:ilvl="0">
      <w:lvlJc w:val="left"/>
      <w:lvlText w:val="(%1)"/>
      <w:numFmt w:val="lowerLetter"/>
      <w:start w:val="1"/>
    </w:lvl>
  </w:abstractNum>
  <w:abstractNum w:abstractNumId="35">
    <w:nsid w:val="57E4CCAF"/>
    <w:multiLevelType w:val="hybridMultilevel"/>
    <w:lvl w:ilvl="0">
      <w:lvlJc w:val="left"/>
      <w:lvlText w:val="(%1)"/>
      <w:numFmt w:val="lowerLetter"/>
      <w:start w:val="1"/>
    </w:lvl>
  </w:abstractNum>
  <w:abstractNum w:abstractNumId="36">
    <w:nsid w:val="7A6D8D3C"/>
    <w:multiLevelType w:val="hybridMultilevel"/>
    <w:lvl w:ilvl="0">
      <w:lvlJc w:val="left"/>
      <w:lvlText w:val="(%1)"/>
      <w:numFmt w:val="lowerLetter"/>
      <w:start w:val="13"/>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1)"/>
      <w:numFmt w:val="lowerLetter"/>
      <w:start w:val="2"/>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jpe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15" Type="http://schemas.openxmlformats.org/officeDocument/2006/relationships/hyperlink" Target="http://www.sec.gov/Archives/edgar/data/1166691/000116669123000010/cmcsa-20221231.htm" TargetMode="External"/><Relationship Id="rId16" Type="http://schemas.openxmlformats.org/officeDocument/2006/relationships/hyperlink" Target="http://www.sec.gov/Archives/edgar/data/1166691/000095010323000208/dp186651_8k.htm" TargetMode="External"/><Relationship Id="rId76" Type="http://schemas.openxmlformats.org/officeDocument/2006/relationships/hyperlink" Target="http://www.sec.gov/ix?doc=/Archives/edgar/data/1166691/000116669122000009/cmcsa-20211231.htm" TargetMode="External"/><Relationship Id="rId77" Type="http://schemas.openxmlformats.org/officeDocument/2006/relationships/hyperlink" Target="http://www.sec.gov/ix?doc=/Archives/edgar/data/1166691/000116669122000018/cmcsa-20220331.htm" TargetMode="External"/><Relationship Id="rId78" Type="http://schemas.openxmlformats.org/officeDocument/2006/relationships/hyperlink" Target="http://www.sec.gov/ix?doc=/Archives/edgar/data/1166691/000116669122000030/cmcsa-20220630.htm" TargetMode="External"/><Relationship Id="rId79" Type="http://schemas.openxmlformats.org/officeDocument/2006/relationships/hyperlink" Target="http://www.sec.gov/ix?doc=/Archives/edgar/data/1166691/000095010322010112/dp174738_8k.htm" TargetMode="External"/><Relationship Id="rId80" Type="http://schemas.openxmlformats.org/officeDocument/2006/relationships/hyperlink" Target="http://www.sec.gov/Archives/edgar/data/1166691/000120677422001186/cmcsa4011221-def14a.htm" TargetMode="External"/><Relationship Id="rId81" Type="http://schemas.openxmlformats.org/officeDocument/2006/relationships/hyperlink" Target="http://www.sec.gov/Archives/edgar/data/1166691/000095010315009516/dp61838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2023-02-07T07:21:47Z</dcterms:created>
  <dcterms:modified xsi:type="dcterms:W3CDTF">2023-02-07T07:21:47Z</dcterms:modified>
</cp:coreProperties>
</file>