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86995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5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52" w:lineRule="exact"/>
        <w:rPr>
          <w:sz w:val="24"/>
          <w:szCs w:val="24"/>
          <w:color w:val="auto"/>
        </w:rPr>
      </w:pPr>
    </w:p>
    <w:p>
      <w:pPr>
        <w:ind w:left="4000" w:right="3400" w:hanging="3087"/>
        <w:spacing w:after="0" w:line="307" w:lineRule="auto"/>
        <w:tabs>
          <w:tab w:leader="none" w:pos="135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2012</w:t>
      </w:r>
    </w:p>
    <w:p>
      <w:pPr>
        <w:spacing w:after="0" w:line="169" w:lineRule="exact"/>
        <w:rPr>
          <w:sz w:val="24"/>
          <w:szCs w:val="24"/>
          <w:color w:val="auto"/>
        </w:rPr>
      </w:pPr>
    </w:p>
    <w:p>
      <w:pPr>
        <w:ind w:left="1360" w:hanging="447"/>
        <w:spacing w:after="0"/>
        <w:tabs>
          <w:tab w:leader="none" w:pos="1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 w:lineRule="exact"/>
        <w:rPr>
          <w:sz w:val="24"/>
          <w:szCs w:val="24"/>
          <w:color w:val="auto"/>
        </w:rPr>
      </w:pPr>
    </w:p>
    <w:tbl>
      <w:tblPr>
        <w:tblLayout w:type="fixed"/>
        <w:tblInd w:w="3600" w:type="dxa"/>
        <w:tblCellMar>
          <w:top w:w="0" w:type="dxa"/>
          <w:left w:w="0" w:type="dxa"/>
          <w:bottom w:w="0" w:type="dxa"/>
          <w:right w:w="0" w:type="dxa"/>
        </w:tblCellMar>
      </w:tblPr>
      <w:tr>
        <w:trPr>
          <w:trHeight w:val="178"/>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rPr>
              <w:t>TO</w:t>
            </w:r>
          </w:p>
        </w:tc>
      </w:tr>
      <w:tr>
        <w:trPr>
          <w:trHeight w:val="186"/>
        </w:trPr>
        <w:tc>
          <w:tcPr>
            <w:tcW w:w="360" w:type="dxa"/>
            <w:vAlign w:val="bottom"/>
          </w:tcPr>
          <w:p>
            <w:pPr>
              <w:spacing w:after="0"/>
              <w:rPr>
                <w:sz w:val="16"/>
                <w:szCs w:val="16"/>
                <w:color w:val="auto"/>
              </w:rPr>
            </w:pPr>
          </w:p>
        </w:tc>
        <w:tc>
          <w:tcPr>
            <w:tcW w:w="3520" w:type="dxa"/>
            <w:vAlign w:val="bottom"/>
            <w:gridSpan w:val="2"/>
          </w:tcPr>
          <w:p>
            <w:pPr>
              <w:ind w:left="580"/>
              <w:spacing w:after="0"/>
              <w:rPr>
                <w:sz w:val="20"/>
                <w:szCs w:val="20"/>
                <w:color w:val="auto"/>
              </w:rPr>
            </w:pPr>
            <w:r>
              <w:rPr>
                <w:rFonts w:ascii="Arial" w:cs="Arial" w:eastAsia="Arial" w:hAnsi="Arial"/>
                <w:sz w:val="14"/>
                <w:szCs w:val="14"/>
                <w:b w:val="1"/>
                <w:bCs w:val="1"/>
                <w:color w:val="auto"/>
              </w:rPr>
              <w:t>Commission file number 333-174175</w:t>
            </w:r>
          </w:p>
        </w:tc>
      </w:tr>
      <w:tr>
        <w:trPr>
          <w:trHeight w:val="136"/>
        </w:trPr>
        <w:tc>
          <w:tcPr>
            <w:tcW w:w="360" w:type="dxa"/>
            <w:vAlign w:val="bottom"/>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bl>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NBCUniversal Media, LLC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74" w:lineRule="exact"/>
        <w:rPr>
          <w:sz w:val="24"/>
          <w:szCs w:val="24"/>
          <w:color w:val="auto"/>
        </w:rPr>
      </w:pPr>
    </w:p>
    <w:tbl>
      <w:tblPr>
        <w:tblLayout w:type="fixed"/>
        <w:tblInd w:w="1540" w:type="dxa"/>
        <w:tblCellMar>
          <w:top w:w="0" w:type="dxa"/>
          <w:left w:w="0" w:type="dxa"/>
          <w:bottom w:w="0" w:type="dxa"/>
          <w:right w:w="0" w:type="dxa"/>
        </w:tblCellMar>
      </w:tblPr>
      <w:tr>
        <w:trPr>
          <w:trHeight w:val="165"/>
        </w:trPr>
        <w:tc>
          <w:tcPr>
            <w:tcW w:w="4380" w:type="dxa"/>
            <w:vAlign w:val="bottom"/>
          </w:tcPr>
          <w:p>
            <w:pPr>
              <w:jc w:val="center"/>
              <w:ind w:right="1672"/>
              <w:spacing w:after="0"/>
              <w:rPr>
                <w:sz w:val="20"/>
                <w:szCs w:val="20"/>
                <w:color w:val="auto"/>
              </w:rPr>
            </w:pPr>
            <w:r>
              <w:rPr>
                <w:rFonts w:ascii="Arial" w:cs="Arial" w:eastAsia="Arial" w:hAnsi="Arial"/>
                <w:sz w:val="14"/>
                <w:szCs w:val="14"/>
                <w:b w:val="1"/>
                <w:bCs w:val="1"/>
                <w:color w:val="auto"/>
                <w:w w:val="93"/>
              </w:rPr>
              <w:t>DELAWARE</w:t>
            </w:r>
          </w:p>
        </w:tc>
        <w:tc>
          <w:tcPr>
            <w:tcW w:w="3800" w:type="dxa"/>
            <w:vAlign w:val="bottom"/>
          </w:tcPr>
          <w:p>
            <w:pPr>
              <w:jc w:val="center"/>
              <w:ind w:left="1652"/>
              <w:spacing w:after="0"/>
              <w:rPr>
                <w:sz w:val="20"/>
                <w:szCs w:val="20"/>
                <w:color w:val="auto"/>
              </w:rPr>
            </w:pPr>
            <w:r>
              <w:rPr>
                <w:rFonts w:ascii="Arial" w:cs="Arial" w:eastAsia="Arial" w:hAnsi="Arial"/>
                <w:sz w:val="14"/>
                <w:szCs w:val="14"/>
                <w:b w:val="1"/>
                <w:bCs w:val="1"/>
                <w:color w:val="auto"/>
                <w:w w:val="96"/>
              </w:rPr>
              <w:t>14-1682529</w:t>
            </w:r>
          </w:p>
        </w:tc>
      </w:tr>
      <w:tr>
        <w:trPr>
          <w:trHeight w:val="149"/>
        </w:trPr>
        <w:tc>
          <w:tcPr>
            <w:tcW w:w="4380" w:type="dxa"/>
            <w:vAlign w:val="bottom"/>
          </w:tcPr>
          <w:p>
            <w:pPr>
              <w:jc w:val="center"/>
              <w:ind w:right="1672"/>
              <w:spacing w:after="0" w:line="149" w:lineRule="exact"/>
              <w:rPr>
                <w:sz w:val="20"/>
                <w:szCs w:val="20"/>
                <w:color w:val="auto"/>
              </w:rPr>
            </w:pPr>
            <w:r>
              <w:rPr>
                <w:rFonts w:ascii="Arial" w:cs="Arial" w:eastAsia="Arial" w:hAnsi="Arial"/>
                <w:sz w:val="14"/>
                <w:szCs w:val="14"/>
                <w:color w:val="auto"/>
                <w:w w:val="95"/>
              </w:rPr>
              <w:t>(State or other jurisdiction of</w:t>
            </w:r>
          </w:p>
        </w:tc>
        <w:tc>
          <w:tcPr>
            <w:tcW w:w="3800" w:type="dxa"/>
            <w:vAlign w:val="bottom"/>
          </w:tcPr>
          <w:p>
            <w:pPr>
              <w:jc w:val="center"/>
              <w:ind w:left="1652"/>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62"/>
        </w:trPr>
        <w:tc>
          <w:tcPr>
            <w:tcW w:w="4380" w:type="dxa"/>
            <w:vAlign w:val="bottom"/>
          </w:tcPr>
          <w:p>
            <w:pPr>
              <w:jc w:val="center"/>
              <w:ind w:right="1672"/>
              <w:spacing w:after="0"/>
              <w:rPr>
                <w:sz w:val="20"/>
                <w:szCs w:val="20"/>
                <w:color w:val="auto"/>
              </w:rPr>
            </w:pPr>
            <w:r>
              <w:rPr>
                <w:rFonts w:ascii="Arial" w:cs="Arial" w:eastAsia="Arial" w:hAnsi="Arial"/>
                <w:sz w:val="14"/>
                <w:szCs w:val="14"/>
                <w:color w:val="auto"/>
                <w:w w:val="96"/>
              </w:rPr>
              <w:t>incorporation or organization)</w:t>
            </w:r>
          </w:p>
        </w:tc>
        <w:tc>
          <w:tcPr>
            <w:tcW w:w="3800" w:type="dxa"/>
            <w:vAlign w:val="bottom"/>
          </w:tcPr>
          <w:p>
            <w:pPr>
              <w:spacing w:after="0"/>
              <w:rPr>
                <w:sz w:val="14"/>
                <w:szCs w:val="14"/>
                <w:color w:val="auto"/>
              </w:rPr>
            </w:pPr>
          </w:p>
        </w:tc>
      </w:tr>
      <w:tr>
        <w:trPr>
          <w:trHeight w:val="256"/>
        </w:trPr>
        <w:tc>
          <w:tcPr>
            <w:tcW w:w="4380" w:type="dxa"/>
            <w:vAlign w:val="bottom"/>
          </w:tcPr>
          <w:p>
            <w:pPr>
              <w:jc w:val="center"/>
              <w:ind w:right="1652"/>
              <w:spacing w:after="0"/>
              <w:rPr>
                <w:sz w:val="20"/>
                <w:szCs w:val="20"/>
                <w:color w:val="auto"/>
              </w:rPr>
            </w:pPr>
            <w:r>
              <w:rPr>
                <w:rFonts w:ascii="Arial" w:cs="Arial" w:eastAsia="Arial" w:hAnsi="Arial"/>
                <w:sz w:val="14"/>
                <w:szCs w:val="14"/>
                <w:b w:val="1"/>
                <w:bCs w:val="1"/>
                <w:color w:val="auto"/>
                <w:w w:val="95"/>
              </w:rPr>
              <w:t>30 Rockefeller Plaza, New York, New York</w:t>
            </w:r>
          </w:p>
        </w:tc>
        <w:tc>
          <w:tcPr>
            <w:tcW w:w="3800" w:type="dxa"/>
            <w:vAlign w:val="bottom"/>
          </w:tcPr>
          <w:p>
            <w:pPr>
              <w:jc w:val="center"/>
              <w:ind w:left="1652"/>
              <w:spacing w:after="0"/>
              <w:rPr>
                <w:sz w:val="20"/>
                <w:szCs w:val="20"/>
                <w:color w:val="auto"/>
              </w:rPr>
            </w:pPr>
            <w:r>
              <w:rPr>
                <w:rFonts w:ascii="Arial" w:cs="Arial" w:eastAsia="Arial" w:hAnsi="Arial"/>
                <w:sz w:val="14"/>
                <w:szCs w:val="14"/>
                <w:b w:val="1"/>
                <w:bCs w:val="1"/>
                <w:color w:val="auto"/>
                <w:w w:val="96"/>
              </w:rPr>
              <w:t>10112-0015</w:t>
            </w:r>
          </w:p>
        </w:tc>
      </w:tr>
      <w:tr>
        <w:trPr>
          <w:trHeight w:val="162"/>
        </w:trPr>
        <w:tc>
          <w:tcPr>
            <w:tcW w:w="4380" w:type="dxa"/>
            <w:vAlign w:val="bottom"/>
          </w:tcPr>
          <w:p>
            <w:pPr>
              <w:jc w:val="center"/>
              <w:ind w:right="1672"/>
              <w:spacing w:after="0"/>
              <w:rPr>
                <w:sz w:val="20"/>
                <w:szCs w:val="20"/>
                <w:color w:val="auto"/>
              </w:rPr>
            </w:pPr>
            <w:r>
              <w:rPr>
                <w:rFonts w:ascii="Arial" w:cs="Arial" w:eastAsia="Arial" w:hAnsi="Arial"/>
                <w:sz w:val="14"/>
                <w:szCs w:val="14"/>
                <w:color w:val="auto"/>
                <w:w w:val="96"/>
              </w:rPr>
              <w:t>(Address of principal executive offices)</w:t>
            </w:r>
          </w:p>
        </w:tc>
        <w:tc>
          <w:tcPr>
            <w:tcW w:w="3800" w:type="dxa"/>
            <w:vAlign w:val="bottom"/>
          </w:tcPr>
          <w:p>
            <w:pPr>
              <w:jc w:val="center"/>
              <w:ind w:left="1652"/>
              <w:spacing w:after="0"/>
              <w:rPr>
                <w:sz w:val="20"/>
                <w:szCs w:val="20"/>
                <w:color w:val="auto"/>
              </w:rPr>
            </w:pPr>
            <w:r>
              <w:rPr>
                <w:rFonts w:ascii="Arial" w:cs="Arial" w:eastAsia="Arial" w:hAnsi="Arial"/>
                <w:sz w:val="14"/>
                <w:szCs w:val="14"/>
                <w:color w:val="auto"/>
                <w:w w:val="96"/>
              </w:rPr>
              <w:t>(Zip Code)</w:t>
            </w:r>
          </w:p>
        </w:tc>
      </w:tr>
    </w:tbl>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104140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89535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89535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0" w:lineRule="exact"/>
        <w:rPr>
          <w:sz w:val="24"/>
          <w:szCs w:val="24"/>
          <w:color w:val="auto"/>
        </w:rPr>
      </w:pPr>
    </w:p>
    <w:p>
      <w:pPr>
        <w:ind w:left="528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0" w:lineRule="exact"/>
        <w:rPr>
          <w:sz w:val="24"/>
          <w:szCs w:val="24"/>
          <w:color w:val="auto"/>
        </w:rPr>
      </w:pPr>
    </w:p>
    <w:p>
      <w:pPr>
        <w:ind w:left="528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4"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 w:lineRule="exact"/>
        <w:rPr>
          <w:sz w:val="24"/>
          <w:szCs w:val="24"/>
          <w:color w:val="auto"/>
        </w:rPr>
      </w:pPr>
    </w:p>
    <w:p>
      <w:pPr>
        <w:jc w:val="center"/>
        <w:spacing w:after="0" w:line="161" w:lineRule="exact"/>
        <w:tabs>
          <w:tab w:leader="none" w:pos="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7"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6" w:lineRule="exact"/>
        <w:rPr>
          <w:sz w:val="24"/>
          <w:szCs w:val="24"/>
          <w:color w:val="auto"/>
        </w:rPr>
      </w:pPr>
    </w:p>
    <w:p>
      <w:pPr>
        <w:jc w:val="center"/>
        <w:spacing w:after="0" w:line="161" w:lineRule="exact"/>
        <w:tabs>
          <w:tab w:leader="none" w:pos="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7" w:lineRule="exact"/>
        <w:rPr>
          <w:sz w:val="24"/>
          <w:szCs w:val="24"/>
          <w:color w:val="auto"/>
        </w:rPr>
      </w:pPr>
    </w:p>
    <w:p>
      <w:pPr>
        <w:ind w:right="20"/>
        <w:spacing w:after="0" w:line="16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4"/>
          <w:szCs w:val="14"/>
          <w:color w:val="auto"/>
        </w:rPr>
        <w:t>☒</w:t>
      </w:r>
    </w:p>
    <w:p>
      <w:pPr>
        <w:spacing w:after="0" w:line="26"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0" w:lineRule="exact"/>
        <w:rPr>
          <w:sz w:val="24"/>
          <w:szCs w:val="24"/>
          <w:color w:val="auto"/>
        </w:rPr>
      </w:pPr>
    </w:p>
    <w:p>
      <w:pPr>
        <w:ind w:right="86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Act).</w:t>
      </w:r>
    </w:p>
    <w:p>
      <w:pPr>
        <w:spacing w:after="0" w:line="5" w:lineRule="exact"/>
        <w:rPr>
          <w:sz w:val="24"/>
          <w:szCs w:val="24"/>
          <w:color w:val="auto"/>
        </w:rPr>
      </w:pPr>
    </w:p>
    <w:p>
      <w:pPr>
        <w:ind w:left="528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 Not applicable.</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The Registrant meets the conditions set forth in General Instruction I(1)(a), (b) and (d) of Form 10-K and is therefore filing this Form 10-K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120015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NBCUniversal Media, LLC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2012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color w:val="53439A"/>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gridSpan w:val="2"/>
          </w:tcPr>
          <w:p>
            <w:pPr>
              <w:spacing w:after="0" w:line="17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Business</w:t>
              </w:r>
            </w:hyperlink>
          </w:p>
        </w:tc>
        <w:tc>
          <w:tcPr>
            <w:tcW w:w="7100" w:type="dxa"/>
            <w:vAlign w:val="bottom"/>
            <w:gridSpan w:val="19"/>
          </w:tcPr>
          <w:p>
            <w:pPr>
              <w:spacing w:after="0"/>
              <w:rPr>
                <w:sz w:val="14"/>
                <w:szCs w:val="14"/>
                <w:color w:val="auto"/>
              </w:rPr>
            </w:pPr>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7820" w:type="dxa"/>
            <w:vAlign w:val="bottom"/>
            <w:gridSpan w:val="21"/>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Unresolved Staff Comments</w:t>
              </w:r>
            </w:hyperlink>
          </w:p>
        </w:tc>
        <w:tc>
          <w:tcPr>
            <w:tcW w:w="5620" w:type="dxa"/>
            <w:vAlign w:val="bottom"/>
            <w:gridSpan w:val="11"/>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7820" w:type="dxa"/>
            <w:vAlign w:val="bottom"/>
            <w:gridSpan w:val="21"/>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Legal Proceedings</w:t>
              </w:r>
            </w:hyperlink>
          </w:p>
        </w:tc>
        <w:tc>
          <w:tcPr>
            <w:tcW w:w="6360" w:type="dxa"/>
            <w:vAlign w:val="bottom"/>
            <w:gridSpan w:val="15"/>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7820" w:type="dxa"/>
            <w:vAlign w:val="bottom"/>
            <w:gridSpan w:val="21"/>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5</w:t>
            </w:r>
          </w:p>
        </w:tc>
        <w:tc>
          <w:tcPr>
            <w:tcW w:w="6240" w:type="dxa"/>
            <w:vAlign w:val="bottom"/>
            <w:tcBorders>
              <w:bottom w:val="single" w:sz="8" w:color="0000EE"/>
            </w:tcBorders>
            <w:gridSpan w:val="18"/>
          </w:tcPr>
          <w:p>
            <w:pPr>
              <w:spacing w:after="0" w:line="17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Market for Registrant’s Common Equity, Related Stockholder Matters and Issuer</w:t>
              </w:r>
            </w:hyperlink>
          </w:p>
        </w:tc>
        <w:tc>
          <w:tcPr>
            <w:tcW w:w="1580" w:type="dxa"/>
            <w:vAlign w:val="bottom"/>
            <w:gridSpan w:val="3"/>
          </w:tcPr>
          <w:p>
            <w:pPr>
              <w:spacing w:after="0"/>
              <w:rPr>
                <w:sz w:val="14"/>
                <w:szCs w:val="14"/>
                <w:color w:val="auto"/>
              </w:rPr>
            </w:pPr>
          </w:p>
        </w:tc>
        <w:tc>
          <w:tcPr>
            <w:tcW w:w="2500" w:type="dxa"/>
            <w:vAlign w:val="bottom"/>
          </w:tcPr>
          <w:p>
            <w:pPr>
              <w:spacing w:after="0"/>
              <w:rPr>
                <w:sz w:val="14"/>
                <w:szCs w:val="14"/>
                <w:color w:val="auto"/>
              </w:rPr>
            </w:pPr>
          </w:p>
        </w:tc>
      </w:tr>
      <w:tr>
        <w:trPr>
          <w:trHeight w:val="18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0" w:type="dxa"/>
            <w:vAlign w:val="bottom"/>
            <w:gridSpan w:val="20"/>
          </w:tcPr>
          <w:p>
            <w:pPr>
              <w:spacing w:after="0" w:line="170" w:lineRule="exact"/>
              <w:rPr>
                <w:rFonts w:ascii="Arial" w:cs="Arial" w:eastAsia="Arial" w:hAnsi="Arial"/>
                <w:sz w:val="18"/>
                <w:szCs w:val="18"/>
                <w:color w:val="0000EE"/>
              </w:rPr>
            </w:pPr>
            <w:hyperlink w:anchor="page25">
              <w:r>
                <w:rPr>
                  <w:rFonts w:ascii="Arial" w:cs="Arial" w:eastAsia="Arial" w:hAnsi="Arial"/>
                  <w:sz w:val="18"/>
                  <w:szCs w:val="18"/>
                  <w:color w:val="0000EE"/>
                </w:rPr>
                <w:t>Purchases of Equity Securities</w:t>
              </w:r>
            </w:hyperlink>
          </w:p>
        </w:tc>
        <w:tc>
          <w:tcPr>
            <w:tcW w:w="2500" w:type="dxa"/>
            <w:vAlign w:val="bottom"/>
          </w:tcPr>
          <w:p>
            <w:pPr>
              <w:jc w:val="right"/>
              <w:spacing w:after="0" w:line="170" w:lineRule="exact"/>
              <w:rPr>
                <w:sz w:val="20"/>
                <w:szCs w:val="20"/>
                <w:color w:val="auto"/>
              </w:rPr>
            </w:pPr>
            <w:r>
              <w:rPr>
                <w:rFonts w:ascii="Arial" w:cs="Arial" w:eastAsia="Arial" w:hAnsi="Arial"/>
                <w:sz w:val="18"/>
                <w:szCs w:val="18"/>
                <w:color w:val="auto"/>
              </w:rPr>
              <w:t>23</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Selected Financial Data</w:t>
              </w:r>
            </w:hyperlink>
          </w:p>
        </w:tc>
        <w:tc>
          <w:tcPr>
            <w:tcW w:w="5960" w:type="dxa"/>
            <w:vAlign w:val="bottom"/>
            <w:gridSpan w:val="14"/>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w:t>
            </w:r>
          </w:p>
        </w:tc>
        <w:tc>
          <w:tcPr>
            <w:tcW w:w="692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Management’s Discussion and Analysis of Financial Condition and Results of Operations</w:t>
              </w:r>
            </w:hyperlink>
          </w:p>
        </w:tc>
        <w:tc>
          <w:tcPr>
            <w:tcW w:w="900" w:type="dxa"/>
            <w:vAlign w:val="bottom"/>
            <w:gridSpan w:val="2"/>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7A</w:t>
            </w:r>
          </w:p>
        </w:tc>
        <w:tc>
          <w:tcPr>
            <w:tcW w:w="7820" w:type="dxa"/>
            <w:vAlign w:val="bottom"/>
            <w:gridSpan w:val="21"/>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8</w:t>
            </w:r>
          </w:p>
        </w:tc>
        <w:tc>
          <w:tcPr>
            <w:tcW w:w="36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Financial Statements and Supplementary Data</w:t>
              </w:r>
            </w:hyperlink>
          </w:p>
        </w:tc>
        <w:tc>
          <w:tcPr>
            <w:tcW w:w="960" w:type="dxa"/>
            <w:vAlign w:val="bottom"/>
            <w:tcBorders>
              <w:top w:val="single" w:sz="8" w:color="0000EE"/>
            </w:tcBorders>
            <w:gridSpan w:val="2"/>
          </w:tcPr>
          <w:p>
            <w:pPr>
              <w:spacing w:after="0"/>
              <w:rPr>
                <w:sz w:val="15"/>
                <w:szCs w:val="15"/>
                <w:color w:val="auto"/>
              </w:rPr>
            </w:pPr>
          </w:p>
        </w:tc>
        <w:tc>
          <w:tcPr>
            <w:tcW w:w="3220" w:type="dxa"/>
            <w:vAlign w:val="bottom"/>
            <w:gridSpan w:val="5"/>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w:t>
            </w:r>
          </w:p>
        </w:tc>
        <w:tc>
          <w:tcPr>
            <w:tcW w:w="7820" w:type="dxa"/>
            <w:vAlign w:val="bottom"/>
            <w:gridSpan w:val="21"/>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9A</w:t>
            </w:r>
          </w:p>
        </w:tc>
        <w:tc>
          <w:tcPr>
            <w:tcW w:w="69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860" w:type="dxa"/>
            <w:vAlign w:val="bottom"/>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5880" w:type="dxa"/>
            <w:vAlign w:val="bottom"/>
            <w:gridSpan w:val="12"/>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10</w:t>
            </w:r>
          </w:p>
        </w:tc>
        <w:tc>
          <w:tcPr>
            <w:tcW w:w="4400" w:type="dxa"/>
            <w:vAlign w:val="bottom"/>
            <w:tcBorders>
              <w:bottom w:val="single" w:sz="8" w:color="0000EE"/>
            </w:tcBorders>
            <w:gridSpan w:val="15"/>
          </w:tcPr>
          <w:p>
            <w:pPr>
              <w:spacing w:after="0" w:line="172" w:lineRule="exact"/>
              <w:rPr>
                <w:rFonts w:ascii="Arial" w:cs="Arial" w:eastAsia="Arial" w:hAnsi="Arial"/>
                <w:sz w:val="18"/>
                <w:szCs w:val="18"/>
                <w:color w:val="0000EE"/>
                <w:w w:val="97"/>
              </w:rPr>
            </w:pPr>
            <w:hyperlink w:anchor="page88">
              <w:r>
                <w:rPr>
                  <w:rFonts w:ascii="Arial" w:cs="Arial" w:eastAsia="Arial" w:hAnsi="Arial"/>
                  <w:sz w:val="18"/>
                  <w:szCs w:val="18"/>
                  <w:color w:val="0000EE"/>
                  <w:w w:val="97"/>
                </w:rPr>
                <w:t>Directors, Executive Officers and Corporate Governance</w:t>
              </w:r>
            </w:hyperlink>
          </w:p>
        </w:tc>
        <w:tc>
          <w:tcPr>
            <w:tcW w:w="3420" w:type="dxa"/>
            <w:vAlign w:val="bottom"/>
            <w:gridSpan w:val="6"/>
          </w:tcPr>
          <w:p>
            <w:pPr>
              <w:spacing w:after="0"/>
              <w:rPr>
                <w:sz w:val="14"/>
                <w:szCs w:val="14"/>
                <w:color w:val="auto"/>
              </w:rPr>
            </w:pPr>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86</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7820" w:type="dxa"/>
            <w:vAlign w:val="bottom"/>
            <w:gridSpan w:val="21"/>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Security Ownership of Certain Beneficial Owners and Management and Related Stockholder Matters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594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Certain Relationships and Related Transactions, and Director Independence</w:t>
              </w:r>
            </w:hyperlink>
          </w:p>
        </w:tc>
        <w:tc>
          <w:tcPr>
            <w:tcW w:w="1880" w:type="dxa"/>
            <w:vAlign w:val="bottom"/>
            <w:gridSpan w:val="4"/>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7820" w:type="dxa"/>
            <w:vAlign w:val="bottom"/>
            <w:gridSpan w:val="21"/>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Principal Accountant Fees and Services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15</w:t>
            </w:r>
          </w:p>
        </w:tc>
        <w:tc>
          <w:tcPr>
            <w:tcW w:w="7820" w:type="dxa"/>
            <w:vAlign w:val="bottom"/>
            <w:gridSpan w:val="21"/>
          </w:tcPr>
          <w:p>
            <w:pPr>
              <w:spacing w:after="0" w:line="172" w:lineRule="exact"/>
              <w:rPr>
                <w:rFonts w:ascii="Arial" w:cs="Arial" w:eastAsia="Arial" w:hAnsi="Arial"/>
                <w:sz w:val="18"/>
                <w:szCs w:val="18"/>
                <w:color w:val="0000EE"/>
              </w:rPr>
            </w:pPr>
            <w:hyperlink w:anchor="page92">
              <w:r>
                <w:rPr>
                  <w:rFonts w:ascii="Arial" w:cs="Arial" w:eastAsia="Arial" w:hAnsi="Arial"/>
                  <w:sz w:val="18"/>
                  <w:szCs w:val="18"/>
                  <w:color w:val="0000EE"/>
                </w:rPr>
                <w:t>Exhibits and Financial Statement Schedules</w:t>
              </w:r>
            </w:hyperlink>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90</w:t>
            </w:r>
          </w:p>
        </w:tc>
      </w:tr>
      <w:tr>
        <w:trPr>
          <w:trHeight w:val="183"/>
        </w:trPr>
        <w:tc>
          <w:tcPr>
            <w:tcW w:w="880" w:type="dxa"/>
            <w:vAlign w:val="bottom"/>
            <w:gridSpan w:val="2"/>
          </w:tcPr>
          <w:p>
            <w:pPr>
              <w:spacing w:after="0" w:line="182" w:lineRule="exact"/>
              <w:rPr>
                <w:rFonts w:ascii="Arial" w:cs="Arial" w:eastAsia="Arial" w:hAnsi="Arial"/>
                <w:sz w:val="18"/>
                <w:szCs w:val="18"/>
                <w:color w:val="0000EE"/>
                <w:w w:val="99"/>
              </w:rPr>
            </w:pPr>
            <w:hyperlink w:anchor="page95">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r>
      <w:tr>
        <w:trPr>
          <w:trHeight w:val="20"/>
        </w:trPr>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Annual Report on Form 10-K is for the year ended December 31, 2012. This Annual Report on Form 10-K modifies and supersedes documents filed before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NBCUniversal Media, LLC and its consolidated subsidiaries as “NBCUniversal,” “we,” “us” and “our;” and Comcast Corporation as “Comcast.”</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NBCUniversal and the NBCUniversal logo.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53439A"/>
        </w:rPr>
        <w:t>Item 1: Business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one of the world’s leading media and entertainment companies. We develop, produce and distribute entertainment, news and information, sports and other content for global audiences, and we own and operate a diversified and integrated portfolio of some of the most recognizable media brands in the world.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28, 2011, Comcast Corporation (“Comcast”) closed its transaction (the “Joint Venture transaction”) with General Electric Company (“GE”) to form a new company named NBCUniversal, LLC (“NBCUniversal Holdings”). Comcast now controls and owns 51% of NBCUniversal Holdings and GE owns the remaining 49%. As part of the Joint Venture transaction, NBC Universal, Inc. (our “Predecessor”) was converted into a limited liability company named NBCUniversal Media, LLC (“NBCUniversal”), which is a wholly owned subsidiary of NBCUniversal Holdings. Comcast contributed to NBCUniversal its national cable networks, its regional sports and news networks, certain of its Internet businesses and other related assets (the “Comcast Content Business”). For additional information on the Joint Venture transaction, refer to “Management’s Discussion and Analysis of Financial Condition and Results of Operations” and Note 3 to our consolidated financial statements.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12, 2013, Comcast entered into an agreement to acquire GE’s 49% common equity interest in NBCUniversal Holdings. See Note 20 to our consolidated financial statements included in this Annual Report on Form 10-K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the following four reportable business segments:</w:t>
      </w:r>
    </w:p>
    <w:p>
      <w:pPr>
        <w:spacing w:after="0" w:line="95" w:lineRule="exact"/>
        <w:rPr>
          <w:sz w:val="20"/>
          <w:szCs w:val="20"/>
          <w:color w:val="auto"/>
        </w:rPr>
      </w:pPr>
    </w:p>
    <w:p>
      <w:pPr>
        <w:ind w:left="1020" w:right="1260" w:hanging="215"/>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cable networks, our cable television production studio, and our related digital media properties.</w:t>
      </w:r>
    </w:p>
    <w:p>
      <w:pPr>
        <w:spacing w:after="0" w:line="71" w:lineRule="exact"/>
        <w:rPr>
          <w:rFonts w:ascii="Arial" w:cs="Arial" w:eastAsia="Arial" w:hAnsi="Arial"/>
          <w:sz w:val="18"/>
          <w:szCs w:val="18"/>
          <w:color w:val="auto"/>
        </w:rPr>
      </w:pPr>
    </w:p>
    <w:p>
      <w:pPr>
        <w:jc w:val="both"/>
        <w:ind w:left="1020" w:right="1240" w:hanging="215"/>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w:t>
      </w:r>
      <w:r>
        <w:rPr>
          <w:rFonts w:ascii="Arial" w:cs="Arial" w:eastAsia="Arial" w:hAnsi="Arial"/>
          <w:sz w:val="18"/>
          <w:szCs w:val="18"/>
          <w:b w:val="1"/>
          <w:bCs w:val="1"/>
          <w:color w:val="auto"/>
        </w:rPr>
        <w:t xml:space="preserve"> </w:t>
      </w:r>
      <w:r>
        <w:rPr>
          <w:rFonts w:ascii="Arial" w:cs="Arial" w:eastAsia="Arial" w:hAnsi="Arial"/>
          <w:sz w:val="18"/>
          <w:szCs w:val="18"/>
          <w:color w:val="auto"/>
        </w:rPr>
        <w:t>owned local broadcast television stations, our broadcast television production operations, and our related digital media properties.</w:t>
      </w:r>
    </w:p>
    <w:p>
      <w:pPr>
        <w:spacing w:after="0" w:line="85" w:lineRule="exact"/>
        <w:rPr>
          <w:rFonts w:ascii="Arial" w:cs="Arial" w:eastAsia="Arial" w:hAnsi="Arial"/>
          <w:sz w:val="18"/>
          <w:szCs w:val="18"/>
          <w:color w:val="auto"/>
        </w:rPr>
      </w:pPr>
    </w:p>
    <w:p>
      <w:pPr>
        <w:ind w:left="1020" w:right="1260" w:hanging="215"/>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distributes filmed entertainment worldwide.</w:t>
      </w:r>
    </w:p>
    <w:p>
      <w:pPr>
        <w:spacing w:after="0" w:line="71"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financial and other information about our reportable segments, refer to Note 19 to our consolidated financial statements included in this Annual Report on Form 10-K.</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phone number is (212) 664-4444, and our principal executive offices are located at 30 Rockefeller Plaza, New York, NY, 10112-0015. The public may read and copy any materials we file with the SEC at the SEC’s Public Reference Room at 100 F Street, NE, Washington, DC 20549. The public may obtain information on the operation of the Public Reference Room by calling the SEC at 1-800-SEC-0330.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parent company website at www.comcastcorporation.com as soon as reasonably practicable after such reports are electronically filed with the SEC. The information posted on the Comcast website is not incorporated into our SEC filings.</w:t>
      </w:r>
    </w:p>
    <w:p>
      <w:pPr>
        <w:spacing w:after="0" w:line="300" w:lineRule="exact"/>
        <w:rPr>
          <w:sz w:val="20"/>
          <w:szCs w:val="20"/>
          <w:color w:val="auto"/>
        </w:rPr>
      </w:pPr>
    </w:p>
    <w:p>
      <w:pPr>
        <w:jc w:val="both"/>
        <w:ind w:left="5660"/>
        <w:spacing w:after="0"/>
        <w:tabs>
          <w:tab w:leader="none" w:pos="84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of a diversified portfolio of 15 national cable networks, 11 regional sports and news networks, various international channels, our cable television production studio, and our related digital media properties, which are primarily brand-aligned and other websites. The table below presents a summary of our national cable networks.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960" w:type="dxa"/>
            <w:vAlign w:val="bottom"/>
          </w:tcPr>
          <w:p>
            <w:pPr>
              <w:jc w:val="right"/>
              <w:ind w:right="17"/>
              <w:spacing w:after="0"/>
              <w:rPr>
                <w:sz w:val="20"/>
                <w:szCs w:val="20"/>
                <w:color w:val="auto"/>
              </w:rPr>
            </w:pPr>
            <w:r>
              <w:rPr>
                <w:rFonts w:ascii="Arial" w:cs="Arial" w:eastAsia="Arial" w:hAnsi="Arial"/>
                <w:sz w:val="14"/>
                <w:szCs w:val="14"/>
                <w:color w:val="auto"/>
              </w:rPr>
              <w:t>Approximate U.S.</w:t>
            </w:r>
          </w:p>
        </w:tc>
        <w:tc>
          <w:tcPr>
            <w:tcW w:w="5140" w:type="dxa"/>
            <w:vAlign w:val="bottom"/>
          </w:tcPr>
          <w:p>
            <w:pPr>
              <w:spacing w:after="0"/>
              <w:rPr>
                <w:sz w:val="14"/>
                <w:szCs w:val="14"/>
                <w:color w:val="auto"/>
              </w:rPr>
            </w:pPr>
          </w:p>
        </w:tc>
      </w:tr>
      <w:tr>
        <w:trPr>
          <w:trHeight w:val="149"/>
        </w:trPr>
        <w:tc>
          <w:tcPr>
            <w:tcW w:w="3320" w:type="dxa"/>
            <w:vAlign w:val="bottom"/>
          </w:tcPr>
          <w:p>
            <w:pPr>
              <w:spacing w:after="0"/>
              <w:rPr>
                <w:sz w:val="12"/>
                <w:szCs w:val="12"/>
                <w:color w:val="auto"/>
              </w:rPr>
            </w:pPr>
          </w:p>
        </w:tc>
        <w:tc>
          <w:tcPr>
            <w:tcW w:w="2960" w:type="dxa"/>
            <w:vAlign w:val="bottom"/>
          </w:tcPr>
          <w:p>
            <w:pPr>
              <w:jc w:val="right"/>
              <w:ind w:right="17"/>
              <w:spacing w:after="0" w:line="149" w:lineRule="exact"/>
              <w:rPr>
                <w:sz w:val="20"/>
                <w:szCs w:val="20"/>
                <w:color w:val="auto"/>
              </w:rPr>
            </w:pPr>
            <w:r>
              <w:rPr>
                <w:rFonts w:ascii="Arial" w:cs="Arial" w:eastAsia="Arial" w:hAnsi="Arial"/>
                <w:sz w:val="14"/>
                <w:szCs w:val="14"/>
                <w:color w:val="auto"/>
              </w:rPr>
              <w:t>Subscribers at</w:t>
            </w:r>
          </w:p>
        </w:tc>
        <w:tc>
          <w:tcPr>
            <w:tcW w:w="5140" w:type="dxa"/>
            <w:vAlign w:val="bottom"/>
          </w:tcPr>
          <w:p>
            <w:pPr>
              <w:spacing w:after="0"/>
              <w:rPr>
                <w:sz w:val="12"/>
                <w:szCs w:val="12"/>
                <w:color w:val="auto"/>
              </w:rPr>
            </w:pPr>
          </w:p>
        </w:tc>
      </w:tr>
      <w:tr>
        <w:trPr>
          <w:trHeight w:val="128"/>
        </w:trPr>
        <w:tc>
          <w:tcPr>
            <w:tcW w:w="3320" w:type="dxa"/>
            <w:vAlign w:val="bottom"/>
          </w:tcPr>
          <w:p>
            <w:pPr>
              <w:spacing w:after="0"/>
              <w:rPr>
                <w:sz w:val="11"/>
                <w:szCs w:val="11"/>
                <w:color w:val="auto"/>
              </w:rPr>
            </w:pPr>
          </w:p>
        </w:tc>
        <w:tc>
          <w:tcPr>
            <w:tcW w:w="2960" w:type="dxa"/>
            <w:vAlign w:val="bottom"/>
          </w:tcPr>
          <w:p>
            <w:pPr>
              <w:jc w:val="right"/>
              <w:ind w:right="17"/>
              <w:spacing w:after="0" w:line="129" w:lineRule="exact"/>
              <w:rPr>
                <w:sz w:val="20"/>
                <w:szCs w:val="20"/>
                <w:color w:val="auto"/>
              </w:rPr>
            </w:pPr>
            <w:r>
              <w:rPr>
                <w:rFonts w:ascii="Arial" w:cs="Arial" w:eastAsia="Arial" w:hAnsi="Arial"/>
                <w:sz w:val="14"/>
                <w:szCs w:val="14"/>
                <w:color w:val="auto"/>
              </w:rPr>
              <w:t>December 31, 2012</w:t>
            </w:r>
          </w:p>
        </w:tc>
        <w:tc>
          <w:tcPr>
            <w:tcW w:w="5140" w:type="dxa"/>
            <w:vAlign w:val="bottom"/>
          </w:tcPr>
          <w:p>
            <w:pPr>
              <w:spacing w:after="0"/>
              <w:rPr>
                <w:sz w:val="11"/>
                <w:szCs w:val="11"/>
                <w:color w:val="auto"/>
              </w:rPr>
            </w:pPr>
          </w:p>
        </w:tc>
      </w:tr>
      <w:tr>
        <w:trPr>
          <w:trHeight w:val="183"/>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w:t>
            </w:r>
          </w:p>
        </w:tc>
        <w:tc>
          <w:tcPr>
            <w:tcW w:w="2960" w:type="dxa"/>
            <w:vAlign w:val="bottom"/>
            <w:tcBorders>
              <w:bottom w:val="single" w:sz="8" w:color="auto"/>
            </w:tcBorders>
          </w:tcPr>
          <w:p>
            <w:pPr>
              <w:jc w:val="right"/>
              <w:ind w:right="17"/>
              <w:spacing w:after="0" w:line="183" w:lineRule="exact"/>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c>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Description of Programming</w:t>
            </w:r>
          </w:p>
        </w:tc>
      </w:tr>
      <w:tr>
        <w:trPr>
          <w:trHeight w:val="199"/>
        </w:trPr>
        <w:tc>
          <w:tcPr>
            <w:tcW w:w="3320" w:type="dxa"/>
            <w:vAlign w:val="bottom"/>
          </w:tcPr>
          <w:p>
            <w:pPr>
              <w:spacing w:after="0" w:line="200" w:lineRule="exact"/>
              <w:rPr>
                <w:sz w:val="20"/>
                <w:szCs w:val="20"/>
                <w:color w:val="auto"/>
              </w:rPr>
            </w:pPr>
            <w:r>
              <w:rPr>
                <w:rFonts w:ascii="Arial" w:cs="Arial" w:eastAsia="Arial" w:hAnsi="Arial"/>
                <w:sz w:val="18"/>
                <w:szCs w:val="18"/>
                <w:color w:val="auto"/>
              </w:rPr>
              <w:t>USA Network</w:t>
            </w:r>
          </w:p>
        </w:tc>
        <w:tc>
          <w:tcPr>
            <w:tcW w:w="2960" w:type="dxa"/>
            <w:vAlign w:val="bottom"/>
          </w:tcPr>
          <w:p>
            <w:pPr>
              <w:jc w:val="right"/>
              <w:ind w:right="17"/>
              <w:spacing w:after="0" w:line="200" w:lineRule="exact"/>
              <w:rPr>
                <w:sz w:val="20"/>
                <w:szCs w:val="20"/>
                <w:color w:val="auto"/>
              </w:rPr>
            </w:pPr>
            <w:r>
              <w:rPr>
                <w:rFonts w:ascii="Arial" w:cs="Arial" w:eastAsia="Arial" w:hAnsi="Arial"/>
                <w:sz w:val="18"/>
                <w:szCs w:val="18"/>
                <w:color w:val="auto"/>
              </w:rPr>
              <w:t>99</w:t>
            </w:r>
          </w:p>
        </w:tc>
        <w:tc>
          <w:tcPr>
            <w:tcW w:w="5140" w:type="dxa"/>
            <w:vAlign w:val="bottom"/>
          </w:tcPr>
          <w:p>
            <w:pPr>
              <w:ind w:left="120"/>
              <w:spacing w:after="0" w:line="200" w:lineRule="exact"/>
              <w:rPr>
                <w:sz w:val="20"/>
                <w:szCs w:val="20"/>
                <w:color w:val="auto"/>
              </w:rPr>
            </w:pPr>
            <w:r>
              <w:rPr>
                <w:rFonts w:ascii="Arial" w:cs="Arial" w:eastAsia="Arial" w:hAnsi="Arial"/>
                <w:sz w:val="18"/>
                <w:szCs w:val="18"/>
                <w:color w:val="auto"/>
              </w:rPr>
              <w:t>General entertainment</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Syfy</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98</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Imagination-based entertainment</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97</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Entertainment and pop culture</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CNBC</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97</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Business and financial news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MSNBC</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95</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24 hour news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Bravo</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95</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Entertainment, culture and arts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84</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Oxygen</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79</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Women’s interests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NBC Sports Network</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78</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Sports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Style</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76</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Lifestyle</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62</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Gamer lifestyle</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Chiller</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43</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Horror and suspense</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CNBC World</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35</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Global financial news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Cloo</w:t>
            </w:r>
          </w:p>
        </w:tc>
        <w:tc>
          <w:tcPr>
            <w:tcW w:w="2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34</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Crime, mystery and suspense</w:t>
            </w:r>
          </w:p>
        </w:tc>
      </w:tr>
      <w:tr>
        <w:trPr>
          <w:trHeight w:val="199"/>
        </w:trPr>
        <w:tc>
          <w:tcPr>
            <w:tcW w:w="3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Universal HD</w:t>
            </w:r>
          </w:p>
        </w:tc>
        <w:tc>
          <w:tcPr>
            <w:tcW w:w="296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27</w:t>
            </w:r>
          </w:p>
        </w:tc>
        <w:tc>
          <w:tcPr>
            <w:tcW w:w="5140" w:type="dxa"/>
            <w:vAlign w:val="bottom"/>
            <w:tcBorders>
              <w:bottom w:val="single" w:sz="8" w:color="auto"/>
            </w:tcBorders>
          </w:tcPr>
          <w:p>
            <w:pPr>
              <w:ind w:left="120"/>
              <w:spacing w:after="0" w:line="200" w:lineRule="exact"/>
              <w:rPr>
                <w:sz w:val="20"/>
                <w:szCs w:val="20"/>
                <w:color w:val="auto"/>
              </w:rPr>
            </w:pPr>
            <w:r>
              <w:rPr>
                <w:rFonts w:ascii="Arial" w:cs="Arial" w:eastAsia="Arial" w:hAnsi="Arial"/>
                <w:sz w:val="18"/>
                <w:szCs w:val="18"/>
                <w:color w:val="auto"/>
              </w:rPr>
              <w:t>General entertainment HD programming</w:t>
            </w:r>
          </w:p>
        </w:tc>
      </w:tr>
    </w:tbl>
    <w:p>
      <w:pPr>
        <w:spacing w:after="0" w:line="67" w:lineRule="exact"/>
        <w:rPr>
          <w:sz w:val="20"/>
          <w:szCs w:val="20"/>
          <w:color w:val="auto"/>
        </w:rPr>
      </w:pPr>
    </w:p>
    <w:p>
      <w:pPr>
        <w:ind w:left="300" w:hanging="292"/>
        <w:spacing w:after="0" w:line="231" w:lineRule="auto"/>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Subscriber data is based on The Nielsen Company’s January 2013 report, which is derived from information available during the period December 19, 2012 through December 25, 2012, except for Universal HD, which is derived from information provided by multichannel video providers.</w:t>
      </w:r>
    </w:p>
    <w:p>
      <w:pPr>
        <w:spacing w:after="0" w:line="15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11 regional sports and news networks serve a combined 39 million subscribers across the United States, including key markets such as Atlanta, Baltimore/Washington, Boston, Chicago, Philadelphia, Portland, Sacramento and San Francisco.</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market and distribute our cable network programming in the United States and internationally to multichannel video providers, as well as to digital distributors such as Netflix and iTunes. These distributors may exhibit our content on television, including video on demand and pay-per-view, online and through mobile apps for smartphones and tablets.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produce their own programs or acquire programming rights from third parties. Our Cable Networks segment includes our production studio, Universal Cable Productions, which identifies, develops and produces original content for cable television and other distribution platforms both for our cable networks and for those of third parties. We license this content to cable networks, broadcast networks and digital distributors.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and from the sale of advertising. Distribution revenue is generated from distribution agreements with multichannel video providers. Advertising revenue is generated from the sale of advertising time on our cable networks and related digital media properties. We also generate content licensing and other revenue primarily from the licensing of our owned programming to various distribution platforms in the United States and internationally.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Broadcast Television segment operates the NBC and Telemundo broadcast television networks, which together serve audiences and advertisers in all 50 states. Our Broadcast Television segment also includes our owned NBC and Telemundo local broadcast television stations, our broadcast television production operations and our related digital media properties.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Broadcast Television segment generates revenue primarily from the sale of advertising and from content licensing. Advertising revenue is generated from the sale of advertising time on our broadcast networks, owned local television stations and related digital media properties. Content licensing revenue is generated from the licensing of our owned programming in the United States and internationally, including to cable and broadcast networks and digital distributors, such as Netflix. We also generate revenue from the sale of our owned programming on standard-definition DVDs and Blu ray discs (together, “DVDs”) and through other digital distributors, such as iTunes. In addition, our owned local television stations are beginning to receive fees from multichannel video providers in exchange for retransmission consent that allows carriage of the stations’ signals. We also receive a portion of the retransmission fees received by our NBC affiliated broadcast television stations. We expect these fees to increase in the future as we, as well as our NBC affiliated broadcast television stations, renegotiate distribution agreements with multichannel video providers.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3439A"/>
        </w:rPr>
        <w:t>NBC Network</w:t>
      </w:r>
    </w:p>
    <w:p>
      <w:pPr>
        <w:jc w:val="both"/>
        <w:spacing w:after="0" w:line="271" w:lineRule="auto"/>
        <w:rPr>
          <w:sz w:val="20"/>
          <w:szCs w:val="20"/>
          <w:color w:val="auto"/>
        </w:rPr>
      </w:pPr>
      <w:r>
        <w:rPr>
          <w:rFonts w:ascii="Arial" w:cs="Arial" w:eastAsia="Arial" w:hAnsi="Arial"/>
          <w:sz w:val="16"/>
          <w:szCs w:val="16"/>
          <w:color w:val="auto"/>
        </w:rPr>
        <w:t>The NBC network distributes more than 5,000 hours of entertainment, news and sports programming annually, and its programs reach viewers in virtually all U.S. television households through more than 200 affiliated stations across the United States, including our 10 NBC owned local television stations. The NBC network develops a broad range of entertainment, news and sports content and also airs a variety of special-events programming. The NBC network’s television library consists of rights of varying nature to more than 100,000 episodes of popular television content, including current and classic titles, unscripted programming, sports, news, long-form and short-form programming, and locally produced programming from around the world. In addition, the NBC network operates various websites that extend its brands and content online.</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NBC network produces its own programs or acquires the rights to programming from third parties. We have various contractual commitments for the licensing of rights to multiyear programming, primarily sports programming. Our most significant sports programming commitments include an agreement with the NFL to produce and broadcast a specified number of regular season and playoff games, including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on NBC through the 2022-23 season and the 2015, 2018 and 2021 Super Bowl games. In addition, the NBC network owns the U.S. broadcast rights for the summer and winter Olympic Games through 2020. We also have broadcast rights to a specified number of NHL games through the 2020-21 season, U.S. television rights to English Premier League Soccer beginning in 2013 through the 2015-16 season and certain PGA TOUR golf events through 2021. Our sports programming agreements also include rights to distribute content on our national cable networks, including NBC Sports Network and Golf Channel, on our regional sports networks where applicable, and also online, including through mobile apps available for smartphones and tablets.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broadcast television production operations develop and produce original content, including scripted and unscripted series and talk shows that are licensed to broadcast networks, cable networks, local broadcast television stations and other distribution platforms owned by us and third parties, as well as through the sale of DVDs, both in the United States and internationally. We also produce “first-run” syndicated shows, which are programs for initial exhibition on local television stations in the United States, on a market-by-market basis, without prior exhibition on a network. We currently distribute some of our television programs after their initial exhibition, as well as older television programs from our library, to local broadcast television stations and cable networks in the off-network syndication market.</w:t>
      </w:r>
    </w:p>
    <w:p>
      <w:pPr>
        <w:spacing w:after="0" w:line="326" w:lineRule="exact"/>
        <w:rPr>
          <w:sz w:val="20"/>
          <w:szCs w:val="20"/>
          <w:color w:val="auto"/>
        </w:rPr>
      </w:pPr>
    </w:p>
    <w:p>
      <w:pPr>
        <w:jc w:val="both"/>
        <w:ind w:left="5660"/>
        <w:spacing w:after="0"/>
        <w:tabs>
          <w:tab w:leader="none" w:pos="846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NBC Local Broadcast Television Stations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own and operate 10 NBC affiliated local television stations that collectively reached 31 million U.S. television households, which represents approximately 27% of all U.S. television households, as of December 31, 2012. In addition to airing the NBC network’s national programming, our local television stations produce news, sports, public affairs and other programming that addresses local needs and acquire syndicated programming from other sources. The table below presents a summary of the NBC affiliated local broadcast television stations that we own and operate.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69"/>
        </w:trPr>
        <w:tc>
          <w:tcPr>
            <w:tcW w:w="496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2940" w:type="dxa"/>
            <w:vAlign w:val="bottom"/>
            <w:tcBorders>
              <w:bottom w:val="single" w:sz="8" w:color="auto"/>
            </w:tcBorders>
          </w:tcPr>
          <w:p>
            <w:pPr>
              <w:jc w:val="center"/>
              <w:ind w:left="1834"/>
              <w:spacing w:after="0"/>
              <w:rPr>
                <w:sz w:val="20"/>
                <w:szCs w:val="20"/>
                <w:color w:val="auto"/>
              </w:rPr>
            </w:pPr>
            <w:r>
              <w:rPr>
                <w:rFonts w:ascii="Arial" w:cs="Arial" w:eastAsia="Arial" w:hAnsi="Arial"/>
                <w:sz w:val="14"/>
                <w:szCs w:val="14"/>
                <w:color w:val="auto"/>
                <w:w w:val="96"/>
              </w:rPr>
              <w:t>Station</w:t>
            </w:r>
          </w:p>
        </w:tc>
        <w:tc>
          <w:tcPr>
            <w:tcW w:w="1680" w:type="dxa"/>
            <w:vAlign w:val="bottom"/>
            <w:tcBorders>
              <w:bottom w:val="single" w:sz="8" w:color="auto"/>
            </w:tcBorders>
          </w:tcPr>
          <w:p>
            <w:pPr>
              <w:jc w:val="right"/>
              <w:ind w:right="55"/>
              <w:spacing w:after="0" w:line="170" w:lineRule="exact"/>
              <w:rPr>
                <w:sz w:val="20"/>
                <w:szCs w:val="20"/>
                <w:color w:val="auto"/>
              </w:rPr>
            </w:pPr>
            <w:r>
              <w:rPr>
                <w:rFonts w:ascii="Arial" w:cs="Arial" w:eastAsia="Arial" w:hAnsi="Arial"/>
                <w:sz w:val="12"/>
                <w:szCs w:val="12"/>
                <w:color w:val="auto"/>
              </w:rPr>
              <w:t>General Market Rank</w:t>
            </w:r>
            <w:r>
              <w:rPr>
                <w:rFonts w:ascii="Arial" w:cs="Arial" w:eastAsia="Arial" w:hAnsi="Arial"/>
                <w:sz w:val="19"/>
                <w:szCs w:val="19"/>
                <w:color w:val="auto"/>
                <w:vertAlign w:val="superscript"/>
              </w:rPr>
              <w:t>(b)</w:t>
            </w:r>
          </w:p>
        </w:tc>
        <w:tc>
          <w:tcPr>
            <w:tcW w:w="184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Television Households</w:t>
            </w:r>
            <w:r>
              <w:rPr>
                <w:rFonts w:ascii="Arial" w:cs="Arial" w:eastAsia="Arial" w:hAnsi="Arial"/>
                <w:sz w:val="19"/>
                <w:szCs w:val="19"/>
                <w:color w:val="auto"/>
                <w:vertAlign w:val="superscript"/>
              </w:rPr>
              <w:t>(c)</w:t>
            </w: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color w:val="auto"/>
              </w:rPr>
              <w:t>New York, NY</w:t>
            </w:r>
          </w:p>
        </w:tc>
        <w:tc>
          <w:tcPr>
            <w:tcW w:w="2940" w:type="dxa"/>
            <w:vAlign w:val="bottom"/>
          </w:tcPr>
          <w:p>
            <w:pPr>
              <w:jc w:val="center"/>
              <w:ind w:left="1834"/>
              <w:spacing w:after="0" w:line="200" w:lineRule="exact"/>
              <w:rPr>
                <w:sz w:val="20"/>
                <w:szCs w:val="20"/>
                <w:color w:val="auto"/>
              </w:rPr>
            </w:pPr>
            <w:r>
              <w:rPr>
                <w:rFonts w:ascii="Arial" w:cs="Arial" w:eastAsia="Arial" w:hAnsi="Arial"/>
                <w:sz w:val="18"/>
                <w:szCs w:val="18"/>
                <w:color w:val="auto"/>
                <w:w w:val="98"/>
              </w:rPr>
              <w:t>WNBC</w:t>
            </w:r>
          </w:p>
        </w:tc>
        <w:tc>
          <w:tcPr>
            <w:tcW w:w="1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w:t>
            </w:r>
          </w:p>
        </w:tc>
        <w:tc>
          <w:tcPr>
            <w:tcW w:w="1840" w:type="dxa"/>
            <w:vAlign w:val="bottom"/>
          </w:tcPr>
          <w:p>
            <w:pPr>
              <w:jc w:val="right"/>
              <w:spacing w:after="0" w:line="200" w:lineRule="exact"/>
              <w:rPr>
                <w:sz w:val="20"/>
                <w:szCs w:val="20"/>
                <w:color w:val="auto"/>
              </w:rPr>
            </w:pPr>
            <w:r>
              <w:rPr>
                <w:rFonts w:ascii="Arial" w:cs="Arial" w:eastAsia="Arial" w:hAnsi="Arial"/>
                <w:sz w:val="18"/>
                <w:szCs w:val="18"/>
                <w:color w:val="auto"/>
              </w:rPr>
              <w:t>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Los Angeles, CA</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9"/>
              </w:rPr>
              <w:t>KNBC</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8"/>
              </w:rPr>
              <w:t>WMAQ-TV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8"/>
              </w:rPr>
              <w:t>WCAU</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6"/>
              </w:rPr>
              <w:t>KXAS-TV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5"/>
              </w:rPr>
              <w:t>KNTV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Washington, D.C.</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7"/>
              </w:rPr>
              <w:t>WRC-TV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Miami-Ft. Lauderdale, FL</w:t>
            </w:r>
          </w:p>
        </w:tc>
        <w:tc>
          <w:tcPr>
            <w:tcW w:w="2940" w:type="dxa"/>
            <w:vAlign w:val="bottom"/>
          </w:tcPr>
          <w:p>
            <w:pPr>
              <w:jc w:val="center"/>
              <w:ind w:left="1814"/>
              <w:spacing w:after="0" w:line="202" w:lineRule="exact"/>
              <w:rPr>
                <w:sz w:val="20"/>
                <w:szCs w:val="20"/>
                <w:color w:val="auto"/>
              </w:rPr>
            </w:pPr>
            <w:r>
              <w:rPr>
                <w:rFonts w:ascii="Arial" w:cs="Arial" w:eastAsia="Arial" w:hAnsi="Arial"/>
                <w:sz w:val="18"/>
                <w:szCs w:val="18"/>
                <w:color w:val="auto"/>
                <w:w w:val="97"/>
              </w:rPr>
              <w:t>WTVJ</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San Diego, CA</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9"/>
              </w:rPr>
              <w:t>KNSD</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4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Hartford, CT</w:t>
            </w:r>
          </w:p>
        </w:tc>
        <w:tc>
          <w:tcPr>
            <w:tcW w:w="2940" w:type="dxa"/>
            <w:vAlign w:val="bottom"/>
            <w:tcBorders>
              <w:bottom w:val="single" w:sz="8" w:color="auto"/>
            </w:tcBorders>
          </w:tcPr>
          <w:p>
            <w:pPr>
              <w:jc w:val="center"/>
              <w:ind w:left="1814"/>
              <w:spacing w:after="0" w:line="200" w:lineRule="exact"/>
              <w:rPr>
                <w:sz w:val="20"/>
                <w:szCs w:val="20"/>
                <w:color w:val="auto"/>
              </w:rPr>
            </w:pPr>
            <w:r>
              <w:rPr>
                <w:rFonts w:ascii="Arial" w:cs="Arial" w:eastAsia="Arial" w:hAnsi="Arial"/>
                <w:sz w:val="18"/>
                <w:szCs w:val="18"/>
                <w:color w:val="auto"/>
                <w:w w:val="97"/>
              </w:rPr>
              <w:t>WVIT</w:t>
            </w:r>
          </w:p>
        </w:tc>
        <w:tc>
          <w:tcPr>
            <w:tcW w:w="1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30</w:t>
            </w:r>
          </w:p>
        </w:tc>
        <w:tc>
          <w:tcPr>
            <w:tcW w:w="1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r>
    </w:tbl>
    <w:p>
      <w:pPr>
        <w:spacing w:after="0" w:line="67"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Designated market area (“DMA”)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General market rank is based on the relative size of the DMA among the 210 generally recognized DMAs in the United States based on Nielsen estimates for the 2012-13 season.</w:t>
      </w:r>
    </w:p>
    <w:p>
      <w:pPr>
        <w:spacing w:after="0" w:line="122" w:lineRule="exact"/>
        <w:rPr>
          <w:rFonts w:ascii="Arial" w:cs="Arial" w:eastAsia="Arial" w:hAnsi="Arial"/>
          <w:sz w:val="14"/>
          <w:szCs w:val="14"/>
          <w:color w:val="auto"/>
        </w:rPr>
      </w:pPr>
    </w:p>
    <w:p>
      <w:pPr>
        <w:ind w:left="280" w:right="20" w:hanging="272"/>
        <w:spacing w:after="0" w:line="231" w:lineRule="auto"/>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Nielsen estimates for the 2012-13 season. The percentage of U.S. television households does not reflect the calculation of national audience reach under the FCC’s national television ownership cap limits. See “Legislation and Regulation – Broadcast Television – Ownership Limits – National Television Ownership.”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53439A"/>
        </w:rPr>
        <w:t>Telemundo</w:t>
      </w:r>
    </w:p>
    <w:p>
      <w:pPr>
        <w:jc w:val="both"/>
        <w:spacing w:after="0" w:line="238" w:lineRule="auto"/>
        <w:rPr>
          <w:sz w:val="20"/>
          <w:szCs w:val="20"/>
          <w:color w:val="auto"/>
        </w:rPr>
      </w:pPr>
      <w:r>
        <w:rPr>
          <w:rFonts w:ascii="Arial" w:cs="Arial" w:eastAsia="Arial" w:hAnsi="Arial"/>
          <w:sz w:val="18"/>
          <w:szCs w:val="18"/>
          <w:color w:val="auto"/>
        </w:rPr>
        <w:t>Telemundo is a leading Hispanic media company that produces, acquires and distributes Spanish-language content in the United States and internationally. Telemundo’s operations include the Telemundo network, its owned local television stations, the mun2 cable network and brand-aligned digital media properties.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Telemundo network is a leading Spanish-language broadcast television network featuring original telenovelas, theatrical films, news, specials and sporting events. Telemundo develops original programming primarily through its production studio and also acquires the rights to content from third parties. We currently hold the Spanish-language U.S. broadcast rights to FIFA World Cup soccer from 2015 through 2022 and the Spanish-language U.S. broadcast rights for the NFL games that the NBC network will broadcast through the 2022-23 season as part of our agreement with the NFL.</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Telemundo Local Broadcast Television Stations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Telemundo owned 15 local television stations, including 14 local television stations affiliated with the Telemundo network and an independent television station in Puerto Rico. The table below presents a summary of these local television stations, which collectively reached approximately 56% of U.S. Hispanic television households as of December 31,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80" w:type="dxa"/>
            <w:vAlign w:val="bottom"/>
          </w:tcPr>
          <w:p>
            <w:pPr>
              <w:jc w:val="right"/>
              <w:ind w:right="135"/>
              <w:spacing w:after="0"/>
              <w:rPr>
                <w:sz w:val="20"/>
                <w:szCs w:val="20"/>
                <w:color w:val="auto"/>
              </w:rPr>
            </w:pPr>
            <w:r>
              <w:rPr>
                <w:rFonts w:ascii="Arial" w:cs="Arial" w:eastAsia="Arial" w:hAnsi="Arial"/>
                <w:sz w:val="14"/>
                <w:szCs w:val="14"/>
                <w:color w:val="auto"/>
              </w:rPr>
              <w:t>Percentage of U.S.</w:t>
            </w:r>
          </w:p>
        </w:tc>
      </w:tr>
      <w:tr>
        <w:trPr>
          <w:trHeight w:val="169"/>
        </w:trPr>
        <w:tc>
          <w:tcPr>
            <w:tcW w:w="470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2620" w:type="dxa"/>
            <w:vAlign w:val="bottom"/>
            <w:tcBorders>
              <w:bottom w:val="single" w:sz="8" w:color="auto"/>
            </w:tcBorders>
          </w:tcPr>
          <w:p>
            <w:pPr>
              <w:jc w:val="center"/>
              <w:ind w:left="1553"/>
              <w:spacing w:after="0"/>
              <w:rPr>
                <w:sz w:val="20"/>
                <w:szCs w:val="20"/>
                <w:color w:val="auto"/>
              </w:rPr>
            </w:pPr>
            <w:r>
              <w:rPr>
                <w:rFonts w:ascii="Arial" w:cs="Arial" w:eastAsia="Arial" w:hAnsi="Arial"/>
                <w:sz w:val="14"/>
                <w:szCs w:val="14"/>
                <w:color w:val="auto"/>
                <w:w w:val="96"/>
              </w:rPr>
              <w:t>Station</w:t>
            </w:r>
          </w:p>
        </w:tc>
        <w:tc>
          <w:tcPr>
            <w:tcW w:w="1720" w:type="dxa"/>
            <w:vAlign w:val="bottom"/>
            <w:tcBorders>
              <w:bottom w:val="single" w:sz="8" w:color="auto"/>
            </w:tcBorders>
          </w:tcPr>
          <w:p>
            <w:pPr>
              <w:jc w:val="right"/>
              <w:ind w:right="54"/>
              <w:spacing w:after="0" w:line="170" w:lineRule="exact"/>
              <w:rPr>
                <w:sz w:val="20"/>
                <w:szCs w:val="20"/>
                <w:color w:val="auto"/>
              </w:rPr>
            </w:pPr>
            <w:r>
              <w:rPr>
                <w:rFonts w:ascii="Arial" w:cs="Arial" w:eastAsia="Arial" w:hAnsi="Arial"/>
                <w:sz w:val="12"/>
                <w:szCs w:val="12"/>
                <w:color w:val="auto"/>
              </w:rPr>
              <w:t>Hispanic Market Rank</w:t>
            </w:r>
            <w:r>
              <w:rPr>
                <w:rFonts w:ascii="Arial" w:cs="Arial" w:eastAsia="Arial" w:hAnsi="Arial"/>
                <w:sz w:val="19"/>
                <w:szCs w:val="19"/>
                <w:color w:val="auto"/>
                <w:vertAlign w:val="superscript"/>
              </w:rPr>
              <w:t>(b)</w:t>
            </w:r>
          </w:p>
        </w:tc>
        <w:tc>
          <w:tcPr>
            <w:tcW w:w="2380" w:type="dxa"/>
            <w:vAlign w:val="bottom"/>
            <w:tcBorders>
              <w:bottom w:val="single" w:sz="8" w:color="auto"/>
            </w:tcBorders>
          </w:tcPr>
          <w:p>
            <w:pPr>
              <w:jc w:val="right"/>
              <w:ind w:right="135"/>
              <w:spacing w:after="0" w:line="170" w:lineRule="exact"/>
              <w:rPr>
                <w:sz w:val="20"/>
                <w:szCs w:val="20"/>
                <w:color w:val="auto"/>
              </w:rPr>
            </w:pPr>
            <w:r>
              <w:rPr>
                <w:rFonts w:ascii="Arial" w:cs="Arial" w:eastAsia="Arial" w:hAnsi="Arial"/>
                <w:sz w:val="12"/>
                <w:szCs w:val="12"/>
                <w:color w:val="auto"/>
              </w:rPr>
              <w:t>Hispanic Television Households</w:t>
            </w:r>
            <w:r>
              <w:rPr>
                <w:rFonts w:ascii="Arial" w:cs="Arial" w:eastAsia="Arial" w:hAnsi="Arial"/>
                <w:sz w:val="19"/>
                <w:szCs w:val="19"/>
                <w:color w:val="auto"/>
                <w:vertAlign w:val="superscript"/>
              </w:rPr>
              <w:t>(c)</w:t>
            </w:r>
          </w:p>
        </w:tc>
      </w:tr>
      <w:tr>
        <w:trPr>
          <w:trHeight w:val="199"/>
        </w:trPr>
        <w:tc>
          <w:tcPr>
            <w:tcW w:w="4700" w:type="dxa"/>
            <w:vAlign w:val="bottom"/>
          </w:tcPr>
          <w:p>
            <w:pPr>
              <w:spacing w:after="0" w:line="200" w:lineRule="exact"/>
              <w:rPr>
                <w:sz w:val="20"/>
                <w:szCs w:val="20"/>
                <w:color w:val="auto"/>
              </w:rPr>
            </w:pPr>
            <w:r>
              <w:rPr>
                <w:rFonts w:ascii="Arial" w:cs="Arial" w:eastAsia="Arial" w:hAnsi="Arial"/>
                <w:sz w:val="18"/>
                <w:szCs w:val="18"/>
                <w:color w:val="auto"/>
              </w:rPr>
              <w:t>Los Angeles, CA</w:t>
            </w:r>
          </w:p>
        </w:tc>
        <w:tc>
          <w:tcPr>
            <w:tcW w:w="2620" w:type="dxa"/>
            <w:vAlign w:val="bottom"/>
          </w:tcPr>
          <w:p>
            <w:pPr>
              <w:jc w:val="center"/>
              <w:ind w:left="1533"/>
              <w:spacing w:after="0" w:line="200" w:lineRule="exact"/>
              <w:rPr>
                <w:sz w:val="20"/>
                <w:szCs w:val="20"/>
                <w:color w:val="auto"/>
              </w:rPr>
            </w:pPr>
            <w:r>
              <w:rPr>
                <w:rFonts w:ascii="Arial" w:cs="Arial" w:eastAsia="Arial" w:hAnsi="Arial"/>
                <w:sz w:val="18"/>
                <w:szCs w:val="18"/>
                <w:color w:val="auto"/>
                <w:w w:val="99"/>
              </w:rPr>
              <w:t>KVEA</w:t>
            </w:r>
          </w:p>
        </w:tc>
        <w:tc>
          <w:tcPr>
            <w:tcW w:w="17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w:t>
            </w:r>
          </w:p>
        </w:tc>
        <w:tc>
          <w:tcPr>
            <w:tcW w:w="2380" w:type="dxa"/>
            <w:vAlign w:val="bottom"/>
          </w:tcPr>
          <w:p>
            <w:pPr>
              <w:jc w:val="right"/>
              <w:spacing w:after="0" w:line="200" w:lineRule="exact"/>
              <w:rPr>
                <w:sz w:val="20"/>
                <w:szCs w:val="20"/>
                <w:color w:val="auto"/>
              </w:rPr>
            </w:pPr>
            <w:r>
              <w:rPr>
                <w:rFonts w:ascii="Arial" w:cs="Arial" w:eastAsia="Arial" w:hAnsi="Arial"/>
                <w:sz w:val="18"/>
                <w:szCs w:val="18"/>
                <w:color w:val="auto"/>
              </w:rPr>
              <w:t>14%</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New York, NY</w:t>
            </w:r>
          </w:p>
        </w:tc>
        <w:tc>
          <w:tcPr>
            <w:tcW w:w="2620" w:type="dxa"/>
            <w:vAlign w:val="bottom"/>
          </w:tcPr>
          <w:p>
            <w:pPr>
              <w:jc w:val="center"/>
              <w:ind w:left="1533"/>
              <w:spacing w:after="0" w:line="202" w:lineRule="exact"/>
              <w:rPr>
                <w:sz w:val="20"/>
                <w:szCs w:val="20"/>
                <w:color w:val="auto"/>
              </w:rPr>
            </w:pPr>
            <w:r>
              <w:rPr>
                <w:rFonts w:ascii="Arial" w:cs="Arial" w:eastAsia="Arial" w:hAnsi="Arial"/>
                <w:sz w:val="18"/>
                <w:szCs w:val="18"/>
                <w:color w:val="auto"/>
                <w:w w:val="99"/>
              </w:rPr>
              <w:t>WNJU</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Miami, FL</w:t>
            </w:r>
          </w:p>
        </w:tc>
        <w:tc>
          <w:tcPr>
            <w:tcW w:w="2620" w:type="dxa"/>
            <w:vAlign w:val="bottom"/>
          </w:tcPr>
          <w:p>
            <w:pPr>
              <w:jc w:val="center"/>
              <w:ind w:left="1533"/>
              <w:spacing w:after="0" w:line="202" w:lineRule="exact"/>
              <w:rPr>
                <w:sz w:val="20"/>
                <w:szCs w:val="20"/>
                <w:color w:val="auto"/>
              </w:rPr>
            </w:pPr>
            <w:r>
              <w:rPr>
                <w:rFonts w:ascii="Arial" w:cs="Arial" w:eastAsia="Arial" w:hAnsi="Arial"/>
                <w:sz w:val="18"/>
                <w:szCs w:val="18"/>
                <w:color w:val="auto"/>
                <w:w w:val="96"/>
              </w:rPr>
              <w:t>WSCV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Houston, TX</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KTMD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KXTX-TV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620" w:type="dxa"/>
            <w:vAlign w:val="bottom"/>
          </w:tcPr>
          <w:p>
            <w:pPr>
              <w:jc w:val="center"/>
              <w:ind w:left="1533"/>
              <w:spacing w:after="0" w:line="202" w:lineRule="exact"/>
              <w:rPr>
                <w:sz w:val="20"/>
                <w:szCs w:val="20"/>
                <w:color w:val="auto"/>
              </w:rPr>
            </w:pPr>
            <w:r>
              <w:rPr>
                <w:rFonts w:ascii="Arial" w:cs="Arial" w:eastAsia="Arial" w:hAnsi="Arial"/>
                <w:sz w:val="18"/>
                <w:szCs w:val="18"/>
                <w:color w:val="auto"/>
                <w:w w:val="96"/>
              </w:rPr>
              <w:t>WSNS-TV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KSTS</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San Antonio, TX</w:t>
            </w:r>
          </w:p>
        </w:tc>
        <w:tc>
          <w:tcPr>
            <w:tcW w:w="2620" w:type="dxa"/>
            <w:vAlign w:val="bottom"/>
          </w:tcPr>
          <w:p>
            <w:pPr>
              <w:jc w:val="center"/>
              <w:ind w:left="1533"/>
              <w:spacing w:after="0" w:line="202" w:lineRule="exact"/>
              <w:rPr>
                <w:sz w:val="20"/>
                <w:szCs w:val="20"/>
                <w:color w:val="auto"/>
              </w:rPr>
            </w:pPr>
            <w:r>
              <w:rPr>
                <w:rFonts w:ascii="Arial" w:cs="Arial" w:eastAsia="Arial" w:hAnsi="Arial"/>
                <w:sz w:val="18"/>
                <w:szCs w:val="18"/>
                <w:color w:val="auto"/>
                <w:w w:val="95"/>
              </w:rPr>
              <w:t>KVDA</w:t>
            </w:r>
            <w:r>
              <w:rPr>
                <w:rFonts w:ascii="Arial" w:cs="Arial" w:eastAsia="Arial" w:hAnsi="Arial"/>
                <w:sz w:val="11"/>
                <w:szCs w:val="11"/>
                <w:color w:val="auto"/>
                <w:w w:val="95"/>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Phoenix, AZ</w:t>
            </w:r>
          </w:p>
        </w:tc>
        <w:tc>
          <w:tcPr>
            <w:tcW w:w="2620" w:type="dxa"/>
            <w:vAlign w:val="bottom"/>
          </w:tcPr>
          <w:p>
            <w:pPr>
              <w:jc w:val="center"/>
              <w:ind w:left="1533"/>
              <w:spacing w:after="0" w:line="202" w:lineRule="exact"/>
              <w:rPr>
                <w:sz w:val="20"/>
                <w:szCs w:val="20"/>
                <w:color w:val="auto"/>
              </w:rPr>
            </w:pPr>
            <w:r>
              <w:rPr>
                <w:rFonts w:ascii="Arial" w:cs="Arial" w:eastAsia="Arial" w:hAnsi="Arial"/>
                <w:sz w:val="18"/>
                <w:szCs w:val="18"/>
                <w:color w:val="auto"/>
                <w:w w:val="95"/>
              </w:rPr>
              <w:t>KTAZ</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Fresno, CA</w:t>
            </w:r>
          </w:p>
        </w:tc>
        <w:tc>
          <w:tcPr>
            <w:tcW w:w="2620" w:type="dxa"/>
            <w:vAlign w:val="bottom"/>
          </w:tcPr>
          <w:p>
            <w:pPr>
              <w:jc w:val="center"/>
              <w:ind w:left="1533"/>
              <w:spacing w:after="0" w:line="202" w:lineRule="exact"/>
              <w:rPr>
                <w:sz w:val="20"/>
                <w:szCs w:val="20"/>
                <w:color w:val="auto"/>
              </w:rPr>
            </w:pPr>
            <w:r>
              <w:rPr>
                <w:rFonts w:ascii="Arial" w:cs="Arial" w:eastAsia="Arial" w:hAnsi="Arial"/>
                <w:sz w:val="18"/>
                <w:szCs w:val="18"/>
                <w:color w:val="auto"/>
                <w:w w:val="99"/>
              </w:rPr>
              <w:t>KNSO</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Denver, CO</w:t>
            </w:r>
          </w:p>
        </w:tc>
        <w:tc>
          <w:tcPr>
            <w:tcW w:w="2620" w:type="dxa"/>
            <w:vAlign w:val="bottom"/>
          </w:tcPr>
          <w:p>
            <w:pPr>
              <w:jc w:val="center"/>
              <w:ind w:left="1533"/>
              <w:spacing w:after="0" w:line="202" w:lineRule="exact"/>
              <w:rPr>
                <w:sz w:val="20"/>
                <w:szCs w:val="20"/>
                <w:color w:val="auto"/>
              </w:rPr>
            </w:pPr>
            <w:r>
              <w:rPr>
                <w:rFonts w:ascii="Arial" w:cs="Arial" w:eastAsia="Arial" w:hAnsi="Arial"/>
                <w:sz w:val="18"/>
                <w:szCs w:val="18"/>
                <w:color w:val="auto"/>
                <w:w w:val="96"/>
              </w:rPr>
              <w:t>KDEN-TV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Las Vegas, NV</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KBLR</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Boston, MA</w:t>
            </w:r>
          </w:p>
        </w:tc>
        <w:tc>
          <w:tcPr>
            <w:tcW w:w="2620" w:type="dxa"/>
            <w:vAlign w:val="bottom"/>
          </w:tcPr>
          <w:p>
            <w:pPr>
              <w:jc w:val="center"/>
              <w:ind w:left="1533"/>
              <w:spacing w:after="0" w:line="202" w:lineRule="exact"/>
              <w:rPr>
                <w:sz w:val="20"/>
                <w:szCs w:val="20"/>
                <w:color w:val="auto"/>
              </w:rPr>
            </w:pPr>
            <w:r>
              <w:rPr>
                <w:rFonts w:ascii="Arial" w:cs="Arial" w:eastAsia="Arial" w:hAnsi="Arial"/>
                <w:sz w:val="18"/>
                <w:szCs w:val="18"/>
                <w:color w:val="auto"/>
                <w:w w:val="99"/>
              </w:rPr>
              <w:t>WNEU</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Tucson, AZ</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KHRR</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4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Puerto Rico</w:t>
            </w:r>
          </w:p>
        </w:tc>
        <w:tc>
          <w:tcPr>
            <w:tcW w:w="2620" w:type="dxa"/>
            <w:vAlign w:val="bottom"/>
            <w:tcBorders>
              <w:bottom w:val="single" w:sz="8" w:color="auto"/>
            </w:tcBorders>
          </w:tcPr>
          <w:p>
            <w:pPr>
              <w:jc w:val="center"/>
              <w:ind w:left="1553"/>
              <w:spacing w:after="0" w:line="200" w:lineRule="exact"/>
              <w:rPr>
                <w:sz w:val="20"/>
                <w:szCs w:val="20"/>
                <w:color w:val="auto"/>
              </w:rPr>
            </w:pPr>
            <w:r>
              <w:rPr>
                <w:rFonts w:ascii="Arial" w:cs="Arial" w:eastAsia="Arial" w:hAnsi="Arial"/>
                <w:sz w:val="18"/>
                <w:szCs w:val="18"/>
                <w:color w:val="auto"/>
                <w:w w:val="97"/>
              </w:rPr>
              <w:t>WKAQ-TV</w:t>
            </w:r>
          </w:p>
        </w:tc>
        <w:tc>
          <w:tcPr>
            <w:tcW w:w="1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14 million U.S. Hispanic households as of December 31, 2012.</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Nielsen estimates for the 2012-13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Filmed Entertainment segment produces, acquires, markets and distributes both live-action and animated filmed entertainment worldwide. We also develop, produce and license live stage plays.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produce films both on our own and jointly with other studios or production companies, as well as with other entities. Our films are produced primarily under the Universal Pictures, Focus Features and Illumination names. Our films are marketed and distributed worldwide primarily through our own marketing and distribution companies. We also acquire distribution rights to films produced by others, which may be limited to particular geographic regions, specific forms of media or certain periods of time. Our content consists of theatrical films, direct-to-video titles and our film library, which is comprised of more than 5,000 titles in a variety of genres.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majority of our produced and acquired films are initially distributed for exhibition in movie theaters. After their release in movie theaters, we sell and license our films through various methods. We distribute our films</w:t>
      </w:r>
    </w:p>
    <w:p>
      <w:pPr>
        <w:spacing w:after="0" w:line="324" w:lineRule="exact"/>
        <w:rPr>
          <w:sz w:val="20"/>
          <w:szCs w:val="20"/>
          <w:color w:val="auto"/>
        </w:rPr>
      </w:pPr>
    </w:p>
    <w:p>
      <w:pPr>
        <w:ind w:left="5660"/>
        <w:spacing w:after="0"/>
        <w:tabs>
          <w:tab w:leader="none" w:pos="846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globally by selling them in DVD format to retail stores, rental kiosks and subscription by mail services, and through digital distributors. We also license our films, including selections from our film library, to cable, broadcast and premium networks, digital distributors and to video-on-demand and pay-per-view services. Premium networks include cable networks such as HBO, Showtime, Starz and Cinemax.</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volume of our content that is made available through digital distributors is increasing as consumers continue to seek alternative ways to view our content. These methods include the sale of our films through online retailers, such as iTunes, that allow for the video downloading of a digital copy of a film, and also the licensing of our films to Internet video streaming services, such as Netflix.</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the sale of our owned and acquired films on home entertainment formats, such as DVDs and the licensing of our owned and acquired films. We also generate revenue from producing and licensing live stage plays and distributing filmed entertainment produced by third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Theme Parks segment consists primarily of our Universal theme parks in Orlando and Hollywood. Universal Orlando includes two theme parks, Universal Studios Florida and Universal’s Islands of Adventure, as well as CityWalk, a dining, retail and entertainment complex. Universal Orlando also features three on-site themed hotels in which we own a noncontrolling interest. Our Universal theme park in Hollywood consists primarily of Universal Studios Hollywood. In addition, we receive fees from third parties that own and operate the Universal Studios Japan theme park in Osaka, Japan and the Universal Studios Singapore theme park on Sentosa Island, Singapore for the licensing of the right to use the Universal Studio brand name and other intellectual property, and other services. We also own a water park, Wet ‘n Wild, located in Orlando.</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licenses the right to use a substantial amount of intellectual property from third parties for its themed elements in rides, attractions, retail outlets and merchandising.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as well as from licensing and other fees. Per capita spending includes ticket price and in-park spending on food, beverages and merchandise.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and Broadcast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viewers’ attention and audience share with all forms of programming provided to viewers, including cable, broadcast and premium networks, local broadcast television stations, home entertainment, pay-per-view and video-on-demand services, online activities, including digital distribution services and websites that provide social networking and user-generated content, and other forms of entertainment, news and information. In addition, our cable networks, broadcast television networks and owned local broadcast television stations compete for the sale of advertising time with other television networks and stations, as well as with all other advertising platforms, such as radio stations, print media and websites.</w:t>
      </w:r>
    </w:p>
    <w:p>
      <w:pPr>
        <w:spacing w:after="0" w:line="15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the acquisition of programming and for on-air and creative talent with other cable and broadcast networks and local television stations. The market for programming is very competitive, particularly for sports programming, where the cost for such programming is significant.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compete with other cable networks for distribution by multichannel video providers. Our broadcast television networks compete with the other broadcast networks in markets across the United States to secure affiliations with independently owned television stations, which are necessary to ensure the effective distribution of network programming to a nationwide audience.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production operations compete with other production companies and creators of content for the acquisition of story properties, creative, performing and technical personnel, and with distributors for their content and consumer interest in their content.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as well as scripts for films. Our filmed entertainment business also competes with the other major studios and other producers of entertainment content for distribution of their content through various exhibition and distribution outlets and on digital media platforms.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theme parks business competes with other multi-park entertainment companies. We also compete with other forms of entertainment, lodging, tourism and recreational activities. In order to maintain the competitiveness of our theme parks, we have invested and continue to invest in existing and new theme park attractions and infrastructure. The investment required to introduce new attractions in our theme parks can be significant.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Seasonality and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Each of our businesses is subject to seasonal and cyclical variations. See “Management’s Discussion and Analysis of Financial Condition and Results of Operations – Segment Operating Results – Seasonality and Cyclicality” for additional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Communications Act of 1934, as amended (the “Communications Act”), and FCC regulations and policies affect significant aspects of our businesses, which are also subject to other regulation by federal, state, local and foreign authorities under applicable laws and regulations. In addition, our businesses are subject to compliance with the terms of the FCC Order approving the Joint Venture transaction (the “FCC Order”) and a consent decree entered into with the DOJ (the “DOJ Consent Decree”), which contain conditions and commitments of varying duration, ranging from three to seven years after September 2011. Legislators and regulators at all levels of government frequently consider changing, and sometimes do change, existing statutes, rules, regulations, or interpretations of existing statutes, rules or regulations, or prescribe new ones, which may significantly affect our businesses. We are unable to predict any such changes, or how any such changes will ultimately affect our businesses. The following paragraphs summarize material existing and potential future legal and regulatory requirements affecting our businesses, although reference should be made to the Communications Act, FCC regulations, the FCC Order, the DOJ Consent Decree and other legislation and regulations for further information.</w:t>
      </w:r>
    </w:p>
    <w:p>
      <w:pPr>
        <w:spacing w:after="0" w:line="330" w:lineRule="exact"/>
        <w:rPr>
          <w:sz w:val="20"/>
          <w:szCs w:val="20"/>
          <w:color w:val="auto"/>
        </w:rPr>
      </w:pPr>
    </w:p>
    <w:p>
      <w:pPr>
        <w:jc w:val="both"/>
        <w:ind w:left="5660"/>
        <w:spacing w:after="0"/>
        <w:tabs>
          <w:tab w:leader="none" w:pos="846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Cable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Communications Act and FCC regulations generally prevent cable networks affiliated with cable operators, other than terrestrially-delivered programming networks, from favoring affiliated cable operators over competing multichannel video providers, such as DBS providers and phone companies that offer multichannel video programming services. In addition, the Communications Act and FCC regulations had limited the ability of cable-affiliated cable networks to offer exclusive programming contracts to a cable operator. In October 2012, the FCC allowed a preemptive restriction on exclusive contracts to expire but reaffirmed that any such exclusive contract could be reviewed on a case-by-case basis in response to a complaint alleging violation of the Communications Act’s prohibition against unfair methods of competition or unfair or deceptive acts or practices that hinder significantly or prevent competitors from providing programming to customers. This case-by-case process already allowed multichannel video providers to file program access complaints to try to show that their lack of access to a terrestrially-delivered programming network had hindered significantly their ability to deliver video programming to subscribers. In addition, the FCC is considering proposals to establish presumptions that would make it easier for multichannel video providers to succeed with complaints involving exclusive contracts and to make it easier for them to use buying groups and for such buying groups to pursue complaints under the rules. It is uncertain whether the FCC will act on these proposals and, if adopted, what impact these proposals would have on our cable networks.</w:t>
      </w:r>
    </w:p>
    <w:p>
      <w:pPr>
        <w:spacing w:after="0" w:line="34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FCC launched a rulemaking in 2007 to consider whether companies that own multiple cable networks should be required to make each of their networks available to multichannel video providers on a stand-alone or “unbundled” basis when negotiating distribution agreements, although it has not further acted on that rulemaking. We currently offer our cable networks both on a bundled and, when requested, on a stand-alone basis. Increased regulatory requirements imposed on the manner in which we negotiate programming distribution agreements with multichannel video providers may adversely affect our cable networks business.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FCC Order and the DOJ Consent Decree, multichannel video providers can invoke commercial arbitration for program access pursuant to conditions adopted in the FCC Order against our cable and broadcast television networks, including our regional sports networks. In addition, under the FCC Order and DOJ Consent Decree, we are required to make certain of our cable network, broadcast television and filmed entertainment programming available to bona fide online video distributors under certain conditions, and they may invoke commercial arbitration pursuant to conditions adopted in the FCC Order and DOJ Consent Decree to resolve disputes regarding the availability of, and the terms and conditions of access to, such programming. For more information on these conditions, see “Broadcast Television” below and refer to the “Must-Carry/Retransmission Consent” discussion within that section.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Programming</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Children’s Television Act (“CTA”) and FCC regulations limit the amount and content of commercial matter that may be shown on cable networks, broadcast networks and broadcast television stations during programming originally produced and broadcast primarily for an audience of children under 13 years of age. FCC regulations also limit the display during children’s programming on cable or broadcast of Internet addresses of websites that contain or link to commercial material or that use program characters to sell products. Similarly, FCC regulations prohibit the display of commercials during children’s programming on cable or broadcast networks that use program characters to sell products when the commercial is adjacent to children’s programming in which the characters appear. The FCC is currently considering whether to prohibit interactive advertising during children’s television programming. The FCC Order includes certain commitments and conditions related to children’s television and advertising directed at children, including commitments that we will not insert interactive advertising into children’s television programming in any of the advertising spots we control and that we will provide at least $15 million worth of public service announce-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ments on childhood obesity, FDA nutritional guidelines, digital literacy and parental controls per year until 2016.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Broadcast 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permits the operation of local broadcast television stations only in accordance with a license issued by the FCC upon a finding that the grant of the license would serve the public interest, convenience and necessity. The FCC grants broadcast television station licenses for specific periods of time and, upon application, may renew the licenses for additional terms. Under the Communications Act, broadcast television licenses may be granted for a maximum term of eight years. Generally, the FCC renews broadcast licenses upon finding that the television station has served the public interest, convenience and necessity; there have been no serious violations by the licensee of the Communications Act or FCC regulations; and there have been no violations by the licensee of the Communications Act or FCC regulations, which, taken together, indicate a pattern of abuse.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CTA and FCC regulations require that the FCC consider in its review of broadcast television station license renewals whether the station has served the educational and informational (“E/I”) needs of children. Under the FCC’s regulations, a station licensee will be deemed to have met its obligation to serve the E/I needs of children if it has broadcast on its main program stream a minimum of three hours per week of programming that has a significant purpose of serving the E/I needs of children under 17 years of age. For broadcast television stations that multicast, FCC regulations include a similar standard whereby the amount of E/I programming deemed to meet the station’s E/I obligation increases in proportion to the amount of free multicast programming aired. Under the FCC Order, we have committed to provide an additional hour of E/I programming per week on either the primary or multicast streams of our owned NBC local broadcast television stations and on the primary signal of our owned Telemundo local broadcast television stations. The FCC is considering whether the requirements for E/I programming have been effective in promoting the availability of educational content for children on broadcast television, and there can be no assurance that the FCC will not impose more stringent requirements.</w:t>
      </w:r>
    </w:p>
    <w:p>
      <w:pPr>
        <w:spacing w:after="0" w:line="16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Under the FCC Order, we have committed to expand local news and information programming on our owned local television stations and to enter into cooperative arrangements with locally focused nonprofit news organizations in certain markets.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Renewal applications are pending for a number of our broadcast television station licenses. The FCC may grant any license renewal application with or without conditions, including renewal for a lesser term than the maximum otherwise permitted. A station’s authority to operate is automatically extended while a renewal application is on file and under review. Four pending applications have been formally opposed by third parties and other applications are pending due to unresolved complaints of alleged indecency in the stations’ programming. The Communications Act also requires prior FCC approval for any sale of a broadcast station license, whether through the assignment of the license and related assets from one company to another or the transfer of control of the stock or other equity of a company holding an FCC license. Third parties may oppose such applications. The FCC may decline to renew or approve the transfer of a license in certain circumstances. Although we have received such renewals and approvals in the past, there can be no assurance that we will always obtain necessary renewals or that approvals in the future will contain acceptable FCC license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FCC regulations limit the ability of individuals and entities to have “attributable interests” above specific levels in local television stations, as well as other specified mass media entities, such as limits on the cross-ownership of broadcast stations and newspapers in the same market. The FCC, by law, must review the</w:t>
      </w:r>
    </w:p>
    <w:p>
      <w:pPr>
        <w:spacing w:after="0" w:line="323" w:lineRule="exact"/>
        <w:rPr>
          <w:sz w:val="20"/>
          <w:szCs w:val="20"/>
          <w:color w:val="auto"/>
        </w:rPr>
      </w:pPr>
    </w:p>
    <w:p>
      <w:pPr>
        <w:jc w:val="both"/>
        <w:ind w:left="5660"/>
        <w:spacing w:after="0"/>
        <w:tabs>
          <w:tab w:leader="none" w:pos="846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ownership regulations detailed below once every four years, and the most recent review was initiated in December 2011 (“2011 Media Ownership Notice”). We cannot predict when the FCC’s current review will be completed or whether or how any of these regulations will change.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53439A"/>
        </w:rPr>
        <w:t>Local Television Ownership</w:t>
      </w:r>
    </w:p>
    <w:p>
      <w:pPr>
        <w:jc w:val="both"/>
        <w:spacing w:after="0" w:line="270" w:lineRule="auto"/>
        <w:rPr>
          <w:sz w:val="20"/>
          <w:szCs w:val="20"/>
          <w:color w:val="auto"/>
        </w:rPr>
      </w:pPr>
      <w:r>
        <w:rPr>
          <w:rFonts w:ascii="Arial" w:cs="Arial" w:eastAsia="Arial" w:hAnsi="Arial"/>
          <w:sz w:val="16"/>
          <w:szCs w:val="16"/>
          <w:color w:val="auto"/>
        </w:rPr>
        <w:t>Under the FCC’s local television ownership rule, a licensee may own up to two broadcast television stations in the same DMA, as long as at least one of the two stations is not among the top four-ranked stations in the market based on audience share as of the date an application for approval of an acquisition is filed with the FCC and at least eight independently owned and operating full-power broadcast television stations remain in the market following the acquisition. Further, without regard to the number of remaining independently-owned television stations, the rule permits the ownership of more than one television station within the same DMA so long as certain signal contours of the stations involved do not overlap. The 2011 Media Ownership Notice proposes minor modifications to the local television ownership rule. It also raises questions regarding whether local news-sharing agreements, shared services agreements, and joint sales agreements should count toward the FCC’s ownership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3439A"/>
        </w:rPr>
        <w:t>National Television Ownership</w:t>
      </w:r>
    </w:p>
    <w:p>
      <w:pPr>
        <w:jc w:val="both"/>
        <w:spacing w:after="0" w:line="238" w:lineRule="auto"/>
        <w:rPr>
          <w:sz w:val="20"/>
          <w:szCs w:val="20"/>
          <w:color w:val="auto"/>
        </w:rPr>
      </w:pPr>
      <w:r>
        <w:rPr>
          <w:rFonts w:ascii="Arial" w:cs="Arial" w:eastAsia="Arial" w:hAnsi="Arial"/>
          <w:sz w:val="18"/>
          <w:szCs w:val="18"/>
          <w:color w:val="auto"/>
        </w:rPr>
        <w:t>The Communications Act and FCC regulations limit the number of television stations one entity may own or control nationally. Under the rule, no entity may have an attributable interest in broadcast television stations that reach, in the aggregate, more than 39% of all U.S. television households. Our owned local television station reach does not exceed this limit.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Foreign Ownership</w:t>
      </w:r>
    </w:p>
    <w:p>
      <w:pPr>
        <w:jc w:val="both"/>
        <w:spacing w:after="0" w:line="237" w:lineRule="auto"/>
        <w:rPr>
          <w:sz w:val="20"/>
          <w:szCs w:val="20"/>
          <w:color w:val="auto"/>
        </w:rPr>
      </w:pPr>
      <w:r>
        <w:rPr>
          <w:rFonts w:ascii="Arial" w:cs="Arial" w:eastAsia="Arial" w:hAnsi="Arial"/>
          <w:sz w:val="18"/>
          <w:szCs w:val="18"/>
          <w:color w:val="auto"/>
        </w:rPr>
        <w:t>The Communications Act generally limits foreign ownership in a broadcast station to 20% direct ownership and 25% indirect ownership (i.e., through one or more subsidiaries), although the limit on indirect ownership can be waived if the FCC finds it to be in the public interest. These limits have been held to apply to both voting control and equity, as well as to ownership by any form of entity, including corporations, partnerships and limited liability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Dual Network Rule</w:t>
      </w:r>
    </w:p>
    <w:p>
      <w:pPr>
        <w:jc w:val="both"/>
        <w:spacing w:after="0" w:line="239" w:lineRule="auto"/>
        <w:rPr>
          <w:sz w:val="20"/>
          <w:szCs w:val="20"/>
          <w:color w:val="auto"/>
        </w:rPr>
      </w:pPr>
      <w:r>
        <w:rPr>
          <w:rFonts w:ascii="Arial" w:cs="Arial" w:eastAsia="Arial" w:hAnsi="Arial"/>
          <w:sz w:val="18"/>
          <w:szCs w:val="18"/>
          <w:color w:val="auto"/>
        </w:rPr>
        <w:t>The dual network rule prohibits any of the four major broadcast television networks, ABC, CBS, Fox and NBC, from being under common ownership or control with another of the four.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must-carry or retransmission consent. Federal law and FCC regulations also establish a must-carry/retransmission consent election regime for carriage of commercial television stations by satellite providers. For the period beginning on January 1, 2012 and ending on December 31, 2014, all of the NBC network and Telemundo network owned local television stations elected retransmission consent.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enacting the Satellite Television Extension and Localism Act of 2010 (“STELA”) in 2010, Congress modified certain aspects of the compulsory copyright licenses under which satellite providers and cable operators retransmit broadcast stations. STELA expressly extended to January 1, 2015 an existing prohibition against commercial television stations entering into exclusive retransmission consent agreements with multichannel video providers and also extended a requirement that commercial television stations and multichannel video providers negotiate retransmission consent agreements in good faith. Several other multichannel video providers and third parties filed a petition asking the FCC to initiate a rulemaking to consider changes to the current retransmission consent regulations and also asked Congress to review the issue. The FCC launched a rulemaking in 2011 that, among other things, seeks comment on proposals to modify the good faith negotiating standard and to eliminate regulations providing local television stations with exclusivity protections in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their markets for network and syndicated programming. Legislation has been introduced that would eliminate both must-carry and retransmission consent as well as more narrow legislation that would establish an arbitration mechanism to resolve impasses in retransmission consent negotiations. We cannot predict what new laws or regulations, if any, may be adopted or how any such laws or regulations would affect our businesses. In addition to potential remedies under the general retransmission consent regime, multichannel video providers may invoke commercial arbitration under rules established in the FCC Order to resolve any disputes regarding carriage of any of our owned local broadcast television stations.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Distribution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FCC Order and DOJ Consent Decree, we are required to make certain of our cable network, broadcast television and filmed entertainment programming available to bona fide online video distributors under certain conditions, and they may invoke commercial arbitration to resolve disputes regarding the availability, and the terms and conditions of access to, such programming. In addition, we are required to continue distributing programming via nbc.com that is generally equivalent to the programming that we distributed via nbc.com as of January 1, 2011, on generally equivalent terms and conditions, so long as at least one of the other major broadcast networks continues to distribute some programming in a similar fashion. We are one of three broadcast network owners of Hulu, but were required to relinquish all voting rights and our board seat in Hulu in connection with the Joint Venture transaction. If the two other broadcast network owners of Hulu renew their agreements, we must either continue to provide content to Hulu on the terms in place as of January 2011 or enter into agreements on substantially the same terms as the broadcast network that provides the most economically favorable terms to Hulu.</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Spectrum</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2012, Congress authorized the FCC to conduct an incentive auction to reassign a portion of the broadcast spectrum for mobile broadband use. Under the statute, broadcasters may voluntarily relinquish some or all of their spectrum rights in exchange for a share of the proceeds of the FCC’s auction of the spectrum to mobile broadband providers. Broadcasters that do not voluntarily relinquish their spectrum rights may still be affected as part of the process of clearing and repacking the spectrum for future mobile use, but Congress required the FCC to make “all reasonable efforts” to preserve broadcasters’ over-the-air coverage area and population served, and to reimburse those broadcasters’ reasonable costs. The FCC currently is conducting a proceeding to implement this statute, including establishing processes for how the spectrum will be repacked and how the broadcasters will be reimbursed for relocation costs. We cannot predict whether or how any such regulations might affect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Indecency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FCC regulations prohibit the broadcast of obscene material on television stations at any time and indecent or profane material between the hours of 6 a.m. and 10 p.m. Broadcasters risk violating this prohibition because the vagueness of the relevant FCC definitions makes it difficult to apply. Moreover, the FCC has in some instances imposed separate fines for each allegedly indecent “utterance,” in contrast with its previous policy that had generally considered all indecent words or phrases within a given program as constituting a single violation. The maximum penalty for broadcasting indecent or profane programming is $325,000 per indecent or profane utterance.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Indecency regulation has been the subject of ongoing court review, regarding both the FCC’s “fleeting expletives” policy and the FCC’s definition of what constitutes indecent material. In June 2012, the U.S. Supreme Court struck down the FCC’s assessment of indecency fines against ABC and FOX on the grounds that the agency failed to provide fair notice of its standards and enforcement policy. However, the Court declined to rule on the constitutionality of the FCC’s indecency policy under the First Amendment. This ruling may result in the FCC’s clarification of its policy and future indecency-related enforcement actions. From time to time, we have received and may receive in the future letters of inquiry from the FCC prompted by com-</w:t>
      </w:r>
    </w:p>
    <w:p>
      <w:pPr>
        <w:spacing w:after="0" w:line="326"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plaints alleging that certain programming on our owned local television stations included indecent or profane material. Increased content regulation, particularly if it is vague and difficult to apply, could have an adverse effect on our broadcast television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Identification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legislation and FCC regulations provide that whenever a broadcast station transmits any programming for which it has received money, service or other valuable consideration, it must provide an accurate on-air identification of the sponsor of the programming. In 2008, the FCC commenced a proceeding to examine whether “embedded advertising,” such as product placements and product integration, in broadcast programming should be subject to stricter disclosure requirements and whether the sponsorship identification regulations should be extended to cable networks, although the FCC has taken no 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International regulation of television broadcasting varies widely according to jurisdiction and includes the regulation of programming and advertising. For example, the European Union (“E.U.”) establishes minimum levels of regulation across all E.U. member states focused on content and advertising, which also extends to nonlinear television services, although E.U. countries are free to impose stricter regulation in certain areas.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filmed entertainment business is subject to the provisions of “trade practice laws” in effect in 25 states and Puerto Rico relating to theatrical distribution of motion pictures. These laws substantially restrict the licensing of motion pictures unless theater owners are first invited to attend a screening of the motion pictures and, in certain instances, also prohibit payment of advances and guarantees to motion picture distributors by exhibitors. Further, under various consent judgments, federal and state antitrust laws and state unfair competition laws, motion picture companies are subject to certain restrictions on trade practices in the United States, including a requirement to offer motion pictures for exhibition to theaters on a theater-by-theater basis. The Federal Trade Commission (“FTC”) has called for stronger industry safeguards applicable to the marketing of violent movies to children.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countries outside the United States, there are a variety of existing or contemplated governmental laws and regulations that may affect our ability to distribute and license motion picture and television products, as well as consumer merchandise products, including film screen quotas, television quotas, regulation of content, regulated contract terms, product safety and labeling requirements, discriminatory taxes and other discriminatory treatment of U.S. products. The ability of countries to deny market access or refuse national treatment to products originating outside their territories is regulated under various international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Theme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and liquor licenses.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Copyright, trademark, unfair competition, patent, trade secret and Internet/domain laws of the United States and other countries help protect our intellectual property rights. In particular, piracy of programming and films through unauthorized distribution of counterfeit DVDs, peer-to-peer file sharing and other platforms presents challenges for our cable networks, broadcast television and filmed entertainment businesses. The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 which could negatively impact their value and further increase the costs of enforcing our rights.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Copyright laws also require that we pay standard industry licensing fees for the public performance of music in the content we create. The fees we pay to music performance rights organizations are typically renegotiated when we renew licenses with those organizations, and we cannot predict with certainty what those fees will be in the future or if disputes will arise over them.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Regulation</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FTC has begun to exercise greater authority over privacy protections generally, using its existing authority over unfair and deceptive practices and other public proceedings to apply greater restrictions on the collection and use of personally identifiable and other information relating to consumers. In March 2012, the FTC staff issued a final report with guidelines for privacy limits in the collection and use of personal and profiling information, even in the absence of demonstrated consumer harm. In a February 2012 report, the White House and Commerce Department also had suggested an expansion of privacy protections, although with greater reliance on the development of enforceable industry codes. Legislation has also been introduced in Congress that would regulate the use of personal and profiling information for advertising. The FTC has encouraged the World Wide Web Consortium to develop limits on the online collection and use of personal and profiling information. In addition, the FTC is reviewing its implementation of the Children’s Online Privacy Protection Act (“COPPA”). COPPA imposes requirements on website operators and online services that are aimed at children under 13 years of age or that collect personal information or knowingly post personal information from children under 13 years of age. The FTC has proposed certain changes to its COPPA regulations that would expand the scope of the regulations. We cannot predict what proposals may ultimately be adopted or how such requirements would affect our businesses.</w:t>
      </w:r>
    </w:p>
    <w:p>
      <w:pPr>
        <w:spacing w:after="0" w:line="3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regulations and laws regarding information security. Most of these regulations and laws apply to customer information that could be used to commit identity theft. Substantially all of the U.S. states and the District of Columbia have enacted security breach notification laws. These laws generally require that a business give notice to its customers whose financial account information has been disclosed because of a security breach. Legislation also has been introduced in Congress that would impose new cybersecurity requirements on some critical networks and operations, but the scope of such requirements, if adopted, has not yet been defined. The White House is considering a similar Executive Order.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Restrictions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Legislation has been introduced and reports from various government agencies have been issued from time to time urging that restrictions be placed on advertisements for particular products or services, including prescription drugs and the marketing of food or violent entertainment to children. We are unable to predict</w:t>
      </w:r>
    </w:p>
    <w:p>
      <w:pPr>
        <w:spacing w:after="0" w:line="323"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whether such reports will result in legislative proposals, whether legislative proposals may be adopted, or, if adopted, what impact they will have on our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business operations are subject to environmental laws and regulations and involve air emissions, wastewater discharges, and the use, disposal and cleanup of toxic and hazardous substances. Any failure to comply with environmental requirements could result in monetary fines, civil or criminal sanctions, third-party claims or other costs or liabilities. We have been responsible for the cleanup of environmental contamination at some of our current and former facilities and at off-site waste disposal locations, although our share of the cost of such cleanups to date has not been material.</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 We are unable to accurately predict how these requirements might be changed in the future and how any such changes might affect our businesses.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2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of December 31, 2012, we have approximately 36,000 full-time and part-time employees. We also use freelance and temporary employees in the normal course of our business.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including as a result of the Joint Venture transaction.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or as a result of any of such factors, which could adversely affect our business, results of operations or financial condition. We undertake no obligation to update any forward-looking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53439A"/>
        </w:rPr>
        <w:t>Item 1A: Risk Factors</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businesses currently face a wide range of competition, and our businesses and results of operations could be adversely affected if we do not compete effectively.</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of our businesses operate in intensely competitive industries and compete with a growing number of companies that provide a broad range of entertainment, news and information content to consumers.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businesses also face substantial and increasing competition from providers of similar types of content, as well as from other forms of entertainment and recreational activities. We must compete to obtain talent, programming and other resources required in operating these businesses. For example, our cable networks, broadcast television networks and owned local broadcast television stations compete for viewers with other similar networks and stations, as well as with other forms of entertainment and content available in the home, such as video games, DVDs and websites. More recently, we have begun competing for viewers with digital distribution services, such as Netflix and Amazon, some of which have their own high-quality original content. In addition, our cable networks compete with other cable networks and programming providers for carriage of their programming by multichannel video providers. Our cable networks, broadcast television networks and owned local television stations also compete for the sale of advertising time with other television networks and stations, as well as with all other advertising platforms, such as radio stations, print media and websites. Our filmed entertainment business competes with other film studios and independent producers for sources of financing for the production of its films, for the exhibition of its films in theaters and for shelf space in retail stores for its DVDs. It also competes for consumers with other film producers and distributors and all other forms of entertainment inside and outside the home. Our theme parks business also competes with other multi-park entertainment companies. For a more detailed description of the competition facing all of our businesses, see “Business – Competition” above.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ability to compete effectively also is in part dependent on our perceived image and reputation among our various constituencies, including our customers, consumers, advertisers, investors and governmental authorities. There can be no assurance that we will be able to compete effectively against existing or new competitors or that competition will not have an adverse effect on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consumer behavior driven by new technologies may adversely affect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in a highly competitive, consumer-driven and rapidly changing environment. New technologies, particularly alternative methods for the distribution, sale and viewing of content, have been, and will likely continue to be, developed that further increase the number of competitors that all our businesses face and that drive changes in consumer behavior. These technologies may affect the demand for all of our products and services, as the number of entertainment choices available to, and the manner in which they are delivered to consumers continue to increase and evolve. Our failure to effectively anticipate or adapt to emerging technologies or changes in consumer behavior could have an adverse effect on our businesses.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Newer technologies also are affecting consumer behavior in ways that affect how content is viewed as consumers seek more control over when, where and how they consume content, which may have a negative impact on our business and results of operations. For example, the increased availability of DVRs, video-on-demand services and video programming on the Internet, as well as increased access to various media through wireless devices, have the potential to reduce the viewing of content through traditional distribution outlets, which could adversely affect the price and amount of advertising that advertisers are willing to purchase from us, the amount multichannel video providers are willing to pay for our content and the levels of DVD and theatrical sales. Some of these newer technologies also give consumers greater flexibility to watch programming on a time-delayed or on-demand basis or to fast-forward or skip advertisements within our programming, which also may adversely impact the advertising revenue we receive. Delayed viewing and advertising skipping have become more common as the penetration of DVRs has increased and as content has become increasingly available via video-on-demand services and Internet sources. These and other changes in technology, distribution platforms and consumer behavior could have an adverse effect on our businesses.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are subject to regulation by federal, state, local and foreign authorities, which may impose additional costs and restrictions on our businesses.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businesses are subject to various laws and regulations at the international, federal, state and local levels. Our broadcast television business is highly regulated by federal laws and regulations, and our cable networks,</w:t>
      </w:r>
    </w:p>
    <w:p>
      <w:pPr>
        <w:spacing w:after="0" w:line="324"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filmed entertainment and theme parks businesses are subject to various other laws and regulations at the international, federal, state and local levels, including laws and regulations relating to environmental protection, which have become more stringent over time, and the safety of consumer products and theme park operations. In addition, as a result of the Joint Venture transaction, we are subject to the FCC Order and the DOJ Consent Decree, which have imposed numerous conditions on our businesses relating to the treatment of competitors and other matters. Failure to comply with the laws and regulations applicable to our businesses could result in administrative enforcement actions, fines, and civil and criminal liability.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regulations, or interpretations thereof, or prescribe new ones, which may significantly affect our businesses. Any future legislative, judicial, regulatory or administrative actions may increase our costs or impose additional restrictions on our businesses, which could adversely affect our businesses. For a more detailed discussion of the risks associated with the regulation of all of our businesses, see “Business – Legislation and Regulation” above.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Weak economic conditions in the United States and internationally persisted during 2012. A substantial portion of our revenue comes from customers whose spending patterns may be affected by prevailing economic conditions. A continued or further decline in economic conditions, or an increase in price levels generally due to inflationary pressures, could adversely affect demand for any of our products and services and have a negative impact on our results of operations. For example, weak economic conditions could reduce prices that multichannel video providers pay for our cable networks’ programming and have reduced and could continue to reduce the performance of our theatrical and DVD releases in our filmed entertainment business and attendance and spending in our theme parks business. Weak economic conditions also may have a negative impact on the advertising revenue of our cable networks and broadcast television businesses. Weak economic conditions and turmoil in the global financial markets may also impair the ability of third parties to satisfy their obligations to us. Further, any disruption in the global financial markets may affect our ability to obtain financing on acceptable terms. If these weak economic conditions continue or deteriorate, our businesses may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advertising expenditures or changes in advertising markets could negatively impact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networks and broadcast television businesses derive substantial revenue from the sale of advertising on a variety of platforms, and a decline in advertising expenditures could negatively impact our results of operations. Declines can be caused by the economic prospects of specific advertisers or industries, by increased competition for the leisure time of audiences and audience fragmentation, by the growing use of new technologies, or by the economy in general, any of which may cause advertisers to alter their spending priorities based on these or other factors. In addition, advertisers’ willingness to purchase advertising from us may be adversely affected by lower audience ratings. Advertising sales and rates also are dependent on audience measurement and could be negatively affected by changes in audience measurement methodologies. For example, newer methods of viewing content (such as delayed viewing on DVRs or viewing content on computers, tablets or smartphones) might not be counted in audience measurements or may generate less, if any, revenue than traditional distribution methods, which could have an adverse effect on our advertising revenue. Further, natural disasters, wars, acts of terrorism or other significant adverse news events could lead to a reduction in advertising expenditures as a result of uninterrupted news coverage and general economic uncertainty. Reductions in advertising expenditures could adversely affect our businesses.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success depends on consumer acceptance of our content, which is difficult to predict, and our businesses may be adversely affected if our content fails to achieve sufficient consumer acceptance or our costs to create or acquire content increase.</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Most of our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cable networks and broadcast television programming, filmed entertainment, theme park attractions and other content that meet the changing preferences of the broad domestic and international consumer market. We have invested, and will continue to invest, substantial amounts in our content, including in the production of original content on our cable networks and broadcast television networks, in our films and for theme park attractions, before learning the extent to which it would earn consumer acceptance. We also obtain a significant portion of our content from third parties, such as movie studios, television production companies, sports organizations and other suppliers. Competition for popular content, particularly for sports programming, is intense, and we may be forced to increase the price we are willing to pay or be outbid by our competitors for popular content. Entering into or renewing contracts for such programming rights or acquiring additional rights may result in significantly increased costs. Moreover, particularly with respect to long-term contracts for sports programming rights, our results of operations and cash flows over the term of a contract depend on a number of factors, including the strength of the advertising market, our audience size and the timing and amount of our rights payments, and there can be no assurance that revenue from these contracts will exceed our cost for the rights, as well as the other costs of producing and distributing the programming. If our content does not achieve sufficient consumer acceptance, or if we cannot obtain or retain rights to popular content on acceptable terms, or at all, our businesses may be adversely affected.</w:t>
      </w:r>
    </w:p>
    <w:p>
      <w:pPr>
        <w:spacing w:after="0" w:line="3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The loss of our programming distribution agreements, or the renewal of these agreements on less favorable terms, could adversely affect our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networks depend on the maintenance of distribution agreements with multichannel video providers. Our broadcast television networks depend on the maintenance of network affiliation agreements with third-party local broadcast television stations in the markets where we do not own the affiliated local broadcast television station. In addition, every three years, each of our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In the course of renewing distribution agreements with multichannel video providers, we may enter into retransmission consent agreements on behalf of our owned local broadcast television stations. All of our NBC and Telemundo owned local broadcast television stations have elected retransmission consent for the period January 1, 2012 through December 31, 2014. Increasingly, our cable networks, broadcast television and filmed entertainment businesses also have entered into agreements to license their prior season and library content on other distribution platforms. There can be no assurance that any of these agreements will be renewed in the future on acceptable terms, or at all. The loss of any of these agreements, or the renewal of these agreements on less favorable terms, could reduce the reach of our television programming and its attractiveness to advertisers, which in turn could adversely affect our cable networks, broadcast television and filmed entertainment businesses.</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Our businesses depend on using and protecting certain intellectual property rights and on not infringing the intellectual property rights of others.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agreements on unfavorable terms, incur substantial monetary liability or be enjoined preliminarily or permanently from further use of the intellectual property in question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intellectual property constitutes a significant part of the value of our businesses, and our success is highly dependent on protecting intellectual property rights in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on our content, and increases our costs due to our active enforcement of protecting our intellectual property rights. Piracy and other unauthorized uses of content are made easier, and the enforcement of intellectual property rights more challenging, by technological advances allowing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and the value of our intellectual property may be negatively impacted and our costs of enforcing our rights may increase. See “Business – Legislation and Regulation – Other Areas of Regulation – Intellectual Property” above for additional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success is, to a large extent, dependent on our ability to acquire, develop, adopt and leverage new and existing technologies, and our competitors’ use of certain types of technology and equipment may provide them with a competitive advantage. If we choose technology or equipment that is not as effective, cost-efficient or attractive to consumers as that employed by our competitors, if we fail to employ technologies desired by our customers before our competitors do so or if we fail to execute effectively on our technology initiatives, our businesses could be adversely affected.</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and programming delivery, are critical to our business activities. Network and information systems-related events,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services or damage to our properties, equipment and data. These events also could result in large expenditures to repair or replace the damaged properties, networks or information systems or to protect them from similar events in the future. Further, any security breaches, such as misappropriation, misuse, leakage, falsification or accidental release or loss of information maintained in our information technology systems, including customer, personnel and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vendor data, could damage our reputation and require us to expend significant capital and other resources to remedy any such security breach. We may provide certain confidential, proprietary and personal information to third parties in connection with our businesses, and while we obtain assurances that these third parties will protect this information, there is a risk that this information may be compromised. Moreover, the amount and scope of insurance we maintain against losses resulting from any such events or security breaches may not be sufficient to cover our losses or otherwise adequately compensate us for any disruptions to our businesses that may result, and the occurrence of any such events or security breaches could have a material adverse effect on our businesses.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risk of these systems-related events and security breaches occurring has intensified, in part because we maintain certain information necessary to conduct our businesses in digital form stored on cloud servers. In the ordinary course of our business, there are frequent attempts to cause such systems-related events and security breaches, and we have experienced a few minor systems-related events that, to date, have not resulted in any significant degradation or disruption to our network or information systems or our operations. While we develop and maintain systems seeking to prevent systems-related events and security breaches from occurring, the development and maintenance of these systems is costly and requires ongoing monitoring and updating as technologies change and efforts to overcome security measures become more sophisticated. Despite these efforts, there can be no assurance that these events and security breaches will not occur in the future or have an adverse effect on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depend on third 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if demand exceeds their capacity or they otherwise cannot meet our specifications, our ability to provide some services may have an adverse effect on our businesses.</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 xml:space="preserve">Labor disputes, whether involving employees or sports organizations, may disrupt our operations and adversely affect our businesses. </w:t>
      </w:r>
      <w:r>
        <w:rPr>
          <w:rFonts w:ascii="Arial" w:cs="Arial" w:eastAsia="Arial" w:hAnsi="Arial"/>
          <w:sz w:val="16"/>
          <w:szCs w:val="16"/>
          <w:color w:val="auto"/>
        </w:rPr>
        <w:t>Many of our employees, including writers, directors, actors, technical and production personnel and others, as well as some of our on-air and creative talent, are covered by collective bargaining agreements or works councils. If we are unable to reach agreement with a labor union before the expiration of a collective bargaining agreement, our employees who were covered by that agreement may have a right to strike or take other actions that could adversely affect us. Moreover, many of our collective bargaining agreements are industry-wide agreements, and we may lack practical control over the negotiations and terms of the agreements. A labor dispute involving our employees may result in work stoppages or disrupt our operations and reduce our revenue, and resolution of disputes may increase our costs. There can be no assurance that we will renew our collective bargaining agreements as they expire or that we can renew them on favorable terms or without any work stoppages.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323"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DVDs have been declining.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Several factors, including weak economic conditions, the maturation of the standard-definition DVD format, piracy and intense competition for consumer discretionary spending and leisure time, are contributing to an industry-wide decline in DVD sales both in the United States and internationally, which has had an adverse effect on our filmed entertainment business’s results of operations. DVD sales have also been adversely affected by an increasing shift by consumers toward subscription rental, discount rental kiosks and digital forms of entertainment, such as video-on-demand services, which generate less revenue per transaction than DVD sales. A continued decline in our DVD sales volumes could have an adverse effect primarily on our filmed entertainment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our businesses worldwide. There are risks inherent in doing business internationally, including the current European debt crisis and other global financial market turmoil,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is subject to risks relating to political or social unrest, corruption and government regulation, including U.S. laws such as the Foreign Corrupt Practices Act that impose stringent requirements on how we conduct our foreign operations. If these risks occur, our businesses may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color w:val="auto"/>
        </w:rPr>
        <w:t>Comcast and GE Ownership</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risk factors are applicable for periods in which we continue to be indirectly owned 51% by Comcast and 49% by GE. On February 12, 2013, Comcast entered into an agreement to acquire GE’s 49% common equity interest in NBCUniversal Holdings. See Note 20 to our consolidated financial statements included in this Annual Report on Form 10-K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Comcast, and GE has certain approval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close of the Joint Venture transaction, our company converted from a Delaware corporation into a Delaware limited liability company of which NBCUniversal Holdings is the sole member. We are now managed by NBCUniversal Holdings as our sole member. NBCUniversal Holdings is beneficially owned 51% by Comcast and 49% by GE, and Comcast has the right to designate a majority of the board of directors of NBCUniversal Holdings. As a result, Comcast controls NBCUniversal Holdings and effectively controls us. This means that Comcast generally is able to cause or prevent us from taking any actions, subject to the right of GE (so long as GE directly or indirectly owns at least a 20% interest in NBCUniversal Holdings) to approve certain actions. The GE approval right applies to various matters, including certain acquisitions, mergers or similar transactions; liquidation or dissolution (or similar events) or the commencement of bankruptcy or insolvency proceedings; a material expansion in the scope of our business; certain dividends or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distributions and repurchases, redemptions or other acquisitions of equity securities by NBCUniversal Holdings; the incurrence of certain new debt; the making of certain loans; and the issuance by NBCUniversal Holdings of equity or the increase in the authorized amount of equity securities of NBCUniversal Holdings in certain circumstances. Moreover, while Comcast and GE have agreed to restrictions on their rights to dispose of interests in our company, those restrictions will lapse over time, and each of Comcast and GE has rights to waive restrictions on transfer. In addition, GE has certain rights to require NBCUniversal Holdings to purchase its interests, and Comcast has certain rights to require GE to sell its interests, in NBCUniversal Holdings. We cannot provide assurance that Comcast will continue to control, or that GE will maintain a significant indirect interest in, our business.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NBCUniversal Holdings may be required to purchase all or part of GE’s interests in NBCUniversal Holdings and may cause us to make distributions or loans to it to fund these purchases.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GE is entitled to cause NBCUniversal Holdings to redeem half of its interests in NBCUniversal Holdings during the six month period beginning January 28, 2014, and its remaining interest in NBCUniversal Holdings during the six month period beginning January 28, 2018, subject to certain conditions and limitations. If certain limitations on NBCUniversal Holdings’ purchase obligation apply so that NBCUniversal Holdings will not be required to fully purchase the GE interests that it otherwise would be required to purchase, Comcast will be required to purchase the applicable GE interests NBCUniversal Holdings does not purchase, subject to an overall maximum amount. NBCUniversal Holdings is a holding company whose sole asset is the equity interest in our company, and NBCUniversal Holdings currently has no source of cash to fund these repurchases other than distributions or loans from us or proceeds of any debt or equity it may issue in the future. Comcast may, but is not required to, cause us to distribute to NBCUniversal Holdings all or a portion of the funds required to fund any required repurchases from GE (or for any other reason). We cannot provide assurance that these distributions, if made, would not have a material adverse effect on our financial condition.</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Comcast and GE may compete with us in certain cases and have the ability on their own to pursue opportunities that might be attractive to us.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Although both Comcast and GE are generally subject to non-compete restrictions with respect to our principal businesses, there are important exceptions to these non-compete restrictions, including exceptions for businesses retained by Comcast and GE, after giving effect to the close of the Joint Venture transaction, and various other business activities. While Comcast must first offer to us any potential business acquisition that is engaged in activities within any of our principal lines of business, the board members of NBCUniversal Holdings designated by GE will make the decision as to whether to accept the opportunity. Prior to July 28, 2012, if NBCUniversal Holdings does not accept such business acquisition, Comcast may proceed with the acquisition to the extent the purchase price does not exceed $500 million. After July 28, 2012, if NBCUniversal Holdings does not accept such business acquisition, Comcast may proceed with the acquisition to the extent the purchase price does not exceed $500 million or, if the purchase price is in excess of $500 million, to the extent such acquisition would not result in Comcast having made similar business acquisitions in an aggregate amount in excess of approximately $6 billion. Comcast’s obligation to offer opportunities to us terminates if GE’s ownership interest in NBCUniversal Holdings is less than 20%. Comcast and GE do not owe fiduciary duties to each other and, except as set forth above, do not otherwise have any obligation to refrain from engaging in businesses that are the same as or similar to our businesses or pursuing other opportunities that might be attractive for us.</w:t>
      </w:r>
    </w:p>
    <w:p>
      <w:pPr>
        <w:spacing w:after="0" w:line="316" w:lineRule="exact"/>
        <w:rPr>
          <w:sz w:val="20"/>
          <w:szCs w:val="20"/>
          <w:color w:val="auto"/>
        </w:rPr>
      </w:pPr>
    </w:p>
    <w:p>
      <w:pPr>
        <w:spacing w:after="0"/>
        <w:rPr>
          <w:sz w:val="20"/>
          <w:szCs w:val="20"/>
          <w:color w:val="auto"/>
        </w:rPr>
      </w:pPr>
      <w:r>
        <w:rPr>
          <w:rFonts w:ascii="Arial" w:cs="Arial" w:eastAsia="Arial" w:hAnsi="Arial"/>
          <w:sz w:val="24"/>
          <w:szCs w:val="24"/>
          <w:color w:val="53439A"/>
        </w:rPr>
        <w:t>Item 1B: 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53439A"/>
        </w:rPr>
        <w:t>Item 2: Properties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corporate headquarters are located in New York City at 30 Rockefeller Plaza. We also own or lease offices, studios, production facilities, screening rooms, retail operations, warehouse space, satellite transmission receiving facilities and data centers in numerous locations in the United States and around the world for our businesses, including property for our owned local broadcast television stations. In addition, we own theme parks and related facilities in Orlando and Hollywood.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as of December 31, 2012 with respect to our principal properties: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40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Principal Use</w:t>
            </w:r>
          </w:p>
        </w:tc>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Principal Segments in Which Used</w:t>
            </w: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94"/>
              </w:rPr>
              <w:t>Owned or Leased</w:t>
            </w:r>
          </w:p>
        </w:tc>
      </w:tr>
      <w:tr>
        <w:trPr>
          <w:trHeight w:val="199"/>
        </w:trPr>
        <w:tc>
          <w:tcPr>
            <w:tcW w:w="2680" w:type="dxa"/>
            <w:vAlign w:val="bottom"/>
          </w:tcPr>
          <w:p>
            <w:pPr>
              <w:spacing w:after="0" w:line="200" w:lineRule="exact"/>
              <w:rPr>
                <w:sz w:val="20"/>
                <w:szCs w:val="20"/>
                <w:color w:val="auto"/>
              </w:rPr>
            </w:pPr>
            <w:r>
              <w:rPr>
                <w:rFonts w:ascii="Arial" w:cs="Arial" w:eastAsia="Arial" w:hAnsi="Arial"/>
                <w:sz w:val="18"/>
                <w:szCs w:val="18"/>
                <w:color w:val="auto"/>
              </w:rPr>
              <w:t>30 Rockefeller Plaza</w:t>
            </w:r>
          </w:p>
        </w:tc>
        <w:tc>
          <w:tcPr>
            <w:tcW w:w="4060" w:type="dxa"/>
            <w:vAlign w:val="bottom"/>
          </w:tcPr>
          <w:p>
            <w:pPr>
              <w:ind w:left="880"/>
              <w:spacing w:after="0" w:line="200" w:lineRule="exact"/>
              <w:rPr>
                <w:sz w:val="20"/>
                <w:szCs w:val="20"/>
                <w:color w:val="auto"/>
              </w:rPr>
            </w:pPr>
            <w:r>
              <w:rPr>
                <w:rFonts w:ascii="Arial" w:cs="Arial" w:eastAsia="Arial" w:hAnsi="Arial"/>
                <w:sz w:val="18"/>
                <w:szCs w:val="18"/>
                <w:color w:val="auto"/>
              </w:rPr>
              <w:t>NBCUniversal corporate headquarters,</w:t>
            </w:r>
          </w:p>
        </w:tc>
        <w:tc>
          <w:tcPr>
            <w:tcW w:w="3320" w:type="dxa"/>
            <w:vAlign w:val="bottom"/>
          </w:tcPr>
          <w:p>
            <w:pPr>
              <w:ind w:left="140"/>
              <w:spacing w:after="0" w:line="200" w:lineRule="exact"/>
              <w:rPr>
                <w:sz w:val="20"/>
                <w:szCs w:val="20"/>
                <w:color w:val="auto"/>
              </w:rPr>
            </w:pPr>
            <w:r>
              <w:rPr>
                <w:rFonts w:ascii="Arial" w:cs="Arial" w:eastAsia="Arial" w:hAnsi="Arial"/>
                <w:sz w:val="18"/>
                <w:szCs w:val="18"/>
                <w:color w:val="auto"/>
              </w:rPr>
              <w:t>Headquarters and Other, Cable</w:t>
            </w:r>
          </w:p>
        </w:tc>
        <w:tc>
          <w:tcPr>
            <w:tcW w:w="1360" w:type="dxa"/>
            <w:vAlign w:val="bottom"/>
          </w:tcPr>
          <w:p>
            <w:pPr>
              <w:ind w:left="120"/>
              <w:spacing w:after="0" w:line="200" w:lineRule="exact"/>
              <w:rPr>
                <w:sz w:val="20"/>
                <w:szCs w:val="20"/>
                <w:color w:val="auto"/>
              </w:rPr>
            </w:pPr>
            <w:r>
              <w:rPr>
                <w:rFonts w:ascii="Arial" w:cs="Arial" w:eastAsia="Arial" w:hAnsi="Arial"/>
                <w:sz w:val="18"/>
                <w:szCs w:val="18"/>
                <w:color w:val="auto"/>
              </w:rPr>
              <w:t>Leased</w:t>
            </w:r>
          </w:p>
        </w:tc>
      </w:t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New York, NY</w:t>
            </w:r>
          </w:p>
        </w:tc>
        <w:tc>
          <w:tcPr>
            <w:tcW w:w="4060" w:type="dxa"/>
            <w:vAlign w:val="bottom"/>
          </w:tcPr>
          <w:p>
            <w:pPr>
              <w:ind w:left="880"/>
              <w:spacing w:after="0"/>
              <w:rPr>
                <w:sz w:val="20"/>
                <w:szCs w:val="20"/>
                <w:color w:val="auto"/>
              </w:rPr>
            </w:pPr>
            <w:r>
              <w:rPr>
                <w:rFonts w:ascii="Arial" w:cs="Arial" w:eastAsia="Arial" w:hAnsi="Arial"/>
                <w:sz w:val="18"/>
                <w:szCs w:val="18"/>
                <w:color w:val="auto"/>
              </w:rPr>
              <w:t>offices and studios</w:t>
            </w:r>
          </w:p>
        </w:tc>
        <w:tc>
          <w:tcPr>
            <w:tcW w:w="3320" w:type="dxa"/>
            <w:vAlign w:val="bottom"/>
          </w:tcPr>
          <w:p>
            <w:pPr>
              <w:ind w:left="140"/>
              <w:spacing w:after="0"/>
              <w:rPr>
                <w:sz w:val="20"/>
                <w:szCs w:val="20"/>
                <w:color w:val="auto"/>
              </w:rPr>
            </w:pPr>
            <w:r>
              <w:rPr>
                <w:rFonts w:ascii="Arial" w:cs="Arial" w:eastAsia="Arial" w:hAnsi="Arial"/>
                <w:sz w:val="18"/>
                <w:szCs w:val="18"/>
                <w:color w:val="auto"/>
              </w:rPr>
              <w:t>Networks and Broadcast Television</w:t>
            </w:r>
          </w:p>
        </w:tc>
        <w:tc>
          <w:tcPr>
            <w:tcW w:w="1360" w:type="dxa"/>
            <w:vAlign w:val="bottom"/>
          </w:tcPr>
          <w:p>
            <w:pPr>
              <w:spacing w:after="0"/>
              <w:rPr>
                <w:sz w:val="18"/>
                <w:szCs w:val="18"/>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18"/>
                <w:szCs w:val="18"/>
                <w:color w:val="auto"/>
              </w:rPr>
              <w:t>10 Rockefeller Plaza</w:t>
            </w:r>
          </w:p>
        </w:tc>
        <w:tc>
          <w:tcPr>
            <w:tcW w:w="4060" w:type="dxa"/>
            <w:vAlign w:val="bottom"/>
          </w:tcPr>
          <w:p>
            <w:pPr>
              <w:ind w:left="880"/>
              <w:spacing w:after="0"/>
              <w:rPr>
                <w:sz w:val="20"/>
                <w:szCs w:val="20"/>
                <w:color w:val="auto"/>
              </w:rPr>
            </w:pPr>
            <w:r>
              <w:rPr>
                <w:rFonts w:ascii="Arial" w:cs="Arial" w:eastAsia="Arial" w:hAnsi="Arial"/>
                <w:sz w:val="18"/>
                <w:szCs w:val="18"/>
                <w:i w:val="1"/>
                <w:iCs w:val="1"/>
                <w:color w:val="auto"/>
              </w:rPr>
              <w:t xml:space="preserve">The Today Show </w:t>
            </w:r>
            <w:r>
              <w:rPr>
                <w:rFonts w:ascii="Arial" w:cs="Arial" w:eastAsia="Arial" w:hAnsi="Arial"/>
                <w:sz w:val="18"/>
                <w:szCs w:val="18"/>
                <w:color w:val="auto"/>
              </w:rPr>
              <w:t>studio, production</w:t>
            </w:r>
          </w:p>
        </w:tc>
        <w:tc>
          <w:tcPr>
            <w:tcW w:w="3320" w:type="dxa"/>
            <w:vAlign w:val="bottom"/>
          </w:tcPr>
          <w:p>
            <w:pPr>
              <w:ind w:left="140"/>
              <w:spacing w:after="0"/>
              <w:rPr>
                <w:sz w:val="20"/>
                <w:szCs w:val="20"/>
                <w:color w:val="auto"/>
              </w:rPr>
            </w:pPr>
            <w:r>
              <w:rPr>
                <w:rFonts w:ascii="Arial" w:cs="Arial" w:eastAsia="Arial" w:hAnsi="Arial"/>
                <w:sz w:val="18"/>
                <w:szCs w:val="18"/>
                <w:color w:val="auto"/>
              </w:rPr>
              <w:t>Broadcast Television</w:t>
            </w:r>
          </w:p>
        </w:tc>
        <w:tc>
          <w:tcPr>
            <w:tcW w:w="1360" w:type="dxa"/>
            <w:vAlign w:val="bottom"/>
          </w:tcPr>
          <w:p>
            <w:pPr>
              <w:ind w:left="120"/>
              <w:spacing w:after="0"/>
              <w:rPr>
                <w:sz w:val="20"/>
                <w:szCs w:val="20"/>
                <w:color w:val="auto"/>
              </w:rPr>
            </w:pPr>
            <w:r>
              <w:rPr>
                <w:rFonts w:ascii="Arial" w:cs="Arial" w:eastAsia="Arial" w:hAnsi="Arial"/>
                <w:sz w:val="18"/>
                <w:szCs w:val="18"/>
                <w:color w:val="auto"/>
              </w:rPr>
              <w:t>Leased</w:t>
            </w:r>
          </w:p>
        </w:tc>
      </w:t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New York, NY</w:t>
            </w:r>
          </w:p>
        </w:tc>
        <w:tc>
          <w:tcPr>
            <w:tcW w:w="4060" w:type="dxa"/>
            <w:vAlign w:val="bottom"/>
          </w:tcPr>
          <w:p>
            <w:pPr>
              <w:ind w:left="880"/>
              <w:spacing w:after="0"/>
              <w:rPr>
                <w:sz w:val="20"/>
                <w:szCs w:val="20"/>
                <w:color w:val="auto"/>
              </w:rPr>
            </w:pPr>
            <w:r>
              <w:rPr>
                <w:rFonts w:ascii="Arial" w:cs="Arial" w:eastAsia="Arial" w:hAnsi="Arial"/>
                <w:sz w:val="18"/>
                <w:szCs w:val="18"/>
                <w:color w:val="auto"/>
              </w:rPr>
              <w:t>facilities and offices</w:t>
            </w: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18"/>
                <w:szCs w:val="18"/>
                <w:color w:val="auto"/>
              </w:rPr>
              <w:t>Universal City</w:t>
            </w:r>
          </w:p>
        </w:tc>
        <w:tc>
          <w:tcPr>
            <w:tcW w:w="4060" w:type="dxa"/>
            <w:vAlign w:val="bottom"/>
          </w:tcPr>
          <w:p>
            <w:pPr>
              <w:ind w:left="880"/>
              <w:spacing w:after="0"/>
              <w:rPr>
                <w:sz w:val="20"/>
                <w:szCs w:val="20"/>
                <w:color w:val="auto"/>
              </w:rPr>
            </w:pPr>
            <w:r>
              <w:rPr>
                <w:rFonts w:ascii="Arial" w:cs="Arial" w:eastAsia="Arial" w:hAnsi="Arial"/>
                <w:sz w:val="18"/>
                <w:szCs w:val="18"/>
                <w:color w:val="auto"/>
              </w:rPr>
              <w:t>Offices, studios, theme park and retail</w:t>
            </w:r>
          </w:p>
        </w:tc>
        <w:tc>
          <w:tcPr>
            <w:tcW w:w="3320" w:type="dxa"/>
            <w:vAlign w:val="bottom"/>
          </w:tcPr>
          <w:p>
            <w:pPr>
              <w:ind w:left="140"/>
              <w:spacing w:after="0"/>
              <w:rPr>
                <w:sz w:val="20"/>
                <w:szCs w:val="20"/>
                <w:color w:val="auto"/>
              </w:rPr>
            </w:pPr>
            <w:r>
              <w:rPr>
                <w:rFonts w:ascii="Arial" w:cs="Arial" w:eastAsia="Arial" w:hAnsi="Arial"/>
                <w:sz w:val="18"/>
                <w:szCs w:val="18"/>
                <w:color w:val="auto"/>
              </w:rPr>
              <w:t>All</w:t>
            </w:r>
          </w:p>
        </w:tc>
        <w:tc>
          <w:tcPr>
            <w:tcW w:w="1360" w:type="dxa"/>
            <w:vAlign w:val="bottom"/>
          </w:tcPr>
          <w:p>
            <w:pPr>
              <w:ind w:left="120"/>
              <w:spacing w:after="0"/>
              <w:rPr>
                <w:sz w:val="20"/>
                <w:szCs w:val="20"/>
                <w:color w:val="auto"/>
              </w:rPr>
            </w:pPr>
            <w:r>
              <w:rPr>
                <w:rFonts w:ascii="Arial" w:cs="Arial" w:eastAsia="Arial" w:hAnsi="Arial"/>
                <w:sz w:val="18"/>
                <w:szCs w:val="18"/>
                <w:color w:val="auto"/>
              </w:rPr>
              <w:t>Owned</w:t>
            </w:r>
          </w:p>
        </w:tc>
      </w:t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Universal City, CA</w:t>
            </w:r>
          </w:p>
        </w:tc>
        <w:tc>
          <w:tcPr>
            <w:tcW w:w="4060" w:type="dxa"/>
            <w:vAlign w:val="bottom"/>
          </w:tcPr>
          <w:p>
            <w:pPr>
              <w:ind w:left="880"/>
              <w:spacing w:after="0"/>
              <w:rPr>
                <w:sz w:val="20"/>
                <w:szCs w:val="20"/>
                <w:color w:val="auto"/>
              </w:rPr>
            </w:pPr>
            <w:r>
              <w:rPr>
                <w:rFonts w:ascii="Arial" w:cs="Arial" w:eastAsia="Arial" w:hAnsi="Arial"/>
                <w:sz w:val="18"/>
                <w:szCs w:val="18"/>
                <w:color w:val="auto"/>
              </w:rPr>
              <w:t>operations</w:t>
            </w: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18"/>
                <w:szCs w:val="18"/>
                <w:color w:val="auto"/>
              </w:rPr>
              <w:t>1000 Universal Studios</w:t>
            </w:r>
          </w:p>
        </w:tc>
        <w:tc>
          <w:tcPr>
            <w:tcW w:w="4060" w:type="dxa"/>
            <w:vAlign w:val="bottom"/>
          </w:tcPr>
          <w:p>
            <w:pPr>
              <w:ind w:left="880"/>
              <w:spacing w:after="0"/>
              <w:rPr>
                <w:sz w:val="20"/>
                <w:szCs w:val="20"/>
                <w:color w:val="auto"/>
              </w:rPr>
            </w:pPr>
            <w:r>
              <w:rPr>
                <w:rFonts w:ascii="Arial" w:cs="Arial" w:eastAsia="Arial" w:hAnsi="Arial"/>
                <w:sz w:val="18"/>
                <w:szCs w:val="18"/>
                <w:color w:val="auto"/>
              </w:rPr>
              <w:t>Theme parks, lodging, production</w:t>
            </w:r>
          </w:p>
        </w:tc>
        <w:tc>
          <w:tcPr>
            <w:tcW w:w="3320" w:type="dxa"/>
            <w:vAlign w:val="bottom"/>
          </w:tcPr>
          <w:p>
            <w:pPr>
              <w:ind w:left="140"/>
              <w:spacing w:after="0"/>
              <w:rPr>
                <w:sz w:val="20"/>
                <w:szCs w:val="20"/>
                <w:color w:val="auto"/>
              </w:rPr>
            </w:pPr>
            <w:r>
              <w:rPr>
                <w:rFonts w:ascii="Arial" w:cs="Arial" w:eastAsia="Arial" w:hAnsi="Arial"/>
                <w:sz w:val="18"/>
                <w:szCs w:val="18"/>
                <w:color w:val="auto"/>
              </w:rPr>
              <w:t>Theme Parks</w:t>
            </w:r>
          </w:p>
        </w:tc>
        <w:tc>
          <w:tcPr>
            <w:tcW w:w="1360" w:type="dxa"/>
            <w:vAlign w:val="bottom"/>
          </w:tcPr>
          <w:p>
            <w:pPr>
              <w:ind w:left="120"/>
              <w:spacing w:after="0"/>
              <w:rPr>
                <w:sz w:val="20"/>
                <w:szCs w:val="20"/>
                <w:color w:val="auto"/>
              </w:rPr>
            </w:pPr>
            <w:r>
              <w:rPr>
                <w:rFonts w:ascii="Arial" w:cs="Arial" w:eastAsia="Arial" w:hAnsi="Arial"/>
                <w:sz w:val="18"/>
                <w:szCs w:val="18"/>
                <w:color w:val="auto"/>
              </w:rPr>
              <w:t>Owned</w:t>
            </w:r>
          </w:p>
        </w:tc>
      </w:tr>
      <w:tr>
        <w:trPr>
          <w:trHeight w:val="203"/>
        </w:trPr>
        <w:tc>
          <w:tcPr>
            <w:tcW w:w="2680" w:type="dxa"/>
            <w:vAlign w:val="bottom"/>
          </w:tcPr>
          <w:p>
            <w:pPr>
              <w:spacing w:after="0" w:line="202" w:lineRule="exact"/>
              <w:rPr>
                <w:sz w:val="20"/>
                <w:szCs w:val="20"/>
                <w:color w:val="auto"/>
              </w:rPr>
            </w:pPr>
            <w:r>
              <w:rPr>
                <w:rFonts w:ascii="Arial" w:cs="Arial" w:eastAsia="Arial" w:hAnsi="Arial"/>
                <w:sz w:val="18"/>
                <w:szCs w:val="18"/>
                <w:color w:val="auto"/>
              </w:rPr>
              <w:t>Plaza</w:t>
            </w:r>
          </w:p>
        </w:tc>
        <w:tc>
          <w:tcPr>
            <w:tcW w:w="4060" w:type="dxa"/>
            <w:vAlign w:val="bottom"/>
          </w:tcPr>
          <w:p>
            <w:pPr>
              <w:ind w:left="880"/>
              <w:spacing w:after="0" w:line="202" w:lineRule="exact"/>
              <w:rPr>
                <w:sz w:val="20"/>
                <w:szCs w:val="20"/>
                <w:color w:val="auto"/>
              </w:rPr>
            </w:pPr>
            <w:r>
              <w:rPr>
                <w:rFonts w:ascii="Arial" w:cs="Arial" w:eastAsia="Arial" w:hAnsi="Arial"/>
                <w:sz w:val="18"/>
                <w:szCs w:val="18"/>
                <w:color w:val="auto"/>
              </w:rPr>
              <w:t>facilities, parking structures and</w:t>
            </w:r>
          </w:p>
        </w:tc>
        <w:tc>
          <w:tcPr>
            <w:tcW w:w="3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4"/>
        </w:trPr>
        <w:tc>
          <w:tcPr>
            <w:tcW w:w="2680" w:type="dxa"/>
            <w:vAlign w:val="bottom"/>
          </w:tcPr>
          <w:p>
            <w:pPr>
              <w:spacing w:after="0"/>
              <w:rPr>
                <w:sz w:val="20"/>
                <w:szCs w:val="20"/>
                <w:color w:val="auto"/>
              </w:rPr>
            </w:pPr>
            <w:r>
              <w:rPr>
                <w:rFonts w:ascii="Arial" w:cs="Arial" w:eastAsia="Arial" w:hAnsi="Arial"/>
                <w:sz w:val="18"/>
                <w:szCs w:val="18"/>
                <w:color w:val="auto"/>
              </w:rPr>
              <w:t>Orlando, FL</w:t>
            </w:r>
          </w:p>
        </w:tc>
        <w:tc>
          <w:tcPr>
            <w:tcW w:w="4060" w:type="dxa"/>
            <w:vAlign w:val="bottom"/>
          </w:tcPr>
          <w:p>
            <w:pPr>
              <w:ind w:left="880"/>
              <w:spacing w:after="0"/>
              <w:rPr>
                <w:sz w:val="20"/>
                <w:szCs w:val="20"/>
                <w:color w:val="auto"/>
              </w:rPr>
            </w:pPr>
            <w:r>
              <w:rPr>
                <w:rFonts w:ascii="Arial" w:cs="Arial" w:eastAsia="Arial" w:hAnsi="Arial"/>
                <w:sz w:val="18"/>
                <w:szCs w:val="18"/>
                <w:color w:val="auto"/>
              </w:rPr>
              <w:t>administrative buildings</w:t>
            </w:r>
          </w:p>
        </w:tc>
        <w:tc>
          <w:tcPr>
            <w:tcW w:w="3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2"/>
        </w:trPr>
        <w:tc>
          <w:tcPr>
            <w:tcW w:w="2680" w:type="dxa"/>
            <w:vAlign w:val="bottom"/>
          </w:tcPr>
          <w:p>
            <w:pPr>
              <w:spacing w:after="0"/>
              <w:rPr>
                <w:sz w:val="20"/>
                <w:szCs w:val="20"/>
                <w:color w:val="auto"/>
              </w:rPr>
            </w:pPr>
            <w:r>
              <w:rPr>
                <w:rFonts w:ascii="Arial" w:cs="Arial" w:eastAsia="Arial" w:hAnsi="Arial"/>
                <w:sz w:val="18"/>
                <w:szCs w:val="18"/>
                <w:color w:val="auto"/>
              </w:rPr>
              <w:t>3000 W Alameda Ave.</w:t>
            </w:r>
          </w:p>
        </w:tc>
        <w:tc>
          <w:tcPr>
            <w:tcW w:w="4060" w:type="dxa"/>
            <w:vAlign w:val="bottom"/>
          </w:tcPr>
          <w:p>
            <w:pPr>
              <w:ind w:left="880"/>
              <w:spacing w:after="0"/>
              <w:rPr>
                <w:sz w:val="20"/>
                <w:szCs w:val="20"/>
                <w:color w:val="auto"/>
              </w:rPr>
            </w:pPr>
            <w:r>
              <w:rPr>
                <w:rFonts w:ascii="Arial" w:cs="Arial" w:eastAsia="Arial" w:hAnsi="Arial"/>
                <w:sz w:val="18"/>
                <w:szCs w:val="18"/>
                <w:color w:val="auto"/>
              </w:rPr>
              <w:t>Offices and production facilities</w:t>
            </w:r>
          </w:p>
        </w:tc>
        <w:tc>
          <w:tcPr>
            <w:tcW w:w="3320" w:type="dxa"/>
            <w:vAlign w:val="bottom"/>
          </w:tcPr>
          <w:p>
            <w:pPr>
              <w:ind w:left="140"/>
              <w:spacing w:after="0"/>
              <w:rPr>
                <w:sz w:val="20"/>
                <w:szCs w:val="20"/>
                <w:color w:val="auto"/>
              </w:rPr>
            </w:pPr>
            <w:r>
              <w:rPr>
                <w:rFonts w:ascii="Arial" w:cs="Arial" w:eastAsia="Arial" w:hAnsi="Arial"/>
                <w:sz w:val="18"/>
                <w:szCs w:val="18"/>
                <w:color w:val="auto"/>
              </w:rPr>
              <w:t>Broadcast Television</w:t>
            </w:r>
          </w:p>
        </w:tc>
        <w:tc>
          <w:tcPr>
            <w:tcW w:w="1360" w:type="dxa"/>
            <w:vAlign w:val="bottom"/>
          </w:tcPr>
          <w:p>
            <w:pPr>
              <w:ind w:left="120"/>
              <w:spacing w:after="0"/>
              <w:rPr>
                <w:sz w:val="20"/>
                <w:szCs w:val="20"/>
                <w:color w:val="auto"/>
              </w:rPr>
            </w:pPr>
            <w:r>
              <w:rPr>
                <w:rFonts w:ascii="Arial" w:cs="Arial" w:eastAsia="Arial" w:hAnsi="Arial"/>
                <w:sz w:val="18"/>
                <w:szCs w:val="18"/>
                <w:color w:val="auto"/>
              </w:rPr>
              <w:t>Leased</w:t>
            </w:r>
          </w:p>
        </w:tc>
      </w:t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Burbank, CA</w:t>
            </w:r>
          </w:p>
        </w:tc>
        <w:tc>
          <w:tcPr>
            <w:tcW w:w="4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18"/>
                <w:szCs w:val="18"/>
                <w:color w:val="auto"/>
              </w:rPr>
              <w:t>2290 W 8</w:t>
            </w:r>
            <w:r>
              <w:rPr>
                <w:rFonts w:ascii="Arial" w:cs="Arial" w:eastAsia="Arial" w:hAnsi="Arial"/>
                <w:sz w:val="11"/>
                <w:szCs w:val="11"/>
                <w:color w:val="auto"/>
              </w:rPr>
              <w:t>th</w:t>
            </w:r>
            <w:r>
              <w:rPr>
                <w:rFonts w:ascii="Arial" w:cs="Arial" w:eastAsia="Arial" w:hAnsi="Arial"/>
                <w:sz w:val="18"/>
                <w:szCs w:val="18"/>
                <w:color w:val="auto"/>
              </w:rPr>
              <w:t xml:space="preserve"> Ave.</w:t>
            </w:r>
          </w:p>
        </w:tc>
        <w:tc>
          <w:tcPr>
            <w:tcW w:w="4060" w:type="dxa"/>
            <w:vAlign w:val="bottom"/>
          </w:tcPr>
          <w:p>
            <w:pPr>
              <w:ind w:left="880"/>
              <w:spacing w:after="0"/>
              <w:rPr>
                <w:sz w:val="20"/>
                <w:szCs w:val="20"/>
                <w:color w:val="auto"/>
              </w:rPr>
            </w:pPr>
            <w:r>
              <w:rPr>
                <w:rFonts w:ascii="Arial" w:cs="Arial" w:eastAsia="Arial" w:hAnsi="Arial"/>
                <w:sz w:val="18"/>
                <w:szCs w:val="18"/>
                <w:color w:val="auto"/>
              </w:rPr>
              <w:t>Telemundo headquarters and</w:t>
            </w:r>
          </w:p>
        </w:tc>
        <w:tc>
          <w:tcPr>
            <w:tcW w:w="3320" w:type="dxa"/>
            <w:vAlign w:val="bottom"/>
          </w:tcPr>
          <w:p>
            <w:pPr>
              <w:ind w:left="140"/>
              <w:spacing w:after="0"/>
              <w:rPr>
                <w:sz w:val="20"/>
                <w:szCs w:val="20"/>
                <w:color w:val="auto"/>
              </w:rPr>
            </w:pPr>
            <w:r>
              <w:rPr>
                <w:rFonts w:ascii="Arial" w:cs="Arial" w:eastAsia="Arial" w:hAnsi="Arial"/>
                <w:sz w:val="18"/>
                <w:szCs w:val="18"/>
                <w:color w:val="auto"/>
              </w:rPr>
              <w:t>Headquarters and Other and Broadcast</w:t>
            </w:r>
          </w:p>
        </w:tc>
        <w:tc>
          <w:tcPr>
            <w:tcW w:w="1360" w:type="dxa"/>
            <w:vAlign w:val="bottom"/>
          </w:tcPr>
          <w:p>
            <w:pPr>
              <w:ind w:left="120"/>
              <w:spacing w:after="0"/>
              <w:rPr>
                <w:sz w:val="20"/>
                <w:szCs w:val="20"/>
                <w:color w:val="auto"/>
              </w:rPr>
            </w:pPr>
            <w:r>
              <w:rPr>
                <w:rFonts w:ascii="Arial" w:cs="Arial" w:eastAsia="Arial" w:hAnsi="Arial"/>
                <w:sz w:val="18"/>
                <w:szCs w:val="18"/>
                <w:color w:val="auto"/>
              </w:rPr>
              <w:t>Leased</w:t>
            </w:r>
          </w:p>
        </w:tc>
      </w:tr>
      <w:tr>
        <w:trPr>
          <w:trHeight w:val="213"/>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Hialeah, FL</w:t>
            </w:r>
          </w:p>
        </w:tc>
        <w:tc>
          <w:tcPr>
            <w:tcW w:w="4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production facilities</w:t>
            </w:r>
          </w:p>
        </w:tc>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Television</w:t>
            </w:r>
          </w:p>
        </w:tc>
        <w:tc>
          <w:tcPr>
            <w:tcW w:w="1360" w:type="dxa"/>
            <w:vAlign w:val="bottom"/>
            <w:tcBorders>
              <w:bottom w:val="single" w:sz="8" w:color="auto"/>
            </w:tcBorders>
          </w:tcPr>
          <w:p>
            <w:pPr>
              <w:spacing w:after="0"/>
              <w:rPr>
                <w:sz w:val="18"/>
                <w:szCs w:val="18"/>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substantially all of our physical assets were in good operating condition as of December 31, 2012.</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3: Legal Proceedings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53439A"/>
        </w:rPr>
        <w:t>Item 4: 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w:t>
      </w:r>
    </w:p>
    <w:p>
      <w:pPr>
        <w:spacing w:after="0" w:line="186" w:lineRule="exact"/>
        <w:rPr>
          <w:sz w:val="20"/>
          <w:szCs w:val="20"/>
          <w:color w:val="auto"/>
        </w:rPr>
      </w:pPr>
    </w:p>
    <w:p>
      <w:pPr>
        <w:ind w:right="500"/>
        <w:spacing w:after="0" w:line="260" w:lineRule="auto"/>
        <w:rPr>
          <w:sz w:val="20"/>
          <w:szCs w:val="20"/>
          <w:color w:val="auto"/>
        </w:rPr>
      </w:pPr>
      <w:r>
        <w:rPr>
          <w:rFonts w:ascii="Arial" w:cs="Arial" w:eastAsia="Arial" w:hAnsi="Arial"/>
          <w:sz w:val="24"/>
          <w:szCs w:val="24"/>
          <w:color w:val="53439A"/>
        </w:rPr>
        <w:t>Item 5: Market for Registrant’s Common Equity, Related Stockholder Matters and Issuer Purchases of Equity Securities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are a wholly owned subsidiary of NBCUniversal, LLC and there is no market for our equity securities.</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6: Selected Financial Data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7: Management’s Discussion and Analysis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 leading media and entertainment company that develops, produces and distributes entertainment, news and information, sports and other content for global audiences.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28, 2011, Comcast closed its transaction with GE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a result of the change in control of our company, Comcast has applied the acquisition method of accounting with respect to the assets and liabilities of the NBCUniversal businesses it acquired (the “NBCUniversal contributed businesses”), which have been remeasured to fair value as of the date of the Joint Venture transaction. In valuing acquired assets and liabilities, fair value estimates are based on, but are not limited to, future expected cash flows, market rate assumptions for contractual obligations, actuarial assumptions for benefit plans and appropriate discount rates. The assets and liabilities of the businesses contributed by Comcast (the “Comcast Content Business”) have been reflected at their historical or carry-over basis, as Comcast has maintained control of the Comcast Content Business. The impact of the Joint Venture transaction is included in our consolidated results of operations after January 28, 2011. These results are discussed in more detail below under “Consolidated Operating Results.” Periods marked “Predecessor” in our consolidated financial statements do not reflect the Joint Venture transaction.</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12, 2013, Comcast entered into an agreement to acquire GE’s 49% common equity interest in NBCUniversal Holdings. See Note 20 to our consolidated financial statements for additional information.</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present our operations in the following four reportable business segments: Cable Networks, Broadcast Television, Filmed Entertainment and Theme Parks.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Networks segment consists primarily of our national cable entertainment networks (USA Network, Syfy, E!, Bravo, Oxygen, Style, G4, Chiller, Cloo and Universal HD); our national cable news and information networks (CNBC, MSNBC and CNBC World); our national cable sports networks (Golf Channel and NBC Sports Network); our regional sports and news networks; our international cable networks (including CNBC Europe, CNBC Asia and our Universal Networks International portfolio of networks); our cable television production studio; and our related digital media properties, which are primarily brand-aligned and other websites. Our Cable Networks segment generates revenue primarily from the distribution of our cable network programming to multichannel video providers, the sale of advertising, and the licensing of our owned programming.</w:t>
      </w:r>
    </w:p>
    <w:p>
      <w:pPr>
        <w:spacing w:after="0" w:line="325"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our broadcast television production operations, and our related digital media properties, which are primarily brand-aligned websites. Our Broadcast Television segment generates revenue primarily from the sale of advertising and the licensing of our owned programming. Our Broadcast Television segment also generates revenue from the sale of our owned programming, retransmission of our owned local television stations’ signals and fees received from our affiliated local television stations.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Our films are produced primarily under the Universal Pictures, Focus Features and Illumination names. We also develop, produce and license live stage plays. Our Filmed Entertainment segment generates revenue primarily from the worldwide distribution of our owned and acquired films for exhibition in movie theaters, the licensing of our owned and acquired films and the sale of our owned and acquired films on standard definition video discs and Blu-ray discs (together, “DVDs”) and through digital distributors. Our Filmed Entertainment segment also generates revenue from producing and licensing live stage plays and distributing filmed entertainment produced by third 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 Our Theme Parks segment generates revenue primarily from theme park attendance and per capita spending at our Universal theme parks in Orlando and Hollywood, as well as from licensing and other fees. Per capita spending includes ticket price and in-park spending on food, beverages and merchandise.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Headquarters and Other includes operating costs and expenses associated with corporate overhead, personnel costs and corporate initiatives.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other business interests primarily include equity method investments, such as The Weather Channel Holding Corp. (“The Weather Channel”). In July 2012, we acquired the remaining 50% equity interest in MSNBC Interactive News, LLC and other related entities (“MSNBC.com”) that we did not already own. In August 2012 A&amp;E Television Networks LLC (“A&amp;E Television Networks”) redeemed our entire 15.8% equity interest in A&amp;E Television Networks (“A&amp;E Television Networks transaction”). See Note 6 to our consolidated financial statements for additional information. For information on the performance of our equity method investments, see “Consolidated Other Income (Expense) Items” below and refer to the “Equity in Net Income of Investees, Net” heading within that section.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tables set forth our results of operations as reported in our consolidated financial statements in accordance with GAAP. GAAP requires that we separately present our results for the periods from January 1, 2011 to January 28, 2011 (the “Predecessor period”) and from January 29, 2011 to December 31, 2011 (the “Successor period”). Management believes reviewing our operating results for the year ended December 31, 2011 by combining the results of the Predecessor and Successor periods is more useful in identifying trends in, or reaching conclusions regarding, our overall operating performance and performs reviews at that level. Accordingly, in addition to presenting our results of operations as reported in our consolidated financial statements in accordance with GAAP, the table below presents the non-GAAP combined results for the year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ended December 31, 2011, which we also use to compute the percentage change to the current year, as we believe this presentation provides the most meaningful basis for comparison of our results. The combined operating results may not reflect the actual results we would have achieved had the Joint Venture transaction closed prior to January 28, 2011 and may not be predictive of our future results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4"/>
          </w:tcPr>
          <w:p>
            <w:pPr>
              <w:ind w:left="52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1060" w:type="dxa"/>
            <w:vAlign w:val="bottom"/>
            <w:gridSpan w:val="2"/>
          </w:tcPr>
          <w:p>
            <w:pPr>
              <w:jc w:val="right"/>
              <w:ind w:right="97"/>
              <w:spacing w:after="0"/>
              <w:rPr>
                <w:sz w:val="20"/>
                <w:szCs w:val="20"/>
                <w:color w:val="auto"/>
              </w:rPr>
            </w:pPr>
            <w:r>
              <w:rPr>
                <w:rFonts w:ascii="Arial" w:cs="Arial" w:eastAsia="Arial" w:hAnsi="Arial"/>
                <w:sz w:val="14"/>
                <w:szCs w:val="14"/>
                <w:color w:val="auto"/>
              </w:rPr>
              <w:t>Predecessor</w:t>
            </w:r>
          </w:p>
        </w:tc>
        <w:tc>
          <w:tcPr>
            <w:tcW w:w="16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Arial" w:cs="Arial" w:eastAsia="Arial" w:hAnsi="Arial"/>
                <w:sz w:val="14"/>
                <w:szCs w:val="14"/>
                <w:color w:val="auto"/>
                <w:w w:val="93"/>
              </w:rPr>
              <w:t>Combined</w:t>
            </w:r>
          </w:p>
        </w:tc>
        <w:tc>
          <w:tcPr>
            <w:tcW w:w="1020" w:type="dxa"/>
            <w:vAlign w:val="bottom"/>
            <w:gridSpan w:val="2"/>
          </w:tcPr>
          <w:p>
            <w:pPr>
              <w:jc w:val="right"/>
              <w:ind w:right="75"/>
              <w:spacing w:after="0"/>
              <w:rPr>
                <w:sz w:val="20"/>
                <w:szCs w:val="20"/>
                <w:color w:val="auto"/>
              </w:rPr>
            </w:pPr>
            <w:r>
              <w:rPr>
                <w:rFonts w:ascii="Arial" w:cs="Arial" w:eastAsia="Arial" w:hAnsi="Arial"/>
                <w:sz w:val="14"/>
                <w:szCs w:val="14"/>
                <w:color w:val="auto"/>
              </w:rPr>
              <w:t>Predecessor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36"/>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7"/>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w w:val="98"/>
              </w:rPr>
              <w:t>January 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7"/>
              <w:spacing w:after="0" w:line="149" w:lineRule="exact"/>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300"/>
              <w:spacing w:after="0" w:line="133"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37"/>
              <w:spacing w:after="0" w:line="133"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1"/>
                <w:szCs w:val="11"/>
                <w:color w:val="auto"/>
              </w:rPr>
            </w:pPr>
          </w:p>
        </w:tc>
        <w:tc>
          <w:tcPr>
            <w:tcW w:w="860" w:type="dxa"/>
            <w:vAlign w:val="bottom"/>
          </w:tcPr>
          <w:p>
            <w:pPr>
              <w:jc w:val="right"/>
              <w:ind w:right="36"/>
              <w:spacing w:after="0" w:line="133" w:lineRule="exact"/>
              <w:rPr>
                <w:sz w:val="20"/>
                <w:szCs w:val="20"/>
                <w:color w:val="auto"/>
              </w:rPr>
            </w:pPr>
            <w:r>
              <w:rPr>
                <w:rFonts w:ascii="Arial" w:cs="Arial" w:eastAsia="Arial" w:hAnsi="Arial"/>
                <w:sz w:val="14"/>
                <w:szCs w:val="14"/>
                <w:color w:val="auto"/>
                <w:w w:val="97"/>
              </w:rPr>
              <w:t>Year Ended</w:t>
            </w:r>
          </w:p>
        </w:tc>
        <w:tc>
          <w:tcPr>
            <w:tcW w:w="180" w:type="dxa"/>
            <w:vAlign w:val="bottom"/>
          </w:tcPr>
          <w:p>
            <w:pPr>
              <w:spacing w:after="0"/>
              <w:rPr>
                <w:sz w:val="11"/>
                <w:szCs w:val="11"/>
                <w:color w:val="auto"/>
              </w:rPr>
            </w:pPr>
          </w:p>
        </w:tc>
        <w:tc>
          <w:tcPr>
            <w:tcW w:w="840" w:type="dxa"/>
            <w:vAlign w:val="bottom"/>
          </w:tcPr>
          <w:p>
            <w:pPr>
              <w:jc w:val="right"/>
              <w:ind w:right="35"/>
              <w:spacing w:after="0" w:line="133" w:lineRule="exact"/>
              <w:rPr>
                <w:sz w:val="20"/>
                <w:szCs w:val="20"/>
                <w:color w:val="auto"/>
              </w:rPr>
            </w:pPr>
            <w:r>
              <w:rPr>
                <w:rFonts w:ascii="Arial" w:cs="Arial" w:eastAsia="Arial" w:hAnsi="Arial"/>
                <w:sz w:val="14"/>
                <w:szCs w:val="14"/>
                <w:color w:val="auto"/>
                <w:w w:val="94"/>
              </w:rPr>
              <w:t>Year Ended</w:t>
            </w:r>
          </w:p>
        </w:tc>
        <w:tc>
          <w:tcPr>
            <w:tcW w:w="940" w:type="dxa"/>
            <w:vAlign w:val="bottom"/>
            <w:vMerge w:val="continue"/>
          </w:tcPr>
          <w:p>
            <w:pPr>
              <w:spacing w:after="0"/>
              <w:rPr>
                <w:sz w:val="11"/>
                <w:szCs w:val="11"/>
                <w:color w:val="auto"/>
              </w:rPr>
            </w:pPr>
          </w:p>
        </w:tc>
        <w:tc>
          <w:tcPr>
            <w:tcW w:w="920" w:type="dxa"/>
            <w:vAlign w:val="bottom"/>
          </w:tcPr>
          <w:p>
            <w:pPr>
              <w:jc w:val="right"/>
              <w:ind w:right="136"/>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tcBorders>
              <w:right w:val="single" w:sz="8" w:color="auto"/>
            </w:tcBorders>
            <w:gridSpan w:val="3"/>
          </w:tcPr>
          <w:p>
            <w:pPr>
              <w:jc w:val="right"/>
              <w:ind w:right="30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7"/>
              <w:spacing w:after="0" w:line="149" w:lineRule="exact"/>
              <w:rPr>
                <w:sz w:val="20"/>
                <w:szCs w:val="20"/>
                <w:color w:val="auto"/>
              </w:rPr>
            </w:pPr>
            <w:r>
              <w:rPr>
                <w:rFonts w:ascii="Arial" w:cs="Arial" w:eastAsia="Arial" w:hAnsi="Arial"/>
                <w:sz w:val="14"/>
                <w:szCs w:val="14"/>
                <w:color w:val="auto"/>
                <w:w w:val="98"/>
              </w:rPr>
              <w:t>January 28,</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94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2011 to</w:t>
            </w:r>
          </w:p>
        </w:tc>
        <w:tc>
          <w:tcPr>
            <w:tcW w:w="92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2010 to</w:t>
            </w:r>
          </w:p>
        </w:tc>
        <w:tc>
          <w:tcPr>
            <w:tcW w:w="0" w:type="dxa"/>
            <w:vAlign w:val="bottom"/>
          </w:tcPr>
          <w:p>
            <w:pPr>
              <w:spacing w:after="0"/>
              <w:rPr>
                <w:sz w:val="1"/>
                <w:szCs w:val="1"/>
                <w:color w:val="auto"/>
              </w:rPr>
            </w:pPr>
          </w:p>
        </w:tc>
      </w:tr>
      <w:tr>
        <w:trPr>
          <w:trHeight w:val="16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4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00" w:type="dxa"/>
            <w:vAlign w:val="bottom"/>
          </w:tcPr>
          <w:p>
            <w:pPr>
              <w:ind w:left="80"/>
              <w:spacing w:after="0" w:line="200" w:lineRule="exact"/>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6"/>
              <w:spacing w:after="0" w:line="200" w:lineRule="exact"/>
              <w:rPr>
                <w:sz w:val="20"/>
                <w:szCs w:val="20"/>
                <w:color w:val="auto"/>
              </w:rPr>
            </w:pPr>
            <w:r>
              <w:rPr>
                <w:rFonts w:ascii="Arial" w:cs="Arial" w:eastAsia="Arial" w:hAnsi="Arial"/>
                <w:sz w:val="18"/>
                <w:szCs w:val="18"/>
                <w:b w:val="1"/>
                <w:bCs w:val="1"/>
                <w:color w:val="auto"/>
              </w:rPr>
              <w:t>23,812</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line="200" w:lineRule="exact"/>
              <w:rPr>
                <w:sz w:val="20"/>
                <w:szCs w:val="20"/>
                <w:color w:val="auto"/>
              </w:rPr>
            </w:pPr>
            <w:r>
              <w:rPr>
                <w:rFonts w:ascii="Arial" w:cs="Arial" w:eastAsia="Arial" w:hAnsi="Arial"/>
                <w:sz w:val="18"/>
                <w:szCs w:val="18"/>
                <w:color w:val="auto"/>
              </w:rPr>
              <w:t>19,028</w:t>
            </w:r>
          </w:p>
        </w:tc>
        <w:tc>
          <w:tcPr>
            <w:tcW w:w="180" w:type="dxa"/>
            <w:vAlign w:val="bottom"/>
            <w:tcBorders>
              <w:right w:val="single" w:sz="8" w:color="auto"/>
            </w:tcBorders>
          </w:tcPr>
          <w:p>
            <w:pPr>
              <w:spacing w:after="0"/>
              <w:rPr>
                <w:sz w:val="17"/>
                <w:szCs w:val="17"/>
                <w:color w:val="auto"/>
              </w:rPr>
            </w:pPr>
          </w:p>
        </w:tc>
        <w:tc>
          <w:tcPr>
            <w:tcW w:w="3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7"/>
              <w:spacing w:after="0" w:line="200" w:lineRule="exact"/>
              <w:rPr>
                <w:sz w:val="20"/>
                <w:szCs w:val="20"/>
                <w:color w:val="auto"/>
              </w:rPr>
            </w:pPr>
            <w:r>
              <w:rPr>
                <w:rFonts w:ascii="Arial" w:cs="Arial" w:eastAsia="Arial" w:hAnsi="Arial"/>
                <w:sz w:val="18"/>
                <w:szCs w:val="18"/>
                <w:color w:val="auto"/>
              </w:rPr>
              <w:t>1,206</w:t>
            </w:r>
          </w:p>
        </w:tc>
        <w:tc>
          <w:tcPr>
            <w:tcW w:w="160" w:type="dxa"/>
            <w:vAlign w:val="bottom"/>
          </w:tcPr>
          <w:p>
            <w:pPr>
              <w:ind w:left="60"/>
              <w:spacing w:after="0" w:line="200"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36"/>
              <w:spacing w:after="0" w:line="200" w:lineRule="exact"/>
              <w:rPr>
                <w:sz w:val="20"/>
                <w:szCs w:val="20"/>
                <w:color w:val="auto"/>
              </w:rPr>
            </w:pPr>
            <w:r>
              <w:rPr>
                <w:rFonts w:ascii="Arial" w:cs="Arial" w:eastAsia="Arial" w:hAnsi="Arial"/>
                <w:sz w:val="18"/>
                <w:szCs w:val="18"/>
                <w:color w:val="auto"/>
              </w:rPr>
              <w:t>20,234</w:t>
            </w:r>
          </w:p>
        </w:tc>
        <w:tc>
          <w:tcPr>
            <w:tcW w:w="180" w:type="dxa"/>
            <w:vAlign w:val="bottom"/>
          </w:tcPr>
          <w:p>
            <w:pPr>
              <w:ind w:left="60"/>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16,590</w:t>
            </w:r>
          </w:p>
        </w:tc>
        <w:tc>
          <w:tcPr>
            <w:tcW w:w="9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17.7%</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7"/>
                <w:szCs w:val="17"/>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8"/>
                <w:szCs w:val="18"/>
                <w:b w:val="1"/>
                <w:bCs w:val="1"/>
                <w:color w:val="auto"/>
              </w:rPr>
              <w:t>12,710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22.0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6"/>
              <w:spacing w:after="0" w:line="181" w:lineRule="exact"/>
              <w:rPr>
                <w:sz w:val="20"/>
                <w:szCs w:val="20"/>
                <w:color w:val="auto"/>
              </w:rPr>
            </w:pPr>
            <w:r>
              <w:rPr>
                <w:rFonts w:ascii="Arial" w:cs="Arial" w:eastAsia="Arial" w:hAnsi="Arial"/>
                <w:sz w:val="18"/>
                <w:szCs w:val="18"/>
                <w:color w:val="auto"/>
              </w:rPr>
              <w:t>9,708</w:t>
            </w: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7"/>
              <w:spacing w:after="0" w:line="181" w:lineRule="exact"/>
              <w:rPr>
                <w:sz w:val="20"/>
                <w:szCs w:val="20"/>
                <w:color w:val="auto"/>
              </w:rPr>
            </w:pPr>
            <w:r>
              <w:rPr>
                <w:rFonts w:ascii="Arial" w:cs="Arial" w:eastAsia="Arial" w:hAnsi="Arial"/>
                <w:sz w:val="18"/>
                <w:szCs w:val="18"/>
                <w:color w:val="auto"/>
              </w:rPr>
              <w:t>711</w:t>
            </w:r>
          </w:p>
        </w:tc>
        <w:tc>
          <w:tcPr>
            <w:tcW w:w="160" w:type="dxa"/>
            <w:vAlign w:val="bottom"/>
          </w:tcPr>
          <w:p>
            <w:pPr>
              <w:spacing w:after="0"/>
              <w:rPr>
                <w:sz w:val="15"/>
                <w:szCs w:val="15"/>
                <w:color w:val="auto"/>
              </w:rPr>
            </w:pPr>
          </w:p>
        </w:tc>
        <w:tc>
          <w:tcPr>
            <w:tcW w:w="860" w:type="dxa"/>
            <w:vAlign w:val="bottom"/>
          </w:tcPr>
          <w:p>
            <w:pPr>
              <w:jc w:val="right"/>
              <w:ind w:right="36"/>
              <w:spacing w:after="0" w:line="181" w:lineRule="exact"/>
              <w:rPr>
                <w:sz w:val="20"/>
                <w:szCs w:val="20"/>
                <w:color w:val="auto"/>
              </w:rPr>
            </w:pPr>
            <w:r>
              <w:rPr>
                <w:rFonts w:ascii="Arial" w:cs="Arial" w:eastAsia="Arial" w:hAnsi="Arial"/>
                <w:sz w:val="18"/>
                <w:szCs w:val="18"/>
                <w:color w:val="auto"/>
              </w:rPr>
              <w:t>10,419</w:t>
            </w:r>
          </w:p>
        </w:tc>
        <w:tc>
          <w:tcPr>
            <w:tcW w:w="180" w:type="dxa"/>
            <w:vAlign w:val="bottom"/>
          </w:tcPr>
          <w:p>
            <w:pPr>
              <w:spacing w:after="0"/>
              <w:rPr>
                <w:sz w:val="15"/>
                <w:szCs w:val="15"/>
                <w:color w:val="auto"/>
              </w:rPr>
            </w:pPr>
          </w:p>
        </w:tc>
        <w:tc>
          <w:tcPr>
            <w:tcW w:w="840" w:type="dxa"/>
            <w:vAlign w:val="bottom"/>
          </w:tcPr>
          <w:p>
            <w:pPr>
              <w:jc w:val="right"/>
              <w:ind w:right="35"/>
              <w:spacing w:after="0" w:line="181" w:lineRule="exact"/>
              <w:rPr>
                <w:sz w:val="20"/>
                <w:szCs w:val="20"/>
                <w:color w:val="auto"/>
              </w:rPr>
            </w:pPr>
            <w:r>
              <w:rPr>
                <w:rFonts w:ascii="Arial" w:cs="Arial" w:eastAsia="Arial" w:hAnsi="Arial"/>
                <w:sz w:val="18"/>
                <w:szCs w:val="18"/>
                <w:color w:val="auto"/>
              </w:rPr>
              <w:t>9,349</w:t>
            </w:r>
          </w:p>
        </w:tc>
        <w:tc>
          <w:tcPr>
            <w:tcW w:w="940" w:type="dxa"/>
            <w:vAlign w:val="bottom"/>
            <w:vMerge w:val="continue"/>
          </w:tcPr>
          <w:p>
            <w:pPr>
              <w:spacing w:after="0"/>
              <w:rPr>
                <w:sz w:val="15"/>
                <w:szCs w:val="15"/>
                <w:color w:val="auto"/>
              </w:rPr>
            </w:pPr>
          </w:p>
        </w:tc>
        <w:tc>
          <w:tcPr>
            <w:tcW w:w="92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7"/>
                <w:szCs w:val="17"/>
                <w:color w:val="auto"/>
              </w:rPr>
            </w:pPr>
          </w:p>
        </w:tc>
        <w:tc>
          <w:tcPr>
            <w:tcW w:w="88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4,763</w:t>
            </w:r>
          </w:p>
        </w:tc>
        <w:tc>
          <w:tcPr>
            <w:tcW w:w="18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4,075</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307</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4,382</w:t>
            </w:r>
          </w:p>
        </w:tc>
        <w:tc>
          <w:tcPr>
            <w:tcW w:w="18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3,214</w:t>
            </w:r>
          </w:p>
        </w:tc>
        <w:tc>
          <w:tcPr>
            <w:tcW w:w="94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8.7</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200" w:type="dxa"/>
            <w:vAlign w:val="bottom"/>
          </w:tcPr>
          <w:p>
            <w:pPr>
              <w:spacing w:after="0"/>
              <w:rPr>
                <w:sz w:val="17"/>
                <w:szCs w:val="17"/>
                <w:color w:val="auto"/>
              </w:rPr>
            </w:pPr>
          </w:p>
        </w:tc>
        <w:tc>
          <w:tcPr>
            <w:tcW w:w="88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2,232</w:t>
            </w:r>
          </w:p>
        </w:tc>
        <w:tc>
          <w:tcPr>
            <w:tcW w:w="18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1,849</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2,002</w:t>
            </w:r>
          </w:p>
        </w:tc>
        <w:tc>
          <w:tcPr>
            <w:tcW w:w="18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1,474</w:t>
            </w:r>
          </w:p>
        </w:tc>
        <w:tc>
          <w:tcPr>
            <w:tcW w:w="94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11.5</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7"/>
                <w:szCs w:val="17"/>
                <w:color w:val="auto"/>
              </w:rPr>
            </w:pPr>
          </w:p>
        </w:tc>
        <w:tc>
          <w:tcPr>
            <w:tcW w:w="88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562</w:t>
            </w:r>
          </w:p>
        </w:tc>
        <w:tc>
          <w:tcPr>
            <w:tcW w:w="18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401</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420</w:t>
            </w:r>
          </w:p>
        </w:tc>
        <w:tc>
          <w:tcPr>
            <w:tcW w:w="18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252</w:t>
            </w:r>
          </w:p>
        </w:tc>
        <w:tc>
          <w:tcPr>
            <w:tcW w:w="94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33.7</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764</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712</w:t>
            </w:r>
          </w:p>
        </w:tc>
        <w:tc>
          <w:tcPr>
            <w:tcW w:w="1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720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97</w:t>
            </w: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6.1</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21,031</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16,745</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1,198</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17,943</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14,386</w:t>
            </w:r>
          </w:p>
        </w:tc>
        <w:tc>
          <w:tcPr>
            <w:tcW w:w="94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b w:val="1"/>
                <w:bCs w:val="1"/>
                <w:color w:val="auto"/>
              </w:rPr>
              <w:t>17.2</w:t>
            </w:r>
          </w:p>
        </w:tc>
        <w:tc>
          <w:tcPr>
            <w:tcW w:w="9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8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5"/>
                <w:szCs w:val="15"/>
                <w:color w:val="auto"/>
              </w:rPr>
            </w:pPr>
          </w:p>
        </w:tc>
        <w:tc>
          <w:tcPr>
            <w:tcW w:w="880" w:type="dxa"/>
            <w:vAlign w:val="bottom"/>
          </w:tcPr>
          <w:p>
            <w:pPr>
              <w:jc w:val="right"/>
              <w:ind w:right="36"/>
              <w:spacing w:after="0" w:line="177" w:lineRule="exact"/>
              <w:rPr>
                <w:sz w:val="20"/>
                <w:szCs w:val="20"/>
                <w:color w:val="auto"/>
              </w:rPr>
            </w:pPr>
            <w:r>
              <w:rPr>
                <w:rFonts w:ascii="Arial" w:cs="Arial" w:eastAsia="Arial" w:hAnsi="Arial"/>
                <w:sz w:val="18"/>
                <w:szCs w:val="18"/>
                <w:b w:val="1"/>
                <w:bCs w:val="1"/>
                <w:color w:val="auto"/>
              </w:rPr>
              <w:t>2,781</w:t>
            </w:r>
          </w:p>
        </w:tc>
        <w:tc>
          <w:tcPr>
            <w:tcW w:w="180" w:type="dxa"/>
            <w:vAlign w:val="bottom"/>
          </w:tcPr>
          <w:p>
            <w:pPr>
              <w:spacing w:after="0"/>
              <w:rPr>
                <w:sz w:val="15"/>
                <w:szCs w:val="15"/>
                <w:color w:val="auto"/>
              </w:rPr>
            </w:pPr>
          </w:p>
        </w:tc>
        <w:tc>
          <w:tcPr>
            <w:tcW w:w="860" w:type="dxa"/>
            <w:vAlign w:val="bottom"/>
          </w:tcPr>
          <w:p>
            <w:pPr>
              <w:jc w:val="right"/>
              <w:ind w:right="36"/>
              <w:spacing w:after="0" w:line="177" w:lineRule="exact"/>
              <w:rPr>
                <w:sz w:val="20"/>
                <w:szCs w:val="20"/>
                <w:color w:val="auto"/>
              </w:rPr>
            </w:pPr>
            <w:r>
              <w:rPr>
                <w:rFonts w:ascii="Arial" w:cs="Arial" w:eastAsia="Arial" w:hAnsi="Arial"/>
                <w:sz w:val="18"/>
                <w:szCs w:val="18"/>
                <w:color w:val="auto"/>
              </w:rPr>
              <w:t>2,283</w:t>
            </w: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7"/>
              <w:spacing w:after="0" w:line="177"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5"/>
                <w:szCs w:val="15"/>
                <w:color w:val="auto"/>
              </w:rPr>
            </w:pPr>
          </w:p>
        </w:tc>
        <w:tc>
          <w:tcPr>
            <w:tcW w:w="860" w:type="dxa"/>
            <w:vAlign w:val="bottom"/>
          </w:tcPr>
          <w:p>
            <w:pPr>
              <w:jc w:val="right"/>
              <w:ind w:right="36"/>
              <w:spacing w:after="0" w:line="177" w:lineRule="exact"/>
              <w:rPr>
                <w:sz w:val="20"/>
                <w:szCs w:val="20"/>
                <w:color w:val="auto"/>
              </w:rPr>
            </w:pPr>
            <w:r>
              <w:rPr>
                <w:rFonts w:ascii="Arial" w:cs="Arial" w:eastAsia="Arial" w:hAnsi="Arial"/>
                <w:sz w:val="18"/>
                <w:szCs w:val="18"/>
                <w:color w:val="auto"/>
              </w:rPr>
              <w:t>2,291</w:t>
            </w:r>
          </w:p>
        </w:tc>
        <w:tc>
          <w:tcPr>
            <w:tcW w:w="180" w:type="dxa"/>
            <w:vAlign w:val="bottom"/>
          </w:tcPr>
          <w:p>
            <w:pPr>
              <w:spacing w:after="0"/>
              <w:rPr>
                <w:sz w:val="15"/>
                <w:szCs w:val="15"/>
                <w:color w:val="auto"/>
              </w:rPr>
            </w:pPr>
          </w:p>
        </w:tc>
        <w:tc>
          <w:tcPr>
            <w:tcW w:w="840" w:type="dxa"/>
            <w:vAlign w:val="bottom"/>
          </w:tcPr>
          <w:p>
            <w:pPr>
              <w:jc w:val="right"/>
              <w:ind w:right="35"/>
              <w:spacing w:after="0" w:line="177" w:lineRule="exact"/>
              <w:rPr>
                <w:sz w:val="20"/>
                <w:szCs w:val="20"/>
                <w:color w:val="auto"/>
              </w:rPr>
            </w:pPr>
            <w:r>
              <w:rPr>
                <w:rFonts w:ascii="Arial" w:cs="Arial" w:eastAsia="Arial" w:hAnsi="Arial"/>
                <w:sz w:val="18"/>
                <w:szCs w:val="18"/>
                <w:color w:val="auto"/>
              </w:rPr>
              <w:t>2,204</w:t>
            </w:r>
          </w:p>
        </w:tc>
        <w:tc>
          <w:tcPr>
            <w:tcW w:w="940" w:type="dxa"/>
            <w:vAlign w:val="bottom"/>
          </w:tcPr>
          <w:p>
            <w:pPr>
              <w:jc w:val="right"/>
              <w:ind w:right="136"/>
              <w:spacing w:after="0" w:line="177" w:lineRule="exact"/>
              <w:rPr>
                <w:sz w:val="20"/>
                <w:szCs w:val="20"/>
                <w:color w:val="auto"/>
              </w:rPr>
            </w:pPr>
            <w:r>
              <w:rPr>
                <w:rFonts w:ascii="Arial" w:cs="Arial" w:eastAsia="Arial" w:hAnsi="Arial"/>
                <w:sz w:val="18"/>
                <w:szCs w:val="18"/>
                <w:b w:val="1"/>
                <w:bCs w:val="1"/>
                <w:color w:val="auto"/>
              </w:rPr>
              <w:t>21.4</w:t>
            </w:r>
          </w:p>
        </w:tc>
        <w:tc>
          <w:tcPr>
            <w:tcW w:w="92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income (expense) items, net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647</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57</w:t>
            </w: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NM</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7"/>
        </w:trPr>
        <w:tc>
          <w:tcPr>
            <w:tcW w:w="4000" w:type="dxa"/>
            <w:vAlign w:val="bottom"/>
            <w:gridSpan w:val="2"/>
          </w:tcPr>
          <w:p>
            <w:pPr>
              <w:spacing w:after="0" w:line="177" w:lineRule="exact"/>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5"/>
                <w:szCs w:val="15"/>
                <w:color w:val="auto"/>
              </w:rPr>
            </w:pPr>
          </w:p>
        </w:tc>
        <w:tc>
          <w:tcPr>
            <w:tcW w:w="880" w:type="dxa"/>
            <w:vAlign w:val="bottom"/>
          </w:tcPr>
          <w:p>
            <w:pPr>
              <w:jc w:val="right"/>
              <w:ind w:right="36"/>
              <w:spacing w:after="0" w:line="177" w:lineRule="exact"/>
              <w:rPr>
                <w:sz w:val="20"/>
                <w:szCs w:val="20"/>
                <w:color w:val="auto"/>
              </w:rPr>
            </w:pPr>
            <w:r>
              <w:rPr>
                <w:rFonts w:ascii="Arial" w:cs="Arial" w:eastAsia="Arial" w:hAnsi="Arial"/>
                <w:sz w:val="18"/>
                <w:szCs w:val="18"/>
                <w:b w:val="1"/>
                <w:bCs w:val="1"/>
                <w:color w:val="auto"/>
              </w:rPr>
              <w:t>3,428</w:t>
            </w:r>
          </w:p>
        </w:tc>
        <w:tc>
          <w:tcPr>
            <w:tcW w:w="180" w:type="dxa"/>
            <w:vAlign w:val="bottom"/>
          </w:tcPr>
          <w:p>
            <w:pPr>
              <w:spacing w:after="0"/>
              <w:rPr>
                <w:sz w:val="15"/>
                <w:szCs w:val="15"/>
                <w:color w:val="auto"/>
              </w:rPr>
            </w:pPr>
          </w:p>
        </w:tc>
        <w:tc>
          <w:tcPr>
            <w:tcW w:w="860" w:type="dxa"/>
            <w:vAlign w:val="bottom"/>
          </w:tcPr>
          <w:p>
            <w:pPr>
              <w:jc w:val="right"/>
              <w:ind w:right="36"/>
              <w:spacing w:after="0" w:line="177" w:lineRule="exact"/>
              <w:rPr>
                <w:sz w:val="20"/>
                <w:szCs w:val="20"/>
                <w:color w:val="auto"/>
              </w:rPr>
            </w:pPr>
            <w:r>
              <w:rPr>
                <w:rFonts w:ascii="Arial" w:cs="Arial" w:eastAsia="Arial" w:hAnsi="Arial"/>
                <w:sz w:val="18"/>
                <w:szCs w:val="18"/>
                <w:color w:val="auto"/>
              </w:rPr>
              <w:t>2,046</w:t>
            </w: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5"/>
                <w:szCs w:val="15"/>
                <w:color w:val="auto"/>
              </w:rPr>
            </w:pPr>
          </w:p>
        </w:tc>
        <w:tc>
          <w:tcPr>
            <w:tcW w:w="860" w:type="dxa"/>
            <w:vAlign w:val="bottom"/>
          </w:tcPr>
          <w:p>
            <w:pPr>
              <w:jc w:val="right"/>
              <w:ind w:right="36"/>
              <w:spacing w:after="0" w:line="177" w:lineRule="exact"/>
              <w:rPr>
                <w:sz w:val="20"/>
                <w:szCs w:val="20"/>
                <w:color w:val="auto"/>
              </w:rPr>
            </w:pPr>
            <w:r>
              <w:rPr>
                <w:rFonts w:ascii="Arial" w:cs="Arial" w:eastAsia="Arial" w:hAnsi="Arial"/>
                <w:sz w:val="18"/>
                <w:szCs w:val="18"/>
                <w:color w:val="auto"/>
              </w:rPr>
              <w:t>2,017</w:t>
            </w:r>
          </w:p>
        </w:tc>
        <w:tc>
          <w:tcPr>
            <w:tcW w:w="180" w:type="dxa"/>
            <w:vAlign w:val="bottom"/>
          </w:tcPr>
          <w:p>
            <w:pPr>
              <w:spacing w:after="0"/>
              <w:rPr>
                <w:sz w:val="15"/>
                <w:szCs w:val="15"/>
                <w:color w:val="auto"/>
              </w:rPr>
            </w:pPr>
          </w:p>
        </w:tc>
        <w:tc>
          <w:tcPr>
            <w:tcW w:w="840" w:type="dxa"/>
            <w:vAlign w:val="bottom"/>
          </w:tcPr>
          <w:p>
            <w:pPr>
              <w:jc w:val="right"/>
              <w:ind w:right="35"/>
              <w:spacing w:after="0" w:line="177" w:lineRule="exact"/>
              <w:rPr>
                <w:sz w:val="20"/>
                <w:szCs w:val="20"/>
                <w:color w:val="auto"/>
              </w:rPr>
            </w:pPr>
            <w:r>
              <w:rPr>
                <w:rFonts w:ascii="Arial" w:cs="Arial" w:eastAsia="Arial" w:hAnsi="Arial"/>
                <w:sz w:val="18"/>
                <w:szCs w:val="18"/>
                <w:color w:val="auto"/>
              </w:rPr>
              <w:t>2,261</w:t>
            </w:r>
          </w:p>
        </w:tc>
        <w:tc>
          <w:tcPr>
            <w:tcW w:w="940" w:type="dxa"/>
            <w:vAlign w:val="bottom"/>
          </w:tcPr>
          <w:p>
            <w:pPr>
              <w:jc w:val="right"/>
              <w:ind w:right="136"/>
              <w:spacing w:after="0" w:line="177" w:lineRule="exact"/>
              <w:rPr>
                <w:sz w:val="20"/>
                <w:szCs w:val="20"/>
                <w:color w:val="auto"/>
              </w:rPr>
            </w:pPr>
            <w:r>
              <w:rPr>
                <w:rFonts w:ascii="Arial" w:cs="Arial" w:eastAsia="Arial" w:hAnsi="Arial"/>
                <w:sz w:val="18"/>
                <w:szCs w:val="18"/>
                <w:b w:val="1"/>
                <w:bCs w:val="1"/>
                <w:color w:val="auto"/>
              </w:rPr>
              <w:t>69.9</w:t>
            </w:r>
          </w:p>
        </w:tc>
        <w:tc>
          <w:tcPr>
            <w:tcW w:w="920" w:type="dxa"/>
            <w:vAlign w:val="bottom"/>
          </w:tcPr>
          <w:p>
            <w:pPr>
              <w:jc w:val="right"/>
              <w:ind w:right="76"/>
              <w:spacing w:after="0" w:line="177"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8.9</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199"/>
        </w:trPr>
        <w:tc>
          <w:tcPr>
            <w:tcW w:w="400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7"/>
                <w:szCs w:val="17"/>
                <w:color w:val="auto"/>
              </w:rPr>
            </w:pPr>
          </w:p>
        </w:tc>
        <w:tc>
          <w:tcPr>
            <w:tcW w:w="880" w:type="dxa"/>
            <w:vAlign w:val="bottom"/>
          </w:tcPr>
          <w:p>
            <w:pPr>
              <w:jc w:val="right"/>
              <w:ind w:right="36"/>
              <w:spacing w:after="0" w:line="200" w:lineRule="exact"/>
              <w:rPr>
                <w:sz w:val="20"/>
                <w:szCs w:val="20"/>
                <w:color w:val="auto"/>
              </w:rPr>
            </w:pPr>
            <w:r>
              <w:rPr>
                <w:rFonts w:ascii="Arial" w:cs="Arial" w:eastAsia="Arial" w:hAnsi="Arial"/>
                <w:sz w:val="18"/>
                <w:szCs w:val="18"/>
                <w:b w:val="1"/>
                <w:bCs w:val="1"/>
                <w:color w:val="auto"/>
              </w:rPr>
              <w:t>3,231</w:t>
            </w:r>
          </w:p>
        </w:tc>
        <w:tc>
          <w:tcPr>
            <w:tcW w:w="180" w:type="dxa"/>
            <w:vAlign w:val="bottom"/>
          </w:tcPr>
          <w:p>
            <w:pPr>
              <w:spacing w:after="0"/>
              <w:rPr>
                <w:sz w:val="17"/>
                <w:szCs w:val="17"/>
                <w:color w:val="auto"/>
              </w:rPr>
            </w:pPr>
          </w:p>
        </w:tc>
        <w:tc>
          <w:tcPr>
            <w:tcW w:w="860" w:type="dxa"/>
            <w:vAlign w:val="bottom"/>
          </w:tcPr>
          <w:p>
            <w:pPr>
              <w:jc w:val="right"/>
              <w:ind w:right="36"/>
              <w:spacing w:after="0" w:line="200" w:lineRule="exact"/>
              <w:rPr>
                <w:sz w:val="20"/>
                <w:szCs w:val="20"/>
                <w:color w:val="auto"/>
              </w:rPr>
            </w:pPr>
            <w:r>
              <w:rPr>
                <w:rFonts w:ascii="Arial" w:cs="Arial" w:eastAsia="Arial" w:hAnsi="Arial"/>
                <w:sz w:val="18"/>
                <w:szCs w:val="18"/>
                <w:color w:val="auto"/>
              </w:rPr>
              <w:t>1,861</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860" w:type="dxa"/>
            <w:vAlign w:val="bottom"/>
          </w:tcPr>
          <w:p>
            <w:pPr>
              <w:jc w:val="right"/>
              <w:ind w:right="36"/>
              <w:spacing w:after="0" w:line="200" w:lineRule="exact"/>
              <w:rPr>
                <w:sz w:val="20"/>
                <w:szCs w:val="20"/>
                <w:color w:val="auto"/>
              </w:rPr>
            </w:pPr>
            <w:r>
              <w:rPr>
                <w:rFonts w:ascii="Arial" w:cs="Arial" w:eastAsia="Arial" w:hAnsi="Arial"/>
                <w:sz w:val="18"/>
                <w:szCs w:val="18"/>
                <w:color w:val="auto"/>
              </w:rPr>
              <w:t>1,836</w:t>
            </w:r>
          </w:p>
        </w:tc>
        <w:tc>
          <w:tcPr>
            <w:tcW w:w="180" w:type="dxa"/>
            <w:vAlign w:val="bottom"/>
          </w:tcPr>
          <w:p>
            <w:pPr>
              <w:spacing w:after="0"/>
              <w:rPr>
                <w:sz w:val="17"/>
                <w:szCs w:val="17"/>
                <w:color w:val="auto"/>
              </w:rPr>
            </w:pPr>
          </w:p>
        </w:tc>
        <w:tc>
          <w:tcPr>
            <w:tcW w:w="8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1,516</w:t>
            </w:r>
          </w:p>
        </w:tc>
        <w:tc>
          <w:tcPr>
            <w:tcW w:w="940" w:type="dxa"/>
            <w:vAlign w:val="bottom"/>
          </w:tcPr>
          <w:p>
            <w:pPr>
              <w:jc w:val="right"/>
              <w:ind w:right="136"/>
              <w:spacing w:after="0" w:line="200" w:lineRule="exact"/>
              <w:rPr>
                <w:sz w:val="20"/>
                <w:szCs w:val="20"/>
                <w:color w:val="auto"/>
              </w:rPr>
            </w:pPr>
            <w:r>
              <w:rPr>
                <w:rFonts w:ascii="Arial" w:cs="Arial" w:eastAsia="Arial" w:hAnsi="Arial"/>
                <w:sz w:val="18"/>
                <w:szCs w:val="18"/>
                <w:b w:val="1"/>
                <w:bCs w:val="1"/>
                <w:color w:val="auto"/>
              </w:rPr>
              <w:t>76.0</w:t>
            </w:r>
          </w:p>
        </w:tc>
        <w:tc>
          <w:tcPr>
            <w:tcW w:w="920" w:type="dxa"/>
            <w:vAlign w:val="bottom"/>
          </w:tcPr>
          <w:p>
            <w:pPr>
              <w:jc w:val="right"/>
              <w:ind w:right="136"/>
              <w:spacing w:after="0" w:line="200"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interests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(178)</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(176)</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w:t>
            </w:r>
          </w:p>
        </w:tc>
        <w:tc>
          <w:tcPr>
            <w:tcW w:w="9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line="196" w:lineRule="exact"/>
              <w:rPr>
                <w:sz w:val="20"/>
                <w:szCs w:val="20"/>
                <w:color w:val="auto"/>
              </w:rPr>
            </w:pPr>
            <w:r>
              <w:rPr>
                <w:rFonts w:ascii="Arial" w:cs="Arial" w:eastAsia="Arial" w:hAnsi="Arial"/>
                <w:sz w:val="18"/>
                <w:szCs w:val="18"/>
                <w:b w:val="1"/>
                <w:bCs w:val="1"/>
                <w:color w:val="auto"/>
                <w:w w:val="98"/>
              </w:rPr>
              <w:t>Net income (loss) attributable to NBCUniversal</w:t>
            </w:r>
          </w:p>
        </w:tc>
        <w:tc>
          <w:tcPr>
            <w:tcW w:w="200" w:type="dxa"/>
            <w:vAlign w:val="bottom"/>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3,055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line="196" w:lineRule="exact"/>
              <w:rPr>
                <w:sz w:val="20"/>
                <w:szCs w:val="20"/>
                <w:color w:val="auto"/>
              </w:rPr>
            </w:pPr>
            <w:r>
              <w:rPr>
                <w:rFonts w:ascii="Arial" w:cs="Arial" w:eastAsia="Arial" w:hAnsi="Arial"/>
                <w:sz w:val="18"/>
                <w:szCs w:val="18"/>
                <w:color w:val="auto"/>
              </w:rPr>
              <w:t>1,683</w:t>
            </w:r>
          </w:p>
        </w:tc>
        <w:tc>
          <w:tcPr>
            <w:tcW w:w="180" w:type="dxa"/>
            <w:vAlign w:val="bottom"/>
            <w:tcBorders>
              <w:right w:val="single" w:sz="8" w:color="auto"/>
            </w:tcBorders>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tcPr>
          <w:p>
            <w:pPr>
              <w:ind w:left="6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36"/>
              <w:spacing w:after="0" w:line="196" w:lineRule="exact"/>
              <w:rPr>
                <w:sz w:val="20"/>
                <w:szCs w:val="20"/>
                <w:color w:val="auto"/>
              </w:rPr>
            </w:pPr>
            <w:r>
              <w:rPr>
                <w:rFonts w:ascii="Arial" w:cs="Arial" w:eastAsia="Arial" w:hAnsi="Arial"/>
                <w:sz w:val="18"/>
                <w:szCs w:val="18"/>
                <w:color w:val="auto"/>
              </w:rPr>
              <w:t>1,660</w:t>
            </w:r>
          </w:p>
        </w:tc>
        <w:tc>
          <w:tcPr>
            <w:tcW w:w="180" w:type="dxa"/>
            <w:vAlign w:val="bottom"/>
          </w:tcPr>
          <w:p>
            <w:pPr>
              <w:ind w:left="6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35"/>
              <w:spacing w:after="0" w:line="196" w:lineRule="exact"/>
              <w:rPr>
                <w:sz w:val="20"/>
                <w:szCs w:val="20"/>
                <w:color w:val="auto"/>
              </w:rPr>
            </w:pPr>
            <w:r>
              <w:rPr>
                <w:rFonts w:ascii="Arial" w:cs="Arial" w:eastAsia="Arial" w:hAnsi="Arial"/>
                <w:sz w:val="18"/>
                <w:szCs w:val="18"/>
                <w:color w:val="auto"/>
              </w:rPr>
              <w:t>1,467</w:t>
            </w: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84.0%</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880" w:type="dxa"/>
            <w:vAlign w:val="bottom"/>
            <w:tcBorders>
              <w:bottom w:val="single" w:sz="8" w:color="53439A"/>
            </w:tcBorders>
          </w:tcPr>
          <w:p>
            <w:pPr>
              <w:spacing w:after="0"/>
              <w:rPr>
                <w:sz w:val="2"/>
                <w:szCs w:val="2"/>
                <w:color w:val="auto"/>
              </w:rPr>
            </w:pPr>
          </w:p>
        </w:tc>
        <w:tc>
          <w:tcPr>
            <w:tcW w:w="180" w:type="dxa"/>
            <w:vAlign w:val="bottom"/>
            <w:tcBorders>
              <w:bottom w:val="single" w:sz="8" w:color="53439A"/>
            </w:tcBorders>
          </w:tcPr>
          <w:p>
            <w:pPr>
              <w:spacing w:after="0"/>
              <w:rPr>
                <w:sz w:val="2"/>
                <w:szCs w:val="2"/>
                <w:color w:val="auto"/>
              </w:rPr>
            </w:pPr>
          </w:p>
        </w:tc>
        <w:tc>
          <w:tcPr>
            <w:tcW w:w="860" w:type="dxa"/>
            <w:vAlign w:val="bottom"/>
            <w:tcBorders>
              <w:bottom w:val="single" w:sz="8" w:color="53439A"/>
            </w:tcBorders>
          </w:tcPr>
          <w:p>
            <w:pPr>
              <w:spacing w:after="0"/>
              <w:rPr>
                <w:sz w:val="2"/>
                <w:szCs w:val="2"/>
                <w:color w:val="auto"/>
              </w:rPr>
            </w:pPr>
          </w:p>
        </w:tc>
        <w:tc>
          <w:tcPr>
            <w:tcW w:w="180" w:type="dxa"/>
            <w:vAlign w:val="bottom"/>
            <w:tcBorders>
              <w:bottom w:val="single" w:sz="8" w:color="53439A"/>
            </w:tcBorders>
          </w:tcPr>
          <w:p>
            <w:pPr>
              <w:spacing w:after="0"/>
              <w:rPr>
                <w:sz w:val="2"/>
                <w:szCs w:val="2"/>
                <w:color w:val="auto"/>
              </w:rPr>
            </w:pPr>
          </w:p>
        </w:tc>
        <w:tc>
          <w:tcPr>
            <w:tcW w:w="16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860" w:type="dxa"/>
            <w:vAlign w:val="bottom"/>
            <w:tcBorders>
              <w:bottom w:val="single" w:sz="8" w:color="53439A"/>
            </w:tcBorders>
          </w:tcPr>
          <w:p>
            <w:pPr>
              <w:spacing w:after="0"/>
              <w:rPr>
                <w:sz w:val="2"/>
                <w:szCs w:val="2"/>
                <w:color w:val="auto"/>
              </w:rPr>
            </w:pPr>
          </w:p>
        </w:tc>
        <w:tc>
          <w:tcPr>
            <w:tcW w:w="160" w:type="dxa"/>
            <w:vAlign w:val="bottom"/>
            <w:tcBorders>
              <w:bottom w:val="single" w:sz="8" w:color="53439A"/>
            </w:tcBorders>
          </w:tcPr>
          <w:p>
            <w:pPr>
              <w:spacing w:after="0"/>
              <w:rPr>
                <w:sz w:val="2"/>
                <w:szCs w:val="2"/>
                <w:color w:val="auto"/>
              </w:rPr>
            </w:pPr>
          </w:p>
        </w:tc>
        <w:tc>
          <w:tcPr>
            <w:tcW w:w="860" w:type="dxa"/>
            <w:vAlign w:val="bottom"/>
            <w:tcBorders>
              <w:bottom w:val="single" w:sz="8" w:color="53439A"/>
            </w:tcBorders>
          </w:tcPr>
          <w:p>
            <w:pPr>
              <w:spacing w:after="0"/>
              <w:rPr>
                <w:sz w:val="2"/>
                <w:szCs w:val="2"/>
                <w:color w:val="auto"/>
              </w:rPr>
            </w:pPr>
          </w:p>
        </w:tc>
        <w:tc>
          <w:tcPr>
            <w:tcW w:w="180" w:type="dxa"/>
            <w:vAlign w:val="bottom"/>
            <w:tcBorders>
              <w:bottom w:val="single" w:sz="8" w:color="53439A"/>
            </w:tcBorders>
          </w:tcPr>
          <w:p>
            <w:pPr>
              <w:spacing w:after="0"/>
              <w:rPr>
                <w:sz w:val="2"/>
                <w:szCs w:val="2"/>
                <w:color w:val="auto"/>
              </w:rPr>
            </w:pPr>
          </w:p>
        </w:tc>
        <w:tc>
          <w:tcPr>
            <w:tcW w:w="840" w:type="dxa"/>
            <w:vAlign w:val="bottom"/>
            <w:tcBorders>
              <w:bottom w:val="single" w:sz="8" w:color="53439A"/>
            </w:tcBorders>
          </w:tcPr>
          <w:p>
            <w:pPr>
              <w:spacing w:after="0"/>
              <w:rPr>
                <w:sz w:val="2"/>
                <w:szCs w:val="2"/>
                <w:color w:val="auto"/>
              </w:rPr>
            </w:pPr>
          </w:p>
        </w:tc>
        <w:tc>
          <w:tcPr>
            <w:tcW w:w="940" w:type="dxa"/>
            <w:vAlign w:val="bottom"/>
            <w:tcBorders>
              <w:bottom w:val="single" w:sz="8" w:color="53439A"/>
            </w:tcBorders>
          </w:tcPr>
          <w:p>
            <w:pPr>
              <w:spacing w:after="0"/>
              <w:rPr>
                <w:sz w:val="2"/>
                <w:szCs w:val="2"/>
                <w:color w:val="auto"/>
              </w:rPr>
            </w:pPr>
          </w:p>
        </w:tc>
        <w:tc>
          <w:tcPr>
            <w:tcW w:w="920" w:type="dxa"/>
            <w:vAlign w:val="bottom"/>
            <w:tcBorders>
              <w:bottom w:val="single" w:sz="8" w:color="53439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comparability of our consolidated results of operations was impacted by the Joint Venture transaction, which closed on January 28, 2011, and the Universal Orlando transaction, which closed on July 1, 2011. The results of operations of the Comcast Content Business and Universal Orlando are included in our consolidated financial statements following their respective transaction dates.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increase in consolidated revenue in 2012 was primarily due to an increase in revenue in our Broadcast Television segment, as well as increases in our Filmed Entertainment, Cable Networks and Theme Parks segments. The increase in revenue in our Broadcast Television segment was primarily due to our broadcast of the 2012 London Olympics and 2012 Super Bowl. The increase in consolidated revenue in 2012 also included $669 million related to the impact of the inclusion of 12 months of operating results of Universal Orlando, compared to six months in 2011.</w:t>
      </w:r>
    </w:p>
    <w:p>
      <w:pPr>
        <w:spacing w:after="0" w:line="298"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increase in consolidated revenue in 2011 was primarily due to increases in our Cable Networks and Theme Parks segments, offset by a decrease in our Broadcast Television segment due to the absence of the 2010 Vancouver Olympic Games. The revenue increase in our Cable Networks segment included revenue from the Comcast Content Business in 2011 of $2.8 billion. The revenue increase in our Theme Parks segment included $712 million related to the consolidation of Universal Orlando since July 2011. Revenue for our segments is discussed separately below under the heading “Segment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increase in consolidated costs and expenses, excluding depreciation and amortization (consolidated “operating costs and expenses”) in 2012 was primarily due to an increase in our Broadcast Television segment, as well as increases in our Filmed Entertainment, Cable Networks and Theme Parks segments. The increases in operating costs and expenses in our Broadcast Television segment was primarily due to our broadcast of the 2012 London Olympics and 2012 Super Bowl.</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increase in consolidated operating costs and expenses in 2011 was primarily due to increases in our Cable Networks and Theme Parks segments. The increase in our Cable Networks segment included operating costs and expenses from the Comcast Content Business in 2011 of $2 billion. The increase in our Theme Parks segment included operating costs and expenses from Universal Orlando, since July 2011, of $384 million. Excluding the impact of the consolidation of the Comcast Content Business and Universal Orlando, consolidated operating costs and expenses increased in 2011 primarily due to increases in our Cable Networks and Filmed Entertainment segments, partially offset by a decrease in our Broadcast Television segment due to the absence of the 2010 Vancouver Olympic Games. Consolidated operating costs and expenses in 2011 also included $165 million of one-time, nonrecurring expenses related to severance, retention and accelerated share-based compensation expense as a result of the close of the Joint Venture transaction. Operating costs and expenses for our segments are discussed separately below under the heading “Segment Operating Results.”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increase in consolidated depreciation expense in 2012 was primarily due to the impact of consolidating the operating results of Universal Orlando for 12 months in 2012, compared with six months in 2011. The increase in amortization expense in 2012 was primarily due to 12 months of amortization in 2012 of the finite-lived intangible assets recorded as a result of the Joint Venture and Universal Orlando transactions, which closed in 2011.</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increase in consolidated depreciation expense in 2011 was primarily due to the consolidation of Universal Orlando in July 2011 and the higher level of depreciation incurred due to the application of acquisition accounting to our property and equipment as a result of the Joint Venture and Universal Orlando transactions. The increase in amortization expense in 2011 was primarily driven by $533 million of incremental amortization expense related to the finite-lived intangible assets recorded as a result of the Joint Venture transaction.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the business segment footnote to our consolidated financial statements (see Note 19 to our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results of operations of our reportable business segments may be affected by competition, as all of our businesses operate in intensely competitive industries and compete with a growing number of companies that provide a broad range of entertainment, news and information content to consumers. Technological changes are further intensifying and complicating the competitive landscape and consumer behavior. For example, companies continue to emerge that offer services or devices that enable digital distribution of movies, television shows and other video programming, and wireless services and devices continue to evolve. Moreover, newer services that distribute video programming are also beginning to produce or acquire their own original content. This competition is further complicated by federal and state legislative bodies and various regulatory agencies, such as the FCC, which can adopt laws and policies that provide a favorable operating environment for some of our existing and potential new competitors. See “Business – Competition”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of our businesses is subject to seasonal and cyclical variations. Revenue in our Cable Networks and Broadcast Television segments is subject to cyclical advertising patterns and changes in viewership levels. Our U.S.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Our Broadcast Television revenue and operating costs and expenses also are cyclical as a result of our periodic broadcasts of the Olympic Games and the Super Bowl. Our advertising revenue generally increases in the period of these broadcasts from increased demand for advertising time, and our operating costs and expenses also increase as a result of our production costs and the amortization of the related rights fees. All of the revenue and operating costs and expenses associated with our broadcasts of the 2012 London Olympics and the 2012 Super Bowl are reported in our Broadcast Television segment.</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in our Filmed Entertainment segment also fluctuates due to the timing of the release of films in movie theaters and the release of our films on DVD and through digital distributors. Revenue in our Cable Networks and Broadcast Television segments also fluctuates depending on the timing of the release of our programming on television and on DVD. Release dates are determined by several factors, including competition and the timing of vacation and holiday periods. As a result, revenue tends to be seasonal, with increases experienced during the summer months, around holidays and in the fourth calendar quarter of each year. Revenue in our Cable Networks, Broadcast Television and Filmed Entertainment segments also fluctuates due to the timing of when our owned content is made available to licensees.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in our Theme Parks segment fluctuates with changes in theme park attendance resulting from the seasonal nature of vacation travel, local entertainment offerings and seasonal weather variations. Our theme parks experience peak attendance generally during the summer months when schools are closed and during early winter and spring holiday periods.</w:t>
      </w:r>
    </w:p>
    <w:p>
      <w:pPr>
        <w:spacing w:after="0" w:line="323"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Successor</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4"/>
                <w:szCs w:val="14"/>
                <w:color w:val="auto"/>
                <w:w w:val="96"/>
              </w:rPr>
              <w:t>Predecessor</w:t>
            </w:r>
          </w:p>
        </w:tc>
        <w:tc>
          <w:tcPr>
            <w:tcW w:w="100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color w:val="auto"/>
              </w:rPr>
              <w:t>Combined</w:t>
            </w: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Predecessor</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2"/>
          </w:tcPr>
          <w:p>
            <w:pPr>
              <w:spacing w:after="0" w:line="141" w:lineRule="exact"/>
              <w:rPr>
                <w:sz w:val="20"/>
                <w:szCs w:val="20"/>
                <w:color w:val="auto"/>
              </w:rPr>
            </w:pPr>
            <w:r>
              <w:rPr>
                <w:rFonts w:ascii="Arial" w:cs="Arial" w:eastAsia="Arial" w:hAnsi="Arial"/>
                <w:sz w:val="14"/>
                <w:szCs w:val="14"/>
                <w:color w:val="auto"/>
              </w:rPr>
              <w:t>For the Period</w:t>
            </w: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Borders>
              <w:right w:val="single" w:sz="8" w:color="auto"/>
            </w:tcBorders>
            <w:gridSpan w:val="4"/>
          </w:tcPr>
          <w:p>
            <w:pPr>
              <w:ind w:left="160"/>
              <w:spacing w:after="0" w:line="149" w:lineRule="exact"/>
              <w:rPr>
                <w:sz w:val="20"/>
                <w:szCs w:val="20"/>
                <w:color w:val="auto"/>
              </w:rPr>
            </w:pPr>
            <w:r>
              <w:rPr>
                <w:rFonts w:ascii="Arial" w:cs="Arial" w:eastAsia="Arial" w:hAnsi="Arial"/>
                <w:sz w:val="14"/>
                <w:szCs w:val="14"/>
                <w:color w:val="auto"/>
              </w:rPr>
              <w:t>January 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auto"/>
                <w:w w:val="94"/>
              </w:rPr>
              <w:t>January 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Borders>
              <w:right w:val="single" w:sz="8" w:color="auto"/>
            </w:tcBorders>
            <w:gridSpan w:val="3"/>
          </w:tcPr>
          <w:p>
            <w:pPr>
              <w:jc w:val="center"/>
              <w:ind w:right="140"/>
              <w:spacing w:after="0" w:line="133" w:lineRule="exact"/>
              <w:rPr>
                <w:sz w:val="20"/>
                <w:szCs w:val="20"/>
                <w:color w:val="auto"/>
              </w:rPr>
            </w:pPr>
            <w:r>
              <w:rPr>
                <w:rFonts w:ascii="Arial" w:cs="Arial" w:eastAsia="Arial" w:hAnsi="Arial"/>
                <w:sz w:val="14"/>
                <w:szCs w:val="14"/>
                <w:color w:val="auto"/>
                <w:w w:val="94"/>
              </w:rPr>
              <w:t>2011 to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58"/>
              <w:spacing w:after="0" w:line="133" w:lineRule="exact"/>
              <w:rPr>
                <w:sz w:val="20"/>
                <w:szCs w:val="20"/>
                <w:color w:val="auto"/>
              </w:rPr>
            </w:pPr>
            <w:r>
              <w:rPr>
                <w:rFonts w:ascii="Arial" w:cs="Arial" w:eastAsia="Arial" w:hAnsi="Arial"/>
                <w:sz w:val="14"/>
                <w:szCs w:val="14"/>
                <w:color w:val="auto"/>
              </w:rPr>
              <w:t>2011 to</w:t>
            </w:r>
          </w:p>
        </w:tc>
        <w:tc>
          <w:tcPr>
            <w:tcW w:w="1000" w:type="dxa"/>
            <w:vAlign w:val="bottom"/>
            <w:gridSpan w:val="2"/>
          </w:tcPr>
          <w:p>
            <w:pPr>
              <w:jc w:val="right"/>
              <w:ind w:right="36"/>
              <w:spacing w:after="0" w:line="133" w:lineRule="exact"/>
              <w:rPr>
                <w:sz w:val="20"/>
                <w:szCs w:val="20"/>
                <w:color w:val="auto"/>
              </w:rPr>
            </w:pPr>
            <w:r>
              <w:rPr>
                <w:rFonts w:ascii="Arial" w:cs="Arial" w:eastAsia="Arial" w:hAnsi="Arial"/>
                <w:sz w:val="14"/>
                <w:szCs w:val="14"/>
                <w:color w:val="auto"/>
              </w:rPr>
              <w:t>Year Ended</w:t>
            </w:r>
          </w:p>
        </w:tc>
        <w:tc>
          <w:tcPr>
            <w:tcW w:w="2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color w:val="auto"/>
              </w:rPr>
              <w:t>Year Ended</w:t>
            </w:r>
          </w:p>
        </w:tc>
        <w:tc>
          <w:tcPr>
            <w:tcW w:w="940" w:type="dxa"/>
            <w:vAlign w:val="bottom"/>
            <w:vMerge w:val="continue"/>
          </w:tcPr>
          <w:p>
            <w:pPr>
              <w:spacing w:after="0"/>
              <w:rPr>
                <w:sz w:val="11"/>
                <w:szCs w:val="11"/>
                <w:color w:val="auto"/>
              </w:rPr>
            </w:pP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1160" w:type="dxa"/>
            <w:vAlign w:val="bottom"/>
            <w:tcBorders>
              <w:right w:val="single" w:sz="8" w:color="auto"/>
            </w:tcBorders>
            <w:gridSpan w:val="4"/>
          </w:tcPr>
          <w:p>
            <w:pPr>
              <w:ind w:left="20"/>
              <w:spacing w:after="0" w:line="149"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January 28,</w:t>
            </w: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December 31,</w:t>
            </w:r>
          </w:p>
        </w:tc>
        <w:tc>
          <w:tcPr>
            <w:tcW w:w="94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2011 to</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2010 to</w:t>
            </w:r>
          </w:p>
        </w:tc>
        <w:tc>
          <w:tcPr>
            <w:tcW w:w="0" w:type="dxa"/>
            <w:vAlign w:val="bottom"/>
          </w:tcPr>
          <w:p>
            <w:pPr>
              <w:spacing w:after="0"/>
              <w:rPr>
                <w:sz w:val="1"/>
                <w:szCs w:val="1"/>
                <w:color w:val="auto"/>
              </w:rPr>
            </w:pPr>
          </w:p>
        </w:tc>
      </w:tr>
      <w:tr>
        <w:trPr>
          <w:trHeight w:val="16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4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17"/>
                <w:szCs w:val="17"/>
                <w:color w:val="auto"/>
              </w:rPr>
            </w:pPr>
          </w:p>
        </w:tc>
        <w:tc>
          <w:tcPr>
            <w:tcW w:w="76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8,773</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7"/>
              <w:spacing w:after="0" w:line="181" w:lineRule="exact"/>
              <w:rPr>
                <w:sz w:val="20"/>
                <w:szCs w:val="20"/>
                <w:color w:val="auto"/>
              </w:rPr>
            </w:pPr>
            <w:r>
              <w:rPr>
                <w:rFonts w:ascii="Arial" w:cs="Arial" w:eastAsia="Arial" w:hAnsi="Arial"/>
                <w:sz w:val="18"/>
                <w:szCs w:val="18"/>
                <w:color w:val="auto"/>
              </w:rPr>
              <w:t>7,876</w:t>
            </w:r>
          </w:p>
        </w:tc>
        <w:tc>
          <w:tcPr>
            <w:tcW w:w="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60" w:type="dxa"/>
            <w:vAlign w:val="bottom"/>
            <w:gridSpan w:val="4"/>
          </w:tcPr>
          <w:p>
            <w:pPr>
              <w:ind w:left="240"/>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8"/>
              <w:spacing w:after="0" w:line="181" w:lineRule="exact"/>
              <w:rPr>
                <w:sz w:val="20"/>
                <w:szCs w:val="20"/>
                <w:color w:val="auto"/>
              </w:rPr>
            </w:pPr>
            <w:r>
              <w:rPr>
                <w:rFonts w:ascii="Arial" w:cs="Arial" w:eastAsia="Arial" w:hAnsi="Arial"/>
                <w:sz w:val="18"/>
                <w:szCs w:val="18"/>
                <w:color w:val="auto"/>
              </w:rPr>
              <w:t>389</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line="181" w:lineRule="exact"/>
              <w:rPr>
                <w:sz w:val="20"/>
                <w:szCs w:val="20"/>
                <w:color w:val="auto"/>
              </w:rPr>
            </w:pPr>
            <w:r>
              <w:rPr>
                <w:rFonts w:ascii="Arial" w:cs="Arial" w:eastAsia="Arial" w:hAnsi="Arial"/>
                <w:sz w:val="18"/>
                <w:szCs w:val="18"/>
                <w:color w:val="auto"/>
              </w:rPr>
              <w:t>8,265</w:t>
            </w:r>
          </w:p>
        </w:tc>
        <w:tc>
          <w:tcPr>
            <w:tcW w:w="20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4,954</w:t>
            </w:r>
          </w:p>
        </w:tc>
        <w:tc>
          <w:tcPr>
            <w:tcW w:w="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8,154</w:t>
            </w:r>
          </w:p>
        </w:tc>
        <w:tc>
          <w:tcPr>
            <w:tcW w:w="2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5,935</w:t>
            </w: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58"/>
              <w:spacing w:after="0" w:line="202" w:lineRule="exact"/>
              <w:rPr>
                <w:sz w:val="20"/>
                <w:szCs w:val="20"/>
                <w:color w:val="auto"/>
              </w:rPr>
            </w:pPr>
            <w:r>
              <w:rPr>
                <w:rFonts w:ascii="Arial" w:cs="Arial" w:eastAsia="Arial" w:hAnsi="Arial"/>
                <w:sz w:val="18"/>
                <w:szCs w:val="18"/>
                <w:color w:val="auto"/>
              </w:rPr>
              <w:t>464</w:t>
            </w:r>
          </w:p>
        </w:tc>
        <w:tc>
          <w:tcPr>
            <w:tcW w:w="200" w:type="dxa"/>
            <w:vAlign w:val="bottom"/>
          </w:tcPr>
          <w:p>
            <w:pPr>
              <w:spacing w:after="0"/>
              <w:rPr>
                <w:sz w:val="17"/>
                <w:szCs w:val="17"/>
                <w:color w:val="auto"/>
              </w:rPr>
            </w:pP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6,399</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6,888</w:t>
            </w:r>
          </w:p>
        </w:tc>
        <w:tc>
          <w:tcPr>
            <w:tcW w:w="40" w:type="dxa"/>
            <w:vAlign w:val="bottom"/>
          </w:tcPr>
          <w:p>
            <w:pPr>
              <w:spacing w:after="0"/>
              <w:rPr>
                <w:sz w:val="17"/>
                <w:szCs w:val="17"/>
                <w:color w:val="auto"/>
              </w:rPr>
            </w:pP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27.4</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5,159</w:t>
            </w:r>
          </w:p>
        </w:tc>
        <w:tc>
          <w:tcPr>
            <w:tcW w:w="2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4,239</w:t>
            </w: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353</w:t>
            </w:r>
          </w:p>
        </w:tc>
        <w:tc>
          <w:tcPr>
            <w:tcW w:w="200" w:type="dxa"/>
            <w:vAlign w:val="bottom"/>
          </w:tcPr>
          <w:p>
            <w:pPr>
              <w:spacing w:after="0"/>
              <w:rPr>
                <w:sz w:val="17"/>
                <w:szCs w:val="17"/>
                <w:color w:val="auto"/>
              </w:rPr>
            </w:pP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4,592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4,576</w:t>
            </w:r>
          </w:p>
        </w:tc>
        <w:tc>
          <w:tcPr>
            <w:tcW w:w="40" w:type="dxa"/>
            <w:vAlign w:val="bottom"/>
          </w:tcPr>
          <w:p>
            <w:pPr>
              <w:spacing w:after="0"/>
              <w:rPr>
                <w:sz w:val="17"/>
                <w:szCs w:val="17"/>
                <w:color w:val="auto"/>
              </w:rPr>
            </w:pP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12.4</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2,085</w:t>
            </w:r>
          </w:p>
        </w:tc>
        <w:tc>
          <w:tcPr>
            <w:tcW w:w="2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1,874</w:t>
            </w: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7"/>
                <w:szCs w:val="17"/>
                <w:color w:val="auto"/>
              </w:rPr>
            </w:pP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1,989</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40" w:type="dxa"/>
            <w:vAlign w:val="bottom"/>
          </w:tcPr>
          <w:p>
            <w:pPr>
              <w:spacing w:after="0"/>
              <w:rPr>
                <w:sz w:val="17"/>
                <w:szCs w:val="17"/>
                <w:color w:val="auto"/>
              </w:rPr>
            </w:pP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4.8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Headquarters and Other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45</w:t>
            </w: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58"/>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40" w:type="dxa"/>
            <w:vAlign w:val="bottom"/>
          </w:tcPr>
          <w:p>
            <w:pPr>
              <w:spacing w:after="0"/>
              <w:rPr>
                <w:sz w:val="17"/>
                <w:szCs w:val="17"/>
                <w:color w:val="auto"/>
              </w:rPr>
            </w:pPr>
          </w:p>
        </w:tc>
        <w:tc>
          <w:tcPr>
            <w:tcW w:w="94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(14.9)</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(402)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(62.1)</w:t>
            </w: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53439A"/>
            </w:tcBorders>
          </w:tcPr>
          <w:p>
            <w:pPr>
              <w:spacing w:after="0"/>
              <w:rPr>
                <w:sz w:val="17"/>
                <w:szCs w:val="17"/>
                <w:color w:val="auto"/>
              </w:rPr>
            </w:pPr>
          </w:p>
        </w:tc>
        <w:tc>
          <w:tcPr>
            <w:tcW w:w="760" w:type="dxa"/>
            <w:vAlign w:val="bottom"/>
            <w:tcBorders>
              <w:bottom w:val="single" w:sz="8" w:color="53439A"/>
            </w:tcBorders>
          </w:tcPr>
          <w:p>
            <w:pPr>
              <w:jc w:val="right"/>
              <w:ind w:right="96"/>
              <w:spacing w:after="0" w:line="196" w:lineRule="exact"/>
              <w:rPr>
                <w:sz w:val="20"/>
                <w:szCs w:val="20"/>
                <w:color w:val="auto"/>
              </w:rPr>
            </w:pPr>
            <w:r>
              <w:rPr>
                <w:rFonts w:ascii="Arial" w:cs="Arial" w:eastAsia="Arial" w:hAnsi="Arial"/>
                <w:sz w:val="18"/>
                <w:szCs w:val="18"/>
                <w:b w:val="1"/>
                <w:bCs w:val="1"/>
                <w:color w:val="auto"/>
              </w:rPr>
              <w:t>23,812</w:t>
            </w:r>
          </w:p>
        </w:tc>
        <w:tc>
          <w:tcPr>
            <w:tcW w:w="2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3439A"/>
            </w:tcBorders>
          </w:tcPr>
          <w:p>
            <w:pPr>
              <w:jc w:val="right"/>
              <w:ind w:right="37"/>
              <w:spacing w:after="0" w:line="196" w:lineRule="exact"/>
              <w:rPr>
                <w:sz w:val="20"/>
                <w:szCs w:val="20"/>
                <w:color w:val="auto"/>
              </w:rPr>
            </w:pPr>
            <w:r>
              <w:rPr>
                <w:rFonts w:ascii="Arial" w:cs="Arial" w:eastAsia="Arial" w:hAnsi="Arial"/>
                <w:sz w:val="18"/>
                <w:szCs w:val="18"/>
                <w:color w:val="auto"/>
              </w:rPr>
              <w:t>19,028</w:t>
            </w:r>
          </w:p>
        </w:tc>
        <w:tc>
          <w:tcPr>
            <w:tcW w:w="80" w:type="dxa"/>
            <w:vAlign w:val="bottom"/>
            <w:tcBorders>
              <w:bottom w:val="single" w:sz="8" w:color="53439A"/>
            </w:tcBorders>
          </w:tcPr>
          <w:p>
            <w:pPr>
              <w:spacing w:after="0"/>
              <w:rPr>
                <w:sz w:val="17"/>
                <w:szCs w:val="17"/>
                <w:color w:val="auto"/>
              </w:rPr>
            </w:pPr>
          </w:p>
        </w:tc>
        <w:tc>
          <w:tcPr>
            <w:tcW w:w="100" w:type="dxa"/>
            <w:vAlign w:val="bottom"/>
            <w:tcBorders>
              <w:bottom w:val="single" w:sz="8" w:color="53439A"/>
              <w:right w:val="single" w:sz="8" w:color="auto"/>
            </w:tcBorders>
          </w:tcPr>
          <w:p>
            <w:pPr>
              <w:spacing w:after="0"/>
              <w:rPr>
                <w:sz w:val="17"/>
                <w:szCs w:val="17"/>
                <w:color w:val="auto"/>
              </w:rPr>
            </w:pPr>
          </w:p>
        </w:tc>
        <w:tc>
          <w:tcPr>
            <w:tcW w:w="460" w:type="dxa"/>
            <w:vAlign w:val="bottom"/>
            <w:tcBorders>
              <w:bottom w:val="single" w:sz="8" w:color="53439A"/>
            </w:tcBorders>
            <w:gridSpan w:val="4"/>
          </w:tcPr>
          <w:p>
            <w:pPr>
              <w:ind w:left="24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3439A"/>
            </w:tcBorders>
          </w:tcPr>
          <w:p>
            <w:pPr>
              <w:jc w:val="right"/>
              <w:ind w:right="58"/>
              <w:spacing w:after="0" w:line="196" w:lineRule="exact"/>
              <w:rPr>
                <w:sz w:val="20"/>
                <w:szCs w:val="20"/>
                <w:color w:val="auto"/>
              </w:rPr>
            </w:pPr>
            <w:r>
              <w:rPr>
                <w:rFonts w:ascii="Arial" w:cs="Arial" w:eastAsia="Arial" w:hAnsi="Arial"/>
                <w:sz w:val="18"/>
                <w:szCs w:val="18"/>
                <w:color w:val="auto"/>
              </w:rPr>
              <w:t>1,206</w:t>
            </w:r>
          </w:p>
        </w:tc>
        <w:tc>
          <w:tcPr>
            <w:tcW w:w="20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53439A"/>
            </w:tcBorders>
          </w:tcPr>
          <w:p>
            <w:pPr>
              <w:jc w:val="right"/>
              <w:ind w:right="36"/>
              <w:spacing w:after="0" w:line="196" w:lineRule="exact"/>
              <w:rPr>
                <w:sz w:val="20"/>
                <w:szCs w:val="20"/>
                <w:color w:val="auto"/>
              </w:rPr>
            </w:pPr>
            <w:r>
              <w:rPr>
                <w:rFonts w:ascii="Arial" w:cs="Arial" w:eastAsia="Arial" w:hAnsi="Arial"/>
                <w:sz w:val="18"/>
                <w:szCs w:val="18"/>
                <w:color w:val="auto"/>
              </w:rPr>
              <w:t>20,234</w:t>
            </w:r>
          </w:p>
        </w:tc>
        <w:tc>
          <w:tcPr>
            <w:tcW w:w="20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16,590</w:t>
            </w:r>
          </w:p>
        </w:tc>
        <w:tc>
          <w:tcPr>
            <w:tcW w:w="40" w:type="dxa"/>
            <w:vAlign w:val="bottom"/>
            <w:tcBorders>
              <w:bottom w:val="single" w:sz="8" w:color="53439A"/>
            </w:tcBorders>
          </w:tcPr>
          <w:p>
            <w:pPr>
              <w:spacing w:after="0"/>
              <w:rPr>
                <w:sz w:val="17"/>
                <w:szCs w:val="17"/>
                <w:color w:val="auto"/>
              </w:rPr>
            </w:pPr>
          </w:p>
        </w:tc>
        <w:tc>
          <w:tcPr>
            <w:tcW w:w="9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17.7%</w:t>
            </w:r>
          </w:p>
        </w:tc>
        <w:tc>
          <w:tcPr>
            <w:tcW w:w="920" w:type="dxa"/>
            <w:vAlign w:val="bottom"/>
            <w:tcBorders>
              <w:bottom w:val="single" w:sz="8" w:color="53439A"/>
            </w:tcBorders>
            <w:gridSpan w:val="2"/>
          </w:tcPr>
          <w:p>
            <w:pPr>
              <w:jc w:val="right"/>
              <w:ind w:right="60"/>
              <w:spacing w:after="0" w:line="196"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8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 (Loss) Before Depreciation</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b w:val="1"/>
                <w:bCs w:val="1"/>
                <w:color w:val="auto"/>
              </w:rPr>
              <w:t>and Amortization</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19"/>
                <w:szCs w:val="19"/>
                <w:color w:val="auto"/>
              </w:rPr>
            </w:pPr>
          </w:p>
        </w:tc>
        <w:tc>
          <w:tcPr>
            <w:tcW w:w="76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3,292</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0.9%</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7"/>
              <w:spacing w:after="0" w:line="181" w:lineRule="exact"/>
              <w:rPr>
                <w:sz w:val="20"/>
                <w:szCs w:val="20"/>
                <w:color w:val="auto"/>
              </w:rPr>
            </w:pPr>
            <w:r>
              <w:rPr>
                <w:rFonts w:ascii="Arial" w:cs="Arial" w:eastAsia="Arial" w:hAnsi="Arial"/>
                <w:sz w:val="18"/>
                <w:szCs w:val="18"/>
                <w:color w:val="auto"/>
              </w:rPr>
              <w:t>3,119</w:t>
            </w:r>
          </w:p>
        </w:tc>
        <w:tc>
          <w:tcPr>
            <w:tcW w:w="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60" w:type="dxa"/>
            <w:vAlign w:val="bottom"/>
            <w:gridSpan w:val="4"/>
          </w:tcPr>
          <w:p>
            <w:pPr>
              <w:ind w:left="240"/>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8"/>
              <w:spacing w:after="0" w:line="181" w:lineRule="exact"/>
              <w:rPr>
                <w:sz w:val="20"/>
                <w:szCs w:val="20"/>
                <w:color w:val="auto"/>
              </w:rPr>
            </w:pPr>
            <w:r>
              <w:rPr>
                <w:rFonts w:ascii="Arial" w:cs="Arial" w:eastAsia="Arial" w:hAnsi="Arial"/>
                <w:sz w:val="18"/>
                <w:szCs w:val="18"/>
                <w:color w:val="auto"/>
              </w:rPr>
              <w:t>143</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line="181" w:lineRule="exact"/>
              <w:rPr>
                <w:sz w:val="20"/>
                <w:szCs w:val="20"/>
                <w:color w:val="auto"/>
              </w:rPr>
            </w:pPr>
            <w:r>
              <w:rPr>
                <w:rFonts w:ascii="Arial" w:cs="Arial" w:eastAsia="Arial" w:hAnsi="Arial"/>
                <w:sz w:val="18"/>
                <w:szCs w:val="18"/>
                <w:color w:val="auto"/>
              </w:rPr>
              <w:t>3,262</w:t>
            </w:r>
          </w:p>
        </w:tc>
        <w:tc>
          <w:tcPr>
            <w:tcW w:w="20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2,347</w:t>
            </w:r>
          </w:p>
        </w:tc>
        <w:tc>
          <w:tcPr>
            <w:tcW w:w="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369</w:t>
            </w:r>
          </w:p>
        </w:tc>
        <w:tc>
          <w:tcPr>
            <w:tcW w:w="2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138</w:t>
            </w: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122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40" w:type="dxa"/>
            <w:vAlign w:val="bottom"/>
          </w:tcPr>
          <w:p>
            <w:pPr>
              <w:spacing w:after="0"/>
              <w:rPr>
                <w:sz w:val="17"/>
                <w:szCs w:val="17"/>
                <w:color w:val="auto"/>
              </w:rPr>
            </w:pP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201.5</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79</w:t>
            </w:r>
          </w:p>
        </w:tc>
        <w:tc>
          <w:tcPr>
            <w:tcW w:w="2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40" w:type="dxa"/>
            <w:vAlign w:val="bottom"/>
          </w:tcPr>
          <w:p>
            <w:pPr>
              <w:spacing w:after="0"/>
              <w:rPr>
                <w:sz w:val="17"/>
                <w:szCs w:val="17"/>
                <w:color w:val="auto"/>
              </w:rPr>
            </w:pP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181.8</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953</w:t>
            </w:r>
          </w:p>
        </w:tc>
        <w:tc>
          <w:tcPr>
            <w:tcW w:w="2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830</w:t>
            </w: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867</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591</w:t>
            </w:r>
          </w:p>
        </w:tc>
        <w:tc>
          <w:tcPr>
            <w:tcW w:w="40" w:type="dxa"/>
            <w:vAlign w:val="bottom"/>
          </w:tcPr>
          <w:p>
            <w:pPr>
              <w:spacing w:after="0"/>
              <w:rPr>
                <w:sz w:val="17"/>
                <w:szCs w:val="17"/>
                <w:color w:val="auto"/>
              </w:rPr>
            </w:pP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9.9</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(586)</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(31.0)</w:t>
            </w: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4,107</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3,396</w:t>
            </w: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0" w:type="dxa"/>
            <w:vAlign w:val="bottom"/>
            <w:gridSpan w:val="4"/>
          </w:tcPr>
          <w:p>
            <w:pPr>
              <w:ind w:left="2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35</w:t>
            </w:r>
          </w:p>
        </w:tc>
        <w:tc>
          <w:tcPr>
            <w:tcW w:w="2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3,431</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2,553</w:t>
            </w:r>
          </w:p>
        </w:tc>
        <w:tc>
          <w:tcPr>
            <w:tcW w:w="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19.7%</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403"/>
        </w:trPr>
        <w:tc>
          <w:tcPr>
            <w:tcW w:w="4000" w:type="dxa"/>
            <w:vAlign w:val="bottom"/>
            <w:tcBorders>
              <w:top w:val="single" w:sz="8" w:color="53439A"/>
            </w:tcBorders>
            <w:gridSpan w:val="2"/>
          </w:tcPr>
          <w:p>
            <w:pPr>
              <w:spacing w:after="0"/>
              <w:rPr>
                <w:sz w:val="20"/>
                <w:szCs w:val="20"/>
                <w:color w:val="auto"/>
              </w:rPr>
            </w:pPr>
            <w:r>
              <w:rPr>
                <w:rFonts w:ascii="Arial" w:cs="Arial" w:eastAsia="Arial" w:hAnsi="Arial"/>
                <w:sz w:val="18"/>
                <w:szCs w:val="18"/>
                <w:b w:val="1"/>
                <w:bCs w:val="1"/>
                <w:color w:val="53439A"/>
                <w:w w:val="97"/>
              </w:rPr>
              <w:t>Cable Networks Segment Results of Operations</w:t>
            </w:r>
          </w:p>
        </w:tc>
        <w:tc>
          <w:tcPr>
            <w:tcW w:w="180" w:type="dxa"/>
            <w:vAlign w:val="bottom"/>
            <w:tcBorders>
              <w:top w:val="single" w:sz="8" w:color="53439A"/>
            </w:tcBorders>
          </w:tcPr>
          <w:p>
            <w:pPr>
              <w:spacing w:after="0"/>
              <w:rPr>
                <w:sz w:val="24"/>
                <w:szCs w:val="24"/>
                <w:color w:val="auto"/>
              </w:rPr>
            </w:pPr>
          </w:p>
        </w:tc>
        <w:tc>
          <w:tcPr>
            <w:tcW w:w="200" w:type="dxa"/>
            <w:vAlign w:val="bottom"/>
            <w:tcBorders>
              <w:top w:val="single" w:sz="8" w:color="53439A"/>
            </w:tcBorders>
          </w:tcPr>
          <w:p>
            <w:pPr>
              <w:spacing w:after="0"/>
              <w:rPr>
                <w:sz w:val="24"/>
                <w:szCs w:val="24"/>
                <w:color w:val="auto"/>
              </w:rPr>
            </w:pPr>
          </w:p>
        </w:tc>
        <w:tc>
          <w:tcPr>
            <w:tcW w:w="760" w:type="dxa"/>
            <w:vAlign w:val="bottom"/>
            <w:tcBorders>
              <w:top w:val="single" w:sz="8" w:color="53439A"/>
            </w:tcBorders>
          </w:tcPr>
          <w:p>
            <w:pPr>
              <w:spacing w:after="0"/>
              <w:rPr>
                <w:sz w:val="24"/>
                <w:szCs w:val="24"/>
                <w:color w:val="auto"/>
              </w:rPr>
            </w:pPr>
          </w:p>
        </w:tc>
        <w:tc>
          <w:tcPr>
            <w:tcW w:w="260" w:type="dxa"/>
            <w:vAlign w:val="bottom"/>
            <w:tcBorders>
              <w:top w:val="single" w:sz="8" w:color="53439A"/>
            </w:tcBorders>
          </w:tcPr>
          <w:p>
            <w:pPr>
              <w:spacing w:after="0"/>
              <w:rPr>
                <w:sz w:val="24"/>
                <w:szCs w:val="24"/>
                <w:color w:val="auto"/>
              </w:rPr>
            </w:pPr>
          </w:p>
        </w:tc>
        <w:tc>
          <w:tcPr>
            <w:tcW w:w="720" w:type="dxa"/>
            <w:vAlign w:val="bottom"/>
            <w:tcBorders>
              <w:top w:val="single" w:sz="8" w:color="53439A"/>
            </w:tcBorders>
          </w:tcPr>
          <w:p>
            <w:pPr>
              <w:spacing w:after="0"/>
              <w:rPr>
                <w:sz w:val="24"/>
                <w:szCs w:val="24"/>
                <w:color w:val="auto"/>
              </w:rPr>
            </w:pPr>
          </w:p>
        </w:tc>
        <w:tc>
          <w:tcPr>
            <w:tcW w:w="80" w:type="dxa"/>
            <w:vAlign w:val="bottom"/>
            <w:tcBorders>
              <w:top w:val="single" w:sz="8" w:color="53439A"/>
            </w:tcBorders>
          </w:tcPr>
          <w:p>
            <w:pPr>
              <w:spacing w:after="0"/>
              <w:rPr>
                <w:sz w:val="24"/>
                <w:szCs w:val="24"/>
                <w:color w:val="auto"/>
              </w:rPr>
            </w:pPr>
          </w:p>
        </w:tc>
        <w:tc>
          <w:tcPr>
            <w:tcW w:w="100" w:type="dxa"/>
            <w:vAlign w:val="bottom"/>
            <w:tcBorders>
              <w:top w:val="single" w:sz="8" w:color="53439A"/>
            </w:tcBorders>
          </w:tcPr>
          <w:p>
            <w:pPr>
              <w:spacing w:after="0"/>
              <w:rPr>
                <w:sz w:val="24"/>
                <w:szCs w:val="24"/>
                <w:color w:val="auto"/>
              </w:rPr>
            </w:pPr>
          </w:p>
        </w:tc>
        <w:tc>
          <w:tcPr>
            <w:tcW w:w="100" w:type="dxa"/>
            <w:vAlign w:val="bottom"/>
            <w:tcBorders>
              <w:top w:val="single" w:sz="8" w:color="53439A"/>
            </w:tcBorders>
          </w:tcPr>
          <w:p>
            <w:pPr>
              <w:spacing w:after="0"/>
              <w:rPr>
                <w:sz w:val="24"/>
                <w:szCs w:val="24"/>
                <w:color w:val="auto"/>
              </w:rPr>
            </w:pPr>
          </w:p>
        </w:tc>
        <w:tc>
          <w:tcPr>
            <w:tcW w:w="60" w:type="dxa"/>
            <w:vAlign w:val="bottom"/>
            <w:tcBorders>
              <w:top w:val="single" w:sz="8" w:color="53439A"/>
            </w:tcBorders>
          </w:tcPr>
          <w:p>
            <w:pPr>
              <w:spacing w:after="0"/>
              <w:rPr>
                <w:sz w:val="24"/>
                <w:szCs w:val="24"/>
                <w:color w:val="auto"/>
              </w:rPr>
            </w:pPr>
          </w:p>
        </w:tc>
        <w:tc>
          <w:tcPr>
            <w:tcW w:w="100" w:type="dxa"/>
            <w:vAlign w:val="bottom"/>
            <w:tcBorders>
              <w:top w:val="single" w:sz="8" w:color="53439A"/>
            </w:tcBorders>
          </w:tcPr>
          <w:p>
            <w:pPr>
              <w:spacing w:after="0"/>
              <w:rPr>
                <w:sz w:val="24"/>
                <w:szCs w:val="24"/>
                <w:color w:val="auto"/>
              </w:rPr>
            </w:pPr>
          </w:p>
        </w:tc>
        <w:tc>
          <w:tcPr>
            <w:tcW w:w="200" w:type="dxa"/>
            <w:vAlign w:val="bottom"/>
            <w:tcBorders>
              <w:top w:val="single" w:sz="8" w:color="53439A"/>
            </w:tcBorders>
          </w:tcPr>
          <w:p>
            <w:pPr>
              <w:spacing w:after="0"/>
              <w:rPr>
                <w:sz w:val="24"/>
                <w:szCs w:val="24"/>
                <w:color w:val="auto"/>
              </w:rPr>
            </w:pPr>
          </w:p>
        </w:tc>
        <w:tc>
          <w:tcPr>
            <w:tcW w:w="780" w:type="dxa"/>
            <w:vAlign w:val="bottom"/>
            <w:tcBorders>
              <w:top w:val="single" w:sz="8" w:color="53439A"/>
            </w:tcBorders>
          </w:tcPr>
          <w:p>
            <w:pPr>
              <w:spacing w:after="0"/>
              <w:rPr>
                <w:sz w:val="24"/>
                <w:szCs w:val="24"/>
                <w:color w:val="auto"/>
              </w:rPr>
            </w:pPr>
          </w:p>
        </w:tc>
        <w:tc>
          <w:tcPr>
            <w:tcW w:w="200" w:type="dxa"/>
            <w:vAlign w:val="bottom"/>
            <w:tcBorders>
              <w:top w:val="single" w:sz="8" w:color="53439A"/>
            </w:tcBorders>
          </w:tcPr>
          <w:p>
            <w:pPr>
              <w:spacing w:after="0"/>
              <w:rPr>
                <w:sz w:val="24"/>
                <w:szCs w:val="24"/>
                <w:color w:val="auto"/>
              </w:rPr>
            </w:pPr>
          </w:p>
        </w:tc>
        <w:tc>
          <w:tcPr>
            <w:tcW w:w="800" w:type="dxa"/>
            <w:vAlign w:val="bottom"/>
            <w:tcBorders>
              <w:top w:val="single" w:sz="8" w:color="53439A"/>
            </w:tcBorders>
          </w:tcPr>
          <w:p>
            <w:pPr>
              <w:spacing w:after="0"/>
              <w:rPr>
                <w:sz w:val="24"/>
                <w:szCs w:val="24"/>
                <w:color w:val="auto"/>
              </w:rPr>
            </w:pPr>
          </w:p>
        </w:tc>
        <w:tc>
          <w:tcPr>
            <w:tcW w:w="200" w:type="dxa"/>
            <w:vAlign w:val="bottom"/>
            <w:tcBorders>
              <w:top w:val="single" w:sz="8" w:color="53439A"/>
            </w:tcBorders>
          </w:tcPr>
          <w:p>
            <w:pPr>
              <w:spacing w:after="0"/>
              <w:rPr>
                <w:sz w:val="24"/>
                <w:szCs w:val="24"/>
                <w:color w:val="auto"/>
              </w:rPr>
            </w:pPr>
          </w:p>
        </w:tc>
        <w:tc>
          <w:tcPr>
            <w:tcW w:w="780" w:type="dxa"/>
            <w:vAlign w:val="bottom"/>
            <w:tcBorders>
              <w:top w:val="single" w:sz="8" w:color="53439A"/>
            </w:tcBorders>
          </w:tcPr>
          <w:p>
            <w:pPr>
              <w:spacing w:after="0"/>
              <w:rPr>
                <w:sz w:val="24"/>
                <w:szCs w:val="24"/>
                <w:color w:val="auto"/>
              </w:rPr>
            </w:pPr>
          </w:p>
        </w:tc>
        <w:tc>
          <w:tcPr>
            <w:tcW w:w="40" w:type="dxa"/>
            <w:vAlign w:val="bottom"/>
            <w:tcBorders>
              <w:top w:val="single" w:sz="8" w:color="53439A"/>
            </w:tcBorders>
          </w:tcPr>
          <w:p>
            <w:pPr>
              <w:spacing w:after="0"/>
              <w:rPr>
                <w:sz w:val="24"/>
                <w:szCs w:val="24"/>
                <w:color w:val="auto"/>
              </w:rPr>
            </w:pPr>
          </w:p>
        </w:tc>
        <w:tc>
          <w:tcPr>
            <w:tcW w:w="940" w:type="dxa"/>
            <w:vAlign w:val="bottom"/>
            <w:tcBorders>
              <w:top w:val="single" w:sz="8" w:color="53439A"/>
            </w:tcBorders>
          </w:tcPr>
          <w:p>
            <w:pPr>
              <w:spacing w:after="0"/>
              <w:rPr>
                <w:sz w:val="24"/>
                <w:szCs w:val="24"/>
                <w:color w:val="auto"/>
              </w:rPr>
            </w:pPr>
          </w:p>
        </w:tc>
        <w:tc>
          <w:tcPr>
            <w:tcW w:w="700" w:type="dxa"/>
            <w:vAlign w:val="bottom"/>
            <w:tcBorders>
              <w:top w:val="single" w:sz="8" w:color="53439A"/>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980" w:type="dxa"/>
            <w:vAlign w:val="bottom"/>
            <w:tcBorders>
              <w:bottom w:val="single" w:sz="8" w:color="53439A"/>
            </w:tcBorders>
          </w:tcPr>
          <w:p>
            <w:pPr>
              <w:spacing w:after="0"/>
              <w:rPr>
                <w:sz w:val="3"/>
                <w:szCs w:val="3"/>
                <w:color w:val="auto"/>
              </w:rPr>
            </w:pPr>
          </w:p>
        </w:tc>
        <w:tc>
          <w:tcPr>
            <w:tcW w:w="180" w:type="dxa"/>
            <w:vAlign w:val="bottom"/>
            <w:tcBorders>
              <w:bottom w:val="single" w:sz="8" w:color="53439A"/>
            </w:tcBorders>
          </w:tcPr>
          <w:p>
            <w:pPr>
              <w:spacing w:after="0"/>
              <w:rPr>
                <w:sz w:val="3"/>
                <w:szCs w:val="3"/>
                <w:color w:val="auto"/>
              </w:rPr>
            </w:pPr>
          </w:p>
        </w:tc>
        <w:tc>
          <w:tcPr>
            <w:tcW w:w="200" w:type="dxa"/>
            <w:vAlign w:val="bottom"/>
            <w:tcBorders>
              <w:bottom w:val="single" w:sz="8" w:color="53439A"/>
            </w:tcBorders>
          </w:tcPr>
          <w:p>
            <w:pPr>
              <w:spacing w:after="0"/>
              <w:rPr>
                <w:sz w:val="3"/>
                <w:szCs w:val="3"/>
                <w:color w:val="auto"/>
              </w:rPr>
            </w:pPr>
          </w:p>
        </w:tc>
        <w:tc>
          <w:tcPr>
            <w:tcW w:w="1820" w:type="dxa"/>
            <w:vAlign w:val="bottom"/>
            <w:tcBorders>
              <w:bottom w:val="single" w:sz="8" w:color="53439A"/>
            </w:tcBorders>
            <w:gridSpan w:val="4"/>
          </w:tcPr>
          <w:p>
            <w:pPr>
              <w:spacing w:after="0"/>
              <w:rPr>
                <w:sz w:val="3"/>
                <w:szCs w:val="3"/>
                <w:color w:val="auto"/>
              </w:rPr>
            </w:pPr>
          </w:p>
        </w:tc>
        <w:tc>
          <w:tcPr>
            <w:tcW w:w="100" w:type="dxa"/>
            <w:vAlign w:val="bottom"/>
            <w:tcBorders>
              <w:bottom w:val="single" w:sz="8" w:color="53439A"/>
            </w:tcBorders>
          </w:tcPr>
          <w:p>
            <w:pPr>
              <w:spacing w:after="0"/>
              <w:rPr>
                <w:sz w:val="3"/>
                <w:szCs w:val="3"/>
                <w:color w:val="auto"/>
              </w:rPr>
            </w:pPr>
          </w:p>
        </w:tc>
        <w:tc>
          <w:tcPr>
            <w:tcW w:w="100" w:type="dxa"/>
            <w:vAlign w:val="bottom"/>
            <w:tcBorders>
              <w:bottom w:val="single" w:sz="8" w:color="53439A"/>
            </w:tcBorders>
          </w:tcPr>
          <w:p>
            <w:pPr>
              <w:spacing w:after="0"/>
              <w:rPr>
                <w:sz w:val="3"/>
                <w:szCs w:val="3"/>
                <w:color w:val="auto"/>
              </w:rPr>
            </w:pPr>
          </w:p>
        </w:tc>
        <w:tc>
          <w:tcPr>
            <w:tcW w:w="60" w:type="dxa"/>
            <w:vAlign w:val="bottom"/>
            <w:tcBorders>
              <w:bottom w:val="single" w:sz="8" w:color="53439A"/>
            </w:tcBorders>
          </w:tcPr>
          <w:p>
            <w:pPr>
              <w:spacing w:after="0"/>
              <w:rPr>
                <w:sz w:val="3"/>
                <w:szCs w:val="3"/>
                <w:color w:val="auto"/>
              </w:rPr>
            </w:pPr>
          </w:p>
        </w:tc>
        <w:tc>
          <w:tcPr>
            <w:tcW w:w="100" w:type="dxa"/>
            <w:vAlign w:val="bottom"/>
            <w:tcBorders>
              <w:bottom w:val="single" w:sz="8" w:color="53439A"/>
            </w:tcBorders>
          </w:tcPr>
          <w:p>
            <w:pPr>
              <w:spacing w:after="0"/>
              <w:rPr>
                <w:sz w:val="3"/>
                <w:szCs w:val="3"/>
                <w:color w:val="auto"/>
              </w:rPr>
            </w:pPr>
          </w:p>
        </w:tc>
        <w:tc>
          <w:tcPr>
            <w:tcW w:w="980" w:type="dxa"/>
            <w:vAlign w:val="bottom"/>
            <w:tcBorders>
              <w:bottom w:val="single" w:sz="8" w:color="53439A"/>
            </w:tcBorders>
            <w:gridSpan w:val="2"/>
          </w:tcPr>
          <w:p>
            <w:pPr>
              <w:spacing w:after="0"/>
              <w:rPr>
                <w:sz w:val="3"/>
                <w:szCs w:val="3"/>
                <w:color w:val="auto"/>
              </w:rPr>
            </w:pPr>
          </w:p>
        </w:tc>
        <w:tc>
          <w:tcPr>
            <w:tcW w:w="200" w:type="dxa"/>
            <w:vAlign w:val="bottom"/>
            <w:tcBorders>
              <w:bottom w:val="single" w:sz="8" w:color="53439A"/>
            </w:tcBorders>
          </w:tcPr>
          <w:p>
            <w:pPr>
              <w:spacing w:after="0"/>
              <w:rPr>
                <w:sz w:val="3"/>
                <w:szCs w:val="3"/>
                <w:color w:val="auto"/>
              </w:rPr>
            </w:pPr>
          </w:p>
        </w:tc>
        <w:tc>
          <w:tcPr>
            <w:tcW w:w="800" w:type="dxa"/>
            <w:vAlign w:val="bottom"/>
            <w:tcBorders>
              <w:bottom w:val="single" w:sz="8" w:color="53439A"/>
            </w:tcBorders>
          </w:tcPr>
          <w:p>
            <w:pPr>
              <w:spacing w:after="0"/>
              <w:rPr>
                <w:sz w:val="3"/>
                <w:szCs w:val="3"/>
                <w:color w:val="auto"/>
              </w:rPr>
            </w:pPr>
          </w:p>
        </w:tc>
        <w:tc>
          <w:tcPr>
            <w:tcW w:w="980" w:type="dxa"/>
            <w:vAlign w:val="bottom"/>
            <w:tcBorders>
              <w:bottom w:val="single" w:sz="8" w:color="53439A"/>
            </w:tcBorders>
            <w:gridSpan w:val="2"/>
          </w:tcPr>
          <w:p>
            <w:pPr>
              <w:spacing w:after="0"/>
              <w:rPr>
                <w:sz w:val="3"/>
                <w:szCs w:val="3"/>
                <w:color w:val="auto"/>
              </w:rPr>
            </w:pPr>
          </w:p>
        </w:tc>
        <w:tc>
          <w:tcPr>
            <w:tcW w:w="40" w:type="dxa"/>
            <w:vAlign w:val="bottom"/>
            <w:tcBorders>
              <w:bottom w:val="single" w:sz="8" w:color="53439A"/>
            </w:tcBorders>
          </w:tcPr>
          <w:p>
            <w:pPr>
              <w:spacing w:after="0"/>
              <w:rPr>
                <w:sz w:val="3"/>
                <w:szCs w:val="3"/>
                <w:color w:val="auto"/>
              </w:rPr>
            </w:pPr>
          </w:p>
        </w:tc>
        <w:tc>
          <w:tcPr>
            <w:tcW w:w="940" w:type="dxa"/>
            <w:vAlign w:val="bottom"/>
            <w:tcBorders>
              <w:bottom w:val="single" w:sz="8" w:color="53439A"/>
            </w:tcBorders>
          </w:tcPr>
          <w:p>
            <w:pPr>
              <w:spacing w:after="0"/>
              <w:rPr>
                <w:sz w:val="3"/>
                <w:szCs w:val="3"/>
                <w:color w:val="auto"/>
              </w:rPr>
            </w:pPr>
          </w:p>
        </w:tc>
        <w:tc>
          <w:tcPr>
            <w:tcW w:w="700" w:type="dxa"/>
            <w:vAlign w:val="bottom"/>
            <w:tcBorders>
              <w:bottom w:val="single" w:sz="8" w:color="53439A"/>
            </w:tcBorders>
          </w:tcPr>
          <w:p>
            <w:pPr>
              <w:spacing w:after="0"/>
              <w:rPr>
                <w:sz w:val="3"/>
                <w:szCs w:val="3"/>
                <w:color w:val="auto"/>
              </w:rPr>
            </w:pPr>
          </w:p>
        </w:tc>
        <w:tc>
          <w:tcPr>
            <w:tcW w:w="220" w:type="dxa"/>
            <w:vAlign w:val="bottom"/>
            <w:tcBorders>
              <w:bottom w:val="single" w:sz="8" w:color="53439A"/>
            </w:tcBorders>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500"/>
              <w:spacing w:after="0"/>
              <w:rPr>
                <w:sz w:val="20"/>
                <w:szCs w:val="20"/>
                <w:color w:val="auto"/>
              </w:rPr>
            </w:pPr>
            <w:r>
              <w:rPr>
                <w:rFonts w:ascii="Arial" w:cs="Arial" w:eastAsia="Arial" w:hAnsi="Arial"/>
                <w:sz w:val="14"/>
                <w:szCs w:val="14"/>
                <w:color w:val="auto"/>
              </w:rPr>
              <w:t>Successor</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Predecessor</w:t>
            </w:r>
          </w:p>
        </w:tc>
        <w:tc>
          <w:tcPr>
            <w:tcW w:w="20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14"/>
                <w:szCs w:val="14"/>
                <w:color w:val="auto"/>
                <w:w w:val="97"/>
              </w:rPr>
              <w:t>Combined</w:t>
            </w:r>
          </w:p>
        </w:tc>
        <w:tc>
          <w:tcPr>
            <w:tcW w:w="1020" w:type="dxa"/>
            <w:vAlign w:val="bottom"/>
            <w:gridSpan w:val="3"/>
          </w:tcPr>
          <w:p>
            <w:pPr>
              <w:ind w:left="140"/>
              <w:spacing w:after="0"/>
              <w:rPr>
                <w:sz w:val="20"/>
                <w:szCs w:val="20"/>
                <w:color w:val="auto"/>
              </w:rPr>
            </w:pPr>
            <w:r>
              <w:rPr>
                <w:rFonts w:ascii="Arial" w:cs="Arial" w:eastAsia="Arial" w:hAnsi="Arial"/>
                <w:sz w:val="14"/>
                <w:szCs w:val="14"/>
                <w:color w:val="auto"/>
              </w:rPr>
              <w:t>Predecessor</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140"/>
              <w:spacing w:after="0" w:line="141" w:lineRule="exact"/>
              <w:rPr>
                <w:sz w:val="20"/>
                <w:szCs w:val="20"/>
                <w:color w:val="auto"/>
              </w:rPr>
            </w:pPr>
            <w:r>
              <w:rPr>
                <w:rFonts w:ascii="Arial" w:cs="Arial" w:eastAsia="Arial" w:hAnsi="Arial"/>
                <w:sz w:val="14"/>
                <w:szCs w:val="14"/>
                <w:color w:val="auto"/>
              </w:rPr>
              <w:t>For the Period</w:t>
            </w: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January 29,</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January 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280"/>
              <w:spacing w:after="0" w:line="133" w:lineRule="exact"/>
              <w:rPr>
                <w:sz w:val="20"/>
                <w:szCs w:val="20"/>
                <w:color w:val="auto"/>
              </w:rPr>
            </w:pPr>
            <w:r>
              <w:rPr>
                <w:rFonts w:ascii="Arial" w:cs="Arial" w:eastAsia="Arial" w:hAnsi="Arial"/>
                <w:sz w:val="14"/>
                <w:szCs w:val="14"/>
                <w:color w:val="auto"/>
              </w:rPr>
              <w:t>2011 to</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rPr>
              <w:t>2011 to</w:t>
            </w: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1"/>
                <w:szCs w:val="11"/>
                <w:color w:val="auto"/>
              </w:rPr>
            </w:pPr>
          </w:p>
        </w:tc>
        <w:tc>
          <w:tcPr>
            <w:tcW w:w="82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w w:val="97"/>
              </w:rPr>
              <w:t>Year Ended</w:t>
            </w:r>
          </w:p>
        </w:tc>
        <w:tc>
          <w:tcPr>
            <w:tcW w:w="940" w:type="dxa"/>
            <w:vAlign w:val="bottom"/>
            <w:vMerge w:val="continue"/>
          </w:tcPr>
          <w:p>
            <w:pPr>
              <w:spacing w:after="0"/>
              <w:rPr>
                <w:sz w:val="11"/>
                <w:szCs w:val="11"/>
                <w:color w:val="auto"/>
              </w:rPr>
            </w:pP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December 31,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8"/>
              </w:rPr>
              <w:t>January 28,</w:t>
            </w: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December 31,</w:t>
            </w:r>
          </w:p>
        </w:tc>
        <w:tc>
          <w:tcPr>
            <w:tcW w:w="94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2011 to</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2010 to</w:t>
            </w:r>
          </w:p>
        </w:tc>
        <w:tc>
          <w:tcPr>
            <w:tcW w:w="0" w:type="dxa"/>
            <w:vAlign w:val="bottom"/>
          </w:tcPr>
          <w:p>
            <w:pPr>
              <w:spacing w:after="0"/>
              <w:rPr>
                <w:sz w:val="1"/>
                <w:szCs w:val="1"/>
                <w:color w:val="auto"/>
              </w:rPr>
            </w:pPr>
          </w:p>
        </w:tc>
      </w:tr>
      <w:tr>
        <w:trPr>
          <w:trHeight w:val="16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4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4,604</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tcPr>
          <w:p>
            <w:pPr>
              <w:ind w:left="200"/>
              <w:spacing w:after="0" w:line="181" w:lineRule="exact"/>
              <w:rPr>
                <w:sz w:val="20"/>
                <w:szCs w:val="20"/>
                <w:color w:val="auto"/>
              </w:rPr>
            </w:pPr>
            <w:r>
              <w:rPr>
                <w:rFonts w:ascii="Arial" w:cs="Arial" w:eastAsia="Arial" w:hAnsi="Arial"/>
                <w:sz w:val="18"/>
                <w:szCs w:val="18"/>
                <w:color w:val="auto"/>
              </w:rPr>
              <w:t>Distribution</w:t>
            </w:r>
          </w:p>
        </w:tc>
        <w:tc>
          <w:tcPr>
            <w:tcW w:w="3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ind w:left="140"/>
              <w:spacing w:after="0" w:line="181" w:lineRule="exact"/>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4,063</w:t>
            </w: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360" w:type="dxa"/>
            <w:vAlign w:val="bottom"/>
            <w:gridSpan w:val="3"/>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188</w:t>
            </w:r>
          </w:p>
        </w:tc>
        <w:tc>
          <w:tcPr>
            <w:tcW w:w="200" w:type="dxa"/>
            <w:vAlign w:val="bottom"/>
          </w:tcPr>
          <w:p>
            <w:pPr>
              <w:ind w:left="100"/>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4,251</w:t>
            </w:r>
          </w:p>
        </w:tc>
        <w:tc>
          <w:tcPr>
            <w:tcW w:w="200" w:type="dxa"/>
            <w:vAlign w:val="bottom"/>
          </w:tcPr>
          <w:p>
            <w:pPr>
              <w:ind w:left="80"/>
              <w:spacing w:after="0" w:line="181"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2,366</w:t>
            </w:r>
          </w:p>
        </w:tc>
        <w:tc>
          <w:tcPr>
            <w:tcW w:w="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3,423</w:t>
            </w:r>
          </w:p>
        </w:tc>
        <w:tc>
          <w:tcPr>
            <w:tcW w:w="26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3,120</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3,282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2,170</w:t>
            </w:r>
          </w:p>
        </w:tc>
        <w:tc>
          <w:tcPr>
            <w:tcW w:w="40" w:type="dxa"/>
            <w:vAlign w:val="bottom"/>
          </w:tcPr>
          <w:p>
            <w:pPr>
              <w:spacing w:after="0"/>
              <w:rPr>
                <w:sz w:val="17"/>
                <w:szCs w:val="17"/>
                <w:color w:val="auto"/>
              </w:rPr>
            </w:pP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4.3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Content licensing and other</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8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8,773</w:t>
            </w:r>
          </w:p>
        </w:tc>
        <w:tc>
          <w:tcPr>
            <w:tcW w:w="260" w:type="dxa"/>
            <w:vAlign w:val="bottom"/>
          </w:tcPr>
          <w:p>
            <w:pPr>
              <w:spacing w:after="0"/>
              <w:rPr>
                <w:sz w:val="15"/>
                <w:szCs w:val="15"/>
                <w:color w:val="auto"/>
              </w:rPr>
            </w:pPr>
          </w:p>
        </w:tc>
        <w:tc>
          <w:tcPr>
            <w:tcW w:w="800" w:type="dxa"/>
            <w:vAlign w:val="bottom"/>
            <w:gridSpan w:val="2"/>
          </w:tcPr>
          <w:p>
            <w:pPr>
              <w:jc w:val="right"/>
              <w:ind w:right="60"/>
              <w:spacing w:after="0" w:line="177" w:lineRule="exact"/>
              <w:rPr>
                <w:sz w:val="20"/>
                <w:szCs w:val="20"/>
                <w:color w:val="auto"/>
              </w:rPr>
            </w:pPr>
            <w:r>
              <w:rPr>
                <w:rFonts w:ascii="Arial" w:cs="Arial" w:eastAsia="Arial" w:hAnsi="Arial"/>
                <w:sz w:val="18"/>
                <w:szCs w:val="18"/>
                <w:color w:val="auto"/>
              </w:rPr>
              <w:t>7,876</w:t>
            </w: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389</w:t>
            </w:r>
          </w:p>
        </w:tc>
        <w:tc>
          <w:tcPr>
            <w:tcW w:w="20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8,265</w:t>
            </w:r>
          </w:p>
        </w:tc>
        <w:tc>
          <w:tcPr>
            <w:tcW w:w="2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4,954</w:t>
            </w:r>
          </w:p>
        </w:tc>
        <w:tc>
          <w:tcPr>
            <w:tcW w:w="40" w:type="dxa"/>
            <w:vAlign w:val="bottom"/>
          </w:tcPr>
          <w:p>
            <w:pPr>
              <w:spacing w:after="0"/>
              <w:rPr>
                <w:sz w:val="15"/>
                <w:szCs w:val="15"/>
                <w:color w:val="auto"/>
              </w:rPr>
            </w:pPr>
          </w:p>
        </w:tc>
        <w:tc>
          <w:tcPr>
            <w:tcW w:w="94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6.2</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66.8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9.6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0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3,292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3,262</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2,347</w:t>
            </w: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53439A"/>
          </w:tcPr>
          <w:p>
            <w:pPr>
              <w:spacing w:after="0" w:line="20" w:lineRule="exact"/>
              <w:rPr>
                <w:sz w:val="1"/>
                <w:szCs w:val="1"/>
                <w:color w:val="auto"/>
              </w:rPr>
            </w:pPr>
          </w:p>
        </w:tc>
        <w:tc>
          <w:tcPr>
            <w:tcW w:w="180" w:type="dxa"/>
            <w:vAlign w:val="bottom"/>
            <w:shd w:val="clear" w:color="auto" w:fill="53439A"/>
          </w:tcPr>
          <w:p>
            <w:pPr>
              <w:spacing w:after="0" w:line="20" w:lineRule="exact"/>
              <w:rPr>
                <w:sz w:val="1"/>
                <w:szCs w:val="1"/>
                <w:color w:val="auto"/>
              </w:rPr>
            </w:pPr>
          </w:p>
        </w:tc>
        <w:tc>
          <w:tcPr>
            <w:tcW w:w="200" w:type="dxa"/>
            <w:vAlign w:val="bottom"/>
            <w:shd w:val="clear" w:color="auto" w:fill="53439A"/>
          </w:tcPr>
          <w:p>
            <w:pPr>
              <w:spacing w:after="0" w:line="20" w:lineRule="exact"/>
              <w:rPr>
                <w:sz w:val="1"/>
                <w:szCs w:val="1"/>
                <w:color w:val="auto"/>
              </w:rPr>
            </w:pPr>
          </w:p>
        </w:tc>
        <w:tc>
          <w:tcPr>
            <w:tcW w:w="760" w:type="dxa"/>
            <w:vAlign w:val="bottom"/>
            <w:shd w:val="clear" w:color="auto" w:fill="53439A"/>
          </w:tcPr>
          <w:p>
            <w:pPr>
              <w:spacing w:after="0" w:line="20" w:lineRule="exact"/>
              <w:rPr>
                <w:sz w:val="1"/>
                <w:szCs w:val="1"/>
                <w:color w:val="auto"/>
              </w:rPr>
            </w:pPr>
          </w:p>
        </w:tc>
        <w:tc>
          <w:tcPr>
            <w:tcW w:w="260" w:type="dxa"/>
            <w:vAlign w:val="bottom"/>
            <w:shd w:val="clear" w:color="auto" w:fill="53439A"/>
          </w:tcPr>
          <w:p>
            <w:pPr>
              <w:spacing w:after="0" w:line="20" w:lineRule="exact"/>
              <w:rPr>
                <w:sz w:val="1"/>
                <w:szCs w:val="1"/>
                <w:color w:val="auto"/>
              </w:rPr>
            </w:pPr>
          </w:p>
        </w:tc>
        <w:tc>
          <w:tcPr>
            <w:tcW w:w="720" w:type="dxa"/>
            <w:vAlign w:val="bottom"/>
            <w:shd w:val="clear" w:color="auto" w:fill="53439A"/>
          </w:tcPr>
          <w:p>
            <w:pPr>
              <w:spacing w:after="0" w:line="20" w:lineRule="exact"/>
              <w:rPr>
                <w:sz w:val="1"/>
                <w:szCs w:val="1"/>
                <w:color w:val="auto"/>
              </w:rPr>
            </w:pPr>
          </w:p>
        </w:tc>
        <w:tc>
          <w:tcPr>
            <w:tcW w:w="80" w:type="dxa"/>
            <w:vAlign w:val="bottom"/>
            <w:shd w:val="clear" w:color="auto" w:fill="53439A"/>
          </w:tcPr>
          <w:p>
            <w:pPr>
              <w:spacing w:after="0" w:line="20" w:lineRule="exact"/>
              <w:rPr>
                <w:sz w:val="1"/>
                <w:szCs w:val="1"/>
                <w:color w:val="auto"/>
              </w:rPr>
            </w:pPr>
          </w:p>
        </w:tc>
        <w:tc>
          <w:tcPr>
            <w:tcW w:w="100" w:type="dxa"/>
            <w:vAlign w:val="bottom"/>
            <w:tcBorders>
              <w:right w:val="single" w:sz="8" w:color="53439A"/>
            </w:tcBorders>
            <w:shd w:val="clear" w:color="auto" w:fill="53439A"/>
          </w:tcPr>
          <w:p>
            <w:pPr>
              <w:spacing w:after="0" w:line="20" w:lineRule="exact"/>
              <w:rPr>
                <w:sz w:val="1"/>
                <w:szCs w:val="1"/>
                <w:color w:val="auto"/>
              </w:rPr>
            </w:pPr>
          </w:p>
        </w:tc>
        <w:tc>
          <w:tcPr>
            <w:tcW w:w="100" w:type="dxa"/>
            <w:vAlign w:val="bottom"/>
            <w:tcBorders>
              <w:right w:val="single" w:sz="8" w:color="53439A"/>
            </w:tcBorders>
            <w:shd w:val="clear" w:color="auto" w:fill="53439A"/>
          </w:tcPr>
          <w:p>
            <w:pPr>
              <w:spacing w:after="0" w:line="20" w:lineRule="exact"/>
              <w:rPr>
                <w:sz w:val="1"/>
                <w:szCs w:val="1"/>
                <w:color w:val="auto"/>
              </w:rPr>
            </w:pPr>
          </w:p>
        </w:tc>
        <w:tc>
          <w:tcPr>
            <w:tcW w:w="60" w:type="dxa"/>
            <w:vAlign w:val="bottom"/>
            <w:shd w:val="clear" w:color="auto" w:fill="53439A"/>
          </w:tcPr>
          <w:p>
            <w:pPr>
              <w:spacing w:after="0" w:line="20" w:lineRule="exact"/>
              <w:rPr>
                <w:sz w:val="1"/>
                <w:szCs w:val="1"/>
                <w:color w:val="auto"/>
              </w:rPr>
            </w:pPr>
          </w:p>
        </w:tc>
        <w:tc>
          <w:tcPr>
            <w:tcW w:w="100" w:type="dxa"/>
            <w:vAlign w:val="bottom"/>
            <w:shd w:val="clear" w:color="auto" w:fill="53439A"/>
          </w:tcPr>
          <w:p>
            <w:pPr>
              <w:spacing w:after="0" w:line="20" w:lineRule="exact"/>
              <w:rPr>
                <w:sz w:val="1"/>
                <w:szCs w:val="1"/>
                <w:color w:val="auto"/>
              </w:rPr>
            </w:pPr>
          </w:p>
        </w:tc>
        <w:tc>
          <w:tcPr>
            <w:tcW w:w="200" w:type="dxa"/>
            <w:vAlign w:val="bottom"/>
            <w:shd w:val="clear" w:color="auto" w:fill="53439A"/>
          </w:tcPr>
          <w:p>
            <w:pPr>
              <w:spacing w:after="0" w:line="20" w:lineRule="exact"/>
              <w:rPr>
                <w:sz w:val="1"/>
                <w:szCs w:val="1"/>
                <w:color w:val="auto"/>
              </w:rPr>
            </w:pPr>
          </w:p>
        </w:tc>
        <w:tc>
          <w:tcPr>
            <w:tcW w:w="780" w:type="dxa"/>
            <w:vAlign w:val="bottom"/>
            <w:shd w:val="clear" w:color="auto" w:fill="53439A"/>
          </w:tcPr>
          <w:p>
            <w:pPr>
              <w:spacing w:after="0" w:line="20" w:lineRule="exact"/>
              <w:rPr>
                <w:sz w:val="1"/>
                <w:szCs w:val="1"/>
                <w:color w:val="auto"/>
              </w:rPr>
            </w:pPr>
          </w:p>
        </w:tc>
        <w:tc>
          <w:tcPr>
            <w:tcW w:w="200" w:type="dxa"/>
            <w:vAlign w:val="bottom"/>
            <w:shd w:val="clear" w:color="auto" w:fill="53439A"/>
          </w:tcPr>
          <w:p>
            <w:pPr>
              <w:spacing w:after="0" w:line="20" w:lineRule="exact"/>
              <w:rPr>
                <w:sz w:val="1"/>
                <w:szCs w:val="1"/>
                <w:color w:val="auto"/>
              </w:rPr>
            </w:pPr>
          </w:p>
        </w:tc>
        <w:tc>
          <w:tcPr>
            <w:tcW w:w="800" w:type="dxa"/>
            <w:vAlign w:val="bottom"/>
            <w:shd w:val="clear" w:color="auto" w:fill="53439A"/>
          </w:tcPr>
          <w:p>
            <w:pPr>
              <w:spacing w:after="0" w:line="20" w:lineRule="exact"/>
              <w:rPr>
                <w:sz w:val="1"/>
                <w:szCs w:val="1"/>
                <w:color w:val="auto"/>
              </w:rPr>
            </w:pPr>
          </w:p>
        </w:tc>
        <w:tc>
          <w:tcPr>
            <w:tcW w:w="200" w:type="dxa"/>
            <w:vAlign w:val="bottom"/>
            <w:shd w:val="clear" w:color="auto" w:fill="53439A"/>
          </w:tcPr>
          <w:p>
            <w:pPr>
              <w:spacing w:after="0" w:line="20" w:lineRule="exact"/>
              <w:rPr>
                <w:sz w:val="1"/>
                <w:szCs w:val="1"/>
                <w:color w:val="auto"/>
              </w:rPr>
            </w:pPr>
          </w:p>
        </w:tc>
        <w:tc>
          <w:tcPr>
            <w:tcW w:w="780" w:type="dxa"/>
            <w:vAlign w:val="bottom"/>
            <w:shd w:val="clear" w:color="auto" w:fill="53439A"/>
          </w:tcPr>
          <w:p>
            <w:pPr>
              <w:spacing w:after="0" w:line="20" w:lineRule="exact"/>
              <w:rPr>
                <w:sz w:val="1"/>
                <w:szCs w:val="1"/>
                <w:color w:val="auto"/>
              </w:rPr>
            </w:pPr>
          </w:p>
        </w:tc>
        <w:tc>
          <w:tcPr>
            <w:tcW w:w="40" w:type="dxa"/>
            <w:vAlign w:val="bottom"/>
            <w:shd w:val="clear" w:color="auto" w:fill="53439A"/>
          </w:tcPr>
          <w:p>
            <w:pPr>
              <w:spacing w:after="0" w:line="20" w:lineRule="exact"/>
              <w:rPr>
                <w:sz w:val="1"/>
                <w:szCs w:val="1"/>
                <w:color w:val="auto"/>
              </w:rPr>
            </w:pPr>
          </w:p>
        </w:tc>
        <w:tc>
          <w:tcPr>
            <w:tcW w:w="940" w:type="dxa"/>
            <w:vAlign w:val="bottom"/>
            <w:shd w:val="clear" w:color="auto" w:fill="53439A"/>
          </w:tcPr>
          <w:p>
            <w:pPr>
              <w:spacing w:after="0" w:line="20" w:lineRule="exact"/>
              <w:rPr>
                <w:sz w:val="1"/>
                <w:szCs w:val="1"/>
                <w:color w:val="auto"/>
              </w:rPr>
            </w:pPr>
          </w:p>
        </w:tc>
        <w:tc>
          <w:tcPr>
            <w:tcW w:w="700" w:type="dxa"/>
            <w:vAlign w:val="bottom"/>
            <w:shd w:val="clear" w:color="auto" w:fill="53439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000" w:type="dxa"/>
            <w:vAlign w:val="bottom"/>
            <w:gridSpan w:val="2"/>
          </w:tcPr>
          <w:p>
            <w:pPr>
              <w:spacing w:after="0"/>
              <w:rPr>
                <w:sz w:val="20"/>
                <w:szCs w:val="20"/>
                <w:color w:val="auto"/>
              </w:rPr>
            </w:pPr>
            <w:r>
              <w:rPr>
                <w:rFonts w:ascii="Arial" w:cs="Arial" w:eastAsia="Arial" w:hAnsi="Arial"/>
                <w:sz w:val="14"/>
                <w:szCs w:val="14"/>
                <w:color w:val="auto"/>
              </w:rPr>
              <w:t>NBCUniversal 2012 Annual Report on Form 10-K</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Distribution</w:t>
      </w:r>
    </w:p>
    <w:p>
      <w:pPr>
        <w:jc w:val="both"/>
        <w:spacing w:after="0" w:line="239" w:lineRule="auto"/>
        <w:rPr>
          <w:sz w:val="20"/>
          <w:szCs w:val="20"/>
          <w:color w:val="auto"/>
        </w:rPr>
      </w:pPr>
      <w:r>
        <w:rPr>
          <w:rFonts w:ascii="Arial" w:cs="Arial" w:eastAsia="Arial" w:hAnsi="Arial"/>
          <w:sz w:val="18"/>
          <w:szCs w:val="18"/>
          <w:color w:val="auto"/>
        </w:rPr>
        <w:t>Distribution revenue is generated from distribution agreements with multichannel video providers and is affected by the number of subscribers receiving our cable networks and the fees we charge per subscriber.</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Distribution revenue increased in 2012 primarily due to contractual rate increases as well as due to the inclusion of 12 months of operating results of the Comcast Content Business in 2012 compared to 11 months in 2011.</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Distribution revenue in 2011 included $1.7 billion attributable to the Comcast Content Business. Excluding the impact of the Comcast Content Business, distribution revenue increased in 2011 primarily due to contractual rate increases and increases in the number of subscribers to our cable networks.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2012 and 2011, 13% of our total Cable Networks segment revenue was generated from transactions with Comcast.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3439A"/>
        </w:rPr>
        <w:t>Advertising</w:t>
      </w:r>
    </w:p>
    <w:p>
      <w:pPr>
        <w:jc w:val="both"/>
        <w:spacing w:after="0" w:line="237" w:lineRule="auto"/>
        <w:rPr>
          <w:sz w:val="20"/>
          <w:szCs w:val="20"/>
          <w:color w:val="auto"/>
        </w:rPr>
      </w:pPr>
      <w:r>
        <w:rPr>
          <w:rFonts w:ascii="Arial" w:cs="Arial" w:eastAsia="Arial" w:hAnsi="Arial"/>
          <w:sz w:val="18"/>
          <w:szCs w:val="18"/>
          <w:color w:val="auto"/>
        </w:rPr>
        <w:t>Advertising revenue is generated from the sale of advertising time on our cable networks and related digital media properties. Our advertising revenue is generally based on audience ratings, the value of our viewer demographics to advertisers, and the number of advertising units we can place in our cable networks’ programming schedules. Advertising revenue is affected by the strength of the national advertising market, general economic conditions and the success of our programming.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revenue increased in 2012 primarily due to increases in the price and volume of advertising units sold which were substantially offset by declines in audience ratings at certain of our cable networks. In addition, the current year included 12 months of operating results of the Comcast Content Business compared to 11 months in 2011.</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Advertising revenue in 2011 included $907 million attributable to the Comcast Content Business. Excluding the impact of the Comcast Content Business, advertising revenue increased in 2011 primarily due to an increase in the price of advertising units sold.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Content Licensing and Other</w:t>
      </w:r>
    </w:p>
    <w:p>
      <w:pPr>
        <w:jc w:val="both"/>
        <w:spacing w:after="0" w:line="239" w:lineRule="auto"/>
        <w:rPr>
          <w:sz w:val="20"/>
          <w:szCs w:val="20"/>
          <w:color w:val="auto"/>
        </w:rPr>
      </w:pPr>
      <w:r>
        <w:rPr>
          <w:rFonts w:ascii="Arial" w:cs="Arial" w:eastAsia="Arial" w:hAnsi="Arial"/>
          <w:sz w:val="18"/>
          <w:szCs w:val="18"/>
          <w:color w:val="auto"/>
        </w:rPr>
        <w:t>We also generate other revenue primarily from the licensing of our owned programming to various distribution platforms, including cable and broadcast networks and to digital distributors, such as Netflix.</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Content licensing and other revenue increased in 2012 primarily due to the inclusion of 12 months of operating results of the Comcast Content Business in 2012 compared to 11 months in 2011.</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Content licensing and other revenue in 2011 included $211 million attributable to the Comcast Content Business. Excluding the impact of the Comcast Content Business, revenue increased in 2011 primarily due to increases in the licensing of our owned content from our cable production studio.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Networks segment operating costs and expenses consist of programming and production expenses, advertising and marketing expenses, and other operating and administrative expenses. Programming and production expenses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 Advertising and marketing expenses primarily consist of the costs incurred in promoting our cable networks and costs associated with digital media. Other operating and administrative costs and expenses include salaries, employee benefits, rent and other overhead expenses.</w:t>
      </w:r>
    </w:p>
    <w:p>
      <w:pPr>
        <w:spacing w:after="0" w:line="326"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costs and expenses increased in 2012 primarily due to higher programming and production expenses that resulted from an increase in sports programming rights costs, as well as from our continuing investment in original programming. The remaining increases were due to the inclusion of 12 months of operating results of the Comcast Content Business in 2012 compared to 11 months in 2011 as well as higher other operating and administrative expenses associated with personnel costs.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costs and expenses in 2011 include $2 billion of expenses associated with the Comcast Content Business. In addition, operating costs and expenses increased in 2011 primarily due to higher programming and production expenses associated with an increase in original programming.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Broadcast Television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ind w:left="50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Predecessor</w:t>
            </w:r>
          </w:p>
        </w:tc>
        <w:tc>
          <w:tcPr>
            <w:tcW w:w="16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color w:val="auto"/>
                <w:w w:val="97"/>
              </w:rPr>
              <w:t>Combined</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Predecessor</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0"/>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w w:val="98"/>
              </w:rPr>
              <w:t>January 29,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40"/>
              <w:spacing w:after="0" w:line="149" w:lineRule="exact"/>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240"/>
              <w:spacing w:after="0" w:line="133"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40"/>
              <w:spacing w:after="0" w:line="133"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4"/>
              </w:rPr>
              <w:t>Year Ended</w:t>
            </w:r>
          </w:p>
        </w:tc>
        <w:tc>
          <w:tcPr>
            <w:tcW w:w="960" w:type="dxa"/>
            <w:vAlign w:val="bottom"/>
            <w:vMerge w:val="continue"/>
          </w:tcPr>
          <w:p>
            <w:pPr>
              <w:spacing w:after="0"/>
              <w:rPr>
                <w:sz w:val="11"/>
                <w:szCs w:val="11"/>
                <w:color w:val="auto"/>
              </w:rPr>
            </w:pPr>
          </w:p>
        </w:tc>
        <w:tc>
          <w:tcPr>
            <w:tcW w:w="98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1160" w:type="dxa"/>
            <w:vAlign w:val="bottom"/>
            <w:tcBorders>
              <w:right w:val="single" w:sz="8" w:color="auto"/>
            </w:tcBorders>
            <w:gridSpan w:val="3"/>
          </w:tcPr>
          <w:p>
            <w:pPr>
              <w:jc w:val="right"/>
              <w:ind w:right="240"/>
              <w:spacing w:after="0" w:line="149"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40"/>
              <w:spacing w:after="0" w:line="149" w:lineRule="exact"/>
              <w:rPr>
                <w:sz w:val="20"/>
                <w:szCs w:val="20"/>
                <w:color w:val="auto"/>
              </w:rPr>
            </w:pPr>
            <w:r>
              <w:rPr>
                <w:rFonts w:ascii="Arial" w:cs="Arial" w:eastAsia="Arial" w:hAnsi="Arial"/>
                <w:sz w:val="14"/>
                <w:szCs w:val="14"/>
                <w:color w:val="auto"/>
                <w:w w:val="98"/>
              </w:rPr>
              <w:t>January 28,</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96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2011 to</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2010 to</w:t>
            </w:r>
          </w:p>
        </w:tc>
        <w:tc>
          <w:tcPr>
            <w:tcW w:w="0" w:type="dxa"/>
            <w:vAlign w:val="bottom"/>
          </w:tcPr>
          <w:p>
            <w:pPr>
              <w:spacing w:after="0"/>
              <w:rPr>
                <w:sz w:val="1"/>
                <w:szCs w:val="1"/>
                <w:color w:val="auto"/>
              </w:rPr>
            </w:pPr>
          </w:p>
        </w:tc>
      </w:tr>
      <w:tr>
        <w:trPr>
          <w:trHeight w:val="165"/>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41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5,842</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37.2%</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20" w:type="dxa"/>
            <w:vAlign w:val="bottom"/>
          </w:tcPr>
          <w:p>
            <w:pPr>
              <w:ind w:left="200"/>
              <w:spacing w:after="0" w:line="181" w:lineRule="exact"/>
              <w:rPr>
                <w:sz w:val="20"/>
                <w:szCs w:val="20"/>
                <w:color w:val="auto"/>
              </w:rPr>
            </w:pPr>
            <w:r>
              <w:rPr>
                <w:rFonts w:ascii="Arial" w:cs="Arial" w:eastAsia="Arial" w:hAnsi="Arial"/>
                <w:sz w:val="18"/>
                <w:szCs w:val="18"/>
                <w:color w:val="auto"/>
              </w:rPr>
              <w:t>Advertising</w:t>
            </w:r>
          </w:p>
        </w:tc>
        <w:tc>
          <w:tcPr>
            <w:tcW w:w="2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3,941</w:t>
            </w:r>
          </w:p>
        </w:tc>
        <w:tc>
          <w:tcPr>
            <w:tcW w:w="180" w:type="dxa"/>
            <w:vAlign w:val="bottom"/>
            <w:tcBorders>
              <w:right w:val="single" w:sz="8" w:color="auto"/>
            </w:tcBorders>
          </w:tcPr>
          <w:p>
            <w:pPr>
              <w:spacing w:after="0"/>
              <w:rPr>
                <w:sz w:val="15"/>
                <w:szCs w:val="15"/>
                <w:color w:val="auto"/>
              </w:rPr>
            </w:pPr>
          </w:p>
        </w:tc>
        <w:tc>
          <w:tcPr>
            <w:tcW w:w="3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40"/>
              <w:spacing w:after="0" w:line="181" w:lineRule="exact"/>
              <w:rPr>
                <w:sz w:val="20"/>
                <w:szCs w:val="20"/>
                <w:color w:val="auto"/>
              </w:rPr>
            </w:pPr>
            <w:r>
              <w:rPr>
                <w:rFonts w:ascii="Arial" w:cs="Arial" w:eastAsia="Arial" w:hAnsi="Arial"/>
                <w:sz w:val="18"/>
                <w:szCs w:val="18"/>
                <w:color w:val="auto"/>
              </w:rPr>
              <w:t>315</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4,256</w:t>
            </w:r>
          </w:p>
        </w:tc>
        <w:tc>
          <w:tcPr>
            <w:tcW w:w="200" w:type="dxa"/>
            <w:vAlign w:val="bottom"/>
          </w:tcPr>
          <w:p>
            <w:pPr>
              <w:ind w:left="80"/>
              <w:spacing w:after="0" w:line="181"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4,813</w:t>
            </w:r>
          </w:p>
        </w:tc>
        <w:tc>
          <w:tcPr>
            <w:tcW w:w="960" w:type="dxa"/>
            <w:vAlign w:val="bottom"/>
            <w:vMerge w:val="continue"/>
          </w:tcPr>
          <w:p>
            <w:pPr>
              <w:spacing w:after="0"/>
              <w:rPr>
                <w:sz w:val="15"/>
                <w:szCs w:val="15"/>
                <w:color w:val="auto"/>
              </w:rPr>
            </w:pPr>
          </w:p>
        </w:tc>
        <w:tc>
          <w:tcPr>
            <w:tcW w:w="98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1,474</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1,620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1,315</w:t>
            </w:r>
          </w:p>
        </w:tc>
        <w:tc>
          <w:tcPr>
            <w:tcW w:w="960" w:type="dxa"/>
            <w:vAlign w:val="bottom"/>
          </w:tcPr>
          <w:p>
            <w:pPr>
              <w:jc w:val="right"/>
              <w:ind w:right="79"/>
              <w:spacing w:after="0" w:line="202" w:lineRule="exact"/>
              <w:rPr>
                <w:sz w:val="20"/>
                <w:szCs w:val="20"/>
                <w:color w:val="auto"/>
              </w:rPr>
            </w:pPr>
            <w:r>
              <w:rPr>
                <w:rFonts w:ascii="Arial" w:cs="Arial" w:eastAsia="Arial" w:hAnsi="Arial"/>
                <w:sz w:val="18"/>
                <w:szCs w:val="18"/>
                <w:b w:val="1"/>
                <w:bCs w:val="1"/>
                <w:color w:val="auto"/>
              </w:rPr>
              <w:t>(9.1)</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60.4</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2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20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8,154</w:t>
            </w:r>
          </w:p>
        </w:tc>
        <w:tc>
          <w:tcPr>
            <w:tcW w:w="18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5,935</w:t>
            </w: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0"/>
              <w:spacing w:after="0" w:line="177" w:lineRule="exact"/>
              <w:rPr>
                <w:sz w:val="20"/>
                <w:szCs w:val="20"/>
                <w:color w:val="auto"/>
              </w:rPr>
            </w:pPr>
            <w:r>
              <w:rPr>
                <w:rFonts w:ascii="Arial" w:cs="Arial" w:eastAsia="Arial" w:hAnsi="Arial"/>
                <w:sz w:val="18"/>
                <w:szCs w:val="18"/>
                <w:color w:val="auto"/>
              </w:rPr>
              <w:t>464</w:t>
            </w:r>
          </w:p>
        </w:tc>
        <w:tc>
          <w:tcPr>
            <w:tcW w:w="16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6,399</w:t>
            </w:r>
          </w:p>
        </w:tc>
        <w:tc>
          <w:tcPr>
            <w:tcW w:w="2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6,888</w:t>
            </w:r>
          </w:p>
        </w:tc>
        <w:tc>
          <w:tcPr>
            <w:tcW w:w="96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27.4</w:t>
            </w:r>
          </w:p>
        </w:tc>
        <w:tc>
          <w:tcPr>
            <w:tcW w:w="980" w:type="dxa"/>
            <w:vAlign w:val="bottom"/>
            <w:gridSpan w:val="2"/>
          </w:tcPr>
          <w:p>
            <w:pPr>
              <w:jc w:val="right"/>
              <w:ind w:right="220"/>
              <w:spacing w:after="0" w:line="177"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7,785</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480</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24.0</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7"/>
        </w:trPr>
        <w:tc>
          <w:tcPr>
            <w:tcW w:w="41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w w:val="99"/>
              </w:rPr>
              <w:t>Operating income (loss) before depreciation and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right w:val="single" w:sz="8" w:color="auto"/>
            </w:tcBorders>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53439A"/>
          </w:tcPr>
          <w:p>
            <w:pPr>
              <w:spacing w:after="0" w:line="20" w:lineRule="exact"/>
              <w:rPr>
                <w:sz w:val="1"/>
                <w:szCs w:val="1"/>
                <w:color w:val="auto"/>
              </w:rPr>
            </w:pPr>
          </w:p>
        </w:tc>
        <w:tc>
          <w:tcPr>
            <w:tcW w:w="200" w:type="dxa"/>
            <w:vAlign w:val="bottom"/>
            <w:shd w:val="clear" w:color="auto" w:fill="53439A"/>
          </w:tcPr>
          <w:p>
            <w:pPr>
              <w:spacing w:after="0" w:line="20" w:lineRule="exact"/>
              <w:rPr>
                <w:sz w:val="1"/>
                <w:szCs w:val="1"/>
                <w:color w:val="auto"/>
              </w:rPr>
            </w:pPr>
          </w:p>
        </w:tc>
        <w:tc>
          <w:tcPr>
            <w:tcW w:w="820" w:type="dxa"/>
            <w:vAlign w:val="bottom"/>
            <w:shd w:val="clear" w:color="auto" w:fill="53439A"/>
          </w:tcPr>
          <w:p>
            <w:pPr>
              <w:spacing w:after="0" w:line="20" w:lineRule="exact"/>
              <w:rPr>
                <w:sz w:val="1"/>
                <w:szCs w:val="1"/>
                <w:color w:val="auto"/>
              </w:rPr>
            </w:pPr>
          </w:p>
        </w:tc>
        <w:tc>
          <w:tcPr>
            <w:tcW w:w="180" w:type="dxa"/>
            <w:vAlign w:val="bottom"/>
            <w:shd w:val="clear" w:color="auto" w:fill="53439A"/>
          </w:tcPr>
          <w:p>
            <w:pPr>
              <w:spacing w:after="0" w:line="20" w:lineRule="exact"/>
              <w:rPr>
                <w:sz w:val="1"/>
                <w:szCs w:val="1"/>
                <w:color w:val="auto"/>
              </w:rPr>
            </w:pPr>
          </w:p>
        </w:tc>
        <w:tc>
          <w:tcPr>
            <w:tcW w:w="800" w:type="dxa"/>
            <w:vAlign w:val="bottom"/>
            <w:shd w:val="clear" w:color="auto" w:fill="53439A"/>
          </w:tcPr>
          <w:p>
            <w:pPr>
              <w:spacing w:after="0" w:line="20" w:lineRule="exact"/>
              <w:rPr>
                <w:sz w:val="1"/>
                <w:szCs w:val="1"/>
                <w:color w:val="auto"/>
              </w:rPr>
            </w:pPr>
          </w:p>
        </w:tc>
        <w:tc>
          <w:tcPr>
            <w:tcW w:w="180" w:type="dxa"/>
            <w:vAlign w:val="bottom"/>
            <w:tcBorders>
              <w:right w:val="single" w:sz="8" w:color="53439A"/>
            </w:tcBorders>
            <w:shd w:val="clear" w:color="auto" w:fill="53439A"/>
          </w:tcPr>
          <w:p>
            <w:pPr>
              <w:spacing w:after="0" w:line="20" w:lineRule="exact"/>
              <w:rPr>
                <w:sz w:val="1"/>
                <w:szCs w:val="1"/>
                <w:color w:val="auto"/>
              </w:rPr>
            </w:pPr>
          </w:p>
        </w:tc>
        <w:tc>
          <w:tcPr>
            <w:tcW w:w="180" w:type="dxa"/>
            <w:vAlign w:val="bottom"/>
            <w:shd w:val="clear" w:color="auto" w:fill="53439A"/>
          </w:tcPr>
          <w:p>
            <w:pPr>
              <w:spacing w:after="0" w:line="20" w:lineRule="exact"/>
              <w:rPr>
                <w:sz w:val="1"/>
                <w:szCs w:val="1"/>
                <w:color w:val="auto"/>
              </w:rPr>
            </w:pPr>
          </w:p>
        </w:tc>
        <w:tc>
          <w:tcPr>
            <w:tcW w:w="180" w:type="dxa"/>
            <w:vAlign w:val="bottom"/>
            <w:shd w:val="clear" w:color="auto" w:fill="53439A"/>
          </w:tcPr>
          <w:p>
            <w:pPr>
              <w:spacing w:after="0" w:line="20" w:lineRule="exact"/>
              <w:rPr>
                <w:sz w:val="1"/>
                <w:szCs w:val="1"/>
                <w:color w:val="auto"/>
              </w:rPr>
            </w:pPr>
          </w:p>
        </w:tc>
        <w:tc>
          <w:tcPr>
            <w:tcW w:w="860" w:type="dxa"/>
            <w:vAlign w:val="bottom"/>
            <w:shd w:val="clear" w:color="auto" w:fill="53439A"/>
          </w:tcPr>
          <w:p>
            <w:pPr>
              <w:spacing w:after="0" w:line="20" w:lineRule="exact"/>
              <w:rPr>
                <w:sz w:val="1"/>
                <w:szCs w:val="1"/>
                <w:color w:val="auto"/>
              </w:rPr>
            </w:pPr>
          </w:p>
        </w:tc>
        <w:tc>
          <w:tcPr>
            <w:tcW w:w="160" w:type="dxa"/>
            <w:vAlign w:val="bottom"/>
            <w:shd w:val="clear" w:color="auto" w:fill="53439A"/>
          </w:tcPr>
          <w:p>
            <w:pPr>
              <w:spacing w:after="0" w:line="20" w:lineRule="exact"/>
              <w:rPr>
                <w:sz w:val="1"/>
                <w:szCs w:val="1"/>
                <w:color w:val="auto"/>
              </w:rPr>
            </w:pPr>
          </w:p>
        </w:tc>
        <w:tc>
          <w:tcPr>
            <w:tcW w:w="800" w:type="dxa"/>
            <w:vAlign w:val="bottom"/>
            <w:shd w:val="clear" w:color="auto" w:fill="53439A"/>
          </w:tcPr>
          <w:p>
            <w:pPr>
              <w:spacing w:after="0" w:line="20" w:lineRule="exact"/>
              <w:rPr>
                <w:sz w:val="1"/>
                <w:szCs w:val="1"/>
                <w:color w:val="auto"/>
              </w:rPr>
            </w:pPr>
          </w:p>
        </w:tc>
        <w:tc>
          <w:tcPr>
            <w:tcW w:w="200" w:type="dxa"/>
            <w:vAlign w:val="bottom"/>
            <w:shd w:val="clear" w:color="auto" w:fill="53439A"/>
          </w:tcPr>
          <w:p>
            <w:pPr>
              <w:spacing w:after="0" w:line="20" w:lineRule="exact"/>
              <w:rPr>
                <w:sz w:val="1"/>
                <w:szCs w:val="1"/>
                <w:color w:val="auto"/>
              </w:rPr>
            </w:pPr>
          </w:p>
        </w:tc>
        <w:tc>
          <w:tcPr>
            <w:tcW w:w="780" w:type="dxa"/>
            <w:vAlign w:val="bottom"/>
            <w:shd w:val="clear" w:color="auto" w:fill="53439A"/>
          </w:tcPr>
          <w:p>
            <w:pPr>
              <w:spacing w:after="0" w:line="20" w:lineRule="exact"/>
              <w:rPr>
                <w:sz w:val="1"/>
                <w:szCs w:val="1"/>
                <w:color w:val="auto"/>
              </w:rPr>
            </w:pPr>
          </w:p>
        </w:tc>
        <w:tc>
          <w:tcPr>
            <w:tcW w:w="960" w:type="dxa"/>
            <w:vAlign w:val="bottom"/>
            <w:shd w:val="clear" w:color="auto" w:fill="53439A"/>
          </w:tcPr>
          <w:p>
            <w:pPr>
              <w:spacing w:after="0" w:line="20" w:lineRule="exact"/>
              <w:rPr>
                <w:sz w:val="1"/>
                <w:szCs w:val="1"/>
                <w:color w:val="auto"/>
              </w:rPr>
            </w:pPr>
          </w:p>
        </w:tc>
        <w:tc>
          <w:tcPr>
            <w:tcW w:w="700" w:type="dxa"/>
            <w:vAlign w:val="bottom"/>
            <w:shd w:val="clear" w:color="auto" w:fill="53439A"/>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Advertising</w:t>
      </w:r>
    </w:p>
    <w:p>
      <w:pPr>
        <w:jc w:val="both"/>
        <w:spacing w:after="0" w:line="236" w:lineRule="auto"/>
        <w:rPr>
          <w:sz w:val="20"/>
          <w:szCs w:val="20"/>
          <w:color w:val="auto"/>
        </w:rPr>
      </w:pPr>
      <w:r>
        <w:rPr>
          <w:rFonts w:ascii="Arial" w:cs="Arial" w:eastAsia="Arial" w:hAnsi="Arial"/>
          <w:sz w:val="18"/>
          <w:szCs w:val="18"/>
          <w:color w:val="auto"/>
        </w:rPr>
        <w:t>Advertising revenue is generated from the sale of advertising time on our broadcast networks, owned local television stations and related digital media properties. Our advertising revenue is generally based on audience ratings,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and the success of our programming.</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revenue increased in 2012 primarily due to $1.2 billion of advertising revenue associated with our broadcasts of the 2012 London Olympics and the 2012 Super Bowl. Excluding the impact of these events, advertising revenue increased 9% in 2012 primarily due to an increase in the price and volume of advertising units sold, which included the impact of higher political advertising.</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revenue decreased in 2011 primarily due to $601 million of advertising revenue recognized in 2010 related to the 2010 Vancouver Olympics. Excluding the impact of the 2010 Vancouver Olympics, advertising revenue increased slightly in 2011 primarily due to an increase in the price of advertising units sold, substantially offset by the decline in audience ratings in our primetime schedule.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Content Licensing</w:t>
      </w:r>
    </w:p>
    <w:p>
      <w:pPr>
        <w:jc w:val="both"/>
        <w:spacing w:after="0" w:line="239"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including to cable and broadcast networks and digital distributors, such as Netflix. The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production and distribution costs related to our owned programming generally exceed the revenue generated from the initial network license. The subsequent licensing of our owned television programming following the initial network license is critical to the financial success of a television series.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Content licensing revenue decreased in 2012 and increased in 2011 primarily due to the impact of licensing agreements for our prior season and library content that were entered into in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Other</w:t>
      </w:r>
    </w:p>
    <w:p>
      <w:pPr>
        <w:jc w:val="both"/>
        <w:spacing w:after="0" w:line="236" w:lineRule="auto"/>
        <w:rPr>
          <w:sz w:val="20"/>
          <w:szCs w:val="20"/>
          <w:color w:val="auto"/>
        </w:rPr>
      </w:pPr>
      <w:r>
        <w:rPr>
          <w:rFonts w:ascii="Arial" w:cs="Arial" w:eastAsia="Arial" w:hAnsi="Arial"/>
          <w:sz w:val="18"/>
          <w:szCs w:val="18"/>
          <w:color w:val="auto"/>
        </w:rPr>
        <w:t>We also generate revenue from the sale of our owned programming on DVDs and through digital distributors, such as iTunes, and from fees for retransmission consent of our owned local broadcast television stations and associated fees received from our affiliated local television stations. The sale of our owned programming is driven primarily by the popularity of our broadcast networks and programming series and, therefore, fluctuates based on consumer spending and acceptance. Other revenue also includes distribution revenue associated with our periodic broadcasts of the Olympic Games.</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Other revenue increased in 2012 primarily due to $266 million of distribution revenue from multichannel video providers associated with our broadcast of the 2012 London Olympics.</w:t>
      </w:r>
    </w:p>
    <w:p>
      <w:pPr>
        <w:spacing w:after="0" w:line="155" w:lineRule="exact"/>
        <w:rPr>
          <w:sz w:val="20"/>
          <w:szCs w:val="20"/>
          <w:color w:val="auto"/>
        </w:rPr>
      </w:pPr>
    </w:p>
    <w:p>
      <w:pPr>
        <w:ind w:right="1760"/>
        <w:spacing w:after="0" w:line="328" w:lineRule="auto"/>
        <w:rPr>
          <w:sz w:val="20"/>
          <w:szCs w:val="20"/>
          <w:color w:val="auto"/>
        </w:rPr>
      </w:pPr>
      <w:r>
        <w:rPr>
          <w:rFonts w:ascii="Arial" w:cs="Arial" w:eastAsia="Arial" w:hAnsi="Arial"/>
          <w:sz w:val="18"/>
          <w:szCs w:val="18"/>
          <w:color w:val="auto"/>
        </w:rPr>
        <w:t xml:space="preserve">Other revenue decreased in 2011 primarily due to the absence of the 2010 Vancouver Olympics and a decline in DVD sales. </w:t>
      </w:r>
      <w:r>
        <w:rPr>
          <w:rFonts w:ascii="Arial" w:cs="Arial" w:eastAsia="Arial" w:hAnsi="Arial"/>
          <w:sz w:val="18"/>
          <w:szCs w:val="18"/>
          <w:b w:val="1"/>
          <w:bCs w:val="1"/>
          <w:color w:val="auto"/>
        </w:rPr>
        <w:t>Broadcast Television Segment – Operating Costs and Expenses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Broadcast Television segment operating costs and expenses consist of programming and production expenses, advertising and marketing expenses, and other operating and administrative expenses. Programming and production expenses relate to content originating on our broadcast networks and owned local broadcast television stations and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 Advertising and marketing expenses consist primarily of the costs associated with promoting our owned television programming, as well as the marketing of DVDs and costs associated with digital media. Other operating and administrative expenses include salaries, employee benefits, rent and other overhead expenses.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costs and expenses increased in 2012 primarily due to the increase in programming rights and production costs of $1.3 billion associated with our broadcast of the 2012 London Olympics and the 2012 Super Bowl. Excluding the impact of these events, operating costs and expenses increased 3% in 2012, primarily due to higher programming and production costs associated with our continued investment in original programming.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costs and expenses decreased in 2011 primarily due to $1 billion of programming and production expenses recognized in 2010 associated with the 2010 Vancouver Olympics. Excluding the impact of the 2010 Vancouver Olympics, operating costs and expenses increased in 2011 primarily due to higher programming and production expenses associated with a greater number of original primetime series in 2011.</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Filmed Entertainment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4"/>
          </w:tcPr>
          <w:p>
            <w:pPr>
              <w:ind w:left="50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Predecessor</w:t>
            </w:r>
          </w:p>
        </w:tc>
        <w:tc>
          <w:tcPr>
            <w:tcW w:w="18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Arial" w:cs="Arial" w:eastAsia="Arial" w:hAnsi="Arial"/>
                <w:sz w:val="14"/>
                <w:szCs w:val="14"/>
                <w:color w:val="auto"/>
                <w:w w:val="93"/>
              </w:rPr>
              <w:t>Combined</w:t>
            </w:r>
          </w:p>
        </w:tc>
        <w:tc>
          <w:tcPr>
            <w:tcW w:w="960" w:type="dxa"/>
            <w:vAlign w:val="bottom"/>
            <w:gridSpan w:val="2"/>
          </w:tcPr>
          <w:p>
            <w:pPr>
              <w:jc w:val="right"/>
              <w:ind w:right="17"/>
              <w:spacing w:after="0"/>
              <w:rPr>
                <w:sz w:val="20"/>
                <w:szCs w:val="20"/>
                <w:color w:val="auto"/>
              </w:rPr>
            </w:pPr>
            <w:r>
              <w:rPr>
                <w:rFonts w:ascii="Arial" w:cs="Arial" w:eastAsia="Arial" w:hAnsi="Arial"/>
                <w:sz w:val="14"/>
                <w:szCs w:val="14"/>
                <w:color w:val="auto"/>
              </w:rPr>
              <w:t>Predecessor</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For the</w:t>
            </w: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rPr>
              <w:t>Period</w:t>
            </w:r>
          </w:p>
        </w:tc>
        <w:tc>
          <w:tcPr>
            <w:tcW w:w="1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For the Period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2"/>
                <w:szCs w:val="12"/>
                <w:color w:val="auto"/>
              </w:rPr>
            </w:pPr>
          </w:p>
        </w:tc>
        <w:tc>
          <w:tcPr>
            <w:tcW w:w="96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w w:val="95"/>
              </w:rPr>
              <w:t>January 29,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January 1,</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right w:val="single" w:sz="8" w:color="auto"/>
            </w:tcBorders>
            <w:gridSpan w:val="2"/>
          </w:tcPr>
          <w:p>
            <w:pPr>
              <w:jc w:val="right"/>
              <w:ind w:right="240"/>
              <w:spacing w:after="0" w:line="133"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w w:val="97"/>
              </w:rPr>
              <w:t>Year Ended</w:t>
            </w:r>
          </w:p>
        </w:tc>
        <w:tc>
          <w:tcPr>
            <w:tcW w:w="18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4"/>
              </w:rPr>
              <w:t>Year Ended</w:t>
            </w:r>
          </w:p>
        </w:tc>
        <w:tc>
          <w:tcPr>
            <w:tcW w:w="960" w:type="dxa"/>
            <w:vAlign w:val="bottom"/>
            <w:vMerge w:val="continue"/>
          </w:tcPr>
          <w:p>
            <w:pPr>
              <w:spacing w:after="0"/>
              <w:rPr>
                <w:sz w:val="11"/>
                <w:szCs w:val="11"/>
                <w:color w:val="auto"/>
              </w:rPr>
            </w:pPr>
          </w:p>
        </w:tc>
        <w:tc>
          <w:tcPr>
            <w:tcW w:w="960" w:type="dxa"/>
            <w:vAlign w:val="bottom"/>
          </w:tcPr>
          <w:p>
            <w:pPr>
              <w:jc w:val="right"/>
              <w:ind w:right="198"/>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tcBorders>
              <w:right w:val="single" w:sz="8" w:color="auto"/>
            </w:tcBorders>
            <w:gridSpan w:val="3"/>
          </w:tcPr>
          <w:p>
            <w:pPr>
              <w:jc w:val="right"/>
              <w:ind w:right="240"/>
              <w:spacing w:after="0" w:line="149"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8"/>
              </w:rPr>
              <w:t>January 28,</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96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2011 to</w:t>
            </w:r>
          </w:p>
        </w:tc>
        <w:tc>
          <w:tcPr>
            <w:tcW w:w="960" w:type="dxa"/>
            <w:vAlign w:val="bottom"/>
          </w:tcPr>
          <w:p>
            <w:pPr>
              <w:jc w:val="right"/>
              <w:ind w:right="198"/>
              <w:spacing w:after="0" w:line="149" w:lineRule="exact"/>
              <w:rPr>
                <w:sz w:val="20"/>
                <w:szCs w:val="20"/>
                <w:color w:val="auto"/>
              </w:rPr>
            </w:pPr>
            <w:r>
              <w:rPr>
                <w:rFonts w:ascii="Arial" w:cs="Arial" w:eastAsia="Arial" w:hAnsi="Arial"/>
                <w:sz w:val="14"/>
                <w:szCs w:val="14"/>
                <w:color w:val="auto"/>
              </w:rPr>
              <w:t>2010 to</w:t>
            </w:r>
          </w:p>
        </w:tc>
        <w:tc>
          <w:tcPr>
            <w:tcW w:w="0" w:type="dxa"/>
            <w:vAlign w:val="bottom"/>
          </w:tcPr>
          <w:p>
            <w:pPr>
              <w:spacing w:after="0"/>
              <w:rPr>
                <w:sz w:val="1"/>
                <w:szCs w:val="1"/>
                <w:color w:val="auto"/>
              </w:rPr>
            </w:pPr>
          </w:p>
        </w:tc>
      </w:tr>
      <w:tr>
        <w:trPr>
          <w:trHeight w:val="165"/>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42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1,390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33.5%</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tcPr>
          <w:p>
            <w:pPr>
              <w:ind w:left="200"/>
              <w:spacing w:after="0" w:line="181" w:lineRule="exact"/>
              <w:rPr>
                <w:sz w:val="20"/>
                <w:szCs w:val="20"/>
                <w:color w:val="auto"/>
              </w:rPr>
            </w:pPr>
            <w:r>
              <w:rPr>
                <w:rFonts w:ascii="Arial" w:cs="Arial" w:eastAsia="Arial" w:hAnsi="Arial"/>
                <w:sz w:val="18"/>
                <w:szCs w:val="18"/>
                <w:color w:val="auto"/>
              </w:rPr>
              <w:t>Theatrical</w:t>
            </w:r>
          </w:p>
        </w:tc>
        <w:tc>
          <w:tcPr>
            <w:tcW w:w="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983</w:t>
            </w:r>
          </w:p>
        </w:tc>
        <w:tc>
          <w:tcPr>
            <w:tcW w:w="180" w:type="dxa"/>
            <w:vAlign w:val="bottom"/>
            <w:tcBorders>
              <w:right w:val="single" w:sz="8" w:color="auto"/>
            </w:tcBorders>
          </w:tcPr>
          <w:p>
            <w:pPr>
              <w:spacing w:after="0"/>
              <w:rPr>
                <w:sz w:val="15"/>
                <w:szCs w:val="15"/>
                <w:color w:val="auto"/>
              </w:rPr>
            </w:pPr>
          </w:p>
        </w:tc>
        <w:tc>
          <w:tcPr>
            <w:tcW w:w="3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58</w:t>
            </w:r>
          </w:p>
        </w:tc>
        <w:tc>
          <w:tcPr>
            <w:tcW w:w="180" w:type="dxa"/>
            <w:vAlign w:val="bottom"/>
          </w:tcPr>
          <w:p>
            <w:pPr>
              <w:ind w:left="60"/>
              <w:spacing w:after="0" w:line="181"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1,041</w:t>
            </w:r>
          </w:p>
        </w:tc>
        <w:tc>
          <w:tcPr>
            <w:tcW w:w="180" w:type="dxa"/>
            <w:vAlign w:val="bottom"/>
          </w:tcPr>
          <w:p>
            <w:pPr>
              <w:ind w:left="60"/>
              <w:spacing w:after="0" w:line="181"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900</w:t>
            </w:r>
          </w:p>
        </w:tc>
        <w:tc>
          <w:tcPr>
            <w:tcW w:w="960" w:type="dxa"/>
            <w:vAlign w:val="bottom"/>
            <w:vMerge w:val="continue"/>
          </w:tcPr>
          <w:p>
            <w:pPr>
              <w:spacing w:after="0"/>
              <w:rPr>
                <w:sz w:val="15"/>
                <w:szCs w:val="15"/>
                <w:color w:val="auto"/>
              </w:rPr>
            </w:pPr>
          </w:p>
        </w:tc>
        <w:tc>
          <w:tcPr>
            <w:tcW w:w="960" w:type="dxa"/>
            <w:vAlign w:val="bottom"/>
          </w:tcPr>
          <w:p>
            <w:pPr>
              <w:jc w:val="right"/>
              <w:ind w:right="38"/>
              <w:spacing w:after="0" w:line="181"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1,540</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1,234</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1,405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1,336</w:t>
            </w:r>
          </w:p>
        </w:tc>
        <w:tc>
          <w:tcPr>
            <w:tcW w:w="960" w:type="dxa"/>
            <w:vAlign w:val="bottom"/>
          </w:tcPr>
          <w:p>
            <w:pPr>
              <w:jc w:val="right"/>
              <w:ind w:right="138"/>
              <w:spacing w:after="0" w:line="202" w:lineRule="exact"/>
              <w:rPr>
                <w:sz w:val="20"/>
                <w:szCs w:val="20"/>
                <w:color w:val="auto"/>
              </w:rPr>
            </w:pPr>
            <w:r>
              <w:rPr>
                <w:rFonts w:ascii="Arial" w:cs="Arial" w:eastAsia="Arial" w:hAnsi="Arial"/>
                <w:sz w:val="18"/>
                <w:szCs w:val="18"/>
                <w:b w:val="1"/>
                <w:bCs w:val="1"/>
                <w:color w:val="auto"/>
              </w:rPr>
              <w:t>9.7</w:t>
            </w:r>
          </w:p>
        </w:tc>
        <w:tc>
          <w:tcPr>
            <w:tcW w:w="96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Home entertainment</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1,834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1,559</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1,655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1,732</w:t>
            </w:r>
          </w:p>
        </w:tc>
        <w:tc>
          <w:tcPr>
            <w:tcW w:w="960" w:type="dxa"/>
            <w:vAlign w:val="bottom"/>
          </w:tcPr>
          <w:p>
            <w:pPr>
              <w:jc w:val="right"/>
              <w:ind w:right="138"/>
              <w:spacing w:after="0" w:line="202" w:lineRule="exact"/>
              <w:rPr>
                <w:sz w:val="20"/>
                <w:szCs w:val="20"/>
                <w:color w:val="auto"/>
              </w:rPr>
            </w:pPr>
            <w:r>
              <w:rPr>
                <w:rFonts w:ascii="Arial" w:cs="Arial" w:eastAsia="Arial" w:hAnsi="Arial"/>
                <w:sz w:val="18"/>
                <w:szCs w:val="18"/>
                <w:b w:val="1"/>
                <w:bCs w:val="1"/>
                <w:color w:val="auto"/>
              </w:rPr>
              <w:t>10.8</w:t>
            </w:r>
          </w:p>
        </w:tc>
        <w:tc>
          <w:tcPr>
            <w:tcW w:w="9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(19.6)</w:t>
            </w: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22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5"/>
                <w:szCs w:val="15"/>
                <w:color w:val="auto"/>
              </w:rPr>
            </w:pP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5,159</w:t>
            </w:r>
          </w:p>
        </w:tc>
        <w:tc>
          <w:tcPr>
            <w:tcW w:w="18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4,239</w:t>
            </w: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353</w:t>
            </w:r>
          </w:p>
        </w:tc>
        <w:tc>
          <w:tcPr>
            <w:tcW w:w="18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4,592</w:t>
            </w:r>
          </w:p>
        </w:tc>
        <w:tc>
          <w:tcPr>
            <w:tcW w:w="18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4,576</w:t>
            </w:r>
          </w:p>
        </w:tc>
        <w:tc>
          <w:tcPr>
            <w:tcW w:w="960" w:type="dxa"/>
            <w:vAlign w:val="bottom"/>
          </w:tcPr>
          <w:p>
            <w:pPr>
              <w:jc w:val="right"/>
              <w:ind w:right="138"/>
              <w:spacing w:after="0" w:line="177" w:lineRule="exact"/>
              <w:rPr>
                <w:sz w:val="20"/>
                <w:szCs w:val="20"/>
                <w:color w:val="auto"/>
              </w:rPr>
            </w:pPr>
            <w:r>
              <w:rPr>
                <w:rFonts w:ascii="Arial" w:cs="Arial" w:eastAsia="Arial" w:hAnsi="Arial"/>
                <w:sz w:val="18"/>
                <w:szCs w:val="18"/>
                <w:b w:val="1"/>
                <w:bCs w:val="1"/>
                <w:color w:val="auto"/>
              </w:rPr>
              <w:t>12.4</w:t>
            </w:r>
          </w:p>
        </w:tc>
        <w:tc>
          <w:tcPr>
            <w:tcW w:w="960" w:type="dxa"/>
            <w:vAlign w:val="bottom"/>
          </w:tcPr>
          <w:p>
            <w:pPr>
              <w:jc w:val="right"/>
              <w:ind w:right="178"/>
              <w:spacing w:after="0" w:line="177"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5,080</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11.3</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77"/>
        </w:trPr>
        <w:tc>
          <w:tcPr>
            <w:tcW w:w="42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Borders>
              <w:bottom w:val="single" w:sz="8" w:color="53439A"/>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53439A"/>
            </w:tcBorders>
          </w:tcPr>
          <w:p>
            <w:pPr>
              <w:ind w:left="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53439A"/>
            </w:tcBorders>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53439A"/>
              <w:right w:val="single" w:sz="8" w:color="auto"/>
            </w:tcBorders>
          </w:tcPr>
          <w:p>
            <w:pPr>
              <w:spacing w:after="0"/>
              <w:rPr>
                <w:sz w:val="19"/>
                <w:szCs w:val="19"/>
                <w:color w:val="auto"/>
              </w:rPr>
            </w:pPr>
          </w:p>
        </w:tc>
        <w:tc>
          <w:tcPr>
            <w:tcW w:w="360" w:type="dxa"/>
            <w:vAlign w:val="bottom"/>
            <w:tcBorders>
              <w:bottom w:val="single" w:sz="8" w:color="53439A"/>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53439A"/>
            </w:tcBorders>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53439A"/>
            </w:tcBorders>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290</w:t>
            </w:r>
          </w:p>
        </w:tc>
        <w:tc>
          <w:tcPr>
            <w:tcW w:w="960" w:type="dxa"/>
            <w:vAlign w:val="bottom"/>
            <w:tcBorders>
              <w:bottom w:val="single" w:sz="8" w:color="53439A"/>
            </w:tcBorders>
          </w:tcPr>
          <w:p>
            <w:pPr>
              <w:jc w:val="right"/>
              <w:spacing w:after="0"/>
              <w:rPr>
                <w:sz w:val="20"/>
                <w:szCs w:val="20"/>
                <w:color w:val="auto"/>
              </w:rPr>
            </w:pPr>
            <w:r>
              <w:rPr>
                <w:rFonts w:ascii="Arial" w:cs="Arial" w:eastAsia="Arial" w:hAnsi="Arial"/>
                <w:sz w:val="18"/>
                <w:szCs w:val="18"/>
                <w:b w:val="1"/>
                <w:bCs w:val="1"/>
                <w:color w:val="auto"/>
              </w:rPr>
              <w:t>181.8%</w:t>
            </w:r>
          </w:p>
        </w:tc>
        <w:tc>
          <w:tcPr>
            <w:tcW w:w="96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Theatrical</w:t>
      </w:r>
    </w:p>
    <w:p>
      <w:pPr>
        <w:jc w:val="both"/>
        <w:spacing w:after="0" w:line="236" w:lineRule="auto"/>
        <w:rPr>
          <w:sz w:val="20"/>
          <w:szCs w:val="20"/>
          <w:color w:val="auto"/>
        </w:rPr>
      </w:pPr>
      <w:r>
        <w:rPr>
          <w:rFonts w:ascii="Arial" w:cs="Arial" w:eastAsia="Arial" w:hAnsi="Arial"/>
          <w:sz w:val="18"/>
          <w:szCs w:val="18"/>
          <w:color w:val="auto"/>
        </w:rPr>
        <w:t>Theatrical revenue is generated from the worldwide theatrical release of our owned and acquired films for exhibition in movie theaters and is significantly affected by the timing of each release and the number of films we distribute, as well as their acceptance by consumers. Release dates are determined by several factors, including production schedules, vacation and holiday periods, and the timing of competitive releases.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Theatrical revenue increased in 2012 primarily due to the strong performance of our 2012 releases, which included </w:t>
      </w:r>
      <w:r>
        <w:rPr>
          <w:rFonts w:ascii="Arial" w:cs="Arial" w:eastAsia="Arial" w:hAnsi="Arial"/>
          <w:sz w:val="18"/>
          <w:szCs w:val="18"/>
          <w:i w:val="1"/>
          <w:iCs w:val="1"/>
          <w:color w:val="auto"/>
        </w:rPr>
        <w:t>Ted, Dr. Seuss’ The Lorax</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Bourne Legacy</w:t>
      </w:r>
      <w:r>
        <w:rPr>
          <w:rFonts w:ascii="Arial" w:cs="Arial" w:eastAsia="Arial" w:hAnsi="Arial"/>
          <w:sz w:val="18"/>
          <w:szCs w:val="18"/>
          <w:color w:val="auto"/>
        </w:rPr>
        <w:t>.</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Theatrical revenue increased in 2011 primarily due to an increase in the number of theatrical releases in our 2011 slate, compared to 2010, and the strong performance of our 2011 releases of </w:t>
      </w:r>
      <w:r>
        <w:rPr>
          <w:rFonts w:ascii="Arial" w:cs="Arial" w:eastAsia="Arial" w:hAnsi="Arial"/>
          <w:sz w:val="18"/>
          <w:szCs w:val="18"/>
          <w:i w:val="1"/>
          <w:iCs w:val="1"/>
          <w:color w:val="auto"/>
        </w:rPr>
        <w:t>Fast Five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Bridesmaids</w:t>
      </w:r>
      <w:r>
        <w:rPr>
          <w:rFonts w:ascii="Arial" w:cs="Arial" w:eastAsia="Arial" w:hAnsi="Arial"/>
          <w:sz w:val="18"/>
          <w:szCs w:val="18"/>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Content Licensing</w:t>
      </w:r>
    </w:p>
    <w:p>
      <w:pPr>
        <w:jc w:val="both"/>
        <w:ind w:right="20"/>
        <w:spacing w:after="0" w:line="239" w:lineRule="auto"/>
        <w:rPr>
          <w:sz w:val="20"/>
          <w:szCs w:val="20"/>
          <w:color w:val="auto"/>
        </w:rPr>
      </w:pPr>
      <w:r>
        <w:rPr>
          <w:rFonts w:ascii="Arial" w:cs="Arial" w:eastAsia="Arial" w:hAnsi="Arial"/>
          <w:sz w:val="18"/>
          <w:szCs w:val="18"/>
          <w:color w:val="auto"/>
        </w:rPr>
        <w:t>Content licensing revenue is generated primarily from the licensing of our owned and acquired films to cable, broadcast and premium networks, as well as to digital distributors, such as Netflix.</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Content licensing revenue increased in 2012 primarily due to a higher volume of our owned and acquired films made available to licensees in 2012 as well as an increase in licensing of our content to digital distributors.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Content licensing revenue increased in 2011 primarily due to the timing of when our owned and acquired films were made available to licensees.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3439A"/>
        </w:rPr>
        <w:t>Home Entertainment</w:t>
      </w:r>
    </w:p>
    <w:p>
      <w:pPr>
        <w:jc w:val="both"/>
        <w:spacing w:after="0" w:line="239" w:lineRule="auto"/>
        <w:rPr>
          <w:sz w:val="20"/>
          <w:szCs w:val="20"/>
          <w:color w:val="auto"/>
        </w:rPr>
      </w:pPr>
      <w:r>
        <w:rPr>
          <w:rFonts w:ascii="Arial" w:cs="Arial" w:eastAsia="Arial" w:hAnsi="Arial"/>
          <w:sz w:val="18"/>
          <w:szCs w:val="18"/>
          <w:color w:val="auto"/>
        </w:rPr>
        <w:t>Home entertainment revenue is generated from the sale of our owned and acquired films on DVDs to retail stores, rental kiosks and subscription by mail services, and through digital distributors, such as iTunes. Home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entertainment revenue is significantly affected by the timing and number of our releases and their acceptance by consumers. Release dates are determined by several factors, including the timing of the exhibition of a film in movie theaters, holiday periods and the timing of competitive releases.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Home entertainment revenue increased in 2012 primarily due to an increased number of and improved performance of, our 2012 releases compared to our 2011 releases.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Home entertainment revenue decreased in 2011 primarily due to the overall decline in the DVD market and fewer titles released in 2011.</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DVD market continues to experience declines due to the impact of weak economic conditions, the maturation of the standard-definition DVD format, piracy, and increasing shifts in consumers toward subscription rental services, discount rental kiosks and digital distributors, which generate less revenue per transaction than DVD sales.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Other</w:t>
      </w:r>
    </w:p>
    <w:p>
      <w:pPr>
        <w:jc w:val="both"/>
        <w:ind w:right="20"/>
        <w:spacing w:after="0" w:line="239" w:lineRule="auto"/>
        <w:rPr>
          <w:sz w:val="20"/>
          <w:szCs w:val="20"/>
          <w:color w:val="auto"/>
        </w:rPr>
      </w:pPr>
      <w:r>
        <w:rPr>
          <w:rFonts w:ascii="Arial" w:cs="Arial" w:eastAsia="Arial" w:hAnsi="Arial"/>
          <w:sz w:val="18"/>
          <w:szCs w:val="18"/>
          <w:color w:val="auto"/>
        </w:rPr>
        <w:t>We also generate revenue from producing and licensing live stage plays and distributing filmed entertainment produced by third parties. Other revenue decreased in 2012 and 2011 primarily due to lower revenue generated from our stage plays as a result of fewer productions.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Filmed Entertainment segment operating costs and expenses consist primarily of production expenses, advertising and marketing expenses, and other operating and administrative expenses. Production expenses include the amortization of capitalized film production and acquisition costs, residual and participation payments, and distribution expenses. Residual payments represent amounts payable to certain of our employees, including freelance and temporary employees, who are represented by labor unions or guilds and are based on post-theatrical revenue. Participation payments are primarily based on film performance and represent contingent consideration payable to creative talent and other parties involved in the production of a film. Advertising and marketing expenses consist primarily of expenses associated with theatrical prints and advertising and the marketing of DVDs. Other operating and administrative expenses include salaries, employee benefits, rent and other overhead expenses.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of producing and marketing films have generally increased in recent years and may continue to increase in the future, particularly if competition within the filmed entertainment industry continues to intensify.</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costs and expenses increased in 2012 primarily due to higher amortization of film costs associated with the higher cost of our 2012 slate, as well as an increase in marketing costs associated with our 2012 theatrical and DVD releases. These costs were partially offset by lower costs generated from our stage plays as a result of fewer productions.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Operating costs and expenses increased in 2011 primarily due to an increase in marketing expenses associated with promoting our 2011 theatrical releases.</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includes 100% of the results of operations for Universal Orlando for all amounts presented in order to reflect our measure of operating income (loss) before depreciation and amortization for our Theme Parks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ind w:left="50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1020" w:type="dxa"/>
            <w:vAlign w:val="bottom"/>
            <w:gridSpan w:val="2"/>
          </w:tcPr>
          <w:p>
            <w:pPr>
              <w:jc w:val="right"/>
              <w:ind w:right="44"/>
              <w:spacing w:after="0"/>
              <w:rPr>
                <w:sz w:val="20"/>
                <w:szCs w:val="20"/>
                <w:color w:val="auto"/>
              </w:rPr>
            </w:pPr>
            <w:r>
              <w:rPr>
                <w:rFonts w:ascii="Arial" w:cs="Arial" w:eastAsia="Arial" w:hAnsi="Arial"/>
                <w:sz w:val="14"/>
                <w:szCs w:val="14"/>
                <w:color w:val="auto"/>
              </w:rPr>
              <w:t>Predecessor</w:t>
            </w:r>
          </w:p>
        </w:tc>
        <w:tc>
          <w:tcPr>
            <w:tcW w:w="160" w:type="dxa"/>
            <w:vAlign w:val="bottom"/>
          </w:tcPr>
          <w:p>
            <w:pPr>
              <w:spacing w:after="0"/>
              <w:rPr>
                <w:sz w:val="14"/>
                <w:szCs w:val="14"/>
                <w:color w:val="auto"/>
              </w:rPr>
            </w:pPr>
          </w:p>
        </w:tc>
        <w:tc>
          <w:tcPr>
            <w:tcW w:w="820" w:type="dxa"/>
            <w:vAlign w:val="bottom"/>
          </w:tcPr>
          <w:p>
            <w:pPr>
              <w:jc w:val="right"/>
              <w:ind w:right="102"/>
              <w:spacing w:after="0"/>
              <w:rPr>
                <w:sz w:val="20"/>
                <w:szCs w:val="20"/>
                <w:color w:val="auto"/>
              </w:rPr>
            </w:pPr>
            <w:r>
              <w:rPr>
                <w:rFonts w:ascii="Arial" w:cs="Arial" w:eastAsia="Arial" w:hAnsi="Arial"/>
                <w:sz w:val="14"/>
                <w:szCs w:val="14"/>
                <w:color w:val="auto"/>
                <w:w w:val="97"/>
              </w:rPr>
              <w:t>Combined</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Predecessor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For the</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260"/>
              <w:spacing w:after="0" w:line="149" w:lineRule="exact"/>
              <w:rPr>
                <w:sz w:val="20"/>
                <w:szCs w:val="20"/>
                <w:color w:val="auto"/>
              </w:rPr>
            </w:pPr>
            <w:r>
              <w:rPr>
                <w:rFonts w:ascii="Arial" w:cs="Arial" w:eastAsia="Arial" w:hAnsi="Arial"/>
                <w:sz w:val="14"/>
                <w:szCs w:val="14"/>
                <w:color w:val="auto"/>
              </w:rPr>
              <w:t>Period</w:t>
            </w:r>
          </w:p>
        </w:tc>
        <w:tc>
          <w:tcPr>
            <w:tcW w:w="160" w:type="dxa"/>
            <w:vAlign w:val="bottom"/>
          </w:tcPr>
          <w:p>
            <w:pPr>
              <w:spacing w:after="0"/>
              <w:rPr>
                <w:sz w:val="12"/>
                <w:szCs w:val="12"/>
                <w:color w:val="auto"/>
              </w:rPr>
            </w:pPr>
          </w:p>
        </w:tc>
        <w:tc>
          <w:tcPr>
            <w:tcW w:w="102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For the Period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260"/>
              <w:spacing w:after="0" w:line="149" w:lineRule="exact"/>
              <w:rPr>
                <w:sz w:val="20"/>
                <w:szCs w:val="20"/>
                <w:color w:val="auto"/>
              </w:rPr>
            </w:pPr>
            <w:r>
              <w:rPr>
                <w:rFonts w:ascii="Arial" w:cs="Arial" w:eastAsia="Arial" w:hAnsi="Arial"/>
                <w:sz w:val="14"/>
                <w:szCs w:val="14"/>
                <w:color w:val="auto"/>
                <w:w w:val="95"/>
              </w:rPr>
              <w:t>January 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4"/>
              <w:spacing w:after="0" w:line="149" w:lineRule="exact"/>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260"/>
              <w:spacing w:after="0" w:line="133"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4"/>
              <w:spacing w:after="0" w:line="133"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1"/>
                <w:szCs w:val="11"/>
                <w:color w:val="auto"/>
              </w:rPr>
            </w:pPr>
          </w:p>
        </w:tc>
        <w:tc>
          <w:tcPr>
            <w:tcW w:w="820" w:type="dxa"/>
            <w:vAlign w:val="bottom"/>
          </w:tcPr>
          <w:p>
            <w:pPr>
              <w:jc w:val="right"/>
              <w:ind w:right="2"/>
              <w:spacing w:after="0" w:line="133" w:lineRule="exact"/>
              <w:rPr>
                <w:sz w:val="20"/>
                <w:szCs w:val="20"/>
                <w:color w:val="auto"/>
              </w:rPr>
            </w:pPr>
            <w:r>
              <w:rPr>
                <w:rFonts w:ascii="Arial" w:cs="Arial" w:eastAsia="Arial" w:hAnsi="Arial"/>
                <w:sz w:val="14"/>
                <w:szCs w:val="14"/>
                <w:color w:val="auto"/>
                <w:w w:val="97"/>
              </w:rPr>
              <w:t>Year Ended</w:t>
            </w:r>
          </w:p>
        </w:tc>
        <w:tc>
          <w:tcPr>
            <w:tcW w:w="18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7"/>
              </w:rPr>
              <w:t>Year Ended</w:t>
            </w:r>
          </w:p>
        </w:tc>
        <w:tc>
          <w:tcPr>
            <w:tcW w:w="980" w:type="dxa"/>
            <w:vAlign w:val="bottom"/>
            <w:vMerge w:val="continue"/>
          </w:tcPr>
          <w:p>
            <w:pPr>
              <w:spacing w:after="0"/>
              <w:rPr>
                <w:sz w:val="11"/>
                <w:szCs w:val="11"/>
                <w:color w:val="auto"/>
              </w:rPr>
            </w:pPr>
          </w:p>
        </w:tc>
        <w:tc>
          <w:tcPr>
            <w:tcW w:w="920" w:type="dxa"/>
            <w:vAlign w:val="bottom"/>
          </w:tcPr>
          <w:p>
            <w:pPr>
              <w:jc w:val="right"/>
              <w:ind w:right="142"/>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tcBorders>
              <w:right w:val="single" w:sz="8" w:color="auto"/>
            </w:tcBorders>
            <w:gridSpan w:val="3"/>
          </w:tcPr>
          <w:p>
            <w:pPr>
              <w:jc w:val="right"/>
              <w:ind w:right="26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4"/>
              <w:spacing w:after="0" w:line="149" w:lineRule="exact"/>
              <w:rPr>
                <w:sz w:val="20"/>
                <w:szCs w:val="20"/>
                <w:color w:val="auto"/>
              </w:rPr>
            </w:pPr>
            <w:r>
              <w:rPr>
                <w:rFonts w:ascii="Arial" w:cs="Arial" w:eastAsia="Arial" w:hAnsi="Arial"/>
                <w:sz w:val="14"/>
                <w:szCs w:val="14"/>
                <w:color w:val="auto"/>
                <w:w w:val="98"/>
              </w:rPr>
              <w:t>January 28,</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98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2011 to</w:t>
            </w:r>
          </w:p>
        </w:tc>
        <w:tc>
          <w:tcPr>
            <w:tcW w:w="92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2010 to</w:t>
            </w:r>
          </w:p>
        </w:tc>
        <w:tc>
          <w:tcPr>
            <w:tcW w:w="0" w:type="dxa"/>
            <w:vAlign w:val="bottom"/>
          </w:tcPr>
          <w:p>
            <w:pPr>
              <w:spacing w:after="0"/>
              <w:rPr>
                <w:sz w:val="1"/>
                <w:szCs w:val="1"/>
                <w:color w:val="auto"/>
              </w:rPr>
            </w:pPr>
          </w:p>
        </w:tc>
      </w:tr>
      <w:tr>
        <w:trPr>
          <w:trHeight w:val="165"/>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418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200" w:type="dxa"/>
            <w:vAlign w:val="bottom"/>
          </w:tcPr>
          <w:p>
            <w:pPr>
              <w:ind w:left="80"/>
              <w:spacing w:after="0" w:line="177" w:lineRule="exact"/>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2,085</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1,874</w:t>
            </w:r>
          </w:p>
        </w:tc>
        <w:tc>
          <w:tcPr>
            <w:tcW w:w="200" w:type="dxa"/>
            <w:vAlign w:val="bottom"/>
            <w:tcBorders>
              <w:right w:val="single" w:sz="8" w:color="auto"/>
            </w:tcBorders>
          </w:tcPr>
          <w:p>
            <w:pPr>
              <w:spacing w:after="0"/>
              <w:rPr>
                <w:sz w:val="15"/>
                <w:szCs w:val="15"/>
                <w:color w:val="auto"/>
              </w:rPr>
            </w:pPr>
          </w:p>
        </w:tc>
        <w:tc>
          <w:tcPr>
            <w:tcW w:w="36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4"/>
              <w:spacing w:after="0" w:line="177" w:lineRule="exact"/>
              <w:rPr>
                <w:sz w:val="20"/>
                <w:szCs w:val="20"/>
                <w:color w:val="auto"/>
              </w:rPr>
            </w:pPr>
            <w:r>
              <w:rPr>
                <w:rFonts w:ascii="Arial" w:cs="Arial" w:eastAsia="Arial" w:hAnsi="Arial"/>
                <w:sz w:val="18"/>
                <w:szCs w:val="18"/>
                <w:color w:val="auto"/>
              </w:rPr>
              <w:t>115</w:t>
            </w:r>
          </w:p>
        </w:tc>
        <w:tc>
          <w:tcPr>
            <w:tcW w:w="160" w:type="dxa"/>
            <w:vAlign w:val="bottom"/>
          </w:tcPr>
          <w:p>
            <w:pPr>
              <w:ind w:left="60"/>
              <w:spacing w:after="0" w:line="177"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
              <w:spacing w:after="0" w:line="177" w:lineRule="exact"/>
              <w:rPr>
                <w:sz w:val="20"/>
                <w:szCs w:val="20"/>
                <w:color w:val="auto"/>
              </w:rPr>
            </w:pPr>
            <w:r>
              <w:rPr>
                <w:rFonts w:ascii="Arial" w:cs="Arial" w:eastAsia="Arial" w:hAnsi="Arial"/>
                <w:sz w:val="18"/>
                <w:szCs w:val="18"/>
                <w:color w:val="auto"/>
              </w:rPr>
              <w:t>1,989</w:t>
            </w:r>
          </w:p>
        </w:tc>
        <w:tc>
          <w:tcPr>
            <w:tcW w:w="180" w:type="dxa"/>
            <w:vAlign w:val="bottom"/>
          </w:tcPr>
          <w:p>
            <w:pPr>
              <w:ind w:left="60"/>
              <w:spacing w:after="0" w:line="177"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1,600</w:t>
            </w:r>
          </w:p>
        </w:tc>
        <w:tc>
          <w:tcPr>
            <w:tcW w:w="980" w:type="dxa"/>
            <w:vAlign w:val="bottom"/>
          </w:tcPr>
          <w:p>
            <w:pPr>
              <w:jc w:val="right"/>
              <w:ind w:right="2"/>
              <w:spacing w:after="0" w:line="177" w:lineRule="exact"/>
              <w:rPr>
                <w:sz w:val="20"/>
                <w:szCs w:val="20"/>
                <w:color w:val="auto"/>
              </w:rPr>
            </w:pPr>
            <w:r>
              <w:rPr>
                <w:rFonts w:ascii="Arial" w:cs="Arial" w:eastAsia="Arial" w:hAnsi="Arial"/>
                <w:sz w:val="18"/>
                <w:szCs w:val="18"/>
                <w:b w:val="1"/>
                <w:bCs w:val="1"/>
                <w:color w:val="auto"/>
              </w:rPr>
              <w:t>4.8%</w:t>
            </w:r>
          </w:p>
        </w:tc>
        <w:tc>
          <w:tcPr>
            <w:tcW w:w="920" w:type="dxa"/>
            <w:vAlign w:val="bottom"/>
          </w:tcPr>
          <w:p>
            <w:pPr>
              <w:jc w:val="right"/>
              <w:spacing w:after="0" w:line="177"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1,122</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rPr>
              <w:t>0.9</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77"/>
        </w:trPr>
        <w:tc>
          <w:tcPr>
            <w:tcW w:w="418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80" w:type="dxa"/>
            <w:vAlign w:val="bottom"/>
            <w:tcBorders>
              <w:bottom w:val="single" w:sz="8" w:color="53439A"/>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Borders>
              <w:bottom w:val="single" w:sz="8" w:color="53439A"/>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53439A"/>
            </w:tcBorders>
          </w:tcPr>
          <w:p>
            <w:pPr>
              <w:jc w:val="right"/>
              <w:spacing w:after="0"/>
              <w:rPr>
                <w:sz w:val="20"/>
                <w:szCs w:val="20"/>
                <w:color w:val="auto"/>
              </w:rPr>
            </w:pPr>
            <w:r>
              <w:rPr>
                <w:rFonts w:ascii="Arial" w:cs="Arial" w:eastAsia="Arial" w:hAnsi="Arial"/>
                <w:sz w:val="18"/>
                <w:szCs w:val="18"/>
                <w:b w:val="1"/>
                <w:bCs w:val="1"/>
                <w:color w:val="auto"/>
              </w:rPr>
              <w:t>953</w:t>
            </w:r>
          </w:p>
        </w:tc>
        <w:tc>
          <w:tcPr>
            <w:tcW w:w="20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Borders>
              <w:bottom w:val="single" w:sz="8" w:color="53439A"/>
              <w:right w:val="single" w:sz="8" w:color="auto"/>
            </w:tcBorders>
          </w:tcPr>
          <w:p>
            <w:pPr>
              <w:spacing w:after="0"/>
              <w:rPr>
                <w:sz w:val="19"/>
                <w:szCs w:val="19"/>
                <w:color w:val="auto"/>
              </w:rPr>
            </w:pPr>
          </w:p>
        </w:tc>
        <w:tc>
          <w:tcPr>
            <w:tcW w:w="360" w:type="dxa"/>
            <w:vAlign w:val="bottom"/>
            <w:tcBorders>
              <w:bottom w:val="single" w:sz="8" w:color="53439A"/>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53439A"/>
            </w:tcBorders>
          </w:tcPr>
          <w:p>
            <w:pPr>
              <w:jc w:val="right"/>
              <w:ind w:right="4"/>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53439A"/>
            </w:tcBorders>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53439A"/>
            </w:tcBorders>
          </w:tcPr>
          <w:p>
            <w:pPr>
              <w:jc w:val="right"/>
              <w:ind w:right="2"/>
              <w:spacing w:after="0"/>
              <w:rPr>
                <w:sz w:val="20"/>
                <w:szCs w:val="20"/>
                <w:color w:val="auto"/>
              </w:rPr>
            </w:pPr>
            <w:r>
              <w:rPr>
                <w:rFonts w:ascii="Arial" w:cs="Arial" w:eastAsia="Arial" w:hAnsi="Arial"/>
                <w:sz w:val="18"/>
                <w:szCs w:val="18"/>
                <w:color w:val="auto"/>
              </w:rPr>
              <w:t>867</w:t>
            </w:r>
          </w:p>
        </w:tc>
        <w:tc>
          <w:tcPr>
            <w:tcW w:w="180" w:type="dxa"/>
            <w:vAlign w:val="bottom"/>
            <w:tcBorders>
              <w:bottom w:val="single" w:sz="8" w:color="53439A"/>
            </w:tcBorders>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591</w:t>
            </w:r>
          </w:p>
        </w:tc>
        <w:tc>
          <w:tcPr>
            <w:tcW w:w="980" w:type="dxa"/>
            <w:vAlign w:val="bottom"/>
            <w:tcBorders>
              <w:bottom w:val="single" w:sz="8" w:color="53439A"/>
            </w:tcBorders>
          </w:tcPr>
          <w:p>
            <w:pPr>
              <w:jc w:val="right"/>
              <w:ind w:right="2"/>
              <w:spacing w:after="0"/>
              <w:rPr>
                <w:sz w:val="20"/>
                <w:szCs w:val="20"/>
                <w:color w:val="auto"/>
              </w:rPr>
            </w:pPr>
            <w:r>
              <w:rPr>
                <w:rFonts w:ascii="Arial" w:cs="Arial" w:eastAsia="Arial" w:hAnsi="Arial"/>
                <w:sz w:val="18"/>
                <w:szCs w:val="18"/>
                <w:b w:val="1"/>
                <w:bCs w:val="1"/>
                <w:color w:val="auto"/>
              </w:rPr>
              <w:t>9.9%</w:t>
            </w:r>
          </w:p>
        </w:tc>
        <w:tc>
          <w:tcPr>
            <w:tcW w:w="9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revenue is generated primarily from theme park attendance and per capita spending at our Universal theme parks in Orlando and Hollywood, as well as from licensing and other fees.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Attendance at our theme parks and per capita spending depend heavily on the general environment for travel and tourism, including consumer spending on travel and other recreational activities. License and other fees relate primarily to our agreements with third parties that operate the Universal Studios Japan and the Universal Studios Singapore theme parks to license the Universal Studios brand name and other intellectual property.</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Theme Parks segment revenue increased in 2012 and 2011 primarily due to higher guest attendance and increases in per capita spending at our Universal theme parks. The increases in 2012 were primarily driven by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attraction in Hollywood, which opened in May 2012 and the increases in 2011 were attributable to the strong performance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attraction in Orlando.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food, beverage and merchandise costs; labor costs; and sales and marketing costs.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Theme Parks segment operating costs and expenses increased slightly in 2012 primarily due to additional costs associated with the increases in attendance and per capita spending at our Universal theme parks and incremental marketing costs associated with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attraction in Hollywood. Operating costs and expenses increased in 2011 primarily due to additional costs associated with the increases in attendance and per capita spending at our Universal theme parks.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Headquarters and Other operating costs and expenses include corporate overhead, personnel costs and corporate initiatives.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Headquarters and other operating costs and expenses remained flat in 2012 primarily due to higher technology and administrative costs offset by the impact of $104 million of transaction-related costs in 2011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associated with the Joint Venture transaction, including severance and other compensation-related costs. Operating costs and expenses increased in 2011 primarily due to these transaction-related costs.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Eliminations include the results of operations for Universal Orlando for the periods prior to July 1, 2011. Our Theme Parks segment included the results of operations of Universal Orlando for these periods because these amounts had reflected our segment performance measure. These amounts were not included when we measured our consolidated results of operations because we recorded Universal Orlando as an equity method investment for the periods prior to July 1,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Consolidated Other Income (Expense)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tcPr>
          <w:p>
            <w:pPr>
              <w:ind w:left="52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4"/>
                <w:szCs w:val="14"/>
                <w:color w:val="auto"/>
              </w:rPr>
              <w:t>Predecessor</w:t>
            </w:r>
          </w:p>
        </w:tc>
        <w:tc>
          <w:tcPr>
            <w:tcW w:w="180" w:type="dxa"/>
            <w:vAlign w:val="bottom"/>
          </w:tcPr>
          <w:p>
            <w:pPr>
              <w:spacing w:after="0"/>
              <w:rPr>
                <w:sz w:val="14"/>
                <w:szCs w:val="14"/>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color w:val="auto"/>
                <w:w w:val="93"/>
              </w:rPr>
              <w:t>Combined</w:t>
            </w:r>
          </w:p>
        </w:tc>
        <w:tc>
          <w:tcPr>
            <w:tcW w:w="1020" w:type="dxa"/>
            <w:vAlign w:val="bottom"/>
            <w:gridSpan w:val="2"/>
          </w:tcPr>
          <w:p>
            <w:pPr>
              <w:jc w:val="right"/>
              <w:ind w:right="58"/>
              <w:spacing w:after="0"/>
              <w:rPr>
                <w:sz w:val="20"/>
                <w:szCs w:val="20"/>
                <w:color w:val="auto"/>
              </w:rPr>
            </w:pPr>
            <w:r>
              <w:rPr>
                <w:rFonts w:ascii="Arial" w:cs="Arial" w:eastAsia="Arial" w:hAnsi="Arial"/>
                <w:sz w:val="14"/>
                <w:szCs w:val="14"/>
                <w:color w:val="auto"/>
              </w:rPr>
              <w:t>Predecessor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9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2"/>
              <w:spacing w:after="0" w:line="141" w:lineRule="exact"/>
              <w:rPr>
                <w:sz w:val="20"/>
                <w:szCs w:val="20"/>
                <w:color w:val="auto"/>
              </w:rPr>
            </w:pPr>
            <w:r>
              <w:rPr>
                <w:rFonts w:ascii="Arial" w:cs="Arial" w:eastAsia="Arial" w:hAnsi="Arial"/>
                <w:sz w:val="14"/>
                <w:szCs w:val="14"/>
                <w:color w:val="auto"/>
              </w:rPr>
              <w:t>For the</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Period</w:t>
            </w:r>
          </w:p>
        </w:tc>
        <w:tc>
          <w:tcPr>
            <w:tcW w:w="160" w:type="dxa"/>
            <w:vAlign w:val="bottom"/>
          </w:tcPr>
          <w:p>
            <w:pPr>
              <w:spacing w:after="0"/>
              <w:rPr>
                <w:sz w:val="12"/>
                <w:szCs w:val="12"/>
                <w:color w:val="auto"/>
              </w:rPr>
            </w:pPr>
          </w:p>
        </w:tc>
        <w:tc>
          <w:tcPr>
            <w:tcW w:w="1060" w:type="dxa"/>
            <w:vAlign w:val="bottom"/>
            <w:gridSpan w:val="2"/>
          </w:tcPr>
          <w:p>
            <w:pPr>
              <w:jc w:val="right"/>
              <w:ind w:right="41"/>
              <w:spacing w:after="0" w:line="149" w:lineRule="exact"/>
              <w:rPr>
                <w:sz w:val="20"/>
                <w:szCs w:val="20"/>
                <w:color w:val="auto"/>
              </w:rPr>
            </w:pPr>
            <w:r>
              <w:rPr>
                <w:rFonts w:ascii="Arial" w:cs="Arial" w:eastAsia="Arial" w:hAnsi="Arial"/>
                <w:sz w:val="14"/>
                <w:szCs w:val="14"/>
                <w:color w:val="auto"/>
              </w:rPr>
              <w:t>For the Period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w w:val="95"/>
              </w:rPr>
              <w:t>January 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1"/>
              <w:spacing w:after="0" w:line="149" w:lineRule="exact"/>
              <w:rPr>
                <w:sz w:val="20"/>
                <w:szCs w:val="20"/>
                <w:color w:val="auto"/>
              </w:rPr>
            </w:pPr>
            <w:r>
              <w:rPr>
                <w:rFonts w:ascii="Arial" w:cs="Arial" w:eastAsia="Arial" w:hAnsi="Arial"/>
                <w:sz w:val="14"/>
                <w:szCs w:val="14"/>
                <w:color w:val="auto"/>
              </w:rPr>
              <w:t>January 1,</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41"/>
              <w:spacing w:after="0" w:line="133"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1"/>
                <w:szCs w:val="11"/>
                <w:color w:val="auto"/>
              </w:rPr>
            </w:pPr>
          </w:p>
        </w:tc>
        <w:tc>
          <w:tcPr>
            <w:tcW w:w="860" w:type="dxa"/>
            <w:vAlign w:val="bottom"/>
          </w:tcPr>
          <w:p>
            <w:pPr>
              <w:jc w:val="right"/>
              <w:ind w:right="40"/>
              <w:spacing w:after="0" w:line="133"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1"/>
                <w:szCs w:val="11"/>
                <w:color w:val="auto"/>
              </w:rPr>
            </w:pPr>
          </w:p>
        </w:tc>
        <w:tc>
          <w:tcPr>
            <w:tcW w:w="820" w:type="dxa"/>
            <w:vAlign w:val="bottom"/>
          </w:tcPr>
          <w:p>
            <w:pPr>
              <w:jc w:val="right"/>
              <w:ind w:right="18"/>
              <w:spacing w:after="0" w:line="133" w:lineRule="exact"/>
              <w:rPr>
                <w:sz w:val="20"/>
                <w:szCs w:val="20"/>
                <w:color w:val="auto"/>
              </w:rPr>
            </w:pPr>
            <w:r>
              <w:rPr>
                <w:rFonts w:ascii="Arial" w:cs="Arial" w:eastAsia="Arial" w:hAnsi="Arial"/>
                <w:sz w:val="14"/>
                <w:szCs w:val="14"/>
                <w:color w:val="auto"/>
                <w:w w:val="94"/>
              </w:rPr>
              <w:t>Year Ended</w:t>
            </w:r>
          </w:p>
        </w:tc>
        <w:tc>
          <w:tcPr>
            <w:tcW w:w="980" w:type="dxa"/>
            <w:vAlign w:val="bottom"/>
            <w:vMerge w:val="continue"/>
          </w:tcPr>
          <w:p>
            <w:pPr>
              <w:spacing w:after="0"/>
              <w:rPr>
                <w:sz w:val="11"/>
                <w:szCs w:val="11"/>
                <w:color w:val="auto"/>
              </w:rPr>
            </w:pPr>
          </w:p>
        </w:tc>
        <w:tc>
          <w:tcPr>
            <w:tcW w:w="920" w:type="dxa"/>
            <w:vAlign w:val="bottom"/>
          </w:tcPr>
          <w:p>
            <w:pPr>
              <w:jc w:val="right"/>
              <w:ind w:right="140"/>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tcBorders>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1"/>
              <w:spacing w:after="0" w:line="149" w:lineRule="exact"/>
              <w:rPr>
                <w:sz w:val="20"/>
                <w:szCs w:val="20"/>
                <w:color w:val="auto"/>
              </w:rPr>
            </w:pPr>
            <w:r>
              <w:rPr>
                <w:rFonts w:ascii="Arial" w:cs="Arial" w:eastAsia="Arial" w:hAnsi="Arial"/>
                <w:sz w:val="14"/>
                <w:szCs w:val="14"/>
                <w:color w:val="auto"/>
                <w:w w:val="98"/>
              </w:rPr>
              <w:t>January 28,</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98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2011 to</w:t>
            </w:r>
          </w:p>
        </w:tc>
        <w:tc>
          <w:tcPr>
            <w:tcW w:w="920" w:type="dxa"/>
            <w:vAlign w:val="bottom"/>
          </w:tcPr>
          <w:p>
            <w:pPr>
              <w:jc w:val="right"/>
              <w:ind w:right="140"/>
              <w:spacing w:after="0" w:line="149" w:lineRule="exact"/>
              <w:rPr>
                <w:sz w:val="20"/>
                <w:szCs w:val="20"/>
                <w:color w:val="auto"/>
              </w:rPr>
            </w:pPr>
            <w:r>
              <w:rPr>
                <w:rFonts w:ascii="Arial" w:cs="Arial" w:eastAsia="Arial" w:hAnsi="Arial"/>
                <w:sz w:val="14"/>
                <w:szCs w:val="14"/>
                <w:color w:val="auto"/>
              </w:rPr>
              <w:t>2010 to</w:t>
            </w:r>
          </w:p>
        </w:tc>
        <w:tc>
          <w:tcPr>
            <w:tcW w:w="0" w:type="dxa"/>
            <w:vAlign w:val="bottom"/>
          </w:tcPr>
          <w:p>
            <w:pPr>
              <w:spacing w:after="0"/>
              <w:rPr>
                <w:sz w:val="1"/>
                <w:szCs w:val="1"/>
                <w:color w:val="auto"/>
              </w:rPr>
            </w:pPr>
          </w:p>
        </w:tc>
      </w:tr>
      <w:tr>
        <w:trPr>
          <w:trHeight w:val="165"/>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2010</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392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200" w:type="dxa"/>
            <w:vAlign w:val="bottom"/>
          </w:tcPr>
          <w:p>
            <w:pPr>
              <w:ind w:left="80"/>
              <w:spacing w:after="0" w:line="177" w:lineRule="exact"/>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(480)</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(389)</w:t>
            </w:r>
          </w:p>
        </w:tc>
        <w:tc>
          <w:tcPr>
            <w:tcW w:w="200" w:type="dxa"/>
            <w:vAlign w:val="bottom"/>
            <w:tcBorders>
              <w:right w:val="single" w:sz="8" w:color="auto"/>
            </w:tcBorders>
          </w:tcPr>
          <w:p>
            <w:pPr>
              <w:spacing w:after="0"/>
              <w:rPr>
                <w:sz w:val="15"/>
                <w:szCs w:val="15"/>
                <w:color w:val="auto"/>
              </w:rPr>
            </w:pPr>
          </w:p>
        </w:tc>
        <w:tc>
          <w:tcPr>
            <w:tcW w:w="36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(37)</w:t>
            </w:r>
          </w:p>
        </w:tc>
        <w:tc>
          <w:tcPr>
            <w:tcW w:w="180" w:type="dxa"/>
            <w:vAlign w:val="bottom"/>
          </w:tcPr>
          <w:p>
            <w:pPr>
              <w:ind w:left="80"/>
              <w:spacing w:after="0" w:line="177"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(426)</w:t>
            </w:r>
          </w:p>
        </w:tc>
        <w:tc>
          <w:tcPr>
            <w:tcW w:w="200" w:type="dxa"/>
            <w:vAlign w:val="bottom"/>
          </w:tcPr>
          <w:p>
            <w:pPr>
              <w:ind w:left="80"/>
              <w:spacing w:after="0" w:line="177"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(277)</w:t>
            </w:r>
          </w:p>
        </w:tc>
        <w:tc>
          <w:tcPr>
            <w:tcW w:w="9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12.6%</w:t>
            </w:r>
          </w:p>
        </w:tc>
        <w:tc>
          <w:tcPr>
            <w:tcW w:w="920" w:type="dxa"/>
            <w:vAlign w:val="bottom"/>
          </w:tcPr>
          <w:p>
            <w:pPr>
              <w:jc w:val="right"/>
              <w:spacing w:after="0" w:line="177"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880" w:type="dxa"/>
            <w:vAlign w:val="bottom"/>
          </w:tcPr>
          <w:p>
            <w:pPr>
              <w:jc w:val="right"/>
              <w:ind w:right="40"/>
              <w:spacing w:after="0" w:line="202" w:lineRule="exact"/>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7"/>
                <w:szCs w:val="17"/>
                <w:color w:val="auto"/>
              </w:rPr>
            </w:pPr>
          </w:p>
        </w:tc>
        <w:tc>
          <w:tcPr>
            <w:tcW w:w="840" w:type="dxa"/>
            <w:vAlign w:val="bottom"/>
          </w:tcPr>
          <w:p>
            <w:pPr>
              <w:jc w:val="right"/>
              <w:ind w:right="42"/>
              <w:spacing w:after="0" w:line="202" w:lineRule="exact"/>
              <w:rPr>
                <w:sz w:val="20"/>
                <w:szCs w:val="20"/>
                <w:color w:val="auto"/>
              </w:rPr>
            </w:pPr>
            <w:r>
              <w:rPr>
                <w:rFonts w:ascii="Arial" w:cs="Arial" w:eastAsia="Arial" w:hAnsi="Arial"/>
                <w:sz w:val="18"/>
                <w:szCs w:val="18"/>
                <w:color w:val="auto"/>
              </w:rPr>
              <w:t>19</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8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8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55</w:t>
            </w:r>
          </w:p>
        </w:tc>
        <w:tc>
          <w:tcPr>
            <w:tcW w:w="980" w:type="dxa"/>
            <w:vAlign w:val="bottom"/>
          </w:tcPr>
          <w:p>
            <w:pPr>
              <w:jc w:val="right"/>
              <w:ind w:right="140"/>
              <w:spacing w:after="0" w:line="202" w:lineRule="exact"/>
              <w:rPr>
                <w:sz w:val="20"/>
                <w:szCs w:val="20"/>
                <w:color w:val="auto"/>
              </w:rPr>
            </w:pPr>
            <w:r>
              <w:rPr>
                <w:rFonts w:ascii="Arial" w:cs="Arial" w:eastAsia="Arial" w:hAnsi="Arial"/>
                <w:sz w:val="18"/>
                <w:szCs w:val="18"/>
                <w:b w:val="1"/>
                <w:bCs w:val="1"/>
                <w:color w:val="auto"/>
              </w:rPr>
              <w:t>19.7</w:t>
            </w:r>
          </w:p>
        </w:tc>
        <w:tc>
          <w:tcPr>
            <w:tcW w:w="920" w:type="dxa"/>
            <w:vAlign w:val="bottom"/>
          </w:tcPr>
          <w:p>
            <w:pPr>
              <w:jc w:val="right"/>
              <w:ind w:right="80"/>
              <w:spacing w:after="0" w:line="202"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Equity in net income of investees, net</w:t>
            </w:r>
          </w:p>
        </w:tc>
        <w:tc>
          <w:tcPr>
            <w:tcW w:w="200" w:type="dxa"/>
            <w:vAlign w:val="bottom"/>
          </w:tcPr>
          <w:p>
            <w:pPr>
              <w:spacing w:after="0"/>
              <w:rPr>
                <w:sz w:val="17"/>
                <w:szCs w:val="17"/>
                <w:color w:val="auto"/>
              </w:rPr>
            </w:pPr>
          </w:p>
        </w:tc>
        <w:tc>
          <w:tcPr>
            <w:tcW w:w="880" w:type="dxa"/>
            <w:vAlign w:val="bottom"/>
          </w:tcPr>
          <w:p>
            <w:pPr>
              <w:jc w:val="right"/>
              <w:ind w:right="40"/>
              <w:spacing w:after="0" w:line="202" w:lineRule="exact"/>
              <w:rPr>
                <w:sz w:val="20"/>
                <w:szCs w:val="20"/>
                <w:color w:val="auto"/>
              </w:rPr>
            </w:pPr>
            <w:r>
              <w:rPr>
                <w:rFonts w:ascii="Arial" w:cs="Arial" w:eastAsia="Arial" w:hAnsi="Arial"/>
                <w:sz w:val="18"/>
                <w:szCs w:val="18"/>
                <w:b w:val="1"/>
                <w:bCs w:val="1"/>
                <w:color w:val="auto"/>
              </w:rPr>
              <w:t>183</w:t>
            </w:r>
          </w:p>
        </w:tc>
        <w:tc>
          <w:tcPr>
            <w:tcW w:w="200" w:type="dxa"/>
            <w:vAlign w:val="bottom"/>
          </w:tcPr>
          <w:p>
            <w:pPr>
              <w:spacing w:after="0"/>
              <w:rPr>
                <w:sz w:val="17"/>
                <w:szCs w:val="17"/>
                <w:color w:val="auto"/>
              </w:rPr>
            </w:pPr>
          </w:p>
        </w:tc>
        <w:tc>
          <w:tcPr>
            <w:tcW w:w="840" w:type="dxa"/>
            <w:vAlign w:val="bottom"/>
          </w:tcPr>
          <w:p>
            <w:pPr>
              <w:jc w:val="right"/>
              <w:ind w:right="42"/>
              <w:spacing w:after="0" w:line="202" w:lineRule="exact"/>
              <w:rPr>
                <w:sz w:val="20"/>
                <w:szCs w:val="20"/>
                <w:color w:val="auto"/>
              </w:rPr>
            </w:pPr>
            <w:r>
              <w:rPr>
                <w:rFonts w:ascii="Arial" w:cs="Arial" w:eastAsia="Arial" w:hAnsi="Arial"/>
                <w:sz w:val="18"/>
                <w:szCs w:val="18"/>
                <w:color w:val="auto"/>
              </w:rPr>
              <w:t>262</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8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287</w:t>
            </w:r>
          </w:p>
        </w:tc>
        <w:tc>
          <w:tcPr>
            <w:tcW w:w="200" w:type="dxa"/>
            <w:vAlign w:val="bottom"/>
          </w:tcPr>
          <w:p>
            <w:pPr>
              <w:spacing w:after="0"/>
              <w:rPr>
                <w:sz w:val="17"/>
                <w:szCs w:val="17"/>
                <w:color w:val="auto"/>
              </w:rPr>
            </w:pPr>
          </w:p>
        </w:tc>
        <w:tc>
          <w:tcPr>
            <w:tcW w:w="8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308</w:t>
            </w:r>
          </w:p>
        </w:tc>
        <w:tc>
          <w:tcPr>
            <w:tcW w:w="980" w:type="dxa"/>
            <w:vAlign w:val="bottom"/>
          </w:tcPr>
          <w:p>
            <w:pPr>
              <w:jc w:val="right"/>
              <w:ind w:right="80"/>
              <w:spacing w:after="0" w:line="202" w:lineRule="exact"/>
              <w:rPr>
                <w:sz w:val="20"/>
                <w:szCs w:val="20"/>
                <w:color w:val="auto"/>
              </w:rPr>
            </w:pPr>
            <w:r>
              <w:rPr>
                <w:rFonts w:ascii="Arial" w:cs="Arial" w:eastAsia="Arial" w:hAnsi="Arial"/>
                <w:sz w:val="18"/>
                <w:szCs w:val="18"/>
                <w:b w:val="1"/>
                <w:bCs w:val="1"/>
                <w:color w:val="auto"/>
              </w:rPr>
              <w:t>(36.2)</w:t>
            </w:r>
          </w:p>
        </w:tc>
        <w:tc>
          <w:tcPr>
            <w:tcW w:w="920" w:type="dxa"/>
            <w:vAlign w:val="bottom"/>
          </w:tcPr>
          <w:p>
            <w:pPr>
              <w:jc w:val="right"/>
              <w:ind w:right="8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1"/>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917</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b w:val="1"/>
                <w:bCs w:val="1"/>
                <w:color w:val="auto"/>
              </w:rPr>
              <w:t>NM</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53439A"/>
            </w:tcBorders>
          </w:tcPr>
          <w:p>
            <w:pPr>
              <w:jc w:val="right"/>
              <w:ind w:right="40"/>
              <w:spacing w:after="0" w:line="202" w:lineRule="exact"/>
              <w:rPr>
                <w:sz w:val="20"/>
                <w:szCs w:val="20"/>
                <w:color w:val="auto"/>
              </w:rPr>
            </w:pPr>
            <w:r>
              <w:rPr>
                <w:rFonts w:ascii="Arial" w:cs="Arial" w:eastAsia="Arial" w:hAnsi="Arial"/>
                <w:sz w:val="18"/>
                <w:szCs w:val="18"/>
                <w:b w:val="1"/>
                <w:bCs w:val="1"/>
                <w:color w:val="auto"/>
              </w:rPr>
              <w:t>647</w:t>
            </w:r>
          </w:p>
        </w:tc>
        <w:tc>
          <w:tcPr>
            <w:tcW w:w="20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(237)</w:t>
            </w:r>
          </w:p>
        </w:tc>
        <w:tc>
          <w:tcPr>
            <w:tcW w:w="200" w:type="dxa"/>
            <w:vAlign w:val="bottom"/>
            <w:tcBorders>
              <w:bottom w:val="single" w:sz="8" w:color="53439A"/>
              <w:right w:val="single" w:sz="8" w:color="auto"/>
            </w:tcBorders>
          </w:tcPr>
          <w:p>
            <w:pPr>
              <w:spacing w:after="0"/>
              <w:rPr>
                <w:sz w:val="17"/>
                <w:szCs w:val="17"/>
                <w:color w:val="auto"/>
              </w:rPr>
            </w:pPr>
          </w:p>
        </w:tc>
        <w:tc>
          <w:tcPr>
            <w:tcW w:w="360" w:type="dxa"/>
            <w:vAlign w:val="bottom"/>
            <w:tcBorders>
              <w:bottom w:val="single" w:sz="8" w:color="53439A"/>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(274)</w:t>
            </w:r>
          </w:p>
        </w:tc>
        <w:tc>
          <w:tcPr>
            <w:tcW w:w="20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53439A"/>
            </w:tcBorders>
          </w:tcPr>
          <w:p>
            <w:pPr>
              <w:jc w:val="right"/>
              <w:ind w:right="18"/>
              <w:spacing w:after="0" w:line="202" w:lineRule="exact"/>
              <w:rPr>
                <w:sz w:val="20"/>
                <w:szCs w:val="20"/>
                <w:color w:val="auto"/>
              </w:rPr>
            </w:pPr>
            <w:r>
              <w:rPr>
                <w:rFonts w:ascii="Arial" w:cs="Arial" w:eastAsia="Arial" w:hAnsi="Arial"/>
                <w:sz w:val="18"/>
                <w:szCs w:val="18"/>
                <w:color w:val="auto"/>
              </w:rPr>
              <w:t>57</w:t>
            </w:r>
          </w:p>
        </w:tc>
        <w:tc>
          <w:tcPr>
            <w:tcW w:w="980" w:type="dxa"/>
            <w:vAlign w:val="bottom"/>
            <w:tcBorders>
              <w:bottom w:val="single" w:sz="8" w:color="53439A"/>
            </w:tcBorders>
          </w:tcPr>
          <w:p>
            <w:pPr>
              <w:jc w:val="right"/>
              <w:ind w:right="140"/>
              <w:spacing w:after="0" w:line="202" w:lineRule="exact"/>
              <w:rPr>
                <w:sz w:val="20"/>
                <w:szCs w:val="20"/>
                <w:color w:val="auto"/>
              </w:rPr>
            </w:pPr>
            <w:r>
              <w:rPr>
                <w:rFonts w:ascii="Arial" w:cs="Arial" w:eastAsia="Arial" w:hAnsi="Arial"/>
                <w:sz w:val="18"/>
                <w:szCs w:val="18"/>
                <w:b w:val="1"/>
                <w:bCs w:val="1"/>
                <w:color w:val="auto"/>
              </w:rPr>
              <w:t>NM</w:t>
            </w:r>
          </w:p>
        </w:tc>
        <w:tc>
          <w:tcPr>
            <w:tcW w:w="920" w:type="dxa"/>
            <w:vAlign w:val="bottom"/>
            <w:tcBorders>
              <w:bottom w:val="single" w:sz="8" w:color="53439A"/>
            </w:tcBorders>
          </w:tcPr>
          <w:p>
            <w:pPr>
              <w:jc w:val="right"/>
              <w:ind w:right="14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Interest expense increased in 2012 primarily due to the impact of the interest related to the issuance of $2 billion aggregate principal amount of senior notes in October 2012 as well as consolidating Universal Orlando’s debt following the close of the Universal Orlando transaction.</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Interest expense increased in 2011 primarily due to the incremental interest expense associated with the $9.1 billion of senior notes issued in 2010.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decrease in 2012 primarily relates to the consolidation of Universal Orlando, which was accounted for as an equity method investment during the first half of 2011 as well as the impact of the sale of our equity interest in A&amp;E Television Networks.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decrease in 2011 primarily relates to our acquisition of the remaining 50% equity interest in Universal Orlando in July 2011. As a result, Universal Orlando was no longer recorded as an equity method investment following the acquisition date. See “Segment Operating Results – Theme Parks Segment Results of Operations” above for further information. Equity in net income of investees, net in 2011 included $52 million of incremental amortization of the basis differences resulting from the increased fair value of our investments that was recorded as a result of the Joint Venture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increase in other income in 2012 was primarily due to a $1 billion gain related to the A&amp;E Television Networks transaction. See Note 6 to our consolidated financial statements for additional information.</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Other income (expense) in 2012 and 2011 included $186 million and $57 million, respectively, of expenses related to fair value adjustments to contractual obligations that involve financial interests held by third parties</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of our businesses. The obligations were recorded at fair value in connection with the Joint Venture and Universal Orlando transactions, with subsequent changes in fair value recorded in other income (expense), net. In addition, in 2011 we recorded a $27 million loss related to the sale of an independent Spanish-language local broadcast television station that we owned.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limited liability company and our company is disregarded for U.S. federal income tax purposes as an entity separate from NBCUniversal, LLC (“NBCUniversal Holdings”), a tax partnership. NBCUniversal and our subsidiaries do not incur any significant current or deferred U.S. domestic income taxes. Our income tax expense is comprised of foreign withholding taxes and foreign income taxes, as well as U.S. domestic income taxes that are primarily related to state income taxes. Our income tax expense increased in 2012 primarily due to higher foreign income taxes and the state income taxes associated with the A&amp;E Television Networks transaction. The decrease in our income tax expense in 2011 was primarily due to our conversion into a limited liability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(Income) Loss Attributable to Noncontrolling Interests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(income) loss attributable to noncontrolling interests remained flat in 2012. Net (income) loss attributable to noncontrolling interests increased in 2011 primarily due to income associated with the noncontrolling interests in the regional sports networks contributed by Comcast as part of the Joint Venture transaction and the impact of the deconsolidation, effective January 28, 2011, of Station Venture Holdings, LLC (“Station Venture”). See Note 6 to our consolidated financial statements for additional information on Station Venture.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debt repayment obligations and distributions to NBCUniversal Holdings, through our cash flows from operating activities, existing cash, cash equivalents and investments, available borrowings under our existing credit facilities, and our ability to obtain future external financing.</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significant availability under our lines of credit and our commercial paper program to meet our short-term liquidity requirements. As of December 31, 2012, $1.4 billion was available under our revolving credit facility. We expect the terms of our credit facility will be amended in connection with Comcast’s agreement to purchase GE’s 49% common equity interest in NBCUniversal that was entered into in February 2013. See Note 20 to our consolidated financial statements for additional information.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subject to the covenants and restrictions set forth in the indentures governing our public debt securities and in the credit agreement governing our credit facility. We are in compliance with the covenants, and we believe that neither the covenants nor the restrictions in our indentures or loan documents will limit our ability to operate our businesses or raise additional capital. We test our compliance with our credit facility’s covenants on an ongoing basis. The only financial covenant in our credit facility pertains to leverage, which is the ratio of debt to earnings. As of December 31, 2012, we met this financial covenant by a significant margin and do not expect to have to reduce debt or improve operating results in order to continue to comply with this financial covenant.</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October 2012, we issued $1 billion aggregate principal amount of 2.875% senior notes due 2023 and $1 billion aggregate principal amount of 4.450% senior notes due 2043. A portion of the proceeds from this issuance was used to redeem in November 2012 the $260 million aggregate principal amount outstanding of Universal Orlando’s 8.875% senior notes due 2015 and the $146 million aggregate principal amount outstanding of Universal Orlando’s 10.875% senior subordinated notes due 2016.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Holdings, our sole member, has caused us to, and will continue to cause us to, make distributions or loans to NBCUniversal Holdings to meet its cash requirements. These requirements include an obligation to make distributions of cash on a quarterly basis to enable its indirect owners (Comcast and GE) to meet their obligations to pay taxes on taxable income generated by our businesses.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Comcast and GE have rights that may require NBCUniversal Holdings to redeem GE’s interests in NBCUniversal Holdings at various times. NBCUniversal Holdings, however, has no independent source of cash, other than distributions or loans from our company. Our ability to make distributions or loans may be limited by contractual arrangements. Comcast does not guarantee our debt obligations, and if borrowings to fund either of GE’s two potential redemptions would result in our exceeding a certain leverage ratio or losing investment grade status or if NBCUniversal Holdings cannot otherwise fund such redemptions, Comcast is committed to fund up to $2.875 billion in cash or its common stock for each of the two potential redemptions (for an aggregate of up to $5.75 billion) to the extent NBCUniversal Holdings cannot fund the redemptions, with amounts not used in the first redemption available for the second redemption.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Prior to the close of the Joint Venture transaction, we distributed approximately $7.4 billion to GE. Substantially all of our cash and cash equivalents were distributed to GE, except for approximately $200 million and minimal cash balances at our international subsidiaries, which we retained to facilitate the funding of our short-term working capital requirements immediately following the close of the Joint Venture transaction. The Comcast Content Business was contributed with cash or cash equivalents of approximately $38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Monetization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monetize certain of our accounts receivable under programs with a syndicate of banks. The effects of these monetization transactions are a component of net cash provided by operating activities in our consolidated statement of cash flows. See Note 17 to our consolidated financial statements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53439A"/>
        </w:rPr>
        <w:t>Components of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ind w:left="52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1080" w:type="dxa"/>
            <w:vAlign w:val="bottom"/>
            <w:gridSpan w:val="2"/>
          </w:tcPr>
          <w:p>
            <w:pPr>
              <w:jc w:val="right"/>
              <w:ind w:right="99"/>
              <w:spacing w:after="0"/>
              <w:rPr>
                <w:sz w:val="20"/>
                <w:szCs w:val="20"/>
                <w:color w:val="auto"/>
              </w:rPr>
            </w:pPr>
            <w:r>
              <w:rPr>
                <w:rFonts w:ascii="Arial" w:cs="Arial" w:eastAsia="Arial" w:hAnsi="Arial"/>
                <w:sz w:val="14"/>
                <w:szCs w:val="14"/>
                <w:color w:val="auto"/>
              </w:rPr>
              <w:t>Predecessor</w:t>
            </w:r>
          </w:p>
        </w:tc>
        <w:tc>
          <w:tcPr>
            <w:tcW w:w="180" w:type="dxa"/>
            <w:vAlign w:val="bottom"/>
          </w:tcPr>
          <w:p>
            <w:pPr>
              <w:spacing w:after="0"/>
              <w:rPr>
                <w:sz w:val="14"/>
                <w:szCs w:val="14"/>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color w:val="auto"/>
                <w:w w:val="93"/>
              </w:rPr>
              <w:t>Combined</w:t>
            </w:r>
          </w:p>
        </w:tc>
        <w:tc>
          <w:tcPr>
            <w:tcW w:w="1040" w:type="dxa"/>
            <w:vAlign w:val="bottom"/>
            <w:gridSpan w:val="2"/>
          </w:tcPr>
          <w:p>
            <w:pPr>
              <w:jc w:val="right"/>
              <w:ind w:right="76"/>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41"/>
        </w:trPr>
        <w:tc>
          <w:tcPr>
            <w:tcW w:w="5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7"/>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59"/>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w w:val="98"/>
              </w:rPr>
              <w:t>January 29,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59"/>
              <w:spacing w:after="0" w:line="149" w:lineRule="exact"/>
              <w:rPr>
                <w:sz w:val="20"/>
                <w:szCs w:val="20"/>
                <w:color w:val="auto"/>
              </w:rPr>
            </w:pPr>
            <w:r>
              <w:rPr>
                <w:rFonts w:ascii="Arial" w:cs="Arial" w:eastAsia="Arial" w:hAnsi="Arial"/>
                <w:sz w:val="14"/>
                <w:szCs w:val="14"/>
                <w:color w:val="auto"/>
              </w:rPr>
              <w:t>January 1,</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300"/>
              <w:spacing w:after="0" w:line="133"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59"/>
              <w:spacing w:after="0" w:line="133"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1"/>
                <w:szCs w:val="11"/>
                <w:color w:val="auto"/>
              </w:rPr>
            </w:pPr>
          </w:p>
        </w:tc>
        <w:tc>
          <w:tcPr>
            <w:tcW w:w="860" w:type="dxa"/>
            <w:vAlign w:val="bottom"/>
          </w:tcPr>
          <w:p>
            <w:pPr>
              <w:jc w:val="right"/>
              <w:ind w:right="37"/>
              <w:spacing w:after="0" w:line="133"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1"/>
                <w:szCs w:val="11"/>
                <w:color w:val="auto"/>
              </w:rPr>
            </w:pPr>
          </w:p>
        </w:tc>
        <w:tc>
          <w:tcPr>
            <w:tcW w:w="840" w:type="dxa"/>
            <w:vAlign w:val="bottom"/>
          </w:tcPr>
          <w:p>
            <w:pPr>
              <w:jc w:val="right"/>
              <w:ind w:right="16"/>
              <w:spacing w:after="0" w:line="133" w:lineRule="exact"/>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tcBorders>
              <w:right w:val="single" w:sz="8" w:color="auto"/>
            </w:tcBorders>
            <w:gridSpan w:val="3"/>
          </w:tcPr>
          <w:p>
            <w:pPr>
              <w:jc w:val="right"/>
              <w:ind w:right="300"/>
              <w:spacing w:after="0" w:line="149"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59"/>
              <w:spacing w:after="0" w:line="149" w:lineRule="exact"/>
              <w:rPr>
                <w:sz w:val="20"/>
                <w:szCs w:val="20"/>
                <w:color w:val="auto"/>
              </w:rPr>
            </w:pPr>
            <w:r>
              <w:rPr>
                <w:rFonts w:ascii="Arial" w:cs="Arial" w:eastAsia="Arial" w:hAnsi="Arial"/>
                <w:sz w:val="14"/>
                <w:szCs w:val="14"/>
                <w:color w:val="auto"/>
                <w:w w:val="98"/>
              </w:rPr>
              <w:t>January 28,</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5"/>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7"/>
        </w:trPr>
        <w:tc>
          <w:tcPr>
            <w:tcW w:w="5100" w:type="dxa"/>
            <w:vAlign w:val="bottom"/>
          </w:tcPr>
          <w:p>
            <w:pPr>
              <w:spacing w:after="0" w:line="177" w:lineRule="exact"/>
              <w:rPr>
                <w:sz w:val="20"/>
                <w:szCs w:val="20"/>
                <w:color w:val="auto"/>
              </w:rPr>
            </w:pPr>
            <w:r>
              <w:rPr>
                <w:rFonts w:ascii="Arial" w:cs="Arial" w:eastAsia="Arial" w:hAnsi="Arial"/>
                <w:sz w:val="18"/>
                <w:szCs w:val="18"/>
                <w:color w:val="auto"/>
              </w:rPr>
              <w:t>Operating income</w:t>
            </w:r>
          </w:p>
        </w:tc>
        <w:tc>
          <w:tcPr>
            <w:tcW w:w="860" w:type="dxa"/>
            <w:vAlign w:val="bottom"/>
            <w:gridSpan w:val="2"/>
          </w:tcPr>
          <w:p>
            <w:pPr>
              <w:ind w:left="720"/>
              <w:spacing w:after="0" w:line="177"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2,781</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7"/>
              <w:spacing w:after="0" w:line="177" w:lineRule="exact"/>
              <w:rPr>
                <w:sz w:val="20"/>
                <w:szCs w:val="20"/>
                <w:color w:val="auto"/>
              </w:rPr>
            </w:pPr>
            <w:r>
              <w:rPr>
                <w:rFonts w:ascii="Arial" w:cs="Arial" w:eastAsia="Arial" w:hAnsi="Arial"/>
                <w:sz w:val="18"/>
                <w:szCs w:val="18"/>
                <w:color w:val="auto"/>
              </w:rPr>
              <w:t>2,283</w:t>
            </w:r>
          </w:p>
        </w:tc>
        <w:tc>
          <w:tcPr>
            <w:tcW w:w="200" w:type="dxa"/>
            <w:vAlign w:val="bottom"/>
            <w:tcBorders>
              <w:right w:val="single" w:sz="8" w:color="auto"/>
            </w:tcBorders>
          </w:tcPr>
          <w:p>
            <w:pPr>
              <w:spacing w:after="0"/>
              <w:rPr>
                <w:sz w:val="15"/>
                <w:szCs w:val="15"/>
                <w:color w:val="auto"/>
              </w:rPr>
            </w:pPr>
          </w:p>
        </w:tc>
        <w:tc>
          <w:tcPr>
            <w:tcW w:w="38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9"/>
              <w:spacing w:after="0" w:line="177" w:lineRule="exact"/>
              <w:rPr>
                <w:sz w:val="20"/>
                <w:szCs w:val="20"/>
                <w:color w:val="auto"/>
              </w:rPr>
            </w:pPr>
            <w:r>
              <w:rPr>
                <w:rFonts w:ascii="Arial" w:cs="Arial" w:eastAsia="Arial" w:hAnsi="Arial"/>
                <w:sz w:val="18"/>
                <w:szCs w:val="18"/>
                <w:color w:val="auto"/>
              </w:rPr>
              <w:t>8</w:t>
            </w:r>
          </w:p>
        </w:tc>
        <w:tc>
          <w:tcPr>
            <w:tcW w:w="180" w:type="dxa"/>
            <w:vAlign w:val="bottom"/>
          </w:tcPr>
          <w:p>
            <w:pPr>
              <w:ind w:left="60"/>
              <w:spacing w:after="0" w:line="177"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line="177" w:lineRule="exact"/>
              <w:rPr>
                <w:sz w:val="20"/>
                <w:szCs w:val="20"/>
                <w:color w:val="auto"/>
              </w:rPr>
            </w:pPr>
            <w:r>
              <w:rPr>
                <w:rFonts w:ascii="Arial" w:cs="Arial" w:eastAsia="Arial" w:hAnsi="Arial"/>
                <w:sz w:val="18"/>
                <w:szCs w:val="18"/>
                <w:color w:val="auto"/>
              </w:rPr>
              <w:t>2,291</w:t>
            </w:r>
          </w:p>
        </w:tc>
        <w:tc>
          <w:tcPr>
            <w:tcW w:w="200" w:type="dxa"/>
            <w:vAlign w:val="bottom"/>
          </w:tcPr>
          <w:p>
            <w:pPr>
              <w:ind w:left="80"/>
              <w:spacing w:after="0" w:line="177"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line="177" w:lineRule="exact"/>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1,326</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1,113</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1,140</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77"/>
        </w:trPr>
        <w:tc>
          <w:tcPr>
            <w:tcW w:w="5100" w:type="dxa"/>
            <w:vAlign w:val="bottom"/>
          </w:tcPr>
          <w:p>
            <w:pPr>
              <w:ind w:left="220"/>
              <w:spacing w:after="0" w:line="177" w:lineRule="exact"/>
              <w:rPr>
                <w:sz w:val="20"/>
                <w:szCs w:val="20"/>
                <w:color w:val="auto"/>
              </w:rPr>
            </w:pPr>
            <w:r>
              <w:rPr>
                <w:rFonts w:ascii="Arial" w:cs="Arial" w:eastAsia="Arial" w:hAnsi="Arial"/>
                <w:sz w:val="18"/>
                <w:szCs w:val="18"/>
                <w:color w:val="auto"/>
              </w:rPr>
              <w:t>Operating income before depreciation and amortization</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4,107</w:t>
            </w:r>
          </w:p>
        </w:tc>
        <w:tc>
          <w:tcPr>
            <w:tcW w:w="200" w:type="dxa"/>
            <w:vAlign w:val="bottom"/>
          </w:tcPr>
          <w:p>
            <w:pPr>
              <w:spacing w:after="0"/>
              <w:rPr>
                <w:sz w:val="15"/>
                <w:szCs w:val="15"/>
                <w:color w:val="auto"/>
              </w:rPr>
            </w:pPr>
          </w:p>
        </w:tc>
        <w:tc>
          <w:tcPr>
            <w:tcW w:w="840" w:type="dxa"/>
            <w:vAlign w:val="bottom"/>
          </w:tcPr>
          <w:p>
            <w:pPr>
              <w:jc w:val="right"/>
              <w:ind w:right="17"/>
              <w:spacing w:after="0" w:line="177" w:lineRule="exact"/>
              <w:rPr>
                <w:sz w:val="20"/>
                <w:szCs w:val="20"/>
                <w:color w:val="auto"/>
              </w:rPr>
            </w:pPr>
            <w:r>
              <w:rPr>
                <w:rFonts w:ascii="Arial" w:cs="Arial" w:eastAsia="Arial" w:hAnsi="Arial"/>
                <w:sz w:val="18"/>
                <w:szCs w:val="18"/>
                <w:color w:val="auto"/>
              </w:rPr>
              <w:t>3,396</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59"/>
              <w:spacing w:after="0" w:line="177"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5"/>
                <w:szCs w:val="15"/>
                <w:color w:val="auto"/>
              </w:rPr>
            </w:pPr>
          </w:p>
        </w:tc>
        <w:tc>
          <w:tcPr>
            <w:tcW w:w="860" w:type="dxa"/>
            <w:vAlign w:val="bottom"/>
          </w:tcPr>
          <w:p>
            <w:pPr>
              <w:jc w:val="right"/>
              <w:ind w:right="37"/>
              <w:spacing w:after="0" w:line="177" w:lineRule="exact"/>
              <w:rPr>
                <w:sz w:val="20"/>
                <w:szCs w:val="20"/>
                <w:color w:val="auto"/>
              </w:rPr>
            </w:pPr>
            <w:r>
              <w:rPr>
                <w:rFonts w:ascii="Arial" w:cs="Arial" w:eastAsia="Arial" w:hAnsi="Arial"/>
                <w:sz w:val="18"/>
                <w:szCs w:val="18"/>
                <w:color w:val="auto"/>
              </w:rPr>
              <w:t>3,431</w:t>
            </w:r>
          </w:p>
        </w:tc>
        <w:tc>
          <w:tcPr>
            <w:tcW w:w="200" w:type="dxa"/>
            <w:vAlign w:val="bottom"/>
          </w:tcPr>
          <w:p>
            <w:pPr>
              <w:spacing w:after="0"/>
              <w:rPr>
                <w:sz w:val="15"/>
                <w:szCs w:val="15"/>
                <w:color w:val="auto"/>
              </w:rPr>
            </w:pPr>
          </w:p>
        </w:tc>
        <w:tc>
          <w:tcPr>
            <w:tcW w:w="840" w:type="dxa"/>
            <w:vAlign w:val="bottom"/>
          </w:tcPr>
          <w:p>
            <w:pPr>
              <w:jc w:val="right"/>
              <w:ind w:right="16"/>
              <w:spacing w:after="0" w:line="177" w:lineRule="exact"/>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Noncash compensation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7"/>
                <w:szCs w:val="17"/>
                <w:color w:val="auto"/>
              </w:rPr>
            </w:pPr>
          </w:p>
        </w:tc>
        <w:tc>
          <w:tcPr>
            <w:tcW w:w="8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7"/>
                <w:szCs w:val="17"/>
                <w:color w:val="auto"/>
              </w:rPr>
            </w:pP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65</w:t>
            </w:r>
          </w:p>
        </w:tc>
        <w:tc>
          <w:tcPr>
            <w:tcW w:w="200" w:type="dxa"/>
            <w:vAlign w:val="bottom"/>
          </w:tcPr>
          <w:p>
            <w:pPr>
              <w:spacing w:after="0"/>
              <w:rPr>
                <w:sz w:val="17"/>
                <w:szCs w:val="17"/>
                <w:color w:val="auto"/>
              </w:rPr>
            </w:pP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77"/>
        </w:trPr>
        <w:tc>
          <w:tcPr>
            <w:tcW w:w="5100" w:type="dxa"/>
            <w:vAlign w:val="bottom"/>
          </w:tcPr>
          <w:p>
            <w:pPr>
              <w:ind w:left="220"/>
              <w:spacing w:after="0" w:line="177" w:lineRule="exact"/>
              <w:rPr>
                <w:sz w:val="20"/>
                <w:szCs w:val="20"/>
                <w:color w:val="auto"/>
              </w:rPr>
            </w:pPr>
            <w:r>
              <w:rPr>
                <w:rFonts w:ascii="Arial" w:cs="Arial" w:eastAsia="Arial" w:hAnsi="Arial"/>
                <w:sz w:val="18"/>
                <w:szCs w:val="18"/>
                <w:color w:val="auto"/>
              </w:rPr>
              <w:t>Cash basis operating income</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3,853</w:t>
            </w:r>
          </w:p>
        </w:tc>
        <w:tc>
          <w:tcPr>
            <w:tcW w:w="200" w:type="dxa"/>
            <w:vAlign w:val="bottom"/>
          </w:tcPr>
          <w:p>
            <w:pPr>
              <w:spacing w:after="0"/>
              <w:rPr>
                <w:sz w:val="15"/>
                <w:szCs w:val="15"/>
                <w:color w:val="auto"/>
              </w:rPr>
            </w:pPr>
          </w:p>
        </w:tc>
        <w:tc>
          <w:tcPr>
            <w:tcW w:w="840" w:type="dxa"/>
            <w:vAlign w:val="bottom"/>
          </w:tcPr>
          <w:p>
            <w:pPr>
              <w:jc w:val="right"/>
              <w:ind w:right="17"/>
              <w:spacing w:after="0" w:line="177" w:lineRule="exact"/>
              <w:rPr>
                <w:sz w:val="20"/>
                <w:szCs w:val="20"/>
                <w:color w:val="auto"/>
              </w:rPr>
            </w:pPr>
            <w:r>
              <w:rPr>
                <w:rFonts w:ascii="Arial" w:cs="Arial" w:eastAsia="Arial" w:hAnsi="Arial"/>
                <w:sz w:val="18"/>
                <w:szCs w:val="18"/>
                <w:color w:val="auto"/>
              </w:rPr>
              <w:t>3,245</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(137)</w:t>
            </w:r>
          </w:p>
        </w:tc>
        <w:tc>
          <w:tcPr>
            <w:tcW w:w="180" w:type="dxa"/>
            <w:vAlign w:val="bottom"/>
          </w:tcPr>
          <w:p>
            <w:pPr>
              <w:spacing w:after="0"/>
              <w:rPr>
                <w:sz w:val="15"/>
                <w:szCs w:val="15"/>
                <w:color w:val="auto"/>
              </w:rPr>
            </w:pPr>
          </w:p>
        </w:tc>
        <w:tc>
          <w:tcPr>
            <w:tcW w:w="860" w:type="dxa"/>
            <w:vAlign w:val="bottom"/>
          </w:tcPr>
          <w:p>
            <w:pPr>
              <w:jc w:val="right"/>
              <w:ind w:right="37"/>
              <w:spacing w:after="0" w:line="177" w:lineRule="exact"/>
              <w:rPr>
                <w:sz w:val="20"/>
                <w:szCs w:val="20"/>
                <w:color w:val="auto"/>
              </w:rPr>
            </w:pPr>
            <w:r>
              <w:rPr>
                <w:rFonts w:ascii="Arial" w:cs="Arial" w:eastAsia="Arial" w:hAnsi="Arial"/>
                <w:sz w:val="18"/>
                <w:szCs w:val="18"/>
                <w:color w:val="auto"/>
              </w:rPr>
              <w:t>3,108</w:t>
            </w:r>
          </w:p>
        </w:tc>
        <w:tc>
          <w:tcPr>
            <w:tcW w:w="200" w:type="dxa"/>
            <w:vAlign w:val="bottom"/>
          </w:tcPr>
          <w:p>
            <w:pPr>
              <w:spacing w:after="0"/>
              <w:rPr>
                <w:sz w:val="15"/>
                <w:szCs w:val="15"/>
                <w:color w:val="auto"/>
              </w:rPr>
            </w:pPr>
          </w:p>
        </w:tc>
        <w:tc>
          <w:tcPr>
            <w:tcW w:w="840" w:type="dxa"/>
            <w:vAlign w:val="bottom"/>
          </w:tcPr>
          <w:p>
            <w:pPr>
              <w:jc w:val="right"/>
              <w:ind w:right="16"/>
              <w:spacing w:after="0" w:line="177" w:lineRule="exact"/>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(461)</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(444)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Payments of income taxes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from investments and other</w:t>
            </w: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110</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229</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96"/>
        </w:trPr>
        <w:tc>
          <w:tcPr>
            <w:tcW w:w="5100" w:type="dxa"/>
            <w:vAlign w:val="bottom"/>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860" w:type="dxa"/>
            <w:vAlign w:val="bottom"/>
            <w:gridSpan w:val="2"/>
          </w:tcPr>
          <w:p>
            <w:pPr>
              <w:ind w:left="72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7"/>
              <w:spacing w:after="0" w:line="196" w:lineRule="exact"/>
              <w:rPr>
                <w:sz w:val="20"/>
                <w:szCs w:val="20"/>
                <w:color w:val="auto"/>
              </w:rPr>
            </w:pPr>
            <w:r>
              <w:rPr>
                <w:rFonts w:ascii="Arial" w:cs="Arial" w:eastAsia="Arial" w:hAnsi="Arial"/>
                <w:sz w:val="18"/>
                <w:szCs w:val="18"/>
                <w:b w:val="1"/>
                <w:bCs w:val="1"/>
                <w:color w:val="auto"/>
              </w:rPr>
              <w:t>3,333</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7"/>
              <w:spacing w:after="0" w:line="196" w:lineRule="exact"/>
              <w:rPr>
                <w:sz w:val="20"/>
                <w:szCs w:val="20"/>
                <w:color w:val="auto"/>
              </w:rPr>
            </w:pPr>
            <w:r>
              <w:rPr>
                <w:rFonts w:ascii="Arial" w:cs="Arial" w:eastAsia="Arial" w:hAnsi="Arial"/>
                <w:sz w:val="18"/>
                <w:szCs w:val="18"/>
                <w:color w:val="auto"/>
              </w:rPr>
              <w:t>2,869</w:t>
            </w:r>
          </w:p>
        </w:tc>
        <w:tc>
          <w:tcPr>
            <w:tcW w:w="200" w:type="dxa"/>
            <w:vAlign w:val="bottom"/>
            <w:tcBorders>
              <w:right w:val="single" w:sz="8" w:color="auto"/>
            </w:tcBorders>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(629)</w:t>
            </w:r>
          </w:p>
        </w:tc>
        <w:tc>
          <w:tcPr>
            <w:tcW w:w="180" w:type="dxa"/>
            <w:vAlign w:val="bottom"/>
          </w:tcPr>
          <w:p>
            <w:pPr>
              <w:ind w:left="6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line="196" w:lineRule="exact"/>
              <w:rPr>
                <w:sz w:val="20"/>
                <w:szCs w:val="20"/>
                <w:color w:val="auto"/>
              </w:rPr>
            </w:pPr>
            <w:r>
              <w:rPr>
                <w:rFonts w:ascii="Arial" w:cs="Arial" w:eastAsia="Arial" w:hAnsi="Arial"/>
                <w:sz w:val="18"/>
                <w:szCs w:val="18"/>
                <w:color w:val="auto"/>
              </w:rPr>
              <w:t>2,240</w:t>
            </w:r>
          </w:p>
        </w:tc>
        <w:tc>
          <w:tcPr>
            <w:tcW w:w="200" w:type="dxa"/>
            <w:vAlign w:val="bottom"/>
          </w:tcPr>
          <w:p>
            <w:pPr>
              <w:ind w:left="8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line="196"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53439A"/>
            </w:tcBorders>
          </w:tcPr>
          <w:p>
            <w:pPr>
              <w:spacing w:after="0"/>
              <w:rPr>
                <w:sz w:val="2"/>
                <w:szCs w:val="2"/>
                <w:color w:val="auto"/>
              </w:rPr>
            </w:pPr>
          </w:p>
        </w:tc>
        <w:tc>
          <w:tcPr>
            <w:tcW w:w="860" w:type="dxa"/>
            <w:vAlign w:val="bottom"/>
            <w:tcBorders>
              <w:bottom w:val="single" w:sz="8" w:color="53439A"/>
            </w:tcBorders>
            <w:gridSpan w:val="2"/>
          </w:tcPr>
          <w:p>
            <w:pPr>
              <w:spacing w:after="0"/>
              <w:rPr>
                <w:sz w:val="2"/>
                <w:szCs w:val="2"/>
                <w:color w:val="auto"/>
              </w:rPr>
            </w:pPr>
          </w:p>
        </w:tc>
        <w:tc>
          <w:tcPr>
            <w:tcW w:w="88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84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18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2960" w:type="dxa"/>
            <w:vAlign w:val="bottom"/>
            <w:tcBorders>
              <w:bottom w:val="single" w:sz="8" w:color="53439A"/>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533"/>
        </w:trPr>
        <w:tc>
          <w:tcPr>
            <w:tcW w:w="510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37</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tcPr>
          <w:p>
            <w:pPr>
              <w:jc w:val="right"/>
              <w:spacing w:after="0"/>
              <w:rPr>
                <w:sz w:val="20"/>
                <w:szCs w:val="20"/>
                <w:color w:val="auto"/>
              </w:rPr>
            </w:pPr>
            <w:r>
              <w:rPr>
                <w:rFonts w:ascii="Arial" w:cs="Arial" w:eastAsia="Arial" w:hAnsi="Arial"/>
                <w:sz w:val="14"/>
                <w:szCs w:val="14"/>
                <w:color w:val="auto"/>
                <w:w w:val="96"/>
              </w:rPr>
              <w:t>NBCUniversal 2012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changes in operating assets and liabilities in 2012, compared to changes in 2011, were primarily related to a decrease in film and television costs, partially offset by the settlement in 2012 of a $237 million liability associated with the unfavorable Olympic contract that had been recorded through the application of acquisition accounting in 2011, as well as the timing of our other operating items, including accounts receivable and accounts payable related to trade creditors.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changes in operating assets and liabilities in 2011 compared to changes in 2010, were primarily related to net cash outflows on our receivables monetization programs and an increase in film and television costs and net cash inflows related to the timing of payments made for accounts payables and other accrued expenses.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Interest payments in 2012 remained flat. The increase in interest payments in 2011 was primarily due to the issuance during 2010 of our $9.1 billion of senior debt securities.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decrease in income tax payments in 2012 is primarily due to amounts paid in January 2011 in preparation for the close of the Joint Venture transaction.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income tax payments in 2011 was primarily due to federal tax payments related to the repatriation of foreign earnings, as well as tax payments to GE in 2011 related to the settlement of certain tax positions in preparation for the close of the Joint Venture transaction and our conversion to a limited liability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cash provided by investing activities in 2012 consisted primarily of $3 billion in cash proceeds we received related to the A&amp;E Television Networks transaction. Following the close of the A&amp;E Television Networks transaction, we no longer receive dividends from A&amp;E Television Networks. During the years ended December 31, 2012 and 2011, we received $129 million and $196 million, respectively, in dividends from A&amp;E Television Networks, which were included in net cash provided by operating activities. The cash proceeds received from the sale of our equity interest in A&amp;E Television Networks were partially offset by capital expenditures, purchases of investments, cash paid for intangible assets and the acquisition of the remaining 50% equity interest in MSNBC.com that we did not already own. Capital expenditures increased in 2012 primarily due to increased investment at our Universal theme parks and increased investment in technical infrastructure to support our cable networks and broadcast television operations.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used in investing activities in 2011 consisted primarily of cash paid, net of cash acquired, for the Universal Orlando acquisition, capital expenditures and cash paid for intangible assets. Cash paid for intangible assets included payments associated with the acquisition of intellectual property rights for use in our theme parks.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cash used in financing activities in 2012 consisted primarily of tax distributions to NBCUniversal Holdings, net repayments of our outstanding commercial paper and the redemption of Universal Orlando’s senior and senior subordinated notes, substantially offset by proceeds from third-party borrowings of $2 billion. Our tax distributions to NBCUniversal Holdings in 2012 totaled $964 million, of which $430 million related to taxable income of Comcast and GE associated with the A&amp;E Television Networks transaction. Of the total tax distributions to NBCUniversal Holdings in 2012, $491 million was attributable to Comcast and $473 million was attributable to GE.</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used in financing activities in 2011 consisted primarily of the various financing transactions related to the Universal Orlando transaction (see Note 3 to our consolidated financial statements for additional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information), the $332 million repurchase of a preferred stock interest from an affiliate of GE in the Predecessor period ended January 28, 2011, and an increase in distributions to noncontrolling interests due to the consolidation of the Comcast Content Business in the Successor period ended December 31, 2011. In addition, in January 2011, we paid a dividend to GE that was substantially offset by GE’s repayment of loans due to us that we had previously made to GE following the issuance of our senior debt securities in 2010.</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See Note 9 to our consolidated financial statements for additional information on of our financing activities, including details of our debt repayments and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future contractual obligations as of December 31, 2012 by period in which the payments are due.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4"/>
                <w:szCs w:val="14"/>
                <w:color w:val="auto"/>
              </w:rPr>
              <w:t>Payment Due by Period</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Year 1</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Year 2-3</w:t>
            </w:r>
          </w:p>
        </w:tc>
        <w:tc>
          <w:tcPr>
            <w:tcW w:w="8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rPr>
              <w:t>Year 4-5</w:t>
            </w:r>
          </w:p>
        </w:tc>
        <w:tc>
          <w:tcPr>
            <w:tcW w:w="9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More than 5</w:t>
            </w:r>
          </w:p>
        </w:tc>
        <w:tc>
          <w:tcPr>
            <w:tcW w:w="0" w:type="dxa"/>
            <w:vAlign w:val="bottom"/>
          </w:tcPr>
          <w:p>
            <w:pPr>
              <w:spacing w:after="0"/>
              <w:rPr>
                <w:sz w:val="1"/>
                <w:szCs w:val="1"/>
                <w:color w:val="auto"/>
              </w:rPr>
            </w:pPr>
          </w:p>
        </w:tc>
      </w:tr>
      <w:tr>
        <w:trPr>
          <w:trHeight w:val="199"/>
        </w:trPr>
        <w:tc>
          <w:tcPr>
            <w:tcW w:w="720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9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$ 11,135</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$ 1,927</w:t>
            </w: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$ 1,006</w:t>
            </w:r>
          </w:p>
        </w:tc>
        <w:tc>
          <w:tcPr>
            <w:tcW w:w="2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1,661</w:t>
            </w:r>
          </w:p>
        </w:tc>
        <w:tc>
          <w:tcPr>
            <w:tcW w:w="2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397</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344</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3"/>
        </w:trPr>
        <w:tc>
          <w:tcPr>
            <w:tcW w:w="720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31,586</w:t>
            </w:r>
          </w:p>
        </w:tc>
        <w:tc>
          <w:tcPr>
            <w:tcW w:w="2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7"/>
              </w:rPr>
              <w:t>4,403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6,244</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5,451</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2"/>
                <w:szCs w:val="22"/>
                <w:color w:val="auto"/>
                <w:vertAlign w:val="superscript"/>
              </w:rPr>
              <w:t>(c)</w:t>
            </w:r>
          </w:p>
        </w:tc>
        <w:tc>
          <w:tcPr>
            <w:tcW w:w="9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2,429</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126</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311</w:t>
            </w: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352</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color w:val="auto"/>
              </w:rPr>
              <w:t>Total</w:t>
            </w:r>
            <w:r>
              <w:rPr>
                <w:rFonts w:ascii="Arial" w:cs="Arial" w:eastAsia="Arial" w:hAnsi="Arial"/>
                <w:sz w:val="22"/>
                <w:szCs w:val="22"/>
                <w:color w:val="auto"/>
                <w:vertAlign w:val="superscript"/>
              </w:rPr>
              <w:t>(d)</w:t>
            </w:r>
          </w:p>
        </w:tc>
        <w:tc>
          <w:tcPr>
            <w:tcW w:w="92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$ 46,917</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4,778</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$ 8,897</w:t>
            </w: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$ 7,168</w:t>
            </w:r>
          </w:p>
        </w:tc>
        <w:tc>
          <w:tcPr>
            <w:tcW w:w="2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(long-term debt) and Note 18 (commitments and contingencies) to our consolidated financial statements.</w:t>
      </w:r>
    </w:p>
    <w:p>
      <w:pPr>
        <w:spacing w:after="0" w:line="55"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55"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Purchase obligations consist of agreements to purchase goods and services that are legally binding on us and specify all significant terms, including fixed or minimum quantities to be purchased and price provisions. Our purchase obligations consist primarily of the commitments to acquire film and television programming, including U.S. television rights to future Olympic Games through 2020, </w:t>
      </w:r>
      <w:r>
        <w:rPr>
          <w:rFonts w:ascii="Arial" w:cs="Arial" w:eastAsia="Arial" w:hAnsi="Arial"/>
          <w:sz w:val="14"/>
          <w:szCs w:val="14"/>
          <w:i w:val="1"/>
          <w:iCs w:val="1"/>
          <w:color w:val="auto"/>
        </w:rPr>
        <w:t>Sunday Night Football</w:t>
      </w:r>
      <w:r>
        <w:rPr>
          <w:rFonts w:ascii="Arial" w:cs="Arial" w:eastAsia="Arial" w:hAnsi="Arial"/>
          <w:sz w:val="14"/>
          <w:szCs w:val="14"/>
          <w:color w:val="auto"/>
        </w:rPr>
        <w:t xml:space="preserve"> on NBC through the 2022-23 season, including the Super Bowl in 2015, 2018 and 2021, NHL games through the 2020-21 season, Spanish-language U.S. television rights to FIFA World Cup games through 2022, U.S. television rights to English Premier League soccer games through the 2015-16 season and certain PGA TOUR golf events through 2021 as well as obligations under various creative talent and employment agreements, including obligations to actors, producers, television personalities and executives, and various other television commitments. Purchase obligations do not include contracts with immaterial future commitments.</w:t>
      </w:r>
    </w:p>
    <w:p>
      <w:pPr>
        <w:spacing w:after="0" w:line="57" w:lineRule="exact"/>
        <w:rPr>
          <w:rFonts w:ascii="Arial" w:cs="Arial" w:eastAsia="Arial" w:hAnsi="Arial"/>
          <w:sz w:val="14"/>
          <w:szCs w:val="14"/>
          <w:color w:val="auto"/>
        </w:rPr>
      </w:pPr>
    </w:p>
    <w:p>
      <w:pPr>
        <w:jc w:val="both"/>
        <w:ind w:left="280" w:hanging="272"/>
        <w:spacing w:after="0" w:line="225" w:lineRule="auto"/>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long-term obligations consist primarily of certain contractual obligations acquired in connection with the Joint Venture and Universal Orlando transactions, pension and postretirement benefit obligations and deferred compensation obligations. The contractual obligations involve financial interests held by third parties in certain of our businesses and are based on a percentage of future revenue of the specified businesses. One of these contractual obligations provides the third party with the option, beginning in 2017, to require us to purchase the interest for cash in an amount equal to the fair value of the estimated future payments. Payments of $1.8 billion of participations and residuals are not included in the table above because we cannot make a reliable estimate of the period in which these obligations will be settled.</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contractual obligations are made up of the following components.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41"/>
        </w:trPr>
        <w:tc>
          <w:tcPr>
            <w:tcW w:w="68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Liabilities recorded on the balance sheet</w:t>
            </w:r>
          </w:p>
        </w:tc>
        <w:tc>
          <w:tcPr>
            <w:tcW w:w="456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color w:val="auto"/>
              </w:rPr>
              <w:t>$ 14,616</w:t>
            </w:r>
          </w:p>
        </w:tc>
      </w:tr>
      <w:tr>
        <w:trPr>
          <w:trHeight w:val="149"/>
        </w:trPr>
        <w:tc>
          <w:tcPr>
            <w:tcW w:w="6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Commitments not recorded on the balance sheet</w:t>
            </w:r>
          </w:p>
        </w:tc>
        <w:tc>
          <w:tcPr>
            <w:tcW w:w="4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32,301</w:t>
            </w:r>
          </w:p>
        </w:tc>
      </w:tr>
      <w:tr>
        <w:trPr>
          <w:trHeight w:val="142"/>
        </w:trPr>
        <w:tc>
          <w:tcPr>
            <w:tcW w:w="6860" w:type="dxa"/>
            <w:vAlign w:val="bottom"/>
            <w:tcBorders>
              <w:bottom w:val="single" w:sz="8" w:color="53439A"/>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4560" w:type="dxa"/>
            <w:vAlign w:val="bottom"/>
            <w:tcBorders>
              <w:bottom w:val="single" w:sz="8" w:color="53439A"/>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$ 46,917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 Redemption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operating agreement of NBCUniversal Holdings, during the six month period beginning July 28, 2014, GE has the right to cause NBCUniversal Holdings to redeem, in cash, half of GE’s interest in NBCUniversal Holdings, and during the six month period beginning January 28, 2018, GE has the right to cause NBCUniversal Holdings to redeem GE’s remaining interest, if any. If GE exercises its first redemption right, we have the immediate right to purchase the remainder of GE’s interest. NBCUniversal Holdings has no independent source of cash, other than distributions or loans from our company, and any potential</w:t>
      </w:r>
    </w:p>
    <w:p>
      <w:pPr>
        <w:spacing w:after="0" w:line="327"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redemption of GE’s remaining equity interests is expected to be funded primarily through our cash flows from operating activities and our external borrowing capacity. No amounts related to this potential obligation are included in the table above. See Note 3 to our consolidated financial statements for additional information.</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12, 2013, Comcast entered into an agreement to acquire GE’s 49% common equity interest in NBCUniversal Holdings. See Note 20 to our consolidated financial statements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we did not have any significant off-balance sheet arrangements, other than GE’s redemption rights discussed above, that are reasonably likely to have a current or future effect on our financial condition, results of operations, liquidity, capital expenditures or capital resources.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our judgments and related estimates associated with revenue recognition, accounting for film and television costs, the valuation and impairment testing of goodwill and other indefinite-lived intangible assets and the fair value of contractual obligations, are critical in the preparation of our consolidated financial statements.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Notes 2, 5, 8 and 10 to our consolidated financial statements, respectively, for a discussion of our accounting policies with respect to these items.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Cable Networks and Broadcast Television Segments</w:t>
      </w:r>
    </w:p>
    <w:p>
      <w:pPr>
        <w:jc w:val="both"/>
        <w:spacing w:after="0" w:line="236"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the sale of advertising and the licensing of our owned programming. Our Broadcast Television segment generates revenue primarily from the sale of advertising and the licensing of our owned programming.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such shortfall is settled, primarily by providing additional advertising time. We record revenue from the licensing of our owned programming when the content is available for use by the licensee, and when certain other conditions are met. When license fees include advertising time, we recognize the advertising time component of revenue when the advertising units are aired.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53439A"/>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owned and acquired films for exhibition in movie theaters, the licensing of our owned and acquired films to cable, broadcast and premium networks as well as to digital distributors, and the licensing or sale of our owned and acquired films on DVD and through digital distributors. We also generate revenue from producing and licensing live stage plays and distributing filmed entertainment produced by third parties. We recognize revenue from the distribution of films to movie theaters when the films are exhibited. We record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Theme Parks Segment</w:t>
      </w: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as well as from licensing and other fees. We recognize revenue from advance theme park ticket sales when the tickets are used. For annual passes, we recognize revenue on a straight-line basis over the annual period following the initial redemption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film forecast computation method, which amortizes such costs using the ratio of the current period’s actual revenue to estimated total remaining gross revenue from all sources (“ultimate revenue”). Estimates of ultimate revenue have a significant impact on how quickly capitalized costs are amortized and, therefore, are updated regularly.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home entertainment and other distribution platforms, are revised based on historical relationships and an analysis of current market trends.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series can be licensed in subsequent platforms, revenue estimates for these platforms, such as U.S. and international syndication, home entertainment, and other distribution platforms, are included in ultimate revenue. In the case of television series and owned television programming, revenue estimates for produced episodes include revenue expected to be earned within 10 years of delivery of the initial episode or, if still in production, five years from the delivery of the most recent episode, if later.</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Capitalized film and television costs, as well as stage play production costs, are subject to impairment testing when certain triggering events are identified. If the fair value of a production falls below its unamortized cost, we would record an adjustment for the amount by which the unamortized capitalized costs exceed the production’s fair value. The fair value assessment is generally based on estimated future discounted cash flows,</w:t>
      </w:r>
    </w:p>
    <w:p>
      <w:pPr>
        <w:spacing w:after="0" w:line="293"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which are supported by our internal forecasts. Adjustments to capitalized film and stage play production costs of $161 million and $57 million were recorded in 2012 and 2011,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Goodwill and Indefinite-Lived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Goodwill</w:t>
      </w:r>
    </w:p>
    <w:p>
      <w:pPr>
        <w:jc w:val="both"/>
        <w:spacing w:after="0" w:line="236"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asset might be impaired.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four operating segments. We evaluate the determination of our reporting units used to test for impairment periodically or whenever events or changes in circumstances occur.</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first step of the two-step quantitative impairment test of goodwill involves a comparison of the estimated fair value of a reporting unit to its carrying amount, including goodwill. In performing the first step, we estimate the fair value of a reporting unit primarily based on a discounted cash flow approach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 estimated fair value of a reporting unit exceeds its carrying amount, the goodwill of the reporting unit is not impaired and the second step of the impairment test is not necessary. If the carrying amount of a reporting unit exceeds its estimated fair value, then the second step of the goodwill impairment test must be performed. The second step of the goodwill impairment test compares the implied fair value of the reporting unit’s goodwill with its carrying amount to measure the amount of impairment loss, if any. The implied fair value of goodwill is determined in the same manner as the amount of goodwill recognized in a business combination, in that the estimated fair value of the reporting unit is allocated to all of the assets and liabilities of that reporting unit including any unrecognized intangible assets as if the reporting unit had been acquired in a business combination and the fair value of the reporting unit was the purchase price paid. If the carrying amount of the reporting unit’s goodwill exceeds the implied fair value of the reporting unit’s goodwill, an impairment loss is recognized in an amount equal to that excess.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2012 annual impairment analyses, performed as of July 1, 2012, did not result in an impairment charge. The excess of the fair value of our Cable Networks and Theme Parks reporting units over their respective carrying values, as of July 1, 2012, was more than 30%. The excess of the fair value of our Broadcast Television reporting unit over its carrying value, as of the date of our 2012 impairment test, was less than 10%. As of December 31, 2012, $761 million of goodwill was allocated to this reporting unit.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Indefinite-Lived Intangible Assets</w:t>
      </w:r>
    </w:p>
    <w:p>
      <w:pPr>
        <w:jc w:val="both"/>
        <w:spacing w:after="0" w:line="237" w:lineRule="auto"/>
        <w:rPr>
          <w:sz w:val="20"/>
          <w:szCs w:val="20"/>
          <w:color w:val="auto"/>
        </w:rPr>
      </w:pPr>
      <w:r>
        <w:rPr>
          <w:rFonts w:ascii="Arial" w:cs="Arial" w:eastAsia="Arial" w:hAnsi="Arial"/>
          <w:sz w:val="18"/>
          <w:szCs w:val="18"/>
          <w:color w:val="auto"/>
        </w:rPr>
        <w:t>Indefinite-lived intangible assets consist of our trade names and FCC Licenses. We assess the recoverability of our indefinite-lived intangible assets annually, or more frequently whenever events or substantive changes in circumstances indicate that the assets might be impaired. We also evaluate the units of account used to test for impairment of our indefinite-lived intangible assets periodically or whenever events or substantive changes in circumstances occur to ensure impairment testing is performed at an appropriate level.</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quantitative impairment test for indefinite-lived intangible assets involves a comparison of the estimated fair value of the asset to its carrying amount. If the carrying amount of the indefinite-lived intangible asset exceeds its fair value, an impairment loss is recognized in an amount equal to that excess.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Trade Names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trade names represent the brand names of our cable and broadcast networks, film studios and theme parks. Each trade name is tested separately for impairment. Trade names are valued using the relief-from-royalty method, a form of the income approach. This method includes judgments about the royalty rates a market participant would be willing to pay in order to achieve the benefits associated with the trade name, as well as discount rate assumptions based on an assessment of the risk inherent in the projected future cash flows generated by the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annual impairment test for our trade names, performed as of July 1, 2012, did not result in an impairment charge.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FCC Licenses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 hold 25 FCC licenses related to our owned local broadcast television stations.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FCC licenses are valued using the Greenfield Discounted Cash Flow Method (“Greenfield Method”). The Greenfield Method is an excess earnings model that assumes that the only asset owned on the valuation date is the FCC license. In the application of the Greenfield Method to value FCC licenses, the modeling assumes that on day one of the projection period, a market participant only owns the FCC license and must acquire and assemble all the other assets owned by a representative market television station. The Greenfield Model, therefore, models out the startup of television operations including the acquisition and assemblage of the tangible assets, and the acquisition of relationships with advertisers.</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Greenfield Method includes considerable judgments. These judgments include assumptions concerning market potential, profit expectation, build-up period for the start-up station to reach a normalized state of operations and discount rates. Our start-up assumptions utilize market data and the selected discount rate reflects our assessment of the risk inherent in the projected future cash flows. Future economic conditions and changes in household population size in each market covered by our FCC licenses along with changes in advertiser behavior driven by new technologies could have a negative impact on our estimated fair values.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annual impairment test for our FCC licenses, performed as of July 1, 2012, did not result in an impairment charge.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53439A"/>
        </w:rPr>
        <w:t>Percent Hypothetical Reduction in Fair Value and Related Impairment of Indefinite-Lived Intangibles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5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color w:val="auto"/>
              </w:rPr>
              <w:t>10%</w:t>
            </w: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15%</w:t>
            </w: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w:t>
            </w: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25%</w:t>
            </w:r>
          </w:p>
        </w:tc>
      </w:tr>
      <w:tr>
        <w:trPr>
          <w:trHeight w:val="199"/>
        </w:trPr>
        <w:tc>
          <w:tcPr>
            <w:tcW w:w="5160" w:type="dxa"/>
            <w:vAlign w:val="bottom"/>
          </w:tcPr>
          <w:p>
            <w:pPr>
              <w:spacing w:after="0" w:line="200" w:lineRule="exact"/>
              <w:rPr>
                <w:sz w:val="20"/>
                <w:szCs w:val="20"/>
                <w:color w:val="auto"/>
              </w:rPr>
            </w:pPr>
            <w:r>
              <w:rPr>
                <w:rFonts w:ascii="Arial" w:cs="Arial" w:eastAsia="Arial" w:hAnsi="Arial"/>
                <w:sz w:val="18"/>
                <w:szCs w:val="18"/>
                <w:color w:val="auto"/>
              </w:rPr>
              <w:t>Trade names</w:t>
            </w:r>
          </w:p>
        </w:tc>
        <w:tc>
          <w:tcPr>
            <w:tcW w:w="4520" w:type="dxa"/>
            <w:vAlign w:val="bottom"/>
          </w:tcPr>
          <w:p>
            <w:pPr>
              <w:jc w:val="right"/>
              <w:ind w:right="37"/>
              <w:spacing w:after="0" w:line="200" w:lineRule="exact"/>
              <w:rPr>
                <w:sz w:val="20"/>
                <w:szCs w:val="20"/>
                <w:color w:val="auto"/>
              </w:rPr>
            </w:pPr>
            <w:r>
              <w:rPr>
                <w:rFonts w:ascii="Arial" w:cs="Arial" w:eastAsia="Arial" w:hAnsi="Arial"/>
                <w:sz w:val="18"/>
                <w:szCs w:val="18"/>
                <w:color w:val="auto"/>
              </w:rPr>
              <w:t>$ 8</w:t>
            </w:r>
          </w:p>
        </w:tc>
        <w:tc>
          <w:tcPr>
            <w:tcW w:w="5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$ 21</w:t>
            </w:r>
          </w:p>
        </w:tc>
        <w:tc>
          <w:tcPr>
            <w:tcW w:w="5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$ 44</w:t>
            </w:r>
          </w:p>
        </w:tc>
        <w:tc>
          <w:tcPr>
            <w:tcW w:w="5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$ 86</w:t>
            </w:r>
          </w:p>
        </w:tc>
      </w:tr>
      <w:tr>
        <w:trPr>
          <w:trHeight w:val="199"/>
        </w:trPr>
        <w:tc>
          <w:tcPr>
            <w:tcW w:w="5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FCC licenses</w:t>
            </w:r>
          </w:p>
        </w:tc>
        <w:tc>
          <w:tcPr>
            <w:tcW w:w="452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4</w:t>
            </w:r>
          </w:p>
        </w:tc>
        <w:tc>
          <w:tcPr>
            <w:tcW w:w="5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6</w:t>
            </w:r>
          </w:p>
        </w:tc>
      </w:tr>
      <w:tr>
        <w:trPr>
          <w:trHeight w:val="196"/>
        </w:trPr>
        <w:tc>
          <w:tcPr>
            <w:tcW w:w="51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4520" w:type="dxa"/>
            <w:vAlign w:val="bottom"/>
            <w:tcBorders>
              <w:bottom w:val="single" w:sz="8" w:color="53439A"/>
            </w:tcBorders>
          </w:tcPr>
          <w:p>
            <w:pPr>
              <w:jc w:val="right"/>
              <w:ind w:right="17"/>
              <w:spacing w:after="0" w:line="196" w:lineRule="exact"/>
              <w:rPr>
                <w:sz w:val="20"/>
                <w:szCs w:val="20"/>
                <w:color w:val="auto"/>
              </w:rPr>
            </w:pPr>
            <w:r>
              <w:rPr>
                <w:rFonts w:ascii="Arial" w:cs="Arial" w:eastAsia="Arial" w:hAnsi="Arial"/>
                <w:sz w:val="18"/>
                <w:szCs w:val="18"/>
                <w:color w:val="auto"/>
              </w:rPr>
              <w:t>$ 9</w:t>
            </w:r>
          </w:p>
        </w:tc>
        <w:tc>
          <w:tcPr>
            <w:tcW w:w="580" w:type="dxa"/>
            <w:vAlign w:val="bottom"/>
            <w:tcBorders>
              <w:bottom w:val="single" w:sz="8" w:color="53439A"/>
            </w:tcBorders>
          </w:tcPr>
          <w:p>
            <w:pPr>
              <w:jc w:val="right"/>
              <w:ind w:right="17"/>
              <w:spacing w:after="0" w:line="196" w:lineRule="exact"/>
              <w:rPr>
                <w:sz w:val="20"/>
                <w:szCs w:val="20"/>
                <w:color w:val="auto"/>
              </w:rPr>
            </w:pPr>
            <w:r>
              <w:rPr>
                <w:rFonts w:ascii="Arial" w:cs="Arial" w:eastAsia="Arial" w:hAnsi="Arial"/>
                <w:sz w:val="18"/>
                <w:szCs w:val="18"/>
                <w:color w:val="auto"/>
              </w:rPr>
              <w:t>$ 22</w:t>
            </w:r>
          </w:p>
        </w:tc>
        <w:tc>
          <w:tcPr>
            <w:tcW w:w="580" w:type="dxa"/>
            <w:vAlign w:val="bottom"/>
            <w:tcBorders>
              <w:bottom w:val="single" w:sz="8" w:color="53439A"/>
            </w:tcBorders>
          </w:tcPr>
          <w:p>
            <w:pPr>
              <w:jc w:val="right"/>
              <w:ind w:right="17"/>
              <w:spacing w:after="0" w:line="196" w:lineRule="exact"/>
              <w:rPr>
                <w:sz w:val="20"/>
                <w:szCs w:val="20"/>
                <w:color w:val="auto"/>
              </w:rPr>
            </w:pPr>
            <w:r>
              <w:rPr>
                <w:rFonts w:ascii="Arial" w:cs="Arial" w:eastAsia="Arial" w:hAnsi="Arial"/>
                <w:sz w:val="18"/>
                <w:szCs w:val="18"/>
                <w:color w:val="auto"/>
              </w:rPr>
              <w:t>$ 48</w:t>
            </w:r>
          </w:p>
        </w:tc>
        <w:tc>
          <w:tcPr>
            <w:tcW w:w="580" w:type="dxa"/>
            <w:vAlign w:val="bottom"/>
            <w:tcBorders>
              <w:bottom w:val="single" w:sz="8" w:color="53439A"/>
            </w:tcBorders>
          </w:tcPr>
          <w:p>
            <w:pPr>
              <w:jc w:val="right"/>
              <w:ind w:right="17"/>
              <w:spacing w:after="0" w:line="196" w:lineRule="exact"/>
              <w:rPr>
                <w:sz w:val="20"/>
                <w:szCs w:val="20"/>
                <w:color w:val="auto"/>
              </w:rPr>
            </w:pPr>
            <w:r>
              <w:rPr>
                <w:rFonts w:ascii="Arial" w:cs="Arial" w:eastAsia="Arial" w:hAnsi="Arial"/>
                <w:sz w:val="18"/>
                <w:szCs w:val="18"/>
                <w:color w:val="auto"/>
              </w:rPr>
              <w:t>$ 92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Contractual Obligations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Joint Venture and Universal Orlando transactions, we recorded liabilities through the application of acquisition accounting for two contractual obligations that involve financial interests held by third parties in certain of our businesses. These interests are based upon a percentage of future revenue of the specified businesses. One of the contractual obligations provides the third party with the option, beginning in 2017, to require us to purchase the interest for cash based on a mutually agreed contractual formula utilizing estimates of future payments.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contractual obligations were recorded at fair value as of the respective acquisition date, and subsequent fair value adjustments to these contractual obligations are recorded in other income (expense), net in our consolidated statement of income. In 2012 and 2011, we recorded fair value adjustments to these contractual obligations of $186 million and $57 million, respectively.</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Fair values of these contractual obligations are determined based on the terms of the contracts and Level 3 inputs, primarily discounted future expected cash flows. The discount rates utilized in the 2012 analysis for these contractual obligations ranged from 11% to 14%.</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53439A"/>
        </w:rPr>
        <w:t>Item 7A: Quantitative and Qualitative Disclosures About Market Risk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significant operations in a number of countries outside the United States, and certain of our operations are conducted in foreign currencies. The value of these currencies fluctuates relative to the U.S. dollar. These changes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overall strategy to manage the level of exposure to the risk of foreign exchange rate fluctuations, we enter into derivative financial instruments related to a significant portion of our foreign currency exposures. We enter into foreign currency forward and option contracts that change in value as foreign exchange rates change to protect the U.S. dollar equivalent value of our foreign currency assets, liabilities, commitments, and forecasted foreign currency revenue and expenses. In accordance with our policy, we hedge forecasted foreign currency transactions for periods generally not to exceed one year. In certain limited circumstances, we enter into foreign exchange contracts with initial maturities in excess of one year. As of December 31, 2012 and 2011, we had foreign exchange contracts with a total notional value of $820 million and $767 million, respectively. As of December 31, 2012 and 2011, the aggregate estimated fair value for the foreign exchange contracts was not material.</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analyzed our foreign currency exposures as of December 31, 2012, including our hedging contracts, to identify assets and liabilities denominated in a currency other than their relevant functional currency. For these assets and liabilities, we then evaluated the effect of a 10% shift in currency exchange rates between those currencies and the U.S. dollar. The analysis of such shift in exchange rates indicated that there would be an immaterial effect on our 2012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consolidated financial statements for additional information on our accounting policies for derivative financial instruments.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value and sensitivity analyses. We do not engage in any speculative or leveraged derivative transactions.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interest rate derivative financial instruments, which primarily include fixed to variable interest rate swaps entered into in 2011, represent an integral part of our interest rate risk management program. Our interest rate derivative financial instruments reduced the portion of our total debt at fixed rates to 93% from 100% as of December 31, 2012. Interest rate derivative financial instruments may have a significant effect on our interest expense in the future.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fair values and contract terms of financial instruments subject to interest rate risk maintained by us as of December 31,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color w:val="auto"/>
                <w:w w:val="99"/>
              </w:rPr>
              <w:t>Estimated Fair</w:t>
            </w:r>
          </w:p>
        </w:tc>
      </w:tr>
      <w:tr>
        <w:trPr>
          <w:trHeight w:val="149"/>
        </w:trPr>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Value as of</w:t>
            </w:r>
          </w:p>
        </w:tc>
      </w:tr>
      <w:tr>
        <w:trPr>
          <w:trHeight w:val="149"/>
        </w:trPr>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r>
      <w:tr>
        <w:trPr>
          <w:trHeight w:val="149"/>
        </w:trPr>
        <w:tc>
          <w:tcPr>
            <w:tcW w:w="3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9" w:lineRule="exact"/>
              <w:rPr>
                <w:sz w:val="20"/>
                <w:szCs w:val="20"/>
                <w:color w:val="auto"/>
              </w:rPr>
            </w:pPr>
            <w:r>
              <w:rPr>
                <w:rFonts w:ascii="Arial" w:cs="Arial" w:eastAsia="Arial" w:hAnsi="Arial"/>
                <w:sz w:val="14"/>
                <w:szCs w:val="14"/>
                <w:color w:val="auto"/>
                <w:w w:val="96"/>
              </w:rPr>
              <w:t>2013</w:t>
            </w:r>
          </w:p>
        </w:tc>
        <w:tc>
          <w:tcPr>
            <w:tcW w:w="760" w:type="dxa"/>
            <w:vAlign w:val="bottom"/>
            <w:tcBorders>
              <w:bottom w:val="single" w:sz="8" w:color="auto"/>
            </w:tcBorders>
          </w:tcPr>
          <w:p>
            <w:pPr>
              <w:jc w:val="right"/>
              <w:ind w:right="156"/>
              <w:spacing w:after="0" w:line="149"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6"/>
              <w:spacing w:after="0" w:line="149"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6"/>
              <w:spacing w:after="0" w:line="149"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9" w:lineRule="exact"/>
              <w:rPr>
                <w:sz w:val="20"/>
                <w:szCs w:val="20"/>
                <w:color w:val="auto"/>
              </w:rPr>
            </w:pPr>
            <w:r>
              <w:rPr>
                <w:rFonts w:ascii="Arial" w:cs="Arial" w:eastAsia="Arial" w:hAnsi="Arial"/>
                <w:sz w:val="14"/>
                <w:szCs w:val="14"/>
                <w:color w:val="auto"/>
                <w:w w:val="89"/>
              </w:rPr>
              <w:t>2017</w:t>
            </w:r>
          </w:p>
        </w:tc>
        <w:tc>
          <w:tcPr>
            <w:tcW w:w="9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6"/>
              <w:spacing w:after="0" w:line="149" w:lineRule="exact"/>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2012</w:t>
            </w:r>
          </w:p>
        </w:tc>
      </w:tr>
      <w:tr>
        <w:trPr>
          <w:trHeight w:val="199"/>
        </w:trPr>
        <w:tc>
          <w:tcPr>
            <w:tcW w:w="3360" w:type="dxa"/>
            <w:vAlign w:val="bottom"/>
          </w:tcPr>
          <w:p>
            <w:pPr>
              <w:spacing w:after="0" w:line="200" w:lineRule="exact"/>
              <w:rPr>
                <w:sz w:val="20"/>
                <w:szCs w:val="20"/>
                <w:color w:val="auto"/>
              </w:rPr>
            </w:pPr>
            <w:r>
              <w:rPr>
                <w:rFonts w:ascii="Arial" w:cs="Arial" w:eastAsia="Arial" w:hAnsi="Arial"/>
                <w:sz w:val="18"/>
                <w:szCs w:val="18"/>
                <w:b w:val="1"/>
                <w:bCs w:val="1"/>
                <w:color w:val="auto"/>
              </w:rPr>
              <w:t>Debt</w:t>
            </w: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10</w:t>
            </w:r>
          </w:p>
        </w:tc>
        <w:tc>
          <w:tcPr>
            <w:tcW w:w="76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$ 914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1,032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1,014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8,264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11,240</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12,600</w:t>
            </w:r>
          </w:p>
        </w:tc>
      </w:tr>
      <w:tr>
        <w:trPr>
          <w:trHeight w:val="181"/>
        </w:trPr>
        <w:tc>
          <w:tcPr>
            <w:tcW w:w="3360" w:type="dxa"/>
            <w:vAlign w:val="bottom"/>
          </w:tcPr>
          <w:p>
            <w:pPr>
              <w:ind w:left="220"/>
              <w:spacing w:after="0" w:line="181" w:lineRule="exact"/>
              <w:rPr>
                <w:sz w:val="20"/>
                <w:szCs w:val="20"/>
                <w:color w:val="auto"/>
              </w:rPr>
            </w:pPr>
            <w:r>
              <w:rPr>
                <w:rFonts w:ascii="Arial" w:cs="Arial" w:eastAsia="Arial" w:hAnsi="Arial"/>
                <w:sz w:val="18"/>
                <w:szCs w:val="18"/>
                <w:color w:val="auto"/>
              </w:rPr>
              <w:t>Average interest rate</w:t>
            </w:r>
          </w:p>
        </w:tc>
        <w:tc>
          <w:tcPr>
            <w:tcW w:w="1320" w:type="dxa"/>
            <w:vAlign w:val="bottom"/>
          </w:tcPr>
          <w:p>
            <w:pPr>
              <w:spacing w:after="0"/>
              <w:rPr>
                <w:sz w:val="15"/>
                <w:szCs w:val="15"/>
                <w:color w:val="auto"/>
              </w:rPr>
            </w:pP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8.5%</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4.9%</w:t>
            </w:r>
          </w:p>
        </w:tc>
        <w:tc>
          <w:tcPr>
            <w:tcW w:w="20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5"/>
        </w:trPr>
        <w:tc>
          <w:tcPr>
            <w:tcW w:w="3360" w:type="dxa"/>
            <w:vAlign w:val="bottom"/>
          </w:tcPr>
          <w:p>
            <w:pPr>
              <w:spacing w:after="0"/>
              <w:rPr>
                <w:sz w:val="20"/>
                <w:szCs w:val="20"/>
                <w:color w:val="auto"/>
              </w:rPr>
            </w:pPr>
            <w:r>
              <w:rPr>
                <w:rFonts w:ascii="Arial" w:cs="Arial" w:eastAsia="Arial" w:hAnsi="Arial"/>
                <w:sz w:val="18"/>
                <w:szCs w:val="18"/>
                <w:b w:val="1"/>
                <w:bCs w:val="1"/>
                <w:color w:val="auto"/>
              </w:rPr>
              <w:t>Interest Rate Instruments</w:t>
            </w: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$ 300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300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750</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336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13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33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1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notional amount of each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rate debt and swaps using the average implied forward London Interbank Offered Rate (“LIBOR”) through the year of maturity based on the yield curve in effect on December 31, 2012, plus the applicable borrowing margin on December 31, 2012.</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See Note 9 to our consolidated financial statements for additional information on our debt outstanding and Note 2 to our consolidated financial statements for additional information on our accounting policies for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we believe have reputable credit and, therefore, bear minimal risk.</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53439A"/>
        </w:rPr>
        <w:t>Item 8: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8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Page</w:t>
            </w:r>
          </w:p>
        </w:tc>
      </w:tr>
      <w:tr>
        <w:trPr>
          <w:trHeight w:val="169"/>
        </w:trPr>
        <w:tc>
          <w:tcPr>
            <w:tcW w:w="4580" w:type="dxa"/>
            <w:vAlign w:val="bottom"/>
            <w:tcBorders>
              <w:bottom w:val="single" w:sz="8" w:color="0000EE"/>
            </w:tcBorders>
            <w:gridSpan w:val="7"/>
          </w:tcPr>
          <w:p>
            <w:pPr>
              <w:spacing w:after="0" w:line="170"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Report of Independent Registered Public Accounting Firms</w:t>
              </w:r>
            </w:hyperlink>
          </w:p>
        </w:tc>
        <w:tc>
          <w:tcPr>
            <w:tcW w:w="6840" w:type="dxa"/>
            <w:vAlign w:val="bottom"/>
          </w:tcPr>
          <w:p>
            <w:pPr>
              <w:jc w:val="right"/>
              <w:ind w:right="17"/>
              <w:spacing w:after="0" w:line="170" w:lineRule="exact"/>
              <w:rPr>
                <w:sz w:val="20"/>
                <w:szCs w:val="20"/>
                <w:color w:val="auto"/>
              </w:rPr>
            </w:pPr>
            <w:r>
              <w:rPr>
                <w:rFonts w:ascii="Arial" w:cs="Arial" w:eastAsia="Arial" w:hAnsi="Arial"/>
                <w:sz w:val="18"/>
                <w:szCs w:val="18"/>
                <w:color w:val="auto"/>
              </w:rPr>
              <w:t>47</w:t>
            </w:r>
          </w:p>
        </w:tc>
      </w:tr>
      <w:tr>
        <w:trPr>
          <w:trHeight w:val="291"/>
        </w:trPr>
        <w:tc>
          <w:tcPr>
            <w:tcW w:w="458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w:t>
              </w:r>
            </w:hyperlink>
          </w:p>
        </w:tc>
        <w:tc>
          <w:tcPr>
            <w:tcW w:w="6840" w:type="dxa"/>
            <w:vAlign w:val="bottom"/>
          </w:tcPr>
          <w:p>
            <w:pPr>
              <w:jc w:val="right"/>
              <w:ind w:right="17"/>
              <w:spacing w:after="0"/>
              <w:rPr>
                <w:sz w:val="20"/>
                <w:szCs w:val="20"/>
                <w:color w:val="auto"/>
              </w:rPr>
            </w:pPr>
            <w:r>
              <w:rPr>
                <w:rFonts w:ascii="Arial" w:cs="Arial" w:eastAsia="Arial" w:hAnsi="Arial"/>
                <w:sz w:val="18"/>
                <w:szCs w:val="18"/>
                <w:color w:val="auto"/>
              </w:rPr>
              <w:t>49</w:t>
            </w:r>
          </w:p>
        </w:tc>
      </w:tr>
      <w:tr>
        <w:trPr>
          <w:trHeight w:val="20"/>
        </w:trPr>
        <w:tc>
          <w:tcPr>
            <w:tcW w:w="2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91"/>
        </w:trPr>
        <w:tc>
          <w:tcPr>
            <w:tcW w:w="458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 of Income</w:t>
              </w:r>
            </w:hyperlink>
          </w:p>
        </w:tc>
        <w:tc>
          <w:tcPr>
            <w:tcW w:w="6840" w:type="dxa"/>
            <w:vAlign w:val="bottom"/>
          </w:tcPr>
          <w:p>
            <w:pPr>
              <w:jc w:val="right"/>
              <w:ind w:right="17"/>
              <w:spacing w:after="0"/>
              <w:rPr>
                <w:sz w:val="20"/>
                <w:szCs w:val="20"/>
                <w:color w:val="auto"/>
              </w:rPr>
            </w:pPr>
            <w:r>
              <w:rPr>
                <w:rFonts w:ascii="Arial" w:cs="Arial" w:eastAsia="Arial" w:hAnsi="Arial"/>
                <w:sz w:val="18"/>
                <w:szCs w:val="18"/>
                <w:color w:val="auto"/>
              </w:rPr>
              <w:t>50</w:t>
            </w:r>
          </w:p>
        </w:tc>
      </w:tr>
      <w:tr>
        <w:trPr>
          <w:trHeight w:val="20"/>
        </w:trPr>
        <w:tc>
          <w:tcPr>
            <w:tcW w:w="2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91"/>
        </w:trPr>
        <w:tc>
          <w:tcPr>
            <w:tcW w:w="39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Consolidated Statement of Comprehensive Income</w:t>
              </w:r>
            </w:hyperlink>
          </w:p>
        </w:tc>
        <w:tc>
          <w:tcPr>
            <w:tcW w:w="600" w:type="dxa"/>
            <w:vAlign w:val="bottom"/>
          </w:tcPr>
          <w:p>
            <w:pPr>
              <w:spacing w:after="0"/>
              <w:rPr>
                <w:sz w:val="24"/>
                <w:szCs w:val="24"/>
                <w:color w:val="auto"/>
              </w:rPr>
            </w:pPr>
          </w:p>
        </w:tc>
        <w:tc>
          <w:tcPr>
            <w:tcW w:w="6840" w:type="dxa"/>
            <w:vAlign w:val="bottom"/>
          </w:tcPr>
          <w:p>
            <w:pPr>
              <w:jc w:val="right"/>
              <w:ind w:right="17"/>
              <w:spacing w:after="0"/>
              <w:rPr>
                <w:sz w:val="20"/>
                <w:szCs w:val="20"/>
                <w:color w:val="auto"/>
              </w:rPr>
            </w:pPr>
            <w:r>
              <w:rPr>
                <w:rFonts w:ascii="Arial" w:cs="Arial" w:eastAsia="Arial" w:hAnsi="Arial"/>
                <w:sz w:val="18"/>
                <w:szCs w:val="18"/>
                <w:color w:val="auto"/>
              </w:rPr>
              <w:t>51</w:t>
            </w:r>
          </w:p>
        </w:tc>
      </w:tr>
      <w:tr>
        <w:trPr>
          <w:trHeight w:val="291"/>
        </w:trPr>
        <w:tc>
          <w:tcPr>
            <w:tcW w:w="458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 of Cash Flows</w:t>
              </w:r>
            </w:hyperlink>
          </w:p>
        </w:tc>
        <w:tc>
          <w:tcPr>
            <w:tcW w:w="6840" w:type="dxa"/>
            <w:vAlign w:val="bottom"/>
          </w:tcPr>
          <w:p>
            <w:pPr>
              <w:jc w:val="right"/>
              <w:ind w:right="17"/>
              <w:spacing w:after="0"/>
              <w:rPr>
                <w:sz w:val="20"/>
                <w:szCs w:val="20"/>
                <w:color w:val="auto"/>
              </w:rPr>
            </w:pPr>
            <w:r>
              <w:rPr>
                <w:rFonts w:ascii="Arial" w:cs="Arial" w:eastAsia="Arial" w:hAnsi="Arial"/>
                <w:sz w:val="18"/>
                <w:szCs w:val="18"/>
                <w:color w:val="auto"/>
              </w:rPr>
              <w:t>52</w:t>
            </w: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Consolidated Statement of Changes in Equity</w:t>
              </w:r>
            </w:hyperlink>
          </w:p>
        </w:tc>
        <w:tc>
          <w:tcPr>
            <w:tcW w:w="1020" w:type="dxa"/>
            <w:vAlign w:val="bottom"/>
            <w:gridSpan w:val="2"/>
          </w:tcPr>
          <w:p>
            <w:pPr>
              <w:spacing w:after="0"/>
              <w:rPr>
                <w:sz w:val="24"/>
                <w:szCs w:val="24"/>
                <w:color w:val="auto"/>
              </w:rPr>
            </w:pPr>
          </w:p>
        </w:tc>
        <w:tc>
          <w:tcPr>
            <w:tcW w:w="6840" w:type="dxa"/>
            <w:vAlign w:val="bottom"/>
          </w:tcPr>
          <w:p>
            <w:pPr>
              <w:jc w:val="right"/>
              <w:ind w:right="17"/>
              <w:spacing w:after="0"/>
              <w:rPr>
                <w:sz w:val="20"/>
                <w:szCs w:val="20"/>
                <w:color w:val="auto"/>
              </w:rPr>
            </w:pPr>
            <w:r>
              <w:rPr>
                <w:rFonts w:ascii="Arial" w:cs="Arial" w:eastAsia="Arial" w:hAnsi="Arial"/>
                <w:sz w:val="18"/>
                <w:szCs w:val="18"/>
                <w:color w:val="auto"/>
              </w:rPr>
              <w:t>53</w:t>
            </w:r>
          </w:p>
        </w:tc>
      </w:tr>
      <w:tr>
        <w:trPr>
          <w:trHeight w:val="291"/>
        </w:trPr>
        <w:tc>
          <w:tcPr>
            <w:tcW w:w="458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Consolidated Financial Statements</w:t>
              </w:r>
            </w:hyperlink>
          </w:p>
        </w:tc>
        <w:tc>
          <w:tcPr>
            <w:tcW w:w="6840" w:type="dxa"/>
            <w:vAlign w:val="bottom"/>
          </w:tcPr>
          <w:p>
            <w:pPr>
              <w:jc w:val="right"/>
              <w:ind w:right="17"/>
              <w:spacing w:after="0"/>
              <w:rPr>
                <w:sz w:val="20"/>
                <w:szCs w:val="20"/>
                <w:color w:val="auto"/>
              </w:rPr>
            </w:pPr>
            <w:r>
              <w:rPr>
                <w:rFonts w:ascii="Arial" w:cs="Arial" w:eastAsia="Arial" w:hAnsi="Arial"/>
                <w:sz w:val="18"/>
                <w:szCs w:val="18"/>
                <w:color w:val="auto"/>
              </w:rPr>
              <w:t>54</w:t>
            </w:r>
          </w:p>
        </w:tc>
      </w:tr>
      <w:tr>
        <w:trPr>
          <w:trHeight w:val="20"/>
        </w:trPr>
        <w:tc>
          <w:tcPr>
            <w:tcW w:w="2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r>
      <w:tr>
        <w:trPr>
          <w:trHeight w:val="493"/>
        </w:trPr>
        <w:tc>
          <w:tcPr>
            <w:tcW w:w="4580" w:type="dxa"/>
            <w:vAlign w:val="bottom"/>
            <w:gridSpan w:val="7"/>
          </w:tcPr>
          <w:p>
            <w:pPr>
              <w:spacing w:after="0"/>
              <w:rPr>
                <w:sz w:val="20"/>
                <w:szCs w:val="20"/>
                <w:color w:val="auto"/>
              </w:rPr>
            </w:pPr>
            <w:r>
              <w:rPr>
                <w:rFonts w:ascii="Arial" w:cs="Arial" w:eastAsia="Arial" w:hAnsi="Arial"/>
                <w:sz w:val="14"/>
                <w:szCs w:val="14"/>
                <w:color w:val="auto"/>
              </w:rPr>
              <w:t>NBCUniversal 2012 Annual Report on Form 10-K</w:t>
            </w:r>
          </w:p>
        </w:tc>
        <w:tc>
          <w:tcPr>
            <w:tcW w:w="6840" w:type="dxa"/>
            <w:vAlign w:val="bottom"/>
          </w:tcPr>
          <w:p>
            <w:pPr>
              <w:jc w:val="right"/>
              <w:ind w:right="5497"/>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audited the accompanying consolidated balance sheets of NBCUniversal Media, LLC and subsidiaries (the “Company”), as of December 31, 2012 and 2011 (successor), the related consolidated statements of income, comprehensive income, cash flows and changes in equity for the year ended December 31, 2012 and the period from January 29, 2011 to December 31, 2011 (successor), and the consolidated statements of income, comprehensive income, cash flows and changes in equity of NBC Universal, Inc. and subsidiaries (the “Predecessor Company”) for the period from January 1, 2011 to January 28, 2011 (predecessor). These consolidated financial statements are the responsibility of the Company’s management. Our responsibility is to express an opinion on these consolidated financial statements based on our audits.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and the Predecessor Company are not required to have, nor were we engaged to perform, an audit of their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or the Predecessor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2012 and 2011 (successor), the results of its operations and its cash flows for the year ended December 31, 2012 and the period from January 29, 2011 to December 31, 2011 (successor), and the results of the Predecessor Company’s operations and cash flows for the period from January 1, 2011 to January 28, 2011 (predecessor), in conformity with accounting principles generally accepted in the United States of America.</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discussed in Note 1 to the consolidated financial statements, on January 28, 2011, Comcast Corporation closed its transaction with General Electric Company and as part of the transaction, NBC Universal, Inc. (predecessor) was converted into a limited liability company named NBCUniversal Media, LLC (successor).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2013</w:t>
      </w:r>
    </w:p>
    <w:p>
      <w:pPr>
        <w:spacing w:after="0" w:line="327"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accompanying consolidated statements of income, comprehensive income, cash flows and changes in equity of NBC Universal, Inc. and consolidated subsidiaries (“NBC Universal”) for the year ended December 31, 2010 (predecessor). In connection with our audit of the consolidated financial statements, we have also audited the consolidated financial statement schedule II. These consolidated financial statements and the consolidated financial statement schedule are the responsibility of NBC Universal’s management. Our responsibility is to express an opinion on these consolidated financial statements based on our audit.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results of operations and cash flows of NBC Universal for the year ended December 31, 2010 (predecessor) in conformity with U.S. generally accepted accounting principles.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February 28, 2011 except for Notes 1 &amp; 8 and the consolidated financial statement schedule as to which the date is May 13, 2011, and except for the Consolidated Statement of Comprehensive Income and Note 19 as to which the date is February 22,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Balance Sheet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2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vMerge w:val="continue"/>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71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5,921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6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26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4,028</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844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2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607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77"/>
        </w:trPr>
        <w:tc>
          <w:tcPr>
            <w:tcW w:w="716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11,400</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5,041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1,266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5,381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14,770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15,420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1,184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53439A"/>
            </w:tcBorders>
          </w:tcPr>
          <w:p>
            <w:pPr>
              <w:spacing w:after="0"/>
              <w:rPr>
                <w:sz w:val="20"/>
                <w:szCs w:val="20"/>
                <w:color w:val="auto"/>
              </w:rPr>
            </w:pPr>
            <w:r>
              <w:rPr>
                <w:rFonts w:ascii="Arial" w:cs="Arial" w:eastAsia="Arial" w:hAnsi="Arial"/>
                <w:sz w:val="18"/>
                <w:szCs w:val="18"/>
                <w:b w:val="1"/>
                <w:bCs w:val="1"/>
                <w:color w:val="auto"/>
              </w:rPr>
              <w:t>Total assets</w:t>
            </w:r>
          </w:p>
        </w:tc>
        <w:tc>
          <w:tcPr>
            <w:tcW w:w="2660" w:type="dxa"/>
            <w:vAlign w:val="bottom"/>
            <w:tcBorders>
              <w:bottom w:val="single" w:sz="8" w:color="53439A"/>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3439A"/>
            </w:tcBorders>
          </w:tcPr>
          <w:p>
            <w:pPr>
              <w:jc w:val="right"/>
              <w:ind w:right="54"/>
              <w:spacing w:after="0"/>
              <w:rPr>
                <w:sz w:val="20"/>
                <w:szCs w:val="20"/>
                <w:color w:val="auto"/>
              </w:rPr>
            </w:pPr>
            <w:r>
              <w:rPr>
                <w:rFonts w:ascii="Arial" w:cs="Arial" w:eastAsia="Arial" w:hAnsi="Arial"/>
                <w:sz w:val="18"/>
                <w:szCs w:val="18"/>
                <w:b w:val="1"/>
                <w:bCs w:val="1"/>
                <w:color w:val="auto"/>
              </w:rPr>
              <w:t>54,462</w:t>
            </w:r>
          </w:p>
        </w:tc>
        <w:tc>
          <w:tcPr>
            <w:tcW w:w="20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3439A"/>
            </w:tcBorders>
          </w:tcPr>
          <w:p>
            <w:pPr>
              <w:jc w:val="right"/>
              <w:ind w:right="13"/>
              <w:spacing w:after="0"/>
              <w:rPr>
                <w:sz w:val="20"/>
                <w:szCs w:val="20"/>
                <w:color w:val="auto"/>
              </w:rPr>
            </w:pPr>
            <w:r>
              <w:rPr>
                <w:rFonts w:ascii="Arial" w:cs="Arial" w:eastAsia="Arial" w:hAnsi="Arial"/>
                <w:sz w:val="18"/>
                <w:szCs w:val="18"/>
                <w:color w:val="auto"/>
              </w:rPr>
              <w:t>50,784</w:t>
            </w:r>
          </w:p>
        </w:tc>
        <w:tc>
          <w:tcPr>
            <w:tcW w:w="0" w:type="dxa"/>
            <w:vAlign w:val="bottom"/>
          </w:tcPr>
          <w:p>
            <w:pPr>
              <w:spacing w:after="0"/>
              <w:rPr>
                <w:sz w:val="1"/>
                <w:szCs w:val="1"/>
                <w:color w:val="auto"/>
              </w:rPr>
            </w:pPr>
          </w:p>
        </w:tc>
      </w:tr>
      <w:tr>
        <w:trPr>
          <w:trHeight w:val="199"/>
        </w:trPr>
        <w:tc>
          <w:tcPr>
            <w:tcW w:w="716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6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2,348</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6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26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1,350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Program obligations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561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681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1,288</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2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77"/>
        </w:trPr>
        <w:tc>
          <w:tcPr>
            <w:tcW w:w="716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6,238</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11,231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Accrued participations, residuals and program obligations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862</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5"/>
        </w:trPr>
        <w:tc>
          <w:tcPr>
            <w:tcW w:w="71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b w:val="1"/>
                <w:bCs w:val="1"/>
                <w:color w:val="auto"/>
              </w:rPr>
              <w:t>3,746</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18)</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131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31,900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60" w:type="dxa"/>
            <w:vAlign w:val="bottom"/>
          </w:tcPr>
          <w:p>
            <w:pPr>
              <w:ind w:left="220"/>
              <w:spacing w:after="0" w:line="181" w:lineRule="exact"/>
              <w:rPr>
                <w:sz w:val="20"/>
                <w:szCs w:val="20"/>
                <w:color w:val="auto"/>
              </w:rPr>
            </w:pPr>
            <w:r>
              <w:rPr>
                <w:rFonts w:ascii="Arial" w:cs="Arial" w:eastAsia="Arial" w:hAnsi="Arial"/>
                <w:sz w:val="18"/>
                <w:szCs w:val="18"/>
                <w:color w:val="auto"/>
              </w:rPr>
              <w:t>Member’s capital</w:t>
            </w: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29,798</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7"/>
        </w:trPr>
        <w:tc>
          <w:tcPr>
            <w:tcW w:w="7160" w:type="dxa"/>
            <w:vAlign w:val="bottom"/>
          </w:tcPr>
          <w:p>
            <w:pPr>
              <w:spacing w:after="0" w:line="177" w:lineRule="exact"/>
              <w:rPr>
                <w:sz w:val="20"/>
                <w:szCs w:val="20"/>
                <w:color w:val="auto"/>
              </w:rPr>
            </w:pPr>
            <w:r>
              <w:rPr>
                <w:rFonts w:ascii="Arial" w:cs="Arial" w:eastAsia="Arial" w:hAnsi="Arial"/>
                <w:sz w:val="18"/>
                <w:szCs w:val="18"/>
                <w:color w:val="auto"/>
              </w:rPr>
              <w:t>Total NBCUniversal member’s equity</w:t>
            </w: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31,835</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419</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96"/>
        </w:trPr>
        <w:tc>
          <w:tcPr>
            <w:tcW w:w="7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32,254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53439A"/>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660" w:type="dxa"/>
            <w:vAlign w:val="bottom"/>
            <w:tcBorders>
              <w:bottom w:val="single" w:sz="8" w:color="53439A"/>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3439A"/>
            </w:tcBorders>
          </w:tcPr>
          <w:p>
            <w:pPr>
              <w:jc w:val="right"/>
              <w:ind w:right="54"/>
              <w:spacing w:after="0"/>
              <w:rPr>
                <w:sz w:val="20"/>
                <w:szCs w:val="20"/>
                <w:color w:val="auto"/>
              </w:rPr>
            </w:pPr>
            <w:r>
              <w:rPr>
                <w:rFonts w:ascii="Arial" w:cs="Arial" w:eastAsia="Arial" w:hAnsi="Arial"/>
                <w:sz w:val="18"/>
                <w:szCs w:val="18"/>
                <w:b w:val="1"/>
                <w:bCs w:val="1"/>
                <w:color w:val="auto"/>
              </w:rPr>
              <w:t>54,462</w:t>
            </w:r>
          </w:p>
        </w:tc>
        <w:tc>
          <w:tcPr>
            <w:tcW w:w="200" w:type="dxa"/>
            <w:vAlign w:val="bottom"/>
            <w:tcBorders>
              <w:bottom w:val="single" w:sz="8" w:color="53439A"/>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3439A"/>
            </w:tcBorders>
          </w:tcPr>
          <w:p>
            <w:pPr>
              <w:jc w:val="right"/>
              <w:ind w:right="13"/>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160" w:type="dxa"/>
            <w:vAlign w:val="bottom"/>
          </w:tcPr>
          <w:p>
            <w:pPr>
              <w:ind w:left="5680"/>
              <w:spacing w:after="0"/>
              <w:rPr>
                <w:sz w:val="20"/>
                <w:szCs w:val="20"/>
                <w:color w:val="auto"/>
              </w:rPr>
            </w:pPr>
            <w:r>
              <w:rPr>
                <w:rFonts w:ascii="Arial" w:cs="Arial" w:eastAsia="Arial" w:hAnsi="Arial"/>
                <w:sz w:val="14"/>
                <w:szCs w:val="14"/>
                <w:b w:val="1"/>
                <w:bCs w:val="1"/>
                <w:color w:val="auto"/>
              </w:rPr>
              <w:t>49</w:t>
            </w:r>
          </w:p>
        </w:tc>
        <w:tc>
          <w:tcPr>
            <w:tcW w:w="4260" w:type="dxa"/>
            <w:vAlign w:val="bottom"/>
            <w:gridSpan w:val="5"/>
          </w:tcPr>
          <w:p>
            <w:pPr>
              <w:jc w:val="right"/>
              <w:spacing w:after="0"/>
              <w:rPr>
                <w:sz w:val="20"/>
                <w:szCs w:val="20"/>
                <w:color w:val="auto"/>
              </w:rPr>
            </w:pPr>
            <w:r>
              <w:rPr>
                <w:rFonts w:ascii="Arial" w:cs="Arial" w:eastAsia="Arial" w:hAnsi="Arial"/>
                <w:sz w:val="14"/>
                <w:szCs w:val="14"/>
                <w:color w:val="auto"/>
              </w:rPr>
              <w:t>NBCUniversal 2012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right="153"/>
              <w:spacing w:after="0"/>
              <w:rPr>
                <w:sz w:val="20"/>
                <w:szCs w:val="20"/>
                <w:color w:val="auto"/>
              </w:rPr>
            </w:pPr>
            <w:r>
              <w:rPr>
                <w:rFonts w:ascii="Arial" w:cs="Arial" w:eastAsia="Arial" w:hAnsi="Arial"/>
                <w:sz w:val="14"/>
                <w:szCs w:val="14"/>
                <w:color w:val="auto"/>
                <w:w w:val="97"/>
              </w:rPr>
              <w:t>Successor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w w:val="94"/>
              </w:rPr>
              <w:t>Predecessor</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96"/>
              </w:rPr>
              <w:t>Year Ended</w:t>
            </w:r>
          </w:p>
        </w:tc>
        <w:tc>
          <w:tcPr>
            <w:tcW w:w="300" w:type="dxa"/>
            <w:vAlign w:val="bottom"/>
          </w:tcPr>
          <w:p>
            <w:pPr>
              <w:spacing w:after="0"/>
              <w:rPr>
                <w:sz w:val="11"/>
                <w:szCs w:val="11"/>
                <w:color w:val="auto"/>
              </w:rPr>
            </w:pPr>
          </w:p>
        </w:tc>
        <w:tc>
          <w:tcPr>
            <w:tcW w:w="1300" w:type="dxa"/>
            <w:vAlign w:val="bottom"/>
            <w:tcBorders>
              <w:right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color w:val="auto"/>
              </w:rPr>
              <w:t>For the Period</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ind w:right="34"/>
              <w:spacing w:after="0" w:line="129" w:lineRule="exact"/>
              <w:rPr>
                <w:sz w:val="20"/>
                <w:szCs w:val="20"/>
                <w:color w:val="auto"/>
              </w:rPr>
            </w:pPr>
            <w:r>
              <w:rPr>
                <w:rFonts w:ascii="Arial" w:cs="Arial" w:eastAsia="Arial" w:hAnsi="Arial"/>
                <w:sz w:val="14"/>
                <w:szCs w:val="14"/>
                <w:color w:val="auto"/>
              </w:rPr>
              <w:t>For the Period</w:t>
            </w:r>
          </w:p>
        </w:tc>
        <w:tc>
          <w:tcPr>
            <w:tcW w:w="220" w:type="dxa"/>
            <w:vAlign w:val="bottom"/>
          </w:tcPr>
          <w:p>
            <w:pPr>
              <w:spacing w:after="0"/>
              <w:rPr>
                <w:sz w:val="11"/>
                <w:szCs w:val="11"/>
                <w:color w:val="auto"/>
              </w:rPr>
            </w:pPr>
          </w:p>
        </w:tc>
        <w:tc>
          <w:tcPr>
            <w:tcW w:w="820" w:type="dxa"/>
            <w:vAlign w:val="bottom"/>
          </w:tcPr>
          <w:p>
            <w:pPr>
              <w:jc w:val="right"/>
              <w:ind w:right="14"/>
              <w:spacing w:after="0" w:line="129" w:lineRule="exact"/>
              <w:rPr>
                <w:sz w:val="20"/>
                <w:szCs w:val="20"/>
                <w:color w:val="auto"/>
              </w:rPr>
            </w:pPr>
            <w:r>
              <w:rPr>
                <w:rFonts w:ascii="Arial" w:cs="Arial" w:eastAsia="Arial" w:hAnsi="Arial"/>
                <w:sz w:val="14"/>
                <w:szCs w:val="14"/>
                <w:color w:val="auto"/>
                <w:w w:val="9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Borders>
              <w:right w:val="single" w:sz="8" w:color="auto"/>
            </w:tcBorders>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January 1, 2011 to</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2012</w:t>
            </w:r>
          </w:p>
        </w:tc>
        <w:tc>
          <w:tcPr>
            <w:tcW w:w="1600" w:type="dxa"/>
            <w:vAlign w:val="bottom"/>
            <w:tcBorders>
              <w:bottom w:val="single" w:sz="8" w:color="auto"/>
              <w:right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January 28, 2011</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360" w:type="dxa"/>
            <w:vAlign w:val="bottom"/>
            <w:gridSpan w:val="2"/>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5"/>
              <w:spacing w:after="0" w:line="200" w:lineRule="exact"/>
              <w:rPr>
                <w:sz w:val="20"/>
                <w:szCs w:val="20"/>
                <w:color w:val="auto"/>
              </w:rPr>
            </w:pPr>
            <w:r>
              <w:rPr>
                <w:rFonts w:ascii="Arial" w:cs="Arial" w:eastAsia="Arial" w:hAnsi="Arial"/>
                <w:sz w:val="18"/>
                <w:szCs w:val="18"/>
                <w:b w:val="1"/>
                <w:bCs w:val="1"/>
                <w:color w:val="auto"/>
              </w:rPr>
              <w:t>23,812</w:t>
            </w:r>
          </w:p>
        </w:tc>
        <w:tc>
          <w:tcPr>
            <w:tcW w:w="300" w:type="dxa"/>
            <w:vAlign w:val="bottom"/>
          </w:tcPr>
          <w:p>
            <w:pPr>
              <w:jc w:val="center"/>
              <w:spacing w:after="0" w:line="200"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19,028</w:t>
            </w:r>
          </w:p>
        </w:tc>
        <w:tc>
          <w:tcPr>
            <w:tcW w:w="200" w:type="dxa"/>
            <w:vAlign w:val="bottom"/>
            <w:tcBorders>
              <w:right w:val="single" w:sz="8" w:color="auto"/>
            </w:tcBorders>
          </w:tcPr>
          <w:p>
            <w:pPr>
              <w:spacing w:after="0"/>
              <w:rPr>
                <w:sz w:val="17"/>
                <w:szCs w:val="17"/>
                <w:color w:val="auto"/>
              </w:rPr>
            </w:pPr>
          </w:p>
        </w:tc>
        <w:tc>
          <w:tcPr>
            <w:tcW w:w="46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1,206</w:t>
            </w:r>
          </w:p>
        </w:tc>
        <w:tc>
          <w:tcPr>
            <w:tcW w:w="2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12,710</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33"/>
              <w:spacing w:after="0" w:line="181" w:lineRule="exact"/>
              <w:rPr>
                <w:sz w:val="20"/>
                <w:szCs w:val="20"/>
                <w:color w:val="auto"/>
              </w:rPr>
            </w:pPr>
            <w:r>
              <w:rPr>
                <w:rFonts w:ascii="Arial" w:cs="Arial" w:eastAsia="Arial" w:hAnsi="Arial"/>
                <w:sz w:val="18"/>
                <w:szCs w:val="18"/>
                <w:color w:val="auto"/>
              </w:rPr>
              <w:t>9,708</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4"/>
              <w:spacing w:after="0" w:line="181" w:lineRule="exact"/>
              <w:rPr>
                <w:sz w:val="20"/>
                <w:szCs w:val="20"/>
                <w:color w:val="auto"/>
              </w:rPr>
            </w:pPr>
            <w:r>
              <w:rPr>
                <w:rFonts w:ascii="Arial" w:cs="Arial" w:eastAsia="Arial" w:hAnsi="Arial"/>
                <w:sz w:val="18"/>
                <w:szCs w:val="18"/>
                <w:color w:val="auto"/>
              </w:rPr>
              <w:t>711</w:t>
            </w:r>
          </w:p>
        </w:tc>
        <w:tc>
          <w:tcPr>
            <w:tcW w:w="220" w:type="dxa"/>
            <w:vAlign w:val="bottom"/>
          </w:tcPr>
          <w:p>
            <w:pPr>
              <w:spacing w:after="0"/>
              <w:rPr>
                <w:sz w:val="15"/>
                <w:szCs w:val="15"/>
                <w:color w:val="auto"/>
              </w:rPr>
            </w:pP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4,763</w:t>
            </w:r>
          </w:p>
        </w:tc>
        <w:tc>
          <w:tcPr>
            <w:tcW w:w="30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4,075</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307</w:t>
            </w:r>
          </w:p>
        </w:tc>
        <w:tc>
          <w:tcPr>
            <w:tcW w:w="22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2,232</w:t>
            </w:r>
          </w:p>
        </w:tc>
        <w:tc>
          <w:tcPr>
            <w:tcW w:w="30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1,849</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153</w:t>
            </w:r>
          </w:p>
        </w:tc>
        <w:tc>
          <w:tcPr>
            <w:tcW w:w="22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562</w:t>
            </w:r>
          </w:p>
        </w:tc>
        <w:tc>
          <w:tcPr>
            <w:tcW w:w="30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401</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764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712</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21,031</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16,745</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1,198</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14,386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5"/>
              <w:spacing w:after="0" w:line="200" w:lineRule="exact"/>
              <w:rPr>
                <w:sz w:val="20"/>
                <w:szCs w:val="20"/>
                <w:color w:val="auto"/>
              </w:rPr>
            </w:pPr>
            <w:r>
              <w:rPr>
                <w:rFonts w:ascii="Arial" w:cs="Arial" w:eastAsia="Arial" w:hAnsi="Arial"/>
                <w:sz w:val="18"/>
                <w:szCs w:val="18"/>
                <w:b w:val="1"/>
                <w:bCs w:val="1"/>
                <w:color w:val="auto"/>
              </w:rPr>
              <w:t>2,781</w:t>
            </w:r>
          </w:p>
        </w:tc>
        <w:tc>
          <w:tcPr>
            <w:tcW w:w="300" w:type="dxa"/>
            <w:vAlign w:val="bottom"/>
          </w:tcPr>
          <w:p>
            <w:pPr>
              <w:spacing w:after="0"/>
              <w:rPr>
                <w:sz w:val="17"/>
                <w:szCs w:val="17"/>
                <w:color w:val="auto"/>
              </w:rPr>
            </w:pPr>
          </w:p>
        </w:tc>
        <w:tc>
          <w:tcPr>
            <w:tcW w:w="11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2,283</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82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(480)</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8"/>
                <w:szCs w:val="18"/>
                <w:color w:val="auto"/>
              </w:rPr>
              <w:t>(389)</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of investees, net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183</w:t>
            </w:r>
          </w:p>
        </w:tc>
        <w:tc>
          <w:tcPr>
            <w:tcW w:w="30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262</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917</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647</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7"/>
        </w:trPr>
        <w:tc>
          <w:tcPr>
            <w:tcW w:w="5020" w:type="dxa"/>
            <w:vAlign w:val="bottom"/>
            <w:gridSpan w:val="2"/>
          </w:tcPr>
          <w:p>
            <w:pPr>
              <w:spacing w:after="0" w:line="177" w:lineRule="exact"/>
              <w:rPr>
                <w:sz w:val="20"/>
                <w:szCs w:val="20"/>
                <w:color w:val="auto"/>
              </w:rPr>
            </w:pPr>
            <w:r>
              <w:rPr>
                <w:rFonts w:ascii="Arial" w:cs="Arial" w:eastAsia="Arial" w:hAnsi="Arial"/>
                <w:sz w:val="18"/>
                <w:szCs w:val="18"/>
                <w:color w:val="auto"/>
              </w:rPr>
              <w:t>Income (loss) before income taxes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rPr>
              <w:t>3,428</w:t>
            </w:r>
          </w:p>
        </w:tc>
        <w:tc>
          <w:tcPr>
            <w:tcW w:w="300" w:type="dxa"/>
            <w:vAlign w:val="bottom"/>
          </w:tcPr>
          <w:p>
            <w:pPr>
              <w:spacing w:after="0"/>
              <w:rPr>
                <w:sz w:val="15"/>
                <w:szCs w:val="15"/>
                <w:color w:val="auto"/>
              </w:rPr>
            </w:pPr>
          </w:p>
        </w:tc>
        <w:tc>
          <w:tcPr>
            <w:tcW w:w="1100" w:type="dxa"/>
            <w:vAlign w:val="bottom"/>
          </w:tcPr>
          <w:p>
            <w:pPr>
              <w:jc w:val="right"/>
              <w:ind w:right="33"/>
              <w:spacing w:after="0" w:line="177" w:lineRule="exact"/>
              <w:rPr>
                <w:sz w:val="20"/>
                <w:szCs w:val="20"/>
                <w:color w:val="auto"/>
              </w:rPr>
            </w:pPr>
            <w:r>
              <w:rPr>
                <w:rFonts w:ascii="Arial" w:cs="Arial" w:eastAsia="Arial" w:hAnsi="Arial"/>
                <w:sz w:val="18"/>
                <w:szCs w:val="18"/>
                <w:color w:val="auto"/>
              </w:rPr>
              <w:t>2,046</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5"/>
                <w:szCs w:val="15"/>
                <w:color w:val="auto"/>
              </w:rPr>
            </w:pPr>
          </w:p>
        </w:tc>
        <w:tc>
          <w:tcPr>
            <w:tcW w:w="8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 benefit</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177"/>
        </w:trPr>
        <w:tc>
          <w:tcPr>
            <w:tcW w:w="5020" w:type="dxa"/>
            <w:vAlign w:val="bottom"/>
            <w:gridSpan w:val="2"/>
          </w:tcPr>
          <w:p>
            <w:pPr>
              <w:spacing w:after="0" w:line="177" w:lineRule="exact"/>
              <w:rPr>
                <w:sz w:val="20"/>
                <w:szCs w:val="20"/>
                <w:color w:val="auto"/>
              </w:rPr>
            </w:pPr>
            <w:r>
              <w:rPr>
                <w:rFonts w:ascii="Arial" w:cs="Arial" w:eastAsia="Arial" w:hAnsi="Arial"/>
                <w:sz w:val="18"/>
                <w:szCs w:val="18"/>
                <w:color w:val="auto"/>
              </w:rPr>
              <w:t>Net income (loss)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rPr>
              <w:t>3,231</w:t>
            </w:r>
          </w:p>
        </w:tc>
        <w:tc>
          <w:tcPr>
            <w:tcW w:w="300" w:type="dxa"/>
            <w:vAlign w:val="bottom"/>
          </w:tcPr>
          <w:p>
            <w:pPr>
              <w:spacing w:after="0"/>
              <w:rPr>
                <w:sz w:val="15"/>
                <w:szCs w:val="15"/>
                <w:color w:val="auto"/>
              </w:rPr>
            </w:pPr>
          </w:p>
        </w:tc>
        <w:tc>
          <w:tcPr>
            <w:tcW w:w="1100" w:type="dxa"/>
            <w:vAlign w:val="bottom"/>
          </w:tcPr>
          <w:p>
            <w:pPr>
              <w:jc w:val="right"/>
              <w:ind w:right="33"/>
              <w:spacing w:after="0" w:line="177" w:lineRule="exact"/>
              <w:rPr>
                <w:sz w:val="20"/>
                <w:szCs w:val="20"/>
                <w:color w:val="auto"/>
              </w:rPr>
            </w:pPr>
            <w:r>
              <w:rPr>
                <w:rFonts w:ascii="Arial" w:cs="Arial" w:eastAsia="Arial" w:hAnsi="Arial"/>
                <w:sz w:val="18"/>
                <w:szCs w:val="18"/>
                <w:color w:val="auto"/>
              </w:rPr>
              <w:t>1,861</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5"/>
                <w:szCs w:val="15"/>
                <w:color w:val="auto"/>
              </w:rPr>
            </w:pPr>
          </w:p>
        </w:tc>
        <w:tc>
          <w:tcPr>
            <w:tcW w:w="8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NBCUniversal</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3,055</w:t>
            </w: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1,683</w:t>
            </w:r>
          </w:p>
        </w:tc>
        <w:tc>
          <w:tcPr>
            <w:tcW w:w="200" w:type="dxa"/>
            <w:vAlign w:val="bottom"/>
            <w:tcBorders>
              <w:right w:val="single" w:sz="8" w:color="auto"/>
            </w:tcBorders>
          </w:tcPr>
          <w:p>
            <w:pPr>
              <w:spacing w:after="0"/>
              <w:rPr>
                <w:sz w:val="17"/>
                <w:szCs w:val="17"/>
                <w:color w:val="auto"/>
              </w:rPr>
            </w:pPr>
          </w:p>
        </w:tc>
        <w:tc>
          <w:tcPr>
            <w:tcW w:w="46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Borders>
              <w:bottom w:val="single" w:sz="8" w:color="53439A"/>
            </w:tcBorders>
          </w:tcPr>
          <w:p>
            <w:pPr>
              <w:spacing w:after="0"/>
              <w:rPr>
                <w:sz w:val="2"/>
                <w:szCs w:val="2"/>
                <w:color w:val="auto"/>
              </w:rPr>
            </w:pPr>
          </w:p>
        </w:tc>
        <w:tc>
          <w:tcPr>
            <w:tcW w:w="1140" w:type="dxa"/>
            <w:vAlign w:val="bottom"/>
            <w:tcBorders>
              <w:bottom w:val="single" w:sz="8" w:color="53439A"/>
            </w:tcBorders>
          </w:tcPr>
          <w:p>
            <w:pPr>
              <w:spacing w:after="0"/>
              <w:rPr>
                <w:sz w:val="2"/>
                <w:szCs w:val="2"/>
                <w:color w:val="auto"/>
              </w:rPr>
            </w:pPr>
          </w:p>
        </w:tc>
        <w:tc>
          <w:tcPr>
            <w:tcW w:w="220" w:type="dxa"/>
            <w:vAlign w:val="bottom"/>
            <w:tcBorders>
              <w:bottom w:val="single" w:sz="8" w:color="53439A"/>
            </w:tcBorders>
          </w:tcPr>
          <w:p>
            <w:pPr>
              <w:spacing w:after="0"/>
              <w:rPr>
                <w:sz w:val="2"/>
                <w:szCs w:val="2"/>
                <w:color w:val="auto"/>
              </w:rPr>
            </w:pPr>
          </w:p>
        </w:tc>
        <w:tc>
          <w:tcPr>
            <w:tcW w:w="880" w:type="dxa"/>
            <w:vAlign w:val="bottom"/>
            <w:tcBorders>
              <w:bottom w:val="single" w:sz="8" w:color="53439A"/>
            </w:tcBorders>
          </w:tcPr>
          <w:p>
            <w:pPr>
              <w:spacing w:after="0"/>
              <w:rPr>
                <w:sz w:val="2"/>
                <w:szCs w:val="2"/>
                <w:color w:val="auto"/>
              </w:rPr>
            </w:pPr>
          </w:p>
        </w:tc>
        <w:tc>
          <w:tcPr>
            <w:tcW w:w="300" w:type="dxa"/>
            <w:vAlign w:val="bottom"/>
            <w:tcBorders>
              <w:bottom w:val="single" w:sz="8" w:color="53439A"/>
            </w:tcBorders>
          </w:tcPr>
          <w:p>
            <w:pPr>
              <w:spacing w:after="0"/>
              <w:rPr>
                <w:sz w:val="2"/>
                <w:szCs w:val="2"/>
                <w:color w:val="auto"/>
              </w:rPr>
            </w:pPr>
          </w:p>
        </w:tc>
        <w:tc>
          <w:tcPr>
            <w:tcW w:w="110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180" w:type="dxa"/>
            <w:vAlign w:val="bottom"/>
            <w:tcBorders>
              <w:bottom w:val="single" w:sz="8" w:color="53439A"/>
            </w:tcBorders>
          </w:tcPr>
          <w:p>
            <w:pPr>
              <w:spacing w:after="0"/>
              <w:rPr>
                <w:sz w:val="2"/>
                <w:szCs w:val="2"/>
                <w:color w:val="auto"/>
              </w:rPr>
            </w:pPr>
          </w:p>
        </w:tc>
        <w:tc>
          <w:tcPr>
            <w:tcW w:w="280" w:type="dxa"/>
            <w:vAlign w:val="bottom"/>
            <w:tcBorders>
              <w:bottom w:val="single" w:sz="8" w:color="53439A"/>
            </w:tcBorders>
          </w:tcPr>
          <w:p>
            <w:pPr>
              <w:spacing w:after="0"/>
              <w:rPr>
                <w:sz w:val="2"/>
                <w:szCs w:val="2"/>
                <w:color w:val="auto"/>
              </w:rPr>
            </w:pPr>
          </w:p>
        </w:tc>
        <w:tc>
          <w:tcPr>
            <w:tcW w:w="1060" w:type="dxa"/>
            <w:vAlign w:val="bottom"/>
            <w:tcBorders>
              <w:bottom w:val="single" w:sz="8" w:color="53439A"/>
            </w:tcBorders>
          </w:tcPr>
          <w:p>
            <w:pPr>
              <w:spacing w:after="0"/>
              <w:rPr>
                <w:sz w:val="2"/>
                <w:szCs w:val="2"/>
                <w:color w:val="auto"/>
              </w:rPr>
            </w:pPr>
          </w:p>
        </w:tc>
        <w:tc>
          <w:tcPr>
            <w:tcW w:w="220" w:type="dxa"/>
            <w:vAlign w:val="bottom"/>
            <w:tcBorders>
              <w:bottom w:val="single" w:sz="8" w:color="53439A"/>
            </w:tcBorders>
          </w:tcPr>
          <w:p>
            <w:pPr>
              <w:spacing w:after="0"/>
              <w:rPr>
                <w:sz w:val="2"/>
                <w:szCs w:val="2"/>
                <w:color w:val="auto"/>
              </w:rPr>
            </w:pPr>
          </w:p>
        </w:tc>
        <w:tc>
          <w:tcPr>
            <w:tcW w:w="820" w:type="dxa"/>
            <w:vAlign w:val="bottom"/>
            <w:tcBorders>
              <w:bottom w:val="single" w:sz="8" w:color="53439A"/>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020" w:type="dxa"/>
            <w:vAlign w:val="bottom"/>
            <w:gridSpan w:val="2"/>
          </w:tcPr>
          <w:p>
            <w:pPr>
              <w:spacing w:after="0"/>
              <w:rPr>
                <w:sz w:val="20"/>
                <w:szCs w:val="20"/>
                <w:color w:val="auto"/>
              </w:rPr>
            </w:pPr>
            <w:r>
              <w:rPr>
                <w:rFonts w:ascii="Arial" w:cs="Arial" w:eastAsia="Arial" w:hAnsi="Arial"/>
                <w:sz w:val="14"/>
                <w:szCs w:val="14"/>
                <w:color w:val="auto"/>
              </w:rPr>
              <w:t>NBCUniversal 2012 Annual Report on Form 10-K</w:t>
            </w:r>
          </w:p>
        </w:tc>
        <w:tc>
          <w:tcPr>
            <w:tcW w:w="1140" w:type="dxa"/>
            <w:vAlign w:val="bottom"/>
          </w:tcPr>
          <w:p>
            <w:pPr>
              <w:jc w:val="right"/>
              <w:ind w:right="239"/>
              <w:spacing w:after="0"/>
              <w:rPr>
                <w:sz w:val="20"/>
                <w:szCs w:val="20"/>
                <w:color w:val="auto"/>
              </w:rPr>
            </w:pPr>
            <w:r>
              <w:rPr>
                <w:rFonts w:ascii="Arial" w:cs="Arial" w:eastAsia="Arial" w:hAnsi="Arial"/>
                <w:sz w:val="14"/>
                <w:szCs w:val="14"/>
                <w:b w:val="1"/>
                <w:bCs w:val="1"/>
                <w:color w:val="auto"/>
              </w:rPr>
              <w:t>50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Comprehensive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tcPr>
          <w:p>
            <w:pPr>
              <w:ind w:left="70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520"/>
              <w:spacing w:after="0"/>
              <w:rPr>
                <w:sz w:val="20"/>
                <w:szCs w:val="20"/>
                <w:color w:val="auto"/>
              </w:rPr>
            </w:pPr>
            <w:r>
              <w:rPr>
                <w:rFonts w:ascii="Arial" w:cs="Arial" w:eastAsia="Arial" w:hAnsi="Arial"/>
                <w:sz w:val="14"/>
                <w:szCs w:val="14"/>
                <w:color w:val="auto"/>
                <w:w w:val="94"/>
              </w:rPr>
              <w:t>Predecessor</w:t>
            </w:r>
          </w:p>
        </w:tc>
        <w:tc>
          <w:tcPr>
            <w:tcW w:w="820" w:type="dxa"/>
            <w:vAlign w:val="bottom"/>
          </w:tcPr>
          <w:p>
            <w:pPr>
              <w:spacing w:after="0"/>
              <w:rPr>
                <w:sz w:val="14"/>
                <w:szCs w:val="14"/>
                <w:color w:val="auto"/>
              </w:rPr>
            </w:pPr>
          </w:p>
        </w:tc>
      </w:tr>
      <w:tr>
        <w:trPr>
          <w:trHeight w:val="139"/>
        </w:trPr>
        <w:tc>
          <w:tcPr>
            <w:tcW w:w="5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8"/>
              <w:spacing w:after="0" w:line="139" w:lineRule="exact"/>
              <w:rPr>
                <w:sz w:val="20"/>
                <w:szCs w:val="20"/>
                <w:color w:val="auto"/>
              </w:rPr>
            </w:pPr>
            <w:r>
              <w:rPr>
                <w:rFonts w:ascii="Arial" w:cs="Arial" w:eastAsia="Arial" w:hAnsi="Arial"/>
                <w:sz w:val="14"/>
                <w:szCs w:val="14"/>
                <w:b w:val="1"/>
                <w:bCs w:val="1"/>
                <w:color w:val="auto"/>
                <w:w w:val="96"/>
              </w:rPr>
              <w:t>Year Ended</w:t>
            </w: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7"/>
              <w:spacing w:after="0" w:line="139"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7"/>
              <w:spacing w:after="0" w:line="139" w:lineRule="exact"/>
              <w:rPr>
                <w:sz w:val="20"/>
                <w:szCs w:val="20"/>
                <w:color w:val="auto"/>
              </w:rPr>
            </w:pPr>
            <w:r>
              <w:rPr>
                <w:rFonts w:ascii="Arial" w:cs="Arial" w:eastAsia="Arial" w:hAnsi="Arial"/>
                <w:sz w:val="14"/>
                <w:szCs w:val="14"/>
                <w:color w:val="auto"/>
              </w:rPr>
              <w:t>For the Period</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
              <w:spacing w:after="0" w:line="139" w:lineRule="exact"/>
              <w:rPr>
                <w:sz w:val="20"/>
                <w:szCs w:val="20"/>
                <w:color w:val="auto"/>
              </w:rPr>
            </w:pPr>
            <w:r>
              <w:rPr>
                <w:rFonts w:ascii="Arial" w:cs="Arial" w:eastAsia="Arial" w:hAnsi="Arial"/>
                <w:sz w:val="14"/>
                <w:szCs w:val="14"/>
                <w:color w:val="auto"/>
                <w:w w:val="94"/>
              </w:rPr>
              <w:t>Year Ended</w:t>
            </w:r>
          </w:p>
        </w:tc>
      </w:tr>
      <w:tr>
        <w:trPr>
          <w:trHeight w:val="149"/>
        </w:trPr>
        <w:tc>
          <w:tcPr>
            <w:tcW w:w="5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158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2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January 1, 2011 to</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r>
      <w:tr>
        <w:trPr>
          <w:trHeight w:val="165"/>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2012</w:t>
            </w:r>
          </w:p>
        </w:tc>
        <w:tc>
          <w:tcPr>
            <w:tcW w:w="15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January 28, 2011</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2010</w:t>
            </w:r>
          </w:p>
        </w:tc>
      </w:tr>
      <w:tr>
        <w:trPr>
          <w:trHeight w:val="177"/>
        </w:trPr>
        <w:tc>
          <w:tcPr>
            <w:tcW w:w="5320" w:type="dxa"/>
            <w:vAlign w:val="bottom"/>
          </w:tcPr>
          <w:p>
            <w:pPr>
              <w:spacing w:after="0" w:line="177" w:lineRule="exact"/>
              <w:rPr>
                <w:sz w:val="20"/>
                <w:szCs w:val="20"/>
                <w:color w:val="auto"/>
              </w:rPr>
            </w:pPr>
            <w:r>
              <w:rPr>
                <w:rFonts w:ascii="Arial" w:cs="Arial" w:eastAsia="Arial" w:hAnsi="Arial"/>
                <w:sz w:val="18"/>
                <w:szCs w:val="18"/>
                <w:color w:val="auto"/>
              </w:rPr>
              <w:t>Net income (loss)</w:t>
            </w:r>
          </w:p>
        </w:tc>
        <w:tc>
          <w:tcPr>
            <w:tcW w:w="1080" w:type="dxa"/>
            <w:vAlign w:val="bottom"/>
            <w:gridSpan w:val="2"/>
          </w:tcPr>
          <w:p>
            <w:pPr>
              <w:ind w:left="960"/>
              <w:spacing w:after="0" w:line="177" w:lineRule="exact"/>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8"/>
              <w:spacing w:after="0" w:line="177" w:lineRule="exact"/>
              <w:rPr>
                <w:sz w:val="20"/>
                <w:szCs w:val="20"/>
                <w:color w:val="auto"/>
              </w:rPr>
            </w:pPr>
            <w:r>
              <w:rPr>
                <w:rFonts w:ascii="Arial" w:cs="Arial" w:eastAsia="Arial" w:hAnsi="Arial"/>
                <w:sz w:val="18"/>
                <w:szCs w:val="18"/>
                <w:b w:val="1"/>
                <w:bCs w:val="1"/>
                <w:color w:val="auto"/>
              </w:rPr>
              <w:t>3,231</w:t>
            </w:r>
          </w:p>
        </w:tc>
        <w:tc>
          <w:tcPr>
            <w:tcW w:w="300" w:type="dxa"/>
            <w:vAlign w:val="bottom"/>
          </w:tcPr>
          <w:p>
            <w:pPr>
              <w:ind w:left="60"/>
              <w:spacing w:after="0" w:line="177"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1,861</w:t>
            </w:r>
          </w:p>
        </w:tc>
        <w:tc>
          <w:tcPr>
            <w:tcW w:w="200" w:type="dxa"/>
            <w:vAlign w:val="bottom"/>
            <w:tcBorders>
              <w:right w:val="single" w:sz="8" w:color="auto"/>
            </w:tcBorders>
          </w:tcPr>
          <w:p>
            <w:pPr>
              <w:spacing w:after="0"/>
              <w:rPr>
                <w:sz w:val="15"/>
                <w:szCs w:val="15"/>
                <w:color w:val="auto"/>
              </w:rPr>
            </w:pPr>
          </w:p>
        </w:tc>
        <w:tc>
          <w:tcPr>
            <w:tcW w:w="440" w:type="dxa"/>
            <w:vAlign w:val="bottom"/>
            <w:gridSpan w:val="2"/>
          </w:tcPr>
          <w:p>
            <w:pPr>
              <w:jc w:val="right"/>
              <w:ind w:right="12"/>
              <w:spacing w:after="0" w:line="177"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77" w:lineRule="exact"/>
              <w:rPr>
                <w:sz w:val="20"/>
                <w:szCs w:val="20"/>
                <w:color w:val="auto"/>
              </w:rPr>
            </w:pPr>
            <w:r>
              <w:rPr>
                <w:rFonts w:ascii="Arial" w:cs="Arial" w:eastAsia="Arial" w:hAnsi="Arial"/>
                <w:sz w:val="18"/>
                <w:szCs w:val="18"/>
                <w:color w:val="auto"/>
              </w:rPr>
              <w:t>(25)</w:t>
            </w:r>
          </w:p>
        </w:tc>
        <w:tc>
          <w:tcPr>
            <w:tcW w:w="220" w:type="dxa"/>
            <w:vAlign w:val="bottom"/>
          </w:tcPr>
          <w:p>
            <w:pPr>
              <w:ind w:left="80"/>
              <w:spacing w:after="0" w:line="177"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7"/>
              <w:spacing w:after="0" w:line="177" w:lineRule="exact"/>
              <w:rPr>
                <w:sz w:val="20"/>
                <w:szCs w:val="20"/>
                <w:color w:val="auto"/>
              </w:rPr>
            </w:pPr>
            <w:r>
              <w:rPr>
                <w:rFonts w:ascii="Arial" w:cs="Arial" w:eastAsia="Arial" w:hAnsi="Arial"/>
                <w:sz w:val="18"/>
                <w:szCs w:val="18"/>
                <w:color w:val="auto"/>
              </w:rPr>
              <w:t>1,516</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Currency translation adjustments, net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21"/>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w:t>
            </w:r>
          </w:p>
        </w:tc>
      </w:tr>
      <w:tr>
        <w:trPr>
          <w:trHeight w:val="177"/>
        </w:trPr>
        <w:tc>
          <w:tcPr>
            <w:tcW w:w="5320" w:type="dxa"/>
            <w:vAlign w:val="bottom"/>
          </w:tcPr>
          <w:p>
            <w:pPr>
              <w:spacing w:after="0" w:line="177" w:lineRule="exact"/>
              <w:rPr>
                <w:sz w:val="20"/>
                <w:szCs w:val="20"/>
                <w:color w:val="auto"/>
              </w:rPr>
            </w:pPr>
            <w:r>
              <w:rPr>
                <w:rFonts w:ascii="Arial" w:cs="Arial" w:eastAsia="Arial" w:hAnsi="Arial"/>
                <w:sz w:val="18"/>
                <w:szCs w:val="18"/>
                <w:color w:val="auto"/>
              </w:rPr>
              <w:t>Comprehensive income (loss)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58"/>
              <w:spacing w:after="0" w:line="177" w:lineRule="exact"/>
              <w:rPr>
                <w:sz w:val="20"/>
                <w:szCs w:val="20"/>
                <w:color w:val="auto"/>
              </w:rPr>
            </w:pPr>
            <w:r>
              <w:rPr>
                <w:rFonts w:ascii="Arial" w:cs="Arial" w:eastAsia="Arial" w:hAnsi="Arial"/>
                <w:sz w:val="18"/>
                <w:szCs w:val="18"/>
                <w:b w:val="1"/>
                <w:bCs w:val="1"/>
                <w:color w:val="auto"/>
              </w:rPr>
              <w:t>3,244</w:t>
            </w:r>
          </w:p>
        </w:tc>
        <w:tc>
          <w:tcPr>
            <w:tcW w:w="300" w:type="dxa"/>
            <w:vAlign w:val="bottom"/>
          </w:tcPr>
          <w:p>
            <w:pPr>
              <w:spacing w:after="0"/>
              <w:rPr>
                <w:sz w:val="15"/>
                <w:szCs w:val="15"/>
                <w:color w:val="auto"/>
              </w:rPr>
            </w:pPr>
          </w:p>
        </w:tc>
        <w:tc>
          <w:tcPr>
            <w:tcW w:w="10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1,783</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5"/>
                <w:szCs w:val="15"/>
                <w:color w:val="auto"/>
              </w:rPr>
            </w:pPr>
          </w:p>
        </w:tc>
        <w:tc>
          <w:tcPr>
            <w:tcW w:w="820" w:type="dxa"/>
            <w:vAlign w:val="bottom"/>
          </w:tcPr>
          <w:p>
            <w:pPr>
              <w:jc w:val="right"/>
              <w:ind w:right="17"/>
              <w:spacing w:after="0" w:line="177" w:lineRule="exact"/>
              <w:rPr>
                <w:sz w:val="20"/>
                <w:szCs w:val="20"/>
                <w:color w:val="auto"/>
              </w:rPr>
            </w:pPr>
            <w:r>
              <w:rPr>
                <w:rFonts w:ascii="Arial" w:cs="Arial" w:eastAsia="Arial" w:hAnsi="Arial"/>
                <w:sz w:val="18"/>
                <w:szCs w:val="18"/>
                <w:color w:val="auto"/>
              </w:rPr>
              <w:t>1,509</w:t>
            </w:r>
          </w:p>
        </w:tc>
      </w:tr>
      <w:tr>
        <w:trPr>
          <w:trHeight w:val="221"/>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b w:val="1"/>
                <w:bCs w:val="1"/>
                <w:color w:val="auto"/>
              </w:rPr>
              <w:t>Comprehensive income (loss) attributable to NBCUniversal</w:t>
            </w:r>
          </w:p>
        </w:tc>
        <w:tc>
          <w:tcPr>
            <w:tcW w:w="1080" w:type="dxa"/>
            <w:vAlign w:val="bottom"/>
            <w:gridSpan w:val="2"/>
          </w:tcPr>
          <w:p>
            <w:pPr>
              <w:ind w:left="960"/>
              <w:spacing w:after="0" w:line="196" w:lineRule="exact"/>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8"/>
              <w:spacing w:after="0" w:line="196" w:lineRule="exact"/>
              <w:rPr>
                <w:sz w:val="20"/>
                <w:szCs w:val="20"/>
                <w:color w:val="auto"/>
              </w:rPr>
            </w:pPr>
            <w:r>
              <w:rPr>
                <w:rFonts w:ascii="Arial" w:cs="Arial" w:eastAsia="Arial" w:hAnsi="Arial"/>
                <w:sz w:val="18"/>
                <w:szCs w:val="18"/>
                <w:b w:val="1"/>
                <w:bCs w:val="1"/>
                <w:color w:val="auto"/>
              </w:rPr>
              <w:t>3,068</w:t>
            </w: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line="196" w:lineRule="exact"/>
              <w:rPr>
                <w:sz w:val="20"/>
                <w:szCs w:val="20"/>
                <w:color w:val="auto"/>
              </w:rPr>
            </w:pPr>
            <w:r>
              <w:rPr>
                <w:rFonts w:ascii="Arial" w:cs="Arial" w:eastAsia="Arial" w:hAnsi="Arial"/>
                <w:sz w:val="18"/>
                <w:szCs w:val="18"/>
                <w:color w:val="auto"/>
              </w:rPr>
              <w:t>1,605</w:t>
            </w:r>
          </w:p>
        </w:tc>
        <w:tc>
          <w:tcPr>
            <w:tcW w:w="20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2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7"/>
              <w:spacing w:after="0" w:line="196" w:lineRule="exact"/>
              <w:rPr>
                <w:sz w:val="20"/>
                <w:szCs w:val="20"/>
                <w:color w:val="auto"/>
              </w:rPr>
            </w:pPr>
            <w:r>
              <w:rPr>
                <w:rFonts w:ascii="Arial" w:cs="Arial" w:eastAsia="Arial" w:hAnsi="Arial"/>
                <w:sz w:val="18"/>
                <w:szCs w:val="18"/>
                <w:color w:val="auto"/>
              </w:rPr>
              <w:t>1,460</w:t>
            </w:r>
          </w:p>
        </w:tc>
      </w:tr>
      <w:tr>
        <w:trPr>
          <w:trHeight w:val="27"/>
        </w:trPr>
        <w:tc>
          <w:tcPr>
            <w:tcW w:w="5320" w:type="dxa"/>
            <w:vAlign w:val="bottom"/>
            <w:tcBorders>
              <w:bottom w:val="single" w:sz="8" w:color="53439A"/>
            </w:tcBorders>
          </w:tcPr>
          <w:p>
            <w:pPr>
              <w:spacing w:after="0"/>
              <w:rPr>
                <w:sz w:val="2"/>
                <w:szCs w:val="2"/>
                <w:color w:val="auto"/>
              </w:rPr>
            </w:pPr>
          </w:p>
        </w:tc>
        <w:tc>
          <w:tcPr>
            <w:tcW w:w="88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900" w:type="dxa"/>
            <w:vAlign w:val="bottom"/>
            <w:tcBorders>
              <w:bottom w:val="single" w:sz="8" w:color="53439A"/>
            </w:tcBorders>
          </w:tcPr>
          <w:p>
            <w:pPr>
              <w:spacing w:after="0"/>
              <w:rPr>
                <w:sz w:val="2"/>
                <w:szCs w:val="2"/>
                <w:color w:val="auto"/>
              </w:rPr>
            </w:pPr>
          </w:p>
        </w:tc>
        <w:tc>
          <w:tcPr>
            <w:tcW w:w="300" w:type="dxa"/>
            <w:vAlign w:val="bottom"/>
            <w:tcBorders>
              <w:bottom w:val="single" w:sz="8" w:color="53439A"/>
            </w:tcBorders>
          </w:tcPr>
          <w:p>
            <w:pPr>
              <w:spacing w:after="0"/>
              <w:rPr>
                <w:sz w:val="2"/>
                <w:szCs w:val="2"/>
                <w:color w:val="auto"/>
              </w:rPr>
            </w:pPr>
          </w:p>
        </w:tc>
        <w:tc>
          <w:tcPr>
            <w:tcW w:w="108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180" w:type="dxa"/>
            <w:vAlign w:val="bottom"/>
            <w:tcBorders>
              <w:bottom w:val="single" w:sz="8" w:color="53439A"/>
            </w:tcBorders>
          </w:tcPr>
          <w:p>
            <w:pPr>
              <w:spacing w:after="0"/>
              <w:rPr>
                <w:sz w:val="2"/>
                <w:szCs w:val="2"/>
                <w:color w:val="auto"/>
              </w:rPr>
            </w:pPr>
          </w:p>
        </w:tc>
        <w:tc>
          <w:tcPr>
            <w:tcW w:w="260" w:type="dxa"/>
            <w:vAlign w:val="bottom"/>
            <w:tcBorders>
              <w:bottom w:val="single" w:sz="8" w:color="53439A"/>
            </w:tcBorders>
          </w:tcPr>
          <w:p>
            <w:pPr>
              <w:spacing w:after="0"/>
              <w:rPr>
                <w:sz w:val="2"/>
                <w:szCs w:val="2"/>
                <w:color w:val="auto"/>
              </w:rPr>
            </w:pPr>
          </w:p>
        </w:tc>
        <w:tc>
          <w:tcPr>
            <w:tcW w:w="1060" w:type="dxa"/>
            <w:vAlign w:val="bottom"/>
            <w:tcBorders>
              <w:bottom w:val="single" w:sz="8" w:color="53439A"/>
            </w:tcBorders>
          </w:tcPr>
          <w:p>
            <w:pPr>
              <w:spacing w:after="0"/>
              <w:rPr>
                <w:sz w:val="2"/>
                <w:szCs w:val="2"/>
                <w:color w:val="auto"/>
              </w:rPr>
            </w:pPr>
          </w:p>
        </w:tc>
        <w:tc>
          <w:tcPr>
            <w:tcW w:w="220" w:type="dxa"/>
            <w:vAlign w:val="bottom"/>
            <w:tcBorders>
              <w:bottom w:val="single" w:sz="8" w:color="53439A"/>
            </w:tcBorders>
          </w:tcPr>
          <w:p>
            <w:pPr>
              <w:spacing w:after="0"/>
              <w:rPr>
                <w:sz w:val="2"/>
                <w:szCs w:val="2"/>
                <w:color w:val="auto"/>
              </w:rPr>
            </w:pPr>
          </w:p>
        </w:tc>
        <w:tc>
          <w:tcPr>
            <w:tcW w:w="820" w:type="dxa"/>
            <w:vAlign w:val="bottom"/>
            <w:tcBorders>
              <w:bottom w:val="single" w:sz="8" w:color="53439A"/>
            </w:tcBorders>
          </w:tcPr>
          <w:p>
            <w:pPr>
              <w:spacing w:after="0"/>
              <w:rPr>
                <w:sz w:val="2"/>
                <w:szCs w:val="2"/>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500"/>
        </w:trPr>
        <w:tc>
          <w:tcPr>
            <w:tcW w:w="5320" w:type="dxa"/>
            <w:vAlign w:val="bottom"/>
          </w:tcPr>
          <w:p>
            <w:pPr>
              <w:spacing w:after="0"/>
              <w:rPr>
                <w:sz w:val="24"/>
                <w:szCs w:val="24"/>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51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7"/>
          </w:tcPr>
          <w:p>
            <w:pPr>
              <w:jc w:val="right"/>
              <w:spacing w:after="0"/>
              <w:rPr>
                <w:sz w:val="20"/>
                <w:szCs w:val="20"/>
                <w:color w:val="auto"/>
              </w:rPr>
            </w:pPr>
            <w:r>
              <w:rPr>
                <w:rFonts w:ascii="Arial" w:cs="Arial" w:eastAsia="Arial" w:hAnsi="Arial"/>
                <w:sz w:val="14"/>
                <w:szCs w:val="14"/>
                <w:color w:val="auto"/>
              </w:rPr>
              <w:t>NBCUniversal 2012 Annual Report on Form 10-K</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4"/>
          </w:tcPr>
          <w:p>
            <w:pPr>
              <w:jc w:val="center"/>
              <w:ind w:right="460"/>
              <w:spacing w:after="0"/>
              <w:rPr>
                <w:sz w:val="20"/>
                <w:szCs w:val="20"/>
                <w:color w:val="auto"/>
              </w:rPr>
            </w:pPr>
            <w:r>
              <w:rPr>
                <w:rFonts w:ascii="Arial" w:cs="Arial" w:eastAsia="Arial" w:hAnsi="Arial"/>
                <w:sz w:val="14"/>
                <w:szCs w:val="14"/>
                <w:color w:val="auto"/>
                <w:w w:val="97"/>
              </w:rPr>
              <w:t>Successor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2"/>
              <w:spacing w:after="0"/>
              <w:rPr>
                <w:sz w:val="20"/>
                <w:szCs w:val="20"/>
                <w:color w:val="auto"/>
              </w:rPr>
            </w:pPr>
            <w:r>
              <w:rPr>
                <w:rFonts w:ascii="Arial" w:cs="Arial" w:eastAsia="Arial" w:hAnsi="Arial"/>
                <w:sz w:val="14"/>
                <w:szCs w:val="14"/>
                <w:color w:val="auto"/>
              </w:rPr>
              <w:t>Predecessor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4"/>
              <w:spacing w:after="0" w:line="125" w:lineRule="exact"/>
              <w:rPr>
                <w:sz w:val="20"/>
                <w:szCs w:val="20"/>
                <w:color w:val="auto"/>
              </w:rPr>
            </w:pPr>
            <w:r>
              <w:rPr>
                <w:rFonts w:ascii="Arial" w:cs="Arial" w:eastAsia="Arial" w:hAnsi="Arial"/>
                <w:sz w:val="14"/>
                <w:szCs w:val="14"/>
                <w:b w:val="1"/>
                <w:bCs w:val="1"/>
                <w:color w:val="auto"/>
                <w:w w:val="96"/>
              </w:rPr>
              <w:t>Year Ended</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3"/>
              <w:spacing w:after="0" w:line="125"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3"/>
              <w:spacing w:after="0" w:line="125" w:lineRule="exact"/>
              <w:rPr>
                <w:sz w:val="20"/>
                <w:szCs w:val="20"/>
                <w:color w:val="auto"/>
              </w:rPr>
            </w:pPr>
            <w:r>
              <w:rPr>
                <w:rFonts w:ascii="Arial" w:cs="Arial" w:eastAsia="Arial" w:hAnsi="Arial"/>
                <w:sz w:val="14"/>
                <w:szCs w:val="14"/>
                <w:color w:val="auto"/>
              </w:rPr>
              <w:t>For the Period</w:t>
            </w:r>
          </w:p>
        </w:tc>
        <w:tc>
          <w:tcPr>
            <w:tcW w:w="4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Borders>
              <w:right w:val="single" w:sz="8" w:color="auto"/>
            </w:tcBorders>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 xml:space="preserve">December 31,   </w:t>
            </w:r>
            <w:r>
              <w:rPr>
                <w:rFonts w:ascii="Arial" w:cs="Arial" w:eastAsia="Arial" w:hAnsi="Arial"/>
                <w:sz w:val="14"/>
                <w:szCs w:val="14"/>
                <w:color w:val="auto"/>
                <w:w w:val="99"/>
              </w:rPr>
              <w:t>January 29, 2011 to</w:t>
            </w:r>
          </w:p>
        </w:tc>
        <w:tc>
          <w:tcPr>
            <w:tcW w:w="180" w:type="dxa"/>
            <w:vAlign w:val="bottom"/>
          </w:tcPr>
          <w:p>
            <w:pPr>
              <w:spacing w:after="0"/>
              <w:rPr>
                <w:sz w:val="12"/>
                <w:szCs w:val="12"/>
                <w:color w:val="auto"/>
              </w:rPr>
            </w:pPr>
          </w:p>
        </w:tc>
        <w:tc>
          <w:tcPr>
            <w:tcW w:w="13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January 1, 2011 to</w:t>
            </w:r>
          </w:p>
        </w:tc>
        <w:tc>
          <w:tcPr>
            <w:tcW w:w="46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5"/>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1580" w:type="dxa"/>
            <w:vAlign w:val="bottom"/>
            <w:tcBorders>
              <w:bottom w:val="single" w:sz="8" w:color="auto"/>
              <w:right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January 28, 2011</w:t>
            </w:r>
          </w:p>
        </w:tc>
        <w:tc>
          <w:tcPr>
            <w:tcW w:w="13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99"/>
        </w:trPr>
        <w:tc>
          <w:tcPr>
            <w:tcW w:w="56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3,231</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1,861</w:t>
            </w:r>
          </w:p>
        </w:tc>
        <w:tc>
          <w:tcPr>
            <w:tcW w:w="20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w w:val="97"/>
              </w:rPr>
              <w:t>Adjustments to reconcile net income (loss) to net cash provided by (used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in) operating activities: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1,326</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33"/>
              <w:spacing w:after="0" w:line="181" w:lineRule="exact"/>
              <w:rPr>
                <w:sz w:val="20"/>
                <w:szCs w:val="20"/>
                <w:color w:val="auto"/>
              </w:rPr>
            </w:pPr>
            <w:r>
              <w:rPr>
                <w:rFonts w:ascii="Arial" w:cs="Arial" w:eastAsia="Arial" w:hAnsi="Arial"/>
                <w:sz w:val="18"/>
                <w:szCs w:val="18"/>
                <w:color w:val="auto"/>
              </w:rPr>
              <w:t>1,113</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line="181" w:lineRule="exact"/>
              <w:rPr>
                <w:sz w:val="20"/>
                <w:szCs w:val="20"/>
                <w:color w:val="auto"/>
              </w:rPr>
            </w:pPr>
            <w:r>
              <w:rPr>
                <w:rFonts w:ascii="Arial" w:cs="Arial" w:eastAsia="Arial" w:hAnsi="Arial"/>
                <w:sz w:val="18"/>
                <w:szCs w:val="18"/>
                <w:color w:val="auto"/>
              </w:rPr>
              <w:t>27</w:t>
            </w:r>
          </w:p>
        </w:tc>
        <w:tc>
          <w:tcPr>
            <w:tcW w:w="460" w:type="dxa"/>
            <w:vAlign w:val="bottom"/>
          </w:tcPr>
          <w:p>
            <w:pPr>
              <w:spacing w:after="0"/>
              <w:rPr>
                <w:sz w:val="15"/>
                <w:szCs w:val="15"/>
                <w:color w:val="auto"/>
              </w:rPr>
            </w:pPr>
          </w:p>
        </w:tc>
        <w:tc>
          <w:tcPr>
            <w:tcW w:w="90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film and television costs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9,399</w:t>
            </w:r>
          </w:p>
        </w:tc>
        <w:tc>
          <w:tcPr>
            <w:tcW w:w="28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6,766</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549</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of investees, net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(183)</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189</w:t>
            </w:r>
          </w:p>
        </w:tc>
        <w:tc>
          <w:tcPr>
            <w:tcW w:w="28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301</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(gain) loss on investment activity and other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28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w w:val="99"/>
              </w:rPr>
              <w:t>Changes in operating assets and liabilities, net of effects of acquisitions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and divestitures: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(643)</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ind w:left="200"/>
              <w:spacing w:after="0" w:line="181" w:lineRule="exact"/>
              <w:rPr>
                <w:sz w:val="20"/>
                <w:szCs w:val="20"/>
                <w:color w:val="auto"/>
              </w:rPr>
            </w:pPr>
            <w:r>
              <w:rPr>
                <w:rFonts w:ascii="Arial" w:cs="Arial" w:eastAsia="Arial" w:hAnsi="Arial"/>
                <w:sz w:val="18"/>
                <w:szCs w:val="18"/>
                <w:color w:val="auto"/>
              </w:rPr>
              <w:t>Change in current and noncurrent receivables, net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8"/>
                <w:szCs w:val="18"/>
                <w:color w:val="auto"/>
              </w:rPr>
              <w:t>(357)</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8"/>
                <w:szCs w:val="18"/>
                <w:color w:val="auto"/>
              </w:rPr>
              <w:t>(675)</w:t>
            </w:r>
          </w:p>
        </w:tc>
        <w:tc>
          <w:tcPr>
            <w:tcW w:w="4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Change in film and television costs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(9,299)</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(7,018)</w:t>
            </w:r>
          </w:p>
        </w:tc>
        <w:tc>
          <w:tcPr>
            <w:tcW w:w="2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Change in accounts payable and accrued expenses related to trade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51</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420"/>
              <w:spacing w:after="0" w:line="202" w:lineRule="exact"/>
              <w:rPr>
                <w:sz w:val="20"/>
                <w:szCs w:val="20"/>
                <w:color w:val="auto"/>
              </w:rPr>
            </w:pPr>
            <w:r>
              <w:rPr>
                <w:rFonts w:ascii="Arial" w:cs="Arial" w:eastAsia="Arial" w:hAnsi="Arial"/>
                <w:sz w:val="18"/>
                <w:szCs w:val="18"/>
                <w:color w:val="auto"/>
              </w:rPr>
              <w:t>creditors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95</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399</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Change in accrued participations and residuals, program obligations and</w:t>
            </w: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132</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ind w:left="420"/>
              <w:spacing w:after="0" w:line="181" w:lineRule="exact"/>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33"/>
              <w:spacing w:after="0" w:line="181" w:lineRule="exact"/>
              <w:rPr>
                <w:sz w:val="20"/>
                <w:szCs w:val="20"/>
                <w:color w:val="auto"/>
              </w:rPr>
            </w:pPr>
            <w:r>
              <w:rPr>
                <w:rFonts w:ascii="Arial" w:cs="Arial" w:eastAsia="Arial" w:hAnsi="Arial"/>
                <w:sz w:val="18"/>
                <w:szCs w:val="18"/>
                <w:color w:val="auto"/>
              </w:rPr>
              <w:t>130</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line="181" w:lineRule="exact"/>
              <w:rPr>
                <w:sz w:val="20"/>
                <w:szCs w:val="20"/>
                <w:color w:val="auto"/>
              </w:rPr>
            </w:pPr>
            <w:r>
              <w:rPr>
                <w:rFonts w:ascii="Arial" w:cs="Arial" w:eastAsia="Arial" w:hAnsi="Arial"/>
                <w:sz w:val="18"/>
                <w:szCs w:val="18"/>
                <w:color w:val="auto"/>
              </w:rPr>
              <w:t>127</w:t>
            </w:r>
          </w:p>
        </w:tc>
        <w:tc>
          <w:tcPr>
            <w:tcW w:w="4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Change in other operating assets and liabilities</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201</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3,333</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2,869</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9"/>
        </w:trPr>
        <w:tc>
          <w:tcPr>
            <w:tcW w:w="56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(763)</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8"/>
                <w:szCs w:val="18"/>
                <w:color w:val="auto"/>
              </w:rPr>
              <w:t>(432)</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8"/>
                <w:szCs w:val="18"/>
                <w:color w:val="auto"/>
              </w:rPr>
              <w:t>(16)</w:t>
            </w:r>
          </w:p>
        </w:tc>
        <w:tc>
          <w:tcPr>
            <w:tcW w:w="4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businesses and investments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3,026</w:t>
            </w:r>
          </w:p>
        </w:tc>
        <w:tc>
          <w:tcPr>
            <w:tcW w:w="28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331</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(117)</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315</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99"/>
        </w:trPr>
        <w:tc>
          <w:tcPr>
            <w:tcW w:w="56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(550)</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33"/>
              <w:spacing w:after="0" w:line="181" w:lineRule="exact"/>
              <w:rPr>
                <w:sz w:val="20"/>
                <w:szCs w:val="20"/>
                <w:color w:val="auto"/>
              </w:rPr>
            </w:pPr>
            <w:r>
              <w:rPr>
                <w:rFonts w:ascii="Arial" w:cs="Arial" w:eastAsia="Arial" w:hAnsi="Arial"/>
                <w:sz w:val="18"/>
                <w:szCs w:val="18"/>
                <w:color w:val="auto"/>
              </w:rPr>
              <w:t>550</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line="181"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900" w:type="dxa"/>
            <w:vAlign w:val="bottom"/>
          </w:tcPr>
          <w:p>
            <w:pPr>
              <w:jc w:val="right"/>
              <w:ind w:right="13"/>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third party borrowings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1,995</w:t>
            </w:r>
          </w:p>
        </w:tc>
        <w:tc>
          <w:tcPr>
            <w:tcW w:w="2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(413)</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 from Comcast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250</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Repayments of borrowings from Comcast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(Increase) decrease in short-term loans to GE, net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8,072</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(8,041)</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member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(964)</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Repurchase of preferred stock interest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Contributions from noncontrolling interests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(216)</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(229)</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77"/>
        </w:trPr>
        <w:tc>
          <w:tcPr>
            <w:tcW w:w="568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5,113</w:t>
            </w:r>
          </w:p>
        </w:tc>
        <w:tc>
          <w:tcPr>
            <w:tcW w:w="280" w:type="dxa"/>
            <w:vAlign w:val="bottom"/>
          </w:tcPr>
          <w:p>
            <w:pPr>
              <w:spacing w:after="0"/>
              <w:rPr>
                <w:sz w:val="15"/>
                <w:szCs w:val="15"/>
                <w:color w:val="auto"/>
              </w:rPr>
            </w:pPr>
          </w:p>
        </w:tc>
        <w:tc>
          <w:tcPr>
            <w:tcW w:w="1100" w:type="dxa"/>
            <w:vAlign w:val="bottom"/>
          </w:tcPr>
          <w:p>
            <w:pPr>
              <w:jc w:val="right"/>
              <w:ind w:right="33"/>
              <w:spacing w:after="0" w:line="177" w:lineRule="exact"/>
              <w:rPr>
                <w:sz w:val="20"/>
                <w:szCs w:val="20"/>
                <w:color w:val="auto"/>
              </w:rPr>
            </w:pPr>
            <w:r>
              <w:rPr>
                <w:rFonts w:ascii="Arial" w:cs="Arial" w:eastAsia="Arial" w:hAnsi="Arial"/>
                <w:sz w:val="18"/>
                <w:szCs w:val="18"/>
                <w:color w:val="auto"/>
              </w:rPr>
              <w:t>300</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Arial" w:cs="Arial" w:eastAsia="Arial" w:hAnsi="Arial"/>
                <w:sz w:val="18"/>
                <w:szCs w:val="18"/>
                <w:color w:val="auto"/>
              </w:rPr>
              <w:t>(614)</w:t>
            </w:r>
          </w:p>
        </w:tc>
        <w:tc>
          <w:tcPr>
            <w:tcW w:w="460" w:type="dxa"/>
            <w:vAlign w:val="bottom"/>
          </w:tcPr>
          <w:p>
            <w:pPr>
              <w:spacing w:after="0"/>
              <w:rPr>
                <w:sz w:val="15"/>
                <w:szCs w:val="15"/>
                <w:color w:val="auto"/>
              </w:rPr>
            </w:pPr>
          </w:p>
        </w:tc>
        <w:tc>
          <w:tcPr>
            <w:tcW w:w="900" w:type="dxa"/>
            <w:vAlign w:val="bottom"/>
          </w:tcPr>
          <w:p>
            <w:pPr>
              <w:jc w:val="right"/>
              <w:ind w:right="13"/>
              <w:spacing w:after="0" w:line="177" w:lineRule="exact"/>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1"/>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808</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1,084</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5,921</w:t>
            </w:r>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808</w:t>
            </w:r>
          </w:p>
        </w:tc>
        <w:tc>
          <w:tcPr>
            <w:tcW w:w="20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470</w:t>
            </w:r>
          </w:p>
        </w:tc>
        <w:tc>
          <w:tcPr>
            <w:tcW w:w="460" w:type="dxa"/>
            <w:vAlign w:val="bottom"/>
          </w:tcPr>
          <w:p>
            <w:pPr>
              <w:jc w:val="right"/>
              <w:ind w:right="222"/>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220" w:type="dxa"/>
            <w:vAlign w:val="bottom"/>
            <w:tcBorders>
              <w:bottom w:val="single" w:sz="8" w:color="53439A"/>
            </w:tcBorders>
          </w:tcPr>
          <w:p>
            <w:pPr>
              <w:spacing w:after="0"/>
              <w:rPr>
                <w:sz w:val="2"/>
                <w:szCs w:val="2"/>
                <w:color w:val="auto"/>
              </w:rPr>
            </w:pPr>
          </w:p>
        </w:tc>
        <w:tc>
          <w:tcPr>
            <w:tcW w:w="880" w:type="dxa"/>
            <w:vAlign w:val="bottom"/>
            <w:tcBorders>
              <w:bottom w:val="single" w:sz="8" w:color="53439A"/>
            </w:tcBorders>
          </w:tcPr>
          <w:p>
            <w:pPr>
              <w:spacing w:after="0"/>
              <w:rPr>
                <w:sz w:val="2"/>
                <w:szCs w:val="2"/>
                <w:color w:val="auto"/>
              </w:rPr>
            </w:pPr>
          </w:p>
        </w:tc>
        <w:tc>
          <w:tcPr>
            <w:tcW w:w="280" w:type="dxa"/>
            <w:vAlign w:val="bottom"/>
            <w:tcBorders>
              <w:bottom w:val="single" w:sz="8" w:color="53439A"/>
            </w:tcBorders>
          </w:tcPr>
          <w:p>
            <w:pPr>
              <w:spacing w:after="0"/>
              <w:rPr>
                <w:sz w:val="2"/>
                <w:szCs w:val="2"/>
                <w:color w:val="auto"/>
              </w:rPr>
            </w:pPr>
          </w:p>
        </w:tc>
        <w:tc>
          <w:tcPr>
            <w:tcW w:w="1100" w:type="dxa"/>
            <w:vAlign w:val="bottom"/>
            <w:tcBorders>
              <w:bottom w:val="single" w:sz="8" w:color="53439A"/>
            </w:tcBorders>
          </w:tcPr>
          <w:p>
            <w:pPr>
              <w:spacing w:after="0"/>
              <w:rPr>
                <w:sz w:val="2"/>
                <w:szCs w:val="2"/>
                <w:color w:val="auto"/>
              </w:rPr>
            </w:pPr>
          </w:p>
        </w:tc>
        <w:tc>
          <w:tcPr>
            <w:tcW w:w="200" w:type="dxa"/>
            <w:vAlign w:val="bottom"/>
            <w:tcBorders>
              <w:bottom w:val="single" w:sz="8" w:color="53439A"/>
            </w:tcBorders>
          </w:tcPr>
          <w:p>
            <w:pPr>
              <w:spacing w:after="0"/>
              <w:rPr>
                <w:sz w:val="2"/>
                <w:szCs w:val="2"/>
                <w:color w:val="auto"/>
              </w:rPr>
            </w:pPr>
          </w:p>
        </w:tc>
        <w:tc>
          <w:tcPr>
            <w:tcW w:w="180" w:type="dxa"/>
            <w:vAlign w:val="bottom"/>
            <w:tcBorders>
              <w:bottom w:val="single" w:sz="8" w:color="53439A"/>
            </w:tcBorders>
          </w:tcPr>
          <w:p>
            <w:pPr>
              <w:spacing w:after="0"/>
              <w:rPr>
                <w:sz w:val="2"/>
                <w:szCs w:val="2"/>
                <w:color w:val="auto"/>
              </w:rPr>
            </w:pPr>
          </w:p>
        </w:tc>
        <w:tc>
          <w:tcPr>
            <w:tcW w:w="260" w:type="dxa"/>
            <w:vAlign w:val="bottom"/>
            <w:tcBorders>
              <w:bottom w:val="single" w:sz="8" w:color="53439A"/>
            </w:tcBorders>
          </w:tcPr>
          <w:p>
            <w:pPr>
              <w:spacing w:after="0"/>
              <w:rPr>
                <w:sz w:val="2"/>
                <w:szCs w:val="2"/>
                <w:color w:val="auto"/>
              </w:rPr>
            </w:pPr>
          </w:p>
        </w:tc>
        <w:tc>
          <w:tcPr>
            <w:tcW w:w="1060" w:type="dxa"/>
            <w:vAlign w:val="bottom"/>
            <w:tcBorders>
              <w:bottom w:val="single" w:sz="8" w:color="53439A"/>
            </w:tcBorders>
          </w:tcPr>
          <w:p>
            <w:pPr>
              <w:spacing w:after="0"/>
              <w:rPr>
                <w:sz w:val="2"/>
                <w:szCs w:val="2"/>
                <w:color w:val="auto"/>
              </w:rPr>
            </w:pPr>
          </w:p>
        </w:tc>
        <w:tc>
          <w:tcPr>
            <w:tcW w:w="460" w:type="dxa"/>
            <w:vAlign w:val="bottom"/>
            <w:tcBorders>
              <w:bottom w:val="single" w:sz="8" w:color="53439A"/>
            </w:tcBorders>
          </w:tcPr>
          <w:p>
            <w:pPr>
              <w:spacing w:after="0"/>
              <w:rPr>
                <w:sz w:val="2"/>
                <w:szCs w:val="2"/>
                <w:color w:val="auto"/>
              </w:rPr>
            </w:pPr>
          </w:p>
        </w:tc>
        <w:tc>
          <w:tcPr>
            <w:tcW w:w="900" w:type="dxa"/>
            <w:vAlign w:val="bottom"/>
            <w:tcBorders>
              <w:bottom w:val="single" w:sz="8" w:color="53439A"/>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spacing w:after="0"/>
              <w:rPr>
                <w:sz w:val="20"/>
                <w:szCs w:val="20"/>
                <w:color w:val="auto"/>
              </w:rPr>
            </w:pPr>
            <w:r>
              <w:rPr>
                <w:rFonts w:ascii="Arial" w:cs="Arial" w:eastAsia="Arial" w:hAnsi="Arial"/>
                <w:sz w:val="14"/>
                <w:szCs w:val="14"/>
                <w:color w:val="auto"/>
              </w:rPr>
              <w:t>NBCUniversal 2012 Annual Report on Form 10-K</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w w:val="89"/>
              </w:rPr>
              <w:t>52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Changes in Equity</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color w:val="auto"/>
              </w:rPr>
              <w:t>Accumulated Other</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34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Common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Paid-</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Retained</w:t>
            </w:r>
          </w:p>
        </w:tc>
        <w:tc>
          <w:tcPr>
            <w:tcW w:w="220" w:type="dxa"/>
            <w:vAlign w:val="bottom"/>
          </w:tcPr>
          <w:p>
            <w:pPr>
              <w:spacing w:after="0"/>
              <w:rPr>
                <w:sz w:val="12"/>
                <w:szCs w:val="12"/>
                <w:color w:val="auto"/>
              </w:rPr>
            </w:pPr>
          </w:p>
        </w:tc>
        <w:tc>
          <w:tcPr>
            <w:tcW w:w="1140" w:type="dxa"/>
            <w:vAlign w:val="bottom"/>
          </w:tcPr>
          <w:p>
            <w:pPr>
              <w:jc w:val="right"/>
              <w:ind w:right="38"/>
              <w:spacing w:after="0" w:line="149" w:lineRule="exact"/>
              <w:rPr>
                <w:sz w:val="20"/>
                <w:szCs w:val="20"/>
                <w:color w:val="auto"/>
              </w:rPr>
            </w:pPr>
            <w:r>
              <w:rPr>
                <w:rFonts w:ascii="Arial" w:cs="Arial" w:eastAsia="Arial" w:hAnsi="Arial"/>
                <w:sz w:val="14"/>
                <w:szCs w:val="14"/>
                <w:color w:val="auto"/>
              </w:rPr>
              <w:t>Comprehensive</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Noncontrolling</w:t>
            </w:r>
          </w:p>
        </w:tc>
        <w:tc>
          <w:tcPr>
            <w:tcW w:w="880" w:type="dxa"/>
            <w:vAlign w:val="bottom"/>
          </w:tcPr>
          <w:p>
            <w:pPr>
              <w:jc w:val="right"/>
              <w:ind w:right="15"/>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50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Stock</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In Capital</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Earnings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8"/>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Interests</w:t>
            </w:r>
          </w:p>
        </w:tc>
        <w:tc>
          <w:tcPr>
            <w:tcW w:w="8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5020" w:type="dxa"/>
            <w:vAlign w:val="bottom"/>
          </w:tcPr>
          <w:p>
            <w:pPr>
              <w:spacing w:after="0" w:line="200" w:lineRule="exact"/>
              <w:rPr>
                <w:sz w:val="20"/>
                <w:szCs w:val="20"/>
                <w:color w:val="auto"/>
              </w:rPr>
            </w:pPr>
            <w:r>
              <w:rPr>
                <w:rFonts w:ascii="Arial" w:cs="Arial" w:eastAsia="Arial" w:hAnsi="Arial"/>
                <w:sz w:val="18"/>
                <w:szCs w:val="18"/>
                <w:color w:val="auto"/>
              </w:rPr>
              <w:t>Balance, January 1, 2010</w:t>
            </w:r>
          </w:p>
        </w:tc>
        <w:tc>
          <w:tcPr>
            <w:tcW w:w="860" w:type="dxa"/>
            <w:vAlign w:val="bottom"/>
          </w:tcPr>
          <w:p>
            <w:pPr>
              <w:ind w:left="700"/>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$ 23,592</w:t>
            </w:r>
          </w:p>
        </w:tc>
        <w:tc>
          <w:tcPr>
            <w:tcW w:w="220" w:type="dxa"/>
            <w:vAlign w:val="bottom"/>
          </w:tcPr>
          <w:p>
            <w:pPr>
              <w:ind w:left="120"/>
              <w:spacing w:after="0" w:line="200"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509</w:t>
            </w:r>
          </w:p>
        </w:tc>
        <w:tc>
          <w:tcPr>
            <w:tcW w:w="2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(6)</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10</w:t>
            </w:r>
          </w:p>
        </w:tc>
        <w:tc>
          <w:tcPr>
            <w:tcW w:w="8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$ 24,105</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Distributions to noncontrolling interests, net</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1,467</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49</w:t>
            </w:r>
          </w:p>
        </w:tc>
        <w:tc>
          <w:tcPr>
            <w:tcW w:w="8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199"/>
        </w:trPr>
        <w:tc>
          <w:tcPr>
            <w:tcW w:w="5020" w:type="dxa"/>
            <w:vAlign w:val="bottom"/>
          </w:tcPr>
          <w:p>
            <w:pPr>
              <w:spacing w:after="0" w:line="200" w:lineRule="exact"/>
              <w:rPr>
                <w:sz w:val="20"/>
                <w:szCs w:val="20"/>
                <w:color w:val="auto"/>
              </w:rPr>
            </w:pPr>
            <w:r>
              <w:rPr>
                <w:rFonts w:ascii="Arial" w:cs="Arial" w:eastAsia="Arial" w:hAnsi="Arial"/>
                <w:sz w:val="18"/>
                <w:szCs w:val="18"/>
                <w:color w:val="auto"/>
              </w:rPr>
              <w:t>Balance, December 31, 2010</w:t>
            </w:r>
          </w:p>
        </w:tc>
        <w:tc>
          <w:tcPr>
            <w:tcW w:w="860" w:type="dxa"/>
            <w:vAlign w:val="bottom"/>
          </w:tcPr>
          <w:p>
            <w:pPr>
              <w:ind w:left="700"/>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$ 23,592</w:t>
            </w:r>
          </w:p>
        </w:tc>
        <w:tc>
          <w:tcPr>
            <w:tcW w:w="220" w:type="dxa"/>
            <w:vAlign w:val="bottom"/>
          </w:tcPr>
          <w:p>
            <w:pPr>
              <w:ind w:left="120"/>
              <w:spacing w:after="0" w:line="200"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320</w:t>
            </w:r>
          </w:p>
        </w:tc>
        <w:tc>
          <w:tcPr>
            <w:tcW w:w="2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(13)</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(82)</w:t>
            </w:r>
          </w:p>
        </w:tc>
        <w:tc>
          <w:tcPr>
            <w:tcW w:w="8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$ 23,817</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Compensation plans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(7,846)</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Balance, January 28, 2011</w:t>
            </w:r>
          </w:p>
        </w:tc>
        <w:tc>
          <w:tcPr>
            <w:tcW w:w="860" w:type="dxa"/>
            <w:vAlign w:val="bottom"/>
            <w:tcBorders>
              <w:bottom w:val="single" w:sz="8" w:color="53439A"/>
            </w:tcBorders>
          </w:tcPr>
          <w:p>
            <w:pPr>
              <w:ind w:left="700"/>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$ 15,463</w:t>
            </w:r>
          </w:p>
        </w:tc>
        <w:tc>
          <w:tcPr>
            <w:tcW w:w="220" w:type="dxa"/>
            <w:vAlign w:val="bottom"/>
            <w:tcBorders>
              <w:bottom w:val="single" w:sz="8" w:color="53439A"/>
            </w:tcBorders>
          </w:tcPr>
          <w:p>
            <w:pPr>
              <w:ind w:left="12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(10)</w:t>
            </w:r>
          </w:p>
        </w:tc>
        <w:tc>
          <w:tcPr>
            <w:tcW w:w="2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(82)</w:t>
            </w:r>
          </w:p>
        </w:tc>
        <w:tc>
          <w:tcPr>
            <w:tcW w:w="88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color w:val="auto"/>
              </w:rPr>
              <w:t>$ 15,371</w:t>
            </w:r>
          </w:p>
        </w:tc>
        <w:tc>
          <w:tcPr>
            <w:tcW w:w="0" w:type="dxa"/>
            <w:vAlign w:val="bottom"/>
          </w:tcPr>
          <w:p>
            <w:pPr>
              <w:spacing w:after="0"/>
              <w:rPr>
                <w:sz w:val="1"/>
                <w:szCs w:val="1"/>
                <w:color w:val="auto"/>
              </w:rPr>
            </w:pPr>
          </w:p>
        </w:tc>
      </w:tr>
      <w:tr>
        <w:trPr>
          <w:trHeight w:val="344"/>
        </w:trPr>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Accumulated Other</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Member’s</w:t>
            </w:r>
          </w:p>
        </w:tc>
        <w:tc>
          <w:tcPr>
            <w:tcW w:w="220" w:type="dxa"/>
            <w:vAlign w:val="bottom"/>
          </w:tcPr>
          <w:p>
            <w:pPr>
              <w:spacing w:after="0"/>
              <w:rPr>
                <w:sz w:val="12"/>
                <w:szCs w:val="12"/>
                <w:color w:val="auto"/>
              </w:rPr>
            </w:pPr>
          </w:p>
        </w:tc>
        <w:tc>
          <w:tcPr>
            <w:tcW w:w="1140" w:type="dxa"/>
            <w:vAlign w:val="bottom"/>
          </w:tcPr>
          <w:p>
            <w:pPr>
              <w:jc w:val="right"/>
              <w:ind w:right="78"/>
              <w:spacing w:after="0" w:line="149" w:lineRule="exact"/>
              <w:rPr>
                <w:sz w:val="20"/>
                <w:szCs w:val="20"/>
                <w:color w:val="auto"/>
              </w:rPr>
            </w:pPr>
            <w:r>
              <w:rPr>
                <w:rFonts w:ascii="Arial" w:cs="Arial" w:eastAsia="Arial" w:hAnsi="Arial"/>
                <w:sz w:val="14"/>
                <w:szCs w:val="14"/>
                <w:color w:val="auto"/>
                <w:w w:val="97"/>
              </w:rPr>
              <w:t>Comprehensive</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Noncontrolling</w:t>
            </w:r>
          </w:p>
        </w:tc>
        <w:tc>
          <w:tcPr>
            <w:tcW w:w="880" w:type="dxa"/>
            <w:vAlign w:val="bottom"/>
          </w:tcPr>
          <w:p>
            <w:pPr>
              <w:jc w:val="right"/>
              <w:ind w:right="15"/>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50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6"/>
              </w:rPr>
              <w:t>Capital</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Income (Loss)</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Interests</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5020" w:type="dxa"/>
            <w:vAlign w:val="bottom"/>
          </w:tcPr>
          <w:p>
            <w:pPr>
              <w:spacing w:after="0" w:line="200" w:lineRule="exact"/>
              <w:rPr>
                <w:sz w:val="20"/>
                <w:szCs w:val="20"/>
                <w:color w:val="auto"/>
              </w:rPr>
            </w:pPr>
            <w:r>
              <w:rPr>
                <w:rFonts w:ascii="Arial" w:cs="Arial" w:eastAsia="Arial" w:hAnsi="Arial"/>
                <w:sz w:val="18"/>
                <w:szCs w:val="18"/>
                <w:color w:val="auto"/>
              </w:rPr>
              <w:t>Member’s equity, remeasured at January 28, 2011</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gridSpan w:val="2"/>
          </w:tcPr>
          <w:p>
            <w:pPr>
              <w:jc w:val="right"/>
              <w:ind w:right="95"/>
              <w:spacing w:after="0" w:line="200" w:lineRule="exact"/>
              <w:rPr>
                <w:sz w:val="20"/>
                <w:szCs w:val="20"/>
                <w:color w:val="auto"/>
              </w:rPr>
            </w:pPr>
            <w:r>
              <w:rPr>
                <w:rFonts w:ascii="Arial" w:cs="Arial" w:eastAsia="Arial" w:hAnsi="Arial"/>
                <w:sz w:val="18"/>
                <w:szCs w:val="18"/>
                <w:color w:val="auto"/>
                <w:w w:val="96"/>
              </w:rPr>
              <w:t>$ 24,089</w:t>
            </w:r>
          </w:p>
        </w:tc>
        <w:tc>
          <w:tcPr>
            <w:tcW w:w="220" w:type="dxa"/>
            <w:vAlign w:val="bottom"/>
          </w:tcPr>
          <w:p>
            <w:pPr>
              <w:ind w:left="4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8"/>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ind w:left="4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262</w:t>
            </w:r>
          </w:p>
        </w:tc>
        <w:tc>
          <w:tcPr>
            <w:tcW w:w="8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$ 24,351</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Contribution of Comcast Content Business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4,344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8"/>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57</w:t>
            </w:r>
          </w:p>
        </w:tc>
        <w:tc>
          <w:tcPr>
            <w:tcW w:w="8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199"/>
        </w:trPr>
        <w:tc>
          <w:tcPr>
            <w:tcW w:w="5020" w:type="dxa"/>
            <w:vAlign w:val="bottom"/>
          </w:tcPr>
          <w:p>
            <w:pPr>
              <w:spacing w:after="0" w:line="200" w:lineRule="exact"/>
              <w:rPr>
                <w:sz w:val="20"/>
                <w:szCs w:val="20"/>
                <w:color w:val="auto"/>
              </w:rPr>
            </w:pPr>
            <w:r>
              <w:rPr>
                <w:rFonts w:ascii="Arial" w:cs="Arial" w:eastAsia="Arial" w:hAnsi="Arial"/>
                <w:sz w:val="18"/>
                <w:szCs w:val="18"/>
                <w:color w:val="auto"/>
              </w:rPr>
              <w:t>Total member’s equity at January 28, 2011</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gridSpan w:val="2"/>
          </w:tcPr>
          <w:p>
            <w:pPr>
              <w:jc w:val="right"/>
              <w:ind w:right="95"/>
              <w:spacing w:after="0" w:line="200" w:lineRule="exact"/>
              <w:rPr>
                <w:sz w:val="20"/>
                <w:szCs w:val="20"/>
                <w:color w:val="auto"/>
              </w:rPr>
            </w:pPr>
            <w:r>
              <w:rPr>
                <w:rFonts w:ascii="Arial" w:cs="Arial" w:eastAsia="Arial" w:hAnsi="Arial"/>
                <w:sz w:val="18"/>
                <w:szCs w:val="18"/>
                <w:color w:val="auto"/>
              </w:rPr>
              <w:t>28,433</w:t>
            </w:r>
          </w:p>
        </w:tc>
        <w:tc>
          <w:tcPr>
            <w:tcW w:w="220" w:type="dxa"/>
            <w:vAlign w:val="bottom"/>
          </w:tcPr>
          <w:p>
            <w:pPr>
              <w:spacing w:after="0"/>
              <w:rPr>
                <w:sz w:val="17"/>
                <w:szCs w:val="17"/>
                <w:color w:val="auto"/>
              </w:rPr>
            </w:pPr>
          </w:p>
        </w:tc>
        <w:tc>
          <w:tcPr>
            <w:tcW w:w="1140" w:type="dxa"/>
            <w:vAlign w:val="bottom"/>
          </w:tcPr>
          <w:p>
            <w:pPr>
              <w:jc w:val="right"/>
              <w:ind w:right="78"/>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319</w:t>
            </w:r>
          </w:p>
        </w:tc>
        <w:tc>
          <w:tcPr>
            <w:tcW w:w="8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28,752</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Compensation plans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(244)</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to noncontrolling interests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89</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43</w:t>
            </w: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(78)</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1,683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162</w:t>
            </w:r>
          </w:p>
        </w:tc>
        <w:tc>
          <w:tcPr>
            <w:tcW w:w="8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Balance, December 31, 2011</w:t>
            </w:r>
          </w:p>
        </w:tc>
        <w:tc>
          <w:tcPr>
            <w:tcW w:w="860" w:type="dxa"/>
            <w:vAlign w:val="bottom"/>
            <w:tcBorders>
              <w:bottom w:val="single" w:sz="8" w:color="53439A"/>
            </w:tcBorders>
          </w:tcPr>
          <w:p>
            <w:pPr>
              <w:spacing w:after="0"/>
              <w:rPr>
                <w:sz w:val="17"/>
                <w:szCs w:val="17"/>
                <w:color w:val="auto"/>
              </w:rPr>
            </w:pPr>
          </w:p>
        </w:tc>
        <w:tc>
          <w:tcPr>
            <w:tcW w:w="480" w:type="dxa"/>
            <w:vAlign w:val="bottom"/>
            <w:tcBorders>
              <w:bottom w:val="single" w:sz="8" w:color="53439A"/>
            </w:tcBorders>
          </w:tcPr>
          <w:p>
            <w:pPr>
              <w:spacing w:after="0"/>
              <w:rPr>
                <w:sz w:val="17"/>
                <w:szCs w:val="17"/>
                <w:color w:val="auto"/>
              </w:rPr>
            </w:pPr>
          </w:p>
        </w:tc>
        <w:tc>
          <w:tcPr>
            <w:tcW w:w="880" w:type="dxa"/>
            <w:vAlign w:val="bottom"/>
            <w:tcBorders>
              <w:bottom w:val="single" w:sz="8" w:color="53439A"/>
            </w:tcBorders>
          </w:tcPr>
          <w:p>
            <w:pPr>
              <w:spacing w:after="0"/>
              <w:rPr>
                <w:sz w:val="17"/>
                <w:szCs w:val="17"/>
                <w:color w:val="auto"/>
              </w:rPr>
            </w:pPr>
          </w:p>
        </w:tc>
        <w:tc>
          <w:tcPr>
            <w:tcW w:w="880" w:type="dxa"/>
            <w:vAlign w:val="bottom"/>
            <w:tcBorders>
              <w:bottom w:val="single" w:sz="8" w:color="53439A"/>
            </w:tcBorders>
            <w:gridSpan w:val="2"/>
          </w:tcPr>
          <w:p>
            <w:pPr>
              <w:jc w:val="right"/>
              <w:ind w:right="95"/>
              <w:spacing w:after="0" w:line="196" w:lineRule="exact"/>
              <w:rPr>
                <w:sz w:val="20"/>
                <w:szCs w:val="20"/>
                <w:color w:val="auto"/>
              </w:rPr>
            </w:pPr>
            <w:r>
              <w:rPr>
                <w:rFonts w:ascii="Arial" w:cs="Arial" w:eastAsia="Arial" w:hAnsi="Arial"/>
                <w:sz w:val="18"/>
                <w:szCs w:val="18"/>
                <w:color w:val="auto"/>
                <w:w w:val="96"/>
              </w:rPr>
              <w:t>$ 29,798</w:t>
            </w:r>
          </w:p>
        </w:tc>
        <w:tc>
          <w:tcPr>
            <w:tcW w:w="22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ind w:right="18"/>
              <w:spacing w:after="0" w:line="196" w:lineRule="exact"/>
              <w:rPr>
                <w:sz w:val="20"/>
                <w:szCs w:val="20"/>
                <w:color w:val="auto"/>
              </w:rPr>
            </w:pPr>
            <w:r>
              <w:rPr>
                <w:rFonts w:ascii="Arial" w:cs="Arial" w:eastAsia="Arial" w:hAnsi="Arial"/>
                <w:sz w:val="18"/>
                <w:szCs w:val="18"/>
                <w:color w:val="auto"/>
              </w:rPr>
              <w:t>(78)</w:t>
            </w:r>
          </w:p>
        </w:tc>
        <w:tc>
          <w:tcPr>
            <w:tcW w:w="28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3439A"/>
            </w:tcBorders>
          </w:tcPr>
          <w:p>
            <w:pPr>
              <w:jc w:val="right"/>
              <w:ind w:right="54"/>
              <w:spacing w:after="0" w:line="196" w:lineRule="exact"/>
              <w:rPr>
                <w:sz w:val="20"/>
                <w:szCs w:val="20"/>
                <w:color w:val="auto"/>
              </w:rPr>
            </w:pPr>
            <w:r>
              <w:rPr>
                <w:rFonts w:ascii="Arial" w:cs="Arial" w:eastAsia="Arial" w:hAnsi="Arial"/>
                <w:sz w:val="18"/>
                <w:szCs w:val="18"/>
                <w:color w:val="auto"/>
              </w:rPr>
              <w:t>361</w:t>
            </w:r>
          </w:p>
        </w:tc>
        <w:tc>
          <w:tcPr>
            <w:tcW w:w="88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color w:val="auto"/>
              </w:rPr>
              <w:t>$ 30,081</w:t>
            </w:r>
          </w:p>
        </w:tc>
        <w:tc>
          <w:tcPr>
            <w:tcW w:w="0" w:type="dxa"/>
            <w:vAlign w:val="bottom"/>
          </w:tcPr>
          <w:p>
            <w:pPr>
              <w:spacing w:after="0"/>
              <w:rPr>
                <w:sz w:val="1"/>
                <w:szCs w:val="1"/>
                <w:color w:val="auto"/>
              </w:rPr>
            </w:pPr>
          </w:p>
        </w:tc>
      </w:tr>
      <w:tr>
        <w:trPr>
          <w:trHeight w:val="177"/>
        </w:trPr>
        <w:tc>
          <w:tcPr>
            <w:tcW w:w="5020" w:type="dxa"/>
            <w:vAlign w:val="bottom"/>
          </w:tcPr>
          <w:p>
            <w:pPr>
              <w:spacing w:after="0" w:line="177" w:lineRule="exact"/>
              <w:rPr>
                <w:sz w:val="20"/>
                <w:szCs w:val="20"/>
                <w:color w:val="auto"/>
              </w:rPr>
            </w:pPr>
            <w:r>
              <w:rPr>
                <w:rFonts w:ascii="Arial" w:cs="Arial" w:eastAsia="Arial" w:hAnsi="Arial"/>
                <w:sz w:val="18"/>
                <w:szCs w:val="18"/>
                <w:b w:val="1"/>
                <w:bCs w:val="1"/>
                <w:color w:val="auto"/>
              </w:rPr>
              <w:t>Compensation plans</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95"/>
              <w:spacing w:after="0" w:line="177" w:lineRule="exact"/>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(964)</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(964)</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b w:val="1"/>
                <w:bCs w:val="1"/>
                <w:color w:val="auto"/>
              </w:rPr>
              <w:t>Contributions from (distributions to)</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noncontrolling interests, net</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(184)</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84</w:t>
            </w: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78"/>
              <w:spacing w:after="0" w:line="202" w:lineRule="exact"/>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3,055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158</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3,213</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860" w:type="dxa"/>
            <w:vAlign w:val="bottom"/>
            <w:tcBorders>
              <w:bottom w:val="single" w:sz="8" w:color="53439A"/>
            </w:tcBorders>
          </w:tcPr>
          <w:p>
            <w:pPr>
              <w:spacing w:after="0"/>
              <w:rPr>
                <w:sz w:val="17"/>
                <w:szCs w:val="17"/>
                <w:color w:val="auto"/>
              </w:rPr>
            </w:pPr>
          </w:p>
        </w:tc>
        <w:tc>
          <w:tcPr>
            <w:tcW w:w="480" w:type="dxa"/>
            <w:vAlign w:val="bottom"/>
            <w:tcBorders>
              <w:bottom w:val="single" w:sz="8" w:color="53439A"/>
            </w:tcBorders>
          </w:tcPr>
          <w:p>
            <w:pPr>
              <w:spacing w:after="0"/>
              <w:rPr>
                <w:sz w:val="17"/>
                <w:szCs w:val="17"/>
                <w:color w:val="auto"/>
              </w:rPr>
            </w:pPr>
          </w:p>
        </w:tc>
        <w:tc>
          <w:tcPr>
            <w:tcW w:w="880" w:type="dxa"/>
            <w:vAlign w:val="bottom"/>
            <w:tcBorders>
              <w:bottom w:val="single" w:sz="8" w:color="53439A"/>
            </w:tcBorders>
          </w:tcPr>
          <w:p>
            <w:pPr>
              <w:spacing w:after="0"/>
              <w:rPr>
                <w:sz w:val="17"/>
                <w:szCs w:val="17"/>
                <w:color w:val="auto"/>
              </w:rPr>
            </w:pPr>
          </w:p>
        </w:tc>
        <w:tc>
          <w:tcPr>
            <w:tcW w:w="880" w:type="dxa"/>
            <w:vAlign w:val="bottom"/>
            <w:tcBorders>
              <w:bottom w:val="single" w:sz="8" w:color="53439A"/>
            </w:tcBorders>
            <w:gridSpan w:val="2"/>
          </w:tcPr>
          <w:p>
            <w:pPr>
              <w:jc w:val="right"/>
              <w:ind w:right="95"/>
              <w:spacing w:after="0" w:line="196" w:lineRule="exact"/>
              <w:rPr>
                <w:sz w:val="20"/>
                <w:szCs w:val="20"/>
                <w:color w:val="auto"/>
              </w:rPr>
            </w:pPr>
            <w:r>
              <w:rPr>
                <w:rFonts w:ascii="Arial" w:cs="Arial" w:eastAsia="Arial" w:hAnsi="Arial"/>
                <w:sz w:val="18"/>
                <w:szCs w:val="18"/>
                <w:b w:val="1"/>
                <w:bCs w:val="1"/>
                <w:color w:val="auto"/>
                <w:w w:val="96"/>
              </w:rPr>
              <w:t>$ 31,900</w:t>
            </w:r>
          </w:p>
        </w:tc>
        <w:tc>
          <w:tcPr>
            <w:tcW w:w="22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53439A"/>
            </w:tcBorders>
          </w:tcPr>
          <w:p>
            <w:pPr>
              <w:jc w:val="right"/>
              <w:ind w:right="18"/>
              <w:spacing w:after="0" w:line="196" w:lineRule="exact"/>
              <w:rPr>
                <w:sz w:val="20"/>
                <w:szCs w:val="20"/>
                <w:color w:val="auto"/>
              </w:rPr>
            </w:pPr>
            <w:r>
              <w:rPr>
                <w:rFonts w:ascii="Arial" w:cs="Arial" w:eastAsia="Arial" w:hAnsi="Arial"/>
                <w:sz w:val="18"/>
                <w:szCs w:val="18"/>
                <w:b w:val="1"/>
                <w:bCs w:val="1"/>
                <w:color w:val="auto"/>
              </w:rPr>
              <w:t>(65)</w:t>
            </w:r>
          </w:p>
        </w:tc>
        <w:tc>
          <w:tcPr>
            <w:tcW w:w="28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5343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419</w:t>
            </w:r>
          </w:p>
        </w:tc>
        <w:tc>
          <w:tcPr>
            <w:tcW w:w="88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$ 32,254</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020" w:type="dxa"/>
            <w:vAlign w:val="bottom"/>
          </w:tcPr>
          <w:p>
            <w:pPr>
              <w:spacing w:after="0"/>
              <w:rPr>
                <w:sz w:val="24"/>
                <w:szCs w:val="24"/>
                <w:color w:val="auto"/>
              </w:rPr>
            </w:pPr>
          </w:p>
        </w:tc>
        <w:tc>
          <w:tcPr>
            <w:tcW w:w="860" w:type="dxa"/>
            <w:vAlign w:val="bottom"/>
          </w:tcPr>
          <w:p>
            <w:pPr>
              <w:ind w:left="660"/>
              <w:spacing w:after="0"/>
              <w:rPr>
                <w:sz w:val="20"/>
                <w:szCs w:val="20"/>
                <w:color w:val="auto"/>
              </w:rPr>
            </w:pPr>
            <w:r>
              <w:rPr>
                <w:rFonts w:ascii="Arial" w:cs="Arial" w:eastAsia="Arial" w:hAnsi="Arial"/>
                <w:sz w:val="14"/>
                <w:szCs w:val="14"/>
                <w:b w:val="1"/>
                <w:bCs w:val="1"/>
                <w:color w:val="auto"/>
              </w:rPr>
              <w:t>53</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Arial" w:cs="Arial" w:eastAsia="Arial" w:hAnsi="Arial"/>
                <w:sz w:val="14"/>
                <w:szCs w:val="14"/>
                <w:color w:val="auto"/>
              </w:rPr>
              <w:t>NBCUniversal 2012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28, 2011, Comcast closed its transaction with GE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our operations as the following four reportable business segments: Cable Networks, Broadcast Television, Filmed Entertainment and Theme Parks. See Note 19 for additional information on our reportable business segments.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Networks segment consists primarily of our national cable entertainment networks (USA Network, Syfy, E!, Bravo, Oxygen, Style, G4, Chiller, Cloo and Universal HD); our national cable news and information networks (CNBC, MSNBC and CNBC World); our national cable sports networks (Golf Channel and NBC Sports Network); our regional sports and news networks; our international cable networks (including CNBC Europe, CNBC Asia and our Universal Networks International portfolio of networks); our cable television production studio; and our related digital media properties, which are primarily brand-aligned and other websites.</w:t>
      </w:r>
    </w:p>
    <w:p>
      <w:pPr>
        <w:spacing w:after="0" w:line="15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which are primarily brand-aligned websites.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Our films are produced primarily under the Universal Pictures, Focus Features and Illumination names. We also develop, produce and license live stage plays.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(“subsidiaries”) and variable interest entities (“VIEs”) required to be consolidated in accordance with generally accepted accounting principles in the United States (“GAAP”). Transactions between NBCUniversal and Comcast, GE and their consolidated subsidiaries are reflected in these consolidated financial statements and disclosed as related party transactions when material.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subsidiaries where the functional currency is the local currency, primarily the euro and the British pound, into U.S. dollars at the exchange rate in effect at the balance sheet date. The related translation adjustments are recorded as a component of accumulated other comprehensive income (loss). We translate revenue and expenses using average monthly exchange rates, and the related foreign currency transaction gains and losses are included in our consolidated statement of income.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change in control of our company on January 28, 2011, Comcast applied the acquisition method of accounting with respect to the assets and liabilities of the NBCUniversal businesses it acquired (“NBCUniversal contributed businesses”), which were remeasured to fair value as of the date of the Joint Venture transaction. Our consolidated financial statements for periods following the close of the Joint Venture transaction are labeled “Successor” and reflect both Comcast’s basis of accounting in the new fair values of the assets and liabilities of NBCUniversal contributed businesses and the consolidation of the Comcast Content Business at historical cost. All periods prior to the close of the Joint Venture transaction reflect the historical</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accounting basis in our assets and liabilities and are labeled “Predecessor.” Our consolidated financial statements and footnotes include a black line division, which appears between the columns titled Predecessor and Successor, which signifies that the amounts shown for the periods prior to and following the Joint Venture transaction are not comparable. See Note 3 for additional information on the Joint Venture transaction.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Reclassifications have been made to the prior year’s consolidated financial statements to conform to classifications used in the current year. In addition, costs and expenses for 2011 and 2010 in our consolidated statement of income have been adjusted to separately present the components of these costs and expenses as programming and production, other operating and administrative, and advertising, marketing and promotion.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 (see below)</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film and television costs (see Note 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and intangible assets (see Note 8)</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value of contractual obligations (see Note 10 and Note 18)</w:t>
      </w:r>
    </w:p>
    <w:p>
      <w:pPr>
        <w:spacing w:after="0" w:line="158"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In addition, the following accounting policies are specific to the industries in which we operate:</w:t>
      </w:r>
    </w:p>
    <w:p>
      <w:pPr>
        <w:spacing w:after="0" w:line="140"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capitalization and amortization of film and television costs (see Note 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Cable Networks and Broadcast Television Segments</w:t>
      </w:r>
    </w:p>
    <w:p>
      <w:pPr>
        <w:jc w:val="both"/>
        <w:spacing w:after="0" w:line="236"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the sale of advertising and the licensing of our owned programming. Our Broadcast Television segment generates revenue primarily from the sale of advertising and the licensing of our owned programming.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the shortfall is settled, primarily by providing additional advertising time. We record revenue from the licensing</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of our owned programming when the content is available for use by the licensee, and when certain other conditions are met. When license fees include advertising time, we recognize the advertising time component of revenue when the advertisements are aired.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owned and acquired films for exhibition in movie theaters, the licensing of our owned and acquired films to cable, broadcast and premium networks, and digital distributors, and the sale of our owned and acquired films on both DVD and Blu-ray discs (together, “DVDs”) and through digital distributors. We also generate revenue from producing and licensing live stage plays and distributing filmed entertainment produced by third parties. We recognize revenue from the distribution of films to movie theaters when the films are exhibited. We record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Theme Parks Segment</w:t>
      </w: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as well as from licensing and other fees. We recognize revenue from advance theme park ticket sales when the tickets are used. For annual passes, we recognize revenue on a straight-line basis over the annual period following the initial redemption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Accounting Policies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Information related to our accounting policies or methods related to investments, property and equipment, goodwill and intangibles, postretirement, pension and other employee benefits, share-based compensation and receivables monetization are included in their respective footnotes below. Below is a discussion of accounting policies and methods used in our consolidated financial statements that are not presented within other footnotes.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Advertising Expenses</w:t>
      </w:r>
    </w:p>
    <w:p>
      <w:pPr>
        <w:spacing w:after="0"/>
        <w:rPr>
          <w:sz w:val="20"/>
          <w:szCs w:val="20"/>
          <w:color w:val="auto"/>
        </w:rPr>
      </w:pPr>
      <w:r>
        <w:rPr>
          <w:rFonts w:ascii="Arial" w:cs="Arial" w:eastAsia="Arial" w:hAnsi="Arial"/>
          <w:sz w:val="18"/>
          <w:szCs w:val="18"/>
          <w:color w:val="auto"/>
        </w:rPr>
        <w:t>Advertising costs are expensed as incurred.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3439A"/>
        </w:rPr>
        <w:t>Cash Equivalents</w:t>
      </w:r>
    </w:p>
    <w:p>
      <w:pPr>
        <w:spacing w:after="0"/>
        <w:rPr>
          <w:sz w:val="20"/>
          <w:szCs w:val="20"/>
          <w:color w:val="auto"/>
        </w:rPr>
      </w:pPr>
      <w:r>
        <w:rPr>
          <w:rFonts w:ascii="Arial" w:cs="Arial" w:eastAsia="Arial" w:hAnsi="Arial"/>
          <w:sz w:val="16"/>
          <w:szCs w:val="16"/>
          <w:color w:val="auto"/>
        </w:rPr>
        <w:t>The carrying amounts of our cash equivalents approximate their fair value. Our cash equivalents consist primarily of money market funds and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less than three months when purchased.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3439A"/>
        </w:rPr>
        <w:t>Derivative Financial Instruments</w:t>
      </w: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derivative financial instruments are recorded on our consolidated balance sheet at fair value. The impact of our derivative financial instruments on our consolidated financial statements was not material for all periods presented.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Transaction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28, 2011, Comcast and GE closed the Joint Venture transaction, which among other things, converted our company into a limited liability company that became a wholly owned subsidiary of NBCUniversal, LLC (“NBCUniversal Holdings”). NBCUniversal comprises the NBCUniversal contributed businesses and the Comcast Content Business, and is indirectly owned 51% by Comcast and 49% by GE. In addition to contributing the Comcast Content Business to NBCUniversal, Comcast made a cash payment to GE of $6.2 billion, which included transaction-related costs. Comcast also agreed to share with GE certain tax benefits as they are realized that relate to the form and structure of the Joint Venture transaction. These payments to GE are contingent on Comcast realizing tax benefits in the future and are accounted for as contingent consideration by Comcast.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Redemption Provisions</w:t>
      </w:r>
    </w:p>
    <w:p>
      <w:pPr>
        <w:jc w:val="both"/>
        <w:spacing w:after="0" w:line="235" w:lineRule="auto"/>
        <w:rPr>
          <w:sz w:val="20"/>
          <w:szCs w:val="20"/>
          <w:color w:val="auto"/>
        </w:rPr>
      </w:pPr>
      <w:r>
        <w:rPr>
          <w:rFonts w:ascii="Arial" w:cs="Arial" w:eastAsia="Arial" w:hAnsi="Arial"/>
          <w:sz w:val="18"/>
          <w:szCs w:val="18"/>
          <w:color w:val="auto"/>
        </w:rPr>
        <w:t>Comcast and GE have entered into an operating agreement that provides for Comcast’s management and control of NBCUniversal through its control of NBCUniversal Holdings. Under the terms of the operating agreement, during the six month period beginning July 28, 2014, GE has the right to cause NBCUniversal Holdings to redeem, in cash, half of GE’s interest in NBCUniversal Holdings, and Comcast would have the immediate right to purchase the remainder of GE’s interest. If, however, Comcast elects not to exercise this right, during the six month period beginning January 28, 2018, GE has the right to cause NBCUniversal Holdings to redeem GE’s remaining interest, if any. If GE does not exercise its first redemption right, Comcast has the right, during the six month period beginning January 28, 2016, to purchase half of GE’s interest in NBCUniversal Holdings, and during the six month period beginning January 28, 2019, Comcast has the right to purchase GE’s remaining interest, if any, in NBCUniversal Holdings. The purchase price to be paid in connection with any purchase or redemption described in this paragraph will be equal to the ownership percentage being purchased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Comcast is committed to fund up to $2.875 billion in cash or Comcast common stock for each of the two redemptions (up to an aggregate of $5.75 billion) to the extent that NBCUniversal Holdings cannot fund the redemptions, with amounts not used in the first redemption to be available for the second redemption.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 to a third party, subject to Comcast’s right of first offer. The right of first offer would permit Comcast to purchase all, but not less than all, of the interests proposed to be transferred. If GE makes a registration request in accordance with certain registration rights that are granted to it under the operating agreement, Comcast will have the right to purchase, for cash at the market value (determined pursuant to an appraisal process if NBCUniversal Holdings is not then publicly traded), all of GE’s interest in NBCUniversal Holdings that GE is seeking to register.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so long as GE continues to own at least 20% of NBCUniversal Holdings, GE will have veto rights with respect to certain matters, which include</w:t>
      </w:r>
    </w:p>
    <w:p>
      <w:pPr>
        <w:spacing w:after="0" w:line="19" w:lineRule="exact"/>
        <w:rPr>
          <w:sz w:val="20"/>
          <w:szCs w:val="20"/>
          <w:color w:val="auto"/>
        </w:rPr>
      </w:pPr>
    </w:p>
    <w:p>
      <w:pPr>
        <w:ind w:firstLine="8"/>
        <w:spacing w:after="0" w:line="239" w:lineRule="auto"/>
        <w:tabs>
          <w:tab w:leader="none" w:pos="223"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issuances or repurchases of equity, (ii) certain distributions to equity holders, (iii) certain debt incurrences and (iv) certain loans to or guarantees for other persons made outside of the ordinary course of business.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February 12, 2013, Comcast entered into an agreement to acquire GE’s 49% common equity interest in NBCUniversal Holdings. See Note 20 for additional information.</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53439A"/>
        </w:rPr>
        <w:t>Allocation of Purchase Price</w:t>
      </w:r>
    </w:p>
    <w:p>
      <w:pPr>
        <w:jc w:val="both"/>
        <w:ind w:right="20"/>
        <w:spacing w:after="0" w:line="239" w:lineRule="auto"/>
        <w:rPr>
          <w:sz w:val="20"/>
          <w:szCs w:val="20"/>
          <w:color w:val="auto"/>
        </w:rPr>
      </w:pPr>
      <w:r>
        <w:rPr>
          <w:rFonts w:ascii="Arial" w:cs="Arial" w:eastAsia="Arial" w:hAnsi="Arial"/>
          <w:sz w:val="18"/>
          <w:szCs w:val="18"/>
          <w:color w:val="auto"/>
        </w:rPr>
        <w:t>Comcast applied the acquisition method of accounting with respect to the assets and liabilities of the NBCUniversal contributed businesses, which were remeasured to fair value as of the date of the Joint Venture transaction.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remeasured the assets and liabilities of the NBCUniversal contributed businesses to their estimated fair value as of January 28, 2011, primarily using Level 3 inputs (see Note 10 for additional information on Level 3 inputs). The judgments used to determine the estimated fair value assigned to each class of assets and liabilities, as well as asset lives, have a material impact on our consolidated financial statements. To assist in this process, third-party valuation specialists were engaged to assist in the valuation of these assets and liabilities.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assets and liabilities of the Comcast Content Business were recorded at their historical or carry-over basis and as a result are not included in the acquired assets and liabilities presented in the allocation of purchase price below.</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tables below present the fair value of the consideration transferred and the allocation of purchase price to the assets and liabilities acquired as a result of the Joint Venture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101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w:t>
            </w: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6,120</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Fair value of 49% interest in Comcast Content Business</w:t>
            </w:r>
          </w:p>
        </w:tc>
        <w:tc>
          <w:tcPr>
            <w:tcW w:w="6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4,308</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Fair value of contingent consideration</w:t>
            </w:r>
          </w:p>
        </w:tc>
        <w:tc>
          <w:tcPr>
            <w:tcW w:w="6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r>
      <w:tr>
        <w:trPr>
          <w:trHeight w:val="199"/>
        </w:trPr>
        <w:tc>
          <w:tcPr>
            <w:tcW w:w="10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Fair value of redeemable noncontrolling interest associated with the net assets of the NBCUniversal contributed businesses</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13,071</w:t>
            </w:r>
          </w:p>
        </w:tc>
      </w:tr>
      <w:tr>
        <w:trPr>
          <w:trHeight w:val="196"/>
        </w:trPr>
        <w:tc>
          <w:tcPr>
            <w:tcW w:w="1010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6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24,089</w:t>
            </w:r>
          </w:p>
        </w:tc>
      </w:tr>
      <w:tr>
        <w:trPr>
          <w:trHeight w:val="370"/>
        </w:trPr>
        <w:tc>
          <w:tcPr>
            <w:tcW w:w="10100" w:type="dxa"/>
            <w:vAlign w:val="bottom"/>
          </w:tcPr>
          <w:p>
            <w:pPr>
              <w:spacing w:after="0"/>
              <w:rPr>
                <w:sz w:val="20"/>
                <w:szCs w:val="20"/>
                <w:color w:val="auto"/>
              </w:rPr>
            </w:pPr>
            <w:r>
              <w:rPr>
                <w:rFonts w:ascii="Arial" w:cs="Arial" w:eastAsia="Arial" w:hAnsi="Arial"/>
                <w:sz w:val="18"/>
                <w:szCs w:val="18"/>
                <w:color w:val="53439A"/>
              </w:rPr>
              <w:t>Allocation of Purchase Price</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
        </w:trPr>
        <w:tc>
          <w:tcPr>
            <w:tcW w:w="10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37"/>
        </w:trPr>
        <w:tc>
          <w:tcPr>
            <w:tcW w:w="10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99"/>
        </w:trPr>
        <w:tc>
          <w:tcPr>
            <w:tcW w:w="10100" w:type="dxa"/>
            <w:vAlign w:val="bottom"/>
          </w:tcPr>
          <w:p>
            <w:pPr>
              <w:spacing w:after="0" w:line="200" w:lineRule="exact"/>
              <w:rPr>
                <w:sz w:val="20"/>
                <w:szCs w:val="20"/>
                <w:color w:val="auto"/>
              </w:rPr>
            </w:pPr>
            <w:r>
              <w:rPr>
                <w:rFonts w:ascii="Arial" w:cs="Arial" w:eastAsia="Arial" w:hAnsi="Arial"/>
                <w:sz w:val="18"/>
                <w:szCs w:val="18"/>
                <w:color w:val="auto"/>
              </w:rPr>
              <w:t>Film and television costs</w:t>
            </w:r>
            <w:r>
              <w:rPr>
                <w:rFonts w:ascii="Arial" w:cs="Arial" w:eastAsia="Arial" w:hAnsi="Arial"/>
                <w:sz w:val="11"/>
                <w:szCs w:val="11"/>
                <w:color w:val="auto"/>
              </w:rPr>
              <w:t>(a)</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5,049</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66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4,339</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66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2,322</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8"/>
              </w:rPr>
              <w:t>14,585</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(b)</w:t>
            </w:r>
          </w:p>
        </w:tc>
        <w:tc>
          <w:tcPr>
            <w:tcW w:w="6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6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(9,115)</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6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(919)</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Other noncurrent assets and liabilities</w:t>
            </w:r>
            <w:r>
              <w:rPr>
                <w:rFonts w:ascii="Arial" w:cs="Arial" w:eastAsia="Arial" w:hAnsi="Arial"/>
                <w:sz w:val="11"/>
                <w:szCs w:val="11"/>
                <w:color w:val="auto"/>
              </w:rPr>
              <w:t>(c)</w:t>
            </w:r>
          </w:p>
        </w:tc>
        <w:tc>
          <w:tcPr>
            <w:tcW w:w="6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(1,644)</w:t>
            </w:r>
          </w:p>
        </w:tc>
      </w:tr>
      <w:tr>
        <w:trPr>
          <w:trHeight w:val="199"/>
        </w:trPr>
        <w:tc>
          <w:tcPr>
            <w:tcW w:w="10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(262)</w:t>
            </w:r>
          </w:p>
        </w:tc>
      </w:tr>
      <w:tr>
        <w:trPr>
          <w:trHeight w:val="199"/>
        </w:trPr>
        <w:tc>
          <w:tcPr>
            <w:tcW w:w="10100" w:type="dxa"/>
            <w:vAlign w:val="bottom"/>
          </w:tcPr>
          <w:p>
            <w:pPr>
              <w:spacing w:after="0" w:line="200" w:lineRule="exact"/>
              <w:rPr>
                <w:sz w:val="20"/>
                <w:szCs w:val="20"/>
                <w:color w:val="auto"/>
              </w:rPr>
            </w:pPr>
            <w:r>
              <w:rPr>
                <w:rFonts w:ascii="Arial" w:cs="Arial" w:eastAsia="Arial" w:hAnsi="Arial"/>
                <w:sz w:val="18"/>
                <w:szCs w:val="18"/>
                <w:color w:val="auto"/>
              </w:rPr>
              <w:t>Fair value of identifiable net assets acquired</w:t>
            </w:r>
          </w:p>
        </w:tc>
        <w:tc>
          <w:tcPr>
            <w:tcW w:w="660" w:type="dxa"/>
            <w:vAlign w:val="bottom"/>
          </w:tcPr>
          <w:p>
            <w:pPr>
              <w:spacing w:after="0"/>
              <w:rPr>
                <w:sz w:val="17"/>
                <w:szCs w:val="17"/>
                <w:color w:val="auto"/>
              </w:rPr>
            </w:pPr>
          </w:p>
        </w:tc>
        <w:tc>
          <w:tcPr>
            <w:tcW w:w="66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8"/>
              </w:rPr>
              <w:t>13,144</w:t>
            </w:r>
          </w:p>
        </w:tc>
      </w:tr>
      <w:tr>
        <w:trPr>
          <w:trHeight w:val="199"/>
        </w:trPr>
        <w:tc>
          <w:tcPr>
            <w:tcW w:w="10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w w:val="98"/>
              </w:rPr>
              <w:t>10,945</w:t>
            </w:r>
          </w:p>
        </w:tc>
      </w:tr>
      <w:tr>
        <w:trPr>
          <w:trHeight w:val="196"/>
        </w:trPr>
        <w:tc>
          <w:tcPr>
            <w:tcW w:w="1010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6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w w:val="98"/>
              </w:rPr>
              <w:t>24,089</w:t>
            </w:r>
          </w:p>
        </w:tc>
      </w:tr>
    </w:tbl>
    <w:p>
      <w:pPr>
        <w:spacing w:after="0" w:line="67"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film and television costs and acquired programming rights.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cash and cash equivalents, receivables, net, other current assets, accounts payable and accrued liabilities and accrued participations, residuals and program obligations.</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accrued participations, residuals and program obligations, employee benefit obligations and contractual obligations.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53439A"/>
        </w:rPr>
        <w:t>Contribution of Comcast Content Business</w:t>
      </w:r>
    </w:p>
    <w:p>
      <w:pPr>
        <w:jc w:val="both"/>
        <w:spacing w:after="0" w:line="239" w:lineRule="auto"/>
        <w:rPr>
          <w:sz w:val="20"/>
          <w:szCs w:val="20"/>
          <w:color w:val="auto"/>
        </w:rPr>
      </w:pPr>
      <w:r>
        <w:rPr>
          <w:rFonts w:ascii="Arial" w:cs="Arial" w:eastAsia="Arial" w:hAnsi="Arial"/>
          <w:sz w:val="18"/>
          <w:szCs w:val="18"/>
          <w:color w:val="auto"/>
        </w:rPr>
        <w:t>The following assets and liabilities of the contributed Comcast Content Business were consolidated by us at their historical or carry-over basis as of January 28, 2011.</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68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Assets</w:t>
            </w:r>
          </w:p>
        </w:tc>
        <w:tc>
          <w:tcPr>
            <w:tcW w:w="4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Total current assets</w:t>
            </w:r>
          </w:p>
        </w:tc>
        <w:tc>
          <w:tcPr>
            <w:tcW w:w="4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Programming rights</w:t>
            </w:r>
          </w:p>
        </w:tc>
        <w:tc>
          <w:tcPr>
            <w:tcW w:w="4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4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4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2,564</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4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843</w:t>
            </w:r>
          </w:p>
        </w:tc>
      </w:tr>
      <w:tr>
        <w:trPr>
          <w:trHeight w:val="199"/>
        </w:trPr>
        <w:tc>
          <w:tcPr>
            <w:tcW w:w="6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w:t>
            </w:r>
          </w:p>
        </w:tc>
        <w:tc>
          <w:tcPr>
            <w:tcW w:w="4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w:t>
            </w:r>
          </w:p>
        </w:tc>
      </w:tr>
      <w:tr>
        <w:trPr>
          <w:trHeight w:val="196"/>
        </w:trPr>
        <w:tc>
          <w:tcPr>
            <w:tcW w:w="680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 assets</w:t>
            </w:r>
          </w:p>
        </w:tc>
        <w:tc>
          <w:tcPr>
            <w:tcW w:w="41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w w:val="97"/>
              </w:rPr>
              <w:t>5,121</w:t>
            </w:r>
          </w:p>
        </w:tc>
      </w:tr>
      <w:tr>
        <w:trPr>
          <w:trHeight w:val="199"/>
        </w:trPr>
        <w:tc>
          <w:tcPr>
            <w:tcW w:w="68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4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Total current liabilities</w:t>
            </w:r>
          </w:p>
        </w:tc>
        <w:tc>
          <w:tcPr>
            <w:tcW w:w="4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Capital leases, less current portion</w:t>
            </w:r>
          </w:p>
        </w:tc>
        <w:tc>
          <w:tcPr>
            <w:tcW w:w="4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199"/>
        </w:trPr>
        <w:tc>
          <w:tcPr>
            <w:tcW w:w="6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liabilities</w:t>
            </w:r>
          </w:p>
        </w:tc>
        <w:tc>
          <w:tcPr>
            <w:tcW w:w="4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216</w:t>
            </w:r>
          </w:p>
        </w:tc>
      </w:tr>
      <w:tr>
        <w:trPr>
          <w:trHeight w:val="196"/>
        </w:trPr>
        <w:tc>
          <w:tcPr>
            <w:tcW w:w="680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41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584</w:t>
            </w:r>
          </w:p>
        </w:tc>
      </w:tr>
      <w:tr>
        <w:trPr>
          <w:trHeight w:val="199"/>
        </w:trPr>
        <w:tc>
          <w:tcPr>
            <w:tcW w:w="6800" w:type="dxa"/>
            <w:vAlign w:val="bottom"/>
          </w:tcPr>
          <w:p>
            <w:pPr>
              <w:spacing w:after="0" w:line="200" w:lineRule="exact"/>
              <w:rPr>
                <w:sz w:val="20"/>
                <w:szCs w:val="20"/>
                <w:color w:val="auto"/>
              </w:rPr>
            </w:pPr>
            <w:r>
              <w:rPr>
                <w:rFonts w:ascii="Arial" w:cs="Arial" w:eastAsia="Arial" w:hAnsi="Arial"/>
                <w:sz w:val="18"/>
                <w:szCs w:val="18"/>
                <w:color w:val="auto"/>
              </w:rPr>
              <w:t>Redeemable noncontrolling interests</w:t>
            </w:r>
          </w:p>
        </w:tc>
        <w:tc>
          <w:tcPr>
            <w:tcW w:w="41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136</w:t>
            </w:r>
          </w:p>
        </w:tc>
      </w:tr>
      <w:tr>
        <w:trPr>
          <w:trHeight w:val="199"/>
        </w:trPr>
        <w:tc>
          <w:tcPr>
            <w:tcW w:w="6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4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3439A"/>
        </w:rPr>
        <w:t>Transaction-Related Expenses</w:t>
      </w:r>
    </w:p>
    <w:p>
      <w:pPr>
        <w:jc w:val="both"/>
        <w:spacing w:after="0" w:line="237" w:lineRule="auto"/>
        <w:rPr>
          <w:sz w:val="20"/>
          <w:szCs w:val="20"/>
          <w:color w:val="auto"/>
        </w:rPr>
      </w:pPr>
      <w:r>
        <w:rPr>
          <w:rFonts w:ascii="Arial" w:cs="Arial" w:eastAsia="Arial" w:hAnsi="Arial"/>
          <w:sz w:val="18"/>
          <w:szCs w:val="18"/>
          <w:color w:val="auto"/>
        </w:rPr>
        <w:t>In connection with the Joint Venture transaction, we incurred incremental transition and integration expenses. Additionally, included in our consolidated statement of income are severance, retention and accelerated share-based compensation expenses incurred as a result of the Joint Venture transaction of $116 million for the period from January 29, 2011 through December 31, 2011 and $49 million for the period from January 1, 2011 through January 28,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Orlando Transaction</w:t>
      </w:r>
    </w:p>
    <w:p>
      <w:pPr>
        <w:spacing w:after="0" w:line="1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July 1, 2011, we acquired the remaining 50% equity interest in Universal Orlando that we did not already own for $1 billion. Following the close of the transaction, Universal Orlando is a wholly owned consolidated subsidiary, and its operations are reported in our Theme Parks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53439A"/>
        </w:rPr>
        <w:t>Allocation of Purchase Price</w:t>
      </w:r>
    </w:p>
    <w:p>
      <w:pPr>
        <w:jc w:val="both"/>
        <w:spacing w:after="0" w:line="239" w:lineRule="auto"/>
        <w:rPr>
          <w:sz w:val="20"/>
          <w:szCs w:val="20"/>
          <w:color w:val="auto"/>
        </w:rPr>
      </w:pPr>
      <w:r>
        <w:rPr>
          <w:rFonts w:ascii="Arial" w:cs="Arial" w:eastAsia="Arial" w:hAnsi="Arial"/>
          <w:sz w:val="18"/>
          <w:szCs w:val="18"/>
          <w:color w:val="auto"/>
        </w:rPr>
        <w:t>We applied acquisition accounting to the businesses of Universal Orlando, and its results of operations are included in our consolidated results of operations following the acquisition date.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carrying value of our investment in Universal Orlando on July 1, 2011 was $1 billion, which approximated its fair value and, therefore, no gain or loss was recognized as a result of the acquisition.</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59</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presents the fair value of the consideration transferred and the allocation of purchase price to the assets and liabilities of Universal Orlando.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78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w:t>
            </w:r>
          </w:p>
        </w:tc>
        <w:tc>
          <w:tcPr>
            <w:tcW w:w="29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96"/>
              </w:rPr>
              <w:t>$ 1,019</w:t>
            </w:r>
          </w:p>
        </w:tc>
      </w:tr>
      <w:tr>
        <w:trPr>
          <w:trHeight w:val="199"/>
        </w:trPr>
        <w:tc>
          <w:tcPr>
            <w:tcW w:w="78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Fair value of 50% equity method investment in Universal Orlando</w:t>
            </w:r>
          </w:p>
        </w:tc>
        <w:tc>
          <w:tcPr>
            <w:tcW w:w="2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1,039</w:t>
            </w:r>
          </w:p>
        </w:tc>
      </w:tr>
      <w:tr>
        <w:trPr>
          <w:trHeight w:val="196"/>
        </w:trPr>
        <w:tc>
          <w:tcPr>
            <w:tcW w:w="78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2900" w:type="dxa"/>
            <w:vAlign w:val="bottom"/>
            <w:tcBorders>
              <w:bottom w:val="single" w:sz="8" w:color="53439A"/>
            </w:tcBorders>
          </w:tcPr>
          <w:p>
            <w:pPr>
              <w:spacing w:after="0"/>
              <w:rPr>
                <w:sz w:val="17"/>
                <w:szCs w:val="17"/>
                <w:color w:val="auto"/>
              </w:rPr>
            </w:pPr>
          </w:p>
        </w:tc>
        <w:tc>
          <w:tcPr>
            <w:tcW w:w="6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w w:val="96"/>
              </w:rPr>
              <w:t>$ 2,058</w:t>
            </w:r>
          </w:p>
        </w:tc>
      </w:tr>
      <w:tr>
        <w:trPr>
          <w:trHeight w:val="370"/>
        </w:trPr>
        <w:tc>
          <w:tcPr>
            <w:tcW w:w="7860" w:type="dxa"/>
            <w:vAlign w:val="bottom"/>
          </w:tcPr>
          <w:p>
            <w:pPr>
              <w:spacing w:after="0"/>
              <w:rPr>
                <w:sz w:val="20"/>
                <w:szCs w:val="20"/>
                <w:color w:val="auto"/>
              </w:rPr>
            </w:pPr>
            <w:r>
              <w:rPr>
                <w:rFonts w:ascii="Arial" w:cs="Arial" w:eastAsia="Arial" w:hAnsi="Arial"/>
                <w:sz w:val="18"/>
                <w:szCs w:val="18"/>
                <w:color w:val="53439A"/>
              </w:rPr>
              <w:t>Allocation of Purchase Price</w:t>
            </w:r>
          </w:p>
        </w:tc>
        <w:tc>
          <w:tcPr>
            <w:tcW w:w="29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
        </w:trPr>
        <w:tc>
          <w:tcPr>
            <w:tcW w:w="78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37"/>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99"/>
        </w:trPr>
        <w:tc>
          <w:tcPr>
            <w:tcW w:w="7860" w:type="dxa"/>
            <w:vAlign w:val="bottom"/>
          </w:tcPr>
          <w:p>
            <w:pPr>
              <w:spacing w:after="0" w:line="200" w:lineRule="exact"/>
              <w:rPr>
                <w:sz w:val="20"/>
                <w:szCs w:val="20"/>
                <w:color w:val="auto"/>
              </w:rPr>
            </w:pPr>
            <w:r>
              <w:rPr>
                <w:rFonts w:ascii="Arial" w:cs="Arial" w:eastAsia="Arial" w:hAnsi="Arial"/>
                <w:sz w:val="18"/>
                <w:szCs w:val="18"/>
                <w:color w:val="auto"/>
              </w:rPr>
              <w:t>Property and equipment</w:t>
            </w:r>
          </w:p>
        </w:tc>
        <w:tc>
          <w:tcPr>
            <w:tcW w:w="29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2,422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90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591</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290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241</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9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29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noncurrent assets and liabilities</w:t>
            </w:r>
          </w:p>
        </w:tc>
        <w:tc>
          <w:tcPr>
            <w:tcW w:w="29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r>
      <w:tr>
        <w:trPr>
          <w:trHeight w:val="199"/>
        </w:trPr>
        <w:tc>
          <w:tcPr>
            <w:tcW w:w="78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 acquired</w:t>
            </w:r>
          </w:p>
        </w:tc>
        <w:tc>
          <w:tcPr>
            <w:tcW w:w="2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r>
      <w:tr>
        <w:trPr>
          <w:trHeight w:val="199"/>
        </w:trPr>
        <w:tc>
          <w:tcPr>
            <w:tcW w:w="7860" w:type="dxa"/>
            <w:vAlign w:val="bottom"/>
          </w:tcPr>
          <w:p>
            <w:pPr>
              <w:spacing w:after="0" w:line="200" w:lineRule="exact"/>
              <w:rPr>
                <w:sz w:val="20"/>
                <w:szCs w:val="20"/>
                <w:color w:val="auto"/>
              </w:rPr>
            </w:pPr>
            <w:r>
              <w:rPr>
                <w:rFonts w:ascii="Arial" w:cs="Arial" w:eastAsia="Arial" w:hAnsi="Arial"/>
                <w:sz w:val="18"/>
                <w:szCs w:val="18"/>
                <w:color w:val="auto"/>
              </w:rPr>
              <w:t>Fair value of identifiable net assets acquired</w:t>
            </w:r>
          </w:p>
        </w:tc>
        <w:tc>
          <w:tcPr>
            <w:tcW w:w="2900" w:type="dxa"/>
            <w:vAlign w:val="bottom"/>
          </w:tcPr>
          <w:p>
            <w:pPr>
              <w:spacing w:after="0"/>
              <w:rPr>
                <w:sz w:val="17"/>
                <w:szCs w:val="17"/>
                <w:color w:val="auto"/>
              </w:rPr>
            </w:pPr>
          </w:p>
        </w:tc>
        <w:tc>
          <w:tcPr>
            <w:tcW w:w="6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1,076</w:t>
            </w:r>
          </w:p>
        </w:tc>
      </w:tr>
      <w:tr>
        <w:trPr>
          <w:trHeight w:val="199"/>
        </w:trPr>
        <w:tc>
          <w:tcPr>
            <w:tcW w:w="78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w:t>
            </w:r>
          </w:p>
        </w:tc>
        <w:tc>
          <w:tcPr>
            <w:tcW w:w="2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982</w:t>
            </w:r>
          </w:p>
        </w:tc>
      </w:tr>
      <w:tr>
        <w:trPr>
          <w:trHeight w:val="196"/>
        </w:trPr>
        <w:tc>
          <w:tcPr>
            <w:tcW w:w="78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29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2,058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revenue and net income (loss) attributable to NBCUniversal for the year ended December 31, 2011 included $712 million and $82 million, respectively, from the acquisition of the remaining 50% equity interest in Universal Orlando on July 1, 2011.</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unaudited pro forma information has been presented as if both the Joint Venture transaction and the Universal Orlando transaction occurred on January 1, 2010. This information is based on historical results of operations, adjusted for the allocation of purchase price and other transaction-related adjustments, and is not necessarily indicative of what our results would have been had we operated the businesses since January 1, 2010. No pro forma adjustments have been made for our incremental transaction related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99"/>
        </w:trPr>
        <w:tc>
          <w:tcPr>
            <w:tcW w:w="674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31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7"/>
              <w:spacing w:after="0" w:line="200" w:lineRule="exact"/>
              <w:rPr>
                <w:sz w:val="20"/>
                <w:szCs w:val="20"/>
                <w:color w:val="auto"/>
              </w:rPr>
            </w:pPr>
            <w:r>
              <w:rPr>
                <w:rFonts w:ascii="Arial" w:cs="Arial" w:eastAsia="Arial" w:hAnsi="Arial"/>
                <w:sz w:val="18"/>
                <w:szCs w:val="18"/>
                <w:color w:val="auto"/>
                <w:w w:val="98"/>
              </w:rPr>
              <w:t>21,124</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w w:val="98"/>
              </w:rPr>
              <w:t>20,374</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Net income (loss) before noncontrolling interests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1,917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1,388</w:t>
            </w:r>
          </w:p>
        </w:tc>
      </w:tr>
      <w:tr>
        <w:trPr>
          <w:trHeight w:val="199"/>
        </w:trPr>
        <w:tc>
          <w:tcPr>
            <w:tcW w:w="6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 attributable to NBCUniversal</w:t>
            </w:r>
          </w:p>
        </w:tc>
        <w:tc>
          <w:tcPr>
            <w:tcW w:w="3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1,730</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1,222</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4: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ordinary course of our business, we enter into transactions with Comcast and GE. We generate revenue from Comcast primarily from the distribution of our cable network programming and, to a lesser extent, the sale of advertising and our owned programming, and we incur expenses primarily related to various support services provided by Comcast to us. We generate revenue from transactions with GE and its consolidated subsidiaries primarily from the sale of advertising and incur expenses primarily related to leased assets. In addition, we are required to make distributions to NBCUniversal Holdings on a quarterly basis to enable its indirect owners (Comcast and GE) to meet their obligations to pay taxes on taxable income generated by our businesses.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2012, NBCUniversal made tax distributions to NBCUniversal Holdings of $964 million, of which $491 million was attributable to Comcast and $473 million was attributable to GE. During the period January 29, 2011 through December 31, 2011, NBCUniversal made tax distributions to NBCUniversal Holdings of $244 million, of which $125 million was attributable to Comcast and $119 million was attributable to GE.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tables present transactions with Comcast, GE and their respective consolidated subsidiaries that are included in our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Successor</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120" w:type="dxa"/>
            <w:vAlign w:val="bottom"/>
            <w:gridSpan w:val="2"/>
          </w:tcPr>
          <w:p>
            <w:pPr>
              <w:ind w:left="120"/>
              <w:spacing w:after="0" w:line="125"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ind w:left="140"/>
              <w:spacing w:after="0" w:line="125"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5"/>
        </w:trPr>
        <w:tc>
          <w:tcPr>
            <w:tcW w:w="9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92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4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36"/>
              <w:spacing w:after="0"/>
              <w:rPr>
                <w:sz w:val="20"/>
                <w:szCs w:val="20"/>
                <w:color w:val="auto"/>
              </w:rPr>
            </w:pPr>
            <w:r>
              <w:rPr>
                <w:rFonts w:ascii="Arial" w:cs="Arial" w:eastAsia="Arial" w:hAnsi="Arial"/>
                <w:sz w:val="18"/>
                <w:szCs w:val="18"/>
                <w:b w:val="1"/>
                <w:bCs w:val="1"/>
                <w:color w:val="auto"/>
              </w:rPr>
              <w:t>204</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240" w:type="dxa"/>
            <w:vAlign w:val="bottom"/>
          </w:tcPr>
          <w:p>
            <w:pPr>
              <w:ind w:left="200"/>
              <w:spacing w:after="0" w:line="181" w:lineRule="exact"/>
              <w:rPr>
                <w:sz w:val="20"/>
                <w:szCs w:val="20"/>
                <w:color w:val="auto"/>
              </w:rPr>
            </w:pPr>
            <w:r>
              <w:rPr>
                <w:rFonts w:ascii="Arial" w:cs="Arial" w:eastAsia="Arial" w:hAnsi="Arial"/>
                <w:sz w:val="18"/>
                <w:szCs w:val="18"/>
                <w:color w:val="auto"/>
              </w:rPr>
              <w:t>Receivables, net</w:t>
            </w:r>
          </w:p>
        </w:tc>
        <w:tc>
          <w:tcPr>
            <w:tcW w:w="4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00" w:type="dxa"/>
            <w:vAlign w:val="bottom"/>
          </w:tcPr>
          <w:p>
            <w:pPr>
              <w:ind w:left="140"/>
              <w:spacing w:after="0" w:line="18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4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25</w:t>
            </w:r>
          </w:p>
        </w:tc>
        <w:tc>
          <w:tcPr>
            <w:tcW w:w="5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w:t>
            </w: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4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GE and Consolidated Subsidiaries</w:t>
            </w:r>
          </w:p>
        </w:tc>
        <w:tc>
          <w:tcPr>
            <w:tcW w:w="4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36"/>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240" w:type="dxa"/>
            <w:vAlign w:val="bottom"/>
          </w:tcPr>
          <w:p>
            <w:pPr>
              <w:ind w:left="200"/>
              <w:spacing w:after="0" w:line="181" w:lineRule="exact"/>
              <w:rPr>
                <w:sz w:val="20"/>
                <w:szCs w:val="20"/>
                <w:color w:val="auto"/>
              </w:rPr>
            </w:pPr>
            <w:r>
              <w:rPr>
                <w:rFonts w:ascii="Arial" w:cs="Arial" w:eastAsia="Arial" w:hAnsi="Arial"/>
                <w:sz w:val="18"/>
                <w:szCs w:val="18"/>
                <w:color w:val="auto"/>
              </w:rPr>
              <w:t>Receivables, net</w:t>
            </w:r>
          </w:p>
        </w:tc>
        <w:tc>
          <w:tcPr>
            <w:tcW w:w="4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00" w:type="dxa"/>
            <w:vAlign w:val="bottom"/>
          </w:tcPr>
          <w:p>
            <w:pPr>
              <w:ind w:left="140"/>
              <w:spacing w:after="0" w:line="18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4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20</w:t>
            </w:r>
          </w:p>
        </w:tc>
        <w:tc>
          <w:tcPr>
            <w:tcW w:w="5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2</w:t>
            </w:r>
          </w:p>
        </w:tc>
        <w:tc>
          <w:tcPr>
            <w:tcW w:w="5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4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5</w:t>
            </w:r>
          </w:p>
        </w:tc>
        <w:tc>
          <w:tcPr>
            <w:tcW w:w="5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80</w:t>
            </w: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53439A"/>
        </w:rPr>
        <w:t>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color w:val="auto"/>
              </w:rPr>
              <w:t>Successor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rPr>
              <w:t>Predecessor</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60"/>
              <w:spacing w:after="0" w:line="125" w:lineRule="exact"/>
              <w:rPr>
                <w:sz w:val="20"/>
                <w:szCs w:val="20"/>
                <w:color w:val="auto"/>
              </w:rPr>
            </w:pPr>
            <w:r>
              <w:rPr>
                <w:rFonts w:ascii="Arial" w:cs="Arial" w:eastAsia="Arial" w:hAnsi="Arial"/>
                <w:sz w:val="14"/>
                <w:szCs w:val="14"/>
                <w:b w:val="1"/>
                <w:bCs w:val="1"/>
                <w:color w:val="auto"/>
                <w:w w:val="96"/>
              </w:rPr>
              <w:t>Year Ended</w:t>
            </w:r>
          </w:p>
        </w:tc>
        <w:tc>
          <w:tcPr>
            <w:tcW w:w="300" w:type="dxa"/>
            <w:vAlign w:val="bottom"/>
          </w:tcPr>
          <w:p>
            <w:pPr>
              <w:spacing w:after="0"/>
              <w:rPr>
                <w:sz w:val="10"/>
                <w:szCs w:val="10"/>
                <w:color w:val="auto"/>
              </w:rPr>
            </w:pPr>
          </w:p>
        </w:tc>
        <w:tc>
          <w:tcPr>
            <w:tcW w:w="1080" w:type="dxa"/>
            <w:vAlign w:val="bottom"/>
          </w:tcPr>
          <w:p>
            <w:pPr>
              <w:jc w:val="right"/>
              <w:ind w:right="16"/>
              <w:spacing w:after="0" w:line="125"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right"/>
              <w:ind w:right="58"/>
              <w:spacing w:after="0" w:line="125" w:lineRule="exact"/>
              <w:rPr>
                <w:sz w:val="20"/>
                <w:szCs w:val="20"/>
                <w:color w:val="auto"/>
              </w:rPr>
            </w:pPr>
            <w:r>
              <w:rPr>
                <w:rFonts w:ascii="Arial" w:cs="Arial" w:eastAsia="Arial" w:hAnsi="Arial"/>
                <w:sz w:val="14"/>
                <w:szCs w:val="14"/>
                <w:color w:val="auto"/>
              </w:rPr>
              <w:t>For the Period</w:t>
            </w: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8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January 29, 2011 to</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January 1, 2011 to</w:t>
            </w:r>
          </w:p>
        </w:tc>
        <w:tc>
          <w:tcPr>
            <w:tcW w:w="460" w:type="dxa"/>
            <w:vAlign w:val="bottom"/>
          </w:tcPr>
          <w:p>
            <w:pPr>
              <w:spacing w:after="0"/>
              <w:rPr>
                <w:sz w:val="12"/>
                <w:szCs w:val="12"/>
                <w:color w:val="auto"/>
              </w:rPr>
            </w:pPr>
          </w:p>
        </w:tc>
        <w:tc>
          <w:tcPr>
            <w:tcW w:w="900" w:type="dxa"/>
            <w:vAlign w:val="bottom"/>
          </w:tcPr>
          <w:p>
            <w:pPr>
              <w:jc w:val="right"/>
              <w:ind w:right="16"/>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5"/>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 2011</w:t>
            </w:r>
          </w:p>
        </w:tc>
        <w:tc>
          <w:tcPr>
            <w:tcW w:w="20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4"/>
                <w:szCs w:val="14"/>
                <w:color w:val="auto"/>
              </w:rPr>
              <w:t>January 28, 2011</w:t>
            </w: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99"/>
        </w:trPr>
        <w:tc>
          <w:tcPr>
            <w:tcW w:w="53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76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60"/>
              <w:spacing w:after="0"/>
              <w:rPr>
                <w:sz w:val="20"/>
                <w:szCs w:val="20"/>
                <w:color w:val="auto"/>
              </w:rPr>
            </w:pPr>
            <w:r>
              <w:rPr>
                <w:rFonts w:ascii="Arial" w:cs="Arial" w:eastAsia="Arial" w:hAnsi="Arial"/>
                <w:sz w:val="18"/>
                <w:szCs w:val="18"/>
                <w:b w:val="1"/>
                <w:bCs w:val="1"/>
                <w:color w:val="auto"/>
              </w:rPr>
              <w:t>1,228</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tcPr>
          <w:p>
            <w:pPr>
              <w:ind w:left="200"/>
              <w:spacing w:after="0" w:line="181" w:lineRule="exact"/>
              <w:rPr>
                <w:sz w:val="20"/>
                <w:szCs w:val="20"/>
                <w:color w:val="auto"/>
              </w:rPr>
            </w:pPr>
            <w:r>
              <w:rPr>
                <w:rFonts w:ascii="Arial" w:cs="Arial" w:eastAsia="Arial" w:hAnsi="Arial"/>
                <w:sz w:val="18"/>
                <w:szCs w:val="18"/>
                <w:color w:val="auto"/>
              </w:rPr>
              <w:t>Revenue</w:t>
            </w: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1,025</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8"/>
              <w:spacing w:after="0" w:line="181" w:lineRule="exact"/>
              <w:rPr>
                <w:sz w:val="20"/>
                <w:szCs w:val="20"/>
                <w:color w:val="auto"/>
              </w:rPr>
            </w:pPr>
            <w:r>
              <w:rPr>
                <w:rFonts w:ascii="Arial" w:cs="Arial" w:eastAsia="Arial" w:hAnsi="Arial"/>
                <w:sz w:val="18"/>
                <w:szCs w:val="18"/>
                <w:color w:val="auto"/>
              </w:rPr>
              <w:t>N/A</w:t>
            </w:r>
          </w:p>
        </w:tc>
        <w:tc>
          <w:tcPr>
            <w:tcW w:w="460" w:type="dxa"/>
            <w:vAlign w:val="bottom"/>
          </w:tcPr>
          <w:p>
            <w:pPr>
              <w:spacing w:after="0"/>
              <w:rPr>
                <w:sz w:val="15"/>
                <w:szCs w:val="15"/>
                <w:color w:val="auto"/>
              </w:rPr>
            </w:pPr>
          </w:p>
        </w:tc>
        <w:tc>
          <w:tcPr>
            <w:tcW w:w="900" w:type="dxa"/>
            <w:vAlign w:val="bottom"/>
          </w:tcPr>
          <w:p>
            <w:pPr>
              <w:jc w:val="right"/>
              <w:ind w:right="16"/>
              <w:spacing w:after="0" w:line="18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Operating costs and expenses</w:t>
            </w:r>
          </w:p>
        </w:tc>
        <w:tc>
          <w:tcPr>
            <w:tcW w:w="76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GE and Consolidated Subsidiaries</w:t>
            </w:r>
          </w:p>
        </w:tc>
        <w:tc>
          <w:tcPr>
            <w:tcW w:w="76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60"/>
              <w:spacing w:after="0"/>
              <w:rPr>
                <w:sz w:val="20"/>
                <w:szCs w:val="20"/>
                <w:color w:val="auto"/>
              </w:rPr>
            </w:pPr>
            <w:r>
              <w:rPr>
                <w:rFonts w:ascii="Arial" w:cs="Arial" w:eastAsia="Arial" w:hAnsi="Arial"/>
                <w:sz w:val="18"/>
                <w:szCs w:val="18"/>
                <w:b w:val="1"/>
                <w:bCs w:val="1"/>
                <w:color w:val="auto"/>
              </w:rPr>
              <w:t>103</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tcPr>
          <w:p>
            <w:pPr>
              <w:ind w:left="200"/>
              <w:spacing w:after="0" w:line="181" w:lineRule="exact"/>
              <w:rPr>
                <w:sz w:val="20"/>
                <w:szCs w:val="20"/>
                <w:color w:val="auto"/>
              </w:rPr>
            </w:pPr>
            <w:r>
              <w:rPr>
                <w:rFonts w:ascii="Arial" w:cs="Arial" w:eastAsia="Arial" w:hAnsi="Arial"/>
                <w:sz w:val="18"/>
                <w:szCs w:val="18"/>
                <w:color w:val="auto"/>
              </w:rPr>
              <w:t>Revenue</w:t>
            </w: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73</w:t>
            </w:r>
          </w:p>
        </w:tc>
        <w:tc>
          <w:tcPr>
            <w:tcW w:w="200" w:type="dxa"/>
            <w:vAlign w:val="bottom"/>
            <w:tcBorders>
              <w:right w:val="single" w:sz="8" w:color="auto"/>
            </w:tcBorders>
          </w:tcPr>
          <w:p>
            <w:pPr>
              <w:spacing w:after="0"/>
              <w:rPr>
                <w:sz w:val="15"/>
                <w:szCs w:val="15"/>
                <w:color w:val="auto"/>
              </w:rPr>
            </w:pPr>
          </w:p>
        </w:tc>
        <w:tc>
          <w:tcPr>
            <w:tcW w:w="440" w:type="dxa"/>
            <w:vAlign w:val="bottom"/>
            <w:gridSpan w:val="2"/>
          </w:tcPr>
          <w:p>
            <w:pPr>
              <w:ind w:left="260"/>
              <w:spacing w:after="0" w:line="18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line="181" w:lineRule="exact"/>
              <w:rPr>
                <w:sz w:val="20"/>
                <w:szCs w:val="20"/>
                <w:color w:val="auto"/>
              </w:rPr>
            </w:pPr>
            <w:r>
              <w:rPr>
                <w:rFonts w:ascii="Arial" w:cs="Arial" w:eastAsia="Arial" w:hAnsi="Arial"/>
                <w:sz w:val="18"/>
                <w:szCs w:val="18"/>
                <w:color w:val="auto"/>
              </w:rPr>
              <w:t>4</w:t>
            </w:r>
          </w:p>
        </w:tc>
        <w:tc>
          <w:tcPr>
            <w:tcW w:w="4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181"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Operating costs and expenses</w:t>
            </w:r>
          </w:p>
        </w:tc>
        <w:tc>
          <w:tcPr>
            <w:tcW w:w="760" w:type="dxa"/>
            <w:vAlign w:val="bottom"/>
            <w:gridSpan w:val="2"/>
          </w:tcPr>
          <w:p>
            <w:pPr>
              <w:ind w:left="640"/>
              <w:spacing w:after="0" w:line="202" w:lineRule="exact"/>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tcBorders>
              <w:right w:val="single" w:sz="8" w:color="auto"/>
            </w:tcBorders>
          </w:tcPr>
          <w:p>
            <w:pPr>
              <w:spacing w:after="0"/>
              <w:rPr>
                <w:sz w:val="17"/>
                <w:szCs w:val="17"/>
                <w:color w:val="auto"/>
              </w:rPr>
            </w:pPr>
          </w:p>
        </w:tc>
        <w:tc>
          <w:tcPr>
            <w:tcW w:w="4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76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gridSpan w:val="6"/>
          </w:tcPr>
          <w:p>
            <w:pPr>
              <w:jc w:val="right"/>
              <w:spacing w:after="0"/>
              <w:rPr>
                <w:sz w:val="20"/>
                <w:szCs w:val="20"/>
                <w:color w:val="auto"/>
              </w:rPr>
            </w:pPr>
            <w:r>
              <w:rPr>
                <w:rFonts w:ascii="Arial" w:cs="Arial" w:eastAsia="Arial" w:hAnsi="Arial"/>
                <w:sz w:val="14"/>
                <w:szCs w:val="14"/>
                <w:color w:val="auto"/>
              </w:rPr>
              <w:t>NBCUniversal 2012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5: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164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978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9780" w:type="dxa"/>
            <w:vAlign w:val="bottom"/>
          </w:tcPr>
          <w:p>
            <w:pPr>
              <w:spacing w:after="0" w:line="200" w:lineRule="exact"/>
              <w:rPr>
                <w:sz w:val="20"/>
                <w:szCs w:val="20"/>
                <w:color w:val="auto"/>
              </w:rPr>
            </w:pPr>
            <w:r>
              <w:rPr>
                <w:rFonts w:ascii="Arial" w:cs="Arial" w:eastAsia="Arial" w:hAnsi="Arial"/>
                <w:sz w:val="18"/>
                <w:szCs w:val="18"/>
                <w:b w:val="1"/>
                <w:bCs w:val="1"/>
                <w:color w:val="auto"/>
              </w:rPr>
              <w:t>Film Costs:</w:t>
            </w: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$ 1,472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78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84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$ 1,428</w:t>
            </w:r>
          </w:p>
        </w:tc>
        <w:tc>
          <w:tcPr>
            <w:tcW w:w="0" w:type="dxa"/>
            <w:vAlign w:val="bottom"/>
          </w:tcPr>
          <w:p>
            <w:pPr>
              <w:spacing w:after="0"/>
              <w:rPr>
                <w:sz w:val="1"/>
                <w:szCs w:val="1"/>
                <w:color w:val="auto"/>
              </w:rPr>
            </w:pPr>
          </w:p>
        </w:tc>
      </w:tr>
      <w:tr>
        <w:trPr>
          <w:trHeight w:val="203"/>
        </w:trPr>
        <w:tc>
          <w:tcPr>
            <w:tcW w:w="978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8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99</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1,048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6"/>
        </w:trPr>
        <w:tc>
          <w:tcPr>
            <w:tcW w:w="9780" w:type="dxa"/>
            <w:vAlign w:val="bottom"/>
            <w:vMerge w:val="restart"/>
          </w:tcPr>
          <w:p>
            <w:pPr>
              <w:spacing w:after="0"/>
              <w:rPr>
                <w:sz w:val="20"/>
                <w:szCs w:val="20"/>
                <w:color w:val="auto"/>
              </w:rPr>
            </w:pPr>
            <w:r>
              <w:rPr>
                <w:rFonts w:ascii="Arial" w:cs="Arial" w:eastAsia="Arial" w:hAnsi="Arial"/>
                <w:sz w:val="18"/>
                <w:szCs w:val="18"/>
                <w:b w:val="1"/>
                <w:bCs w:val="1"/>
                <w:color w:val="auto"/>
              </w:rPr>
              <w:t>Television Costs:</w:t>
            </w:r>
          </w:p>
        </w:tc>
        <w:tc>
          <w:tcPr>
            <w:tcW w:w="840" w:type="dxa"/>
            <w:vAlign w:val="bottom"/>
          </w:tcPr>
          <w:p>
            <w:pPr>
              <w:jc w:val="right"/>
              <w:ind w:right="55"/>
              <w:spacing w:after="0"/>
              <w:rPr>
                <w:sz w:val="20"/>
                <w:szCs w:val="20"/>
                <w:color w:val="auto"/>
              </w:rPr>
            </w:pPr>
            <w:r>
              <w:rPr>
                <w:rFonts w:ascii="Arial" w:cs="Arial" w:eastAsia="Arial" w:hAnsi="Arial"/>
                <w:sz w:val="18"/>
                <w:szCs w:val="18"/>
                <w:b w:val="1"/>
                <w:bCs w:val="1"/>
                <w:color w:val="auto"/>
              </w:rPr>
              <w:t>2,619</w:t>
            </w:r>
          </w:p>
        </w:tc>
        <w:tc>
          <w:tcPr>
            <w:tcW w:w="800" w:type="dxa"/>
            <w:vAlign w:val="bottom"/>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175"/>
        </w:trPr>
        <w:tc>
          <w:tcPr>
            <w:tcW w:w="9780" w:type="dxa"/>
            <w:vAlign w:val="bottom"/>
            <w:vMerge w:val="continue"/>
          </w:tcPr>
          <w:p>
            <w:pPr>
              <w:spacing w:after="0"/>
              <w:rPr>
                <w:sz w:val="15"/>
                <w:szCs w:val="15"/>
                <w:color w:val="auto"/>
              </w:rPr>
            </w:pP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1,124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78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84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334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77"/>
        </w:trPr>
        <w:tc>
          <w:tcPr>
            <w:tcW w:w="9780" w:type="dxa"/>
            <w:vAlign w:val="bottom"/>
          </w:tcPr>
          <w:p>
            <w:pPr>
              <w:spacing w:after="0"/>
              <w:rPr>
                <w:sz w:val="15"/>
                <w:szCs w:val="15"/>
                <w:color w:val="auto"/>
              </w:rPr>
            </w:pPr>
          </w:p>
        </w:tc>
        <w:tc>
          <w:tcPr>
            <w:tcW w:w="84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1,458</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1,808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177"/>
        </w:trPr>
        <w:tc>
          <w:tcPr>
            <w:tcW w:w="9780" w:type="dxa"/>
            <w:vAlign w:val="bottom"/>
          </w:tcPr>
          <w:p>
            <w:pPr>
              <w:spacing w:after="0"/>
              <w:rPr>
                <w:sz w:val="15"/>
                <w:szCs w:val="15"/>
                <w:color w:val="auto"/>
              </w:rPr>
            </w:pPr>
          </w:p>
        </w:tc>
        <w:tc>
          <w:tcPr>
            <w:tcW w:w="84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5,885</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844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196"/>
        </w:trPr>
        <w:tc>
          <w:tcPr>
            <w:tcW w:w="97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Film and television costs</w:t>
            </w:r>
          </w:p>
        </w:tc>
        <w:tc>
          <w:tcPr>
            <w:tcW w:w="840" w:type="dxa"/>
            <w:vAlign w:val="bottom"/>
            <w:tcBorders>
              <w:bottom w:val="single" w:sz="8" w:color="53439A"/>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$ 5,041</w:t>
            </w:r>
          </w:p>
        </w:tc>
        <w:tc>
          <w:tcPr>
            <w:tcW w:w="8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$ 5,227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our estimates of the ratio of the current period’s actual revenue to the estimated total remaining gross revenue from all sources (“ultimate revenue”), as of December 31, 2012, approximately $1.1 billion of film and television costs associated with our original film and television productions that have been released, or completed and not yet released, are expected to be amortized during 2013. Approximately 87% of unamortized film and television costs for our released productions, excluding amounts allocated to acquired libraries, are expected to be amortized through 2015.</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acquired film and television libraries, which are included within the “released, less amortization” captions in the table above, had remaining unamortized costs of $867 million. These costs are generally amortized over a period not to exceed 20 years, and approximately 47% of these costs are expected to be amortized through 2015.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film forecast computation method, which amortizes such costs in the same ratio as the associated ultimate revenue.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to movie theaters or the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arrangements with third parties to jointly finance and distribute certain of our film productions. These arrangements, which are referred to as cofinancing arrangements, can take various forms. In most cases, the arrangement involves the grant of an economic interest in a film to a third-party investor. The number of investors and the terms of these arrangements can also vary, although in most cases an investor assumes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benefit to programming and production expense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period’s actual revenue to the estimated total remaining revenue or over the contract term.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Acquired programming used in our Cable Networks segment is primarily tested on a channel basis for impairment, whereas acquired programming used in our Broadcast Television segment is tested on a daypart basis. If we determine that the estimates of future cash flows are insufficient or if there is no plan to broadcast certain programming, we recognize an impairment charge to programming and production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97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9780" w:type="dxa"/>
            <w:vAlign w:val="bottom"/>
          </w:tcPr>
          <w:p>
            <w:pPr>
              <w:spacing w:after="0" w:line="200" w:lineRule="exact"/>
              <w:rPr>
                <w:sz w:val="20"/>
                <w:szCs w:val="20"/>
                <w:color w:val="auto"/>
              </w:rPr>
            </w:pPr>
            <w:r>
              <w:rPr>
                <w:rFonts w:ascii="Arial" w:cs="Arial" w:eastAsia="Arial" w:hAnsi="Arial"/>
                <w:sz w:val="18"/>
                <w:szCs w:val="18"/>
                <w:color w:val="auto"/>
              </w:rPr>
              <w:t>Available-for-sale securities</w:t>
            </w:r>
          </w:p>
        </w:tc>
        <w:tc>
          <w:tcPr>
            <w:tcW w:w="2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56"/>
              <w:spacing w:after="0" w:line="200" w:lineRule="exact"/>
              <w:rPr>
                <w:sz w:val="20"/>
                <w:szCs w:val="20"/>
                <w:color w:val="auto"/>
              </w:rPr>
            </w:pPr>
            <w:r>
              <w:rPr>
                <w:rFonts w:ascii="Arial" w:cs="Arial" w:eastAsia="Arial" w:hAnsi="Arial"/>
                <w:sz w:val="18"/>
                <w:szCs w:val="18"/>
                <w:b w:val="1"/>
                <w:bCs w:val="1"/>
                <w:color w:val="auto"/>
              </w:rPr>
              <w:t>21</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240" w:type="dxa"/>
            <w:vAlign w:val="bottom"/>
          </w:tcPr>
          <w:p>
            <w:pPr>
              <w:spacing w:after="0"/>
              <w:rPr>
                <w:sz w:val="17"/>
                <w:szCs w:val="17"/>
                <w:color w:val="auto"/>
              </w:rPr>
            </w:pPr>
          </w:p>
        </w:tc>
        <w:tc>
          <w:tcPr>
            <w:tcW w:w="60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780" w:type="dxa"/>
            <w:vAlign w:val="bottom"/>
          </w:tcPr>
          <w:p>
            <w:pPr>
              <w:ind w:left="220"/>
              <w:spacing w:after="0" w:line="181" w:lineRule="exact"/>
              <w:rPr>
                <w:sz w:val="20"/>
                <w:szCs w:val="20"/>
                <w:color w:val="auto"/>
              </w:rPr>
            </w:pPr>
            <w:r>
              <w:rPr>
                <w:rFonts w:ascii="Arial" w:cs="Arial" w:eastAsia="Arial" w:hAnsi="Arial"/>
                <w:sz w:val="18"/>
                <w:szCs w:val="18"/>
                <w:color w:val="auto"/>
              </w:rPr>
              <w:t>A&amp;E Television Networks</w:t>
            </w: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w w:val="97"/>
              </w:rPr>
              <w:t>2,021</w:t>
            </w:r>
          </w:p>
        </w:tc>
        <w:tc>
          <w:tcPr>
            <w:tcW w:w="0" w:type="dxa"/>
            <w:vAlign w:val="bottom"/>
          </w:tcPr>
          <w:p>
            <w:pPr>
              <w:spacing w:after="0"/>
              <w:rPr>
                <w:sz w:val="1"/>
                <w:szCs w:val="1"/>
                <w:color w:val="auto"/>
              </w:rPr>
            </w:pPr>
          </w:p>
        </w:tc>
      </w:tr>
      <w:tr>
        <w:trPr>
          <w:trHeight w:val="203"/>
        </w:trPr>
        <w:tc>
          <w:tcPr>
            <w:tcW w:w="9780" w:type="dxa"/>
            <w:vAlign w:val="bottom"/>
          </w:tcPr>
          <w:p>
            <w:pPr>
              <w:ind w:left="220"/>
              <w:spacing w:after="0" w:line="202" w:lineRule="exact"/>
              <w:rPr>
                <w:sz w:val="20"/>
                <w:szCs w:val="20"/>
                <w:color w:val="auto"/>
              </w:rPr>
            </w:pPr>
            <w:r>
              <w:rPr>
                <w:rFonts w:ascii="Arial" w:cs="Arial" w:eastAsia="Arial" w:hAnsi="Arial"/>
                <w:sz w:val="18"/>
                <w:szCs w:val="18"/>
                <w:color w:val="auto"/>
              </w:rPr>
              <w:t>The Weather Channel</w:t>
            </w:r>
          </w:p>
        </w:tc>
        <w:tc>
          <w:tcPr>
            <w:tcW w:w="240" w:type="dxa"/>
            <w:vAlign w:val="bottom"/>
          </w:tcPr>
          <w:p>
            <w:pPr>
              <w:spacing w:after="0"/>
              <w:rPr>
                <w:sz w:val="17"/>
                <w:szCs w:val="17"/>
                <w:color w:val="auto"/>
              </w:rPr>
            </w:pPr>
          </w:p>
        </w:tc>
        <w:tc>
          <w:tcPr>
            <w:tcW w:w="60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471</w:t>
            </w: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3"/>
        </w:trPr>
        <w:tc>
          <w:tcPr>
            <w:tcW w:w="9780" w:type="dxa"/>
            <w:vAlign w:val="bottom"/>
          </w:tcPr>
          <w:p>
            <w:pPr>
              <w:ind w:left="220"/>
              <w:spacing w:after="0" w:line="202" w:lineRule="exact"/>
              <w:rPr>
                <w:sz w:val="20"/>
                <w:szCs w:val="20"/>
                <w:color w:val="auto"/>
              </w:rPr>
            </w:pPr>
            <w:r>
              <w:rPr>
                <w:rFonts w:ascii="Arial" w:cs="Arial" w:eastAsia="Arial" w:hAnsi="Arial"/>
                <w:sz w:val="18"/>
                <w:szCs w:val="18"/>
                <w:color w:val="auto"/>
              </w:rPr>
              <w:t>MSNBC.com</w:t>
            </w:r>
          </w:p>
        </w:tc>
        <w:tc>
          <w:tcPr>
            <w:tcW w:w="240" w:type="dxa"/>
            <w:vAlign w:val="bottom"/>
          </w:tcPr>
          <w:p>
            <w:pPr>
              <w:spacing w:after="0"/>
              <w:rPr>
                <w:sz w:val="17"/>
                <w:szCs w:val="17"/>
                <w:color w:val="auto"/>
              </w:rPr>
            </w:pPr>
          </w:p>
        </w:tc>
        <w:tc>
          <w:tcPr>
            <w:tcW w:w="60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545</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177"/>
        </w:trPr>
        <w:tc>
          <w:tcPr>
            <w:tcW w:w="9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w w:val="97"/>
              </w:rPr>
              <w:t>1,016</w:t>
            </w:r>
          </w:p>
        </w:tc>
        <w:tc>
          <w:tcPr>
            <w:tcW w:w="280" w:type="dxa"/>
            <w:vAlign w:val="bottom"/>
          </w:tcPr>
          <w:p>
            <w:pPr>
              <w:spacing w:after="0"/>
              <w:rPr>
                <w:sz w:val="15"/>
                <w:szCs w:val="15"/>
                <w:color w:val="auto"/>
              </w:rPr>
            </w:pPr>
          </w:p>
        </w:tc>
        <w:tc>
          <w:tcPr>
            <w:tcW w:w="520" w:type="dxa"/>
            <w:vAlign w:val="bottom"/>
          </w:tcPr>
          <w:p>
            <w:pPr>
              <w:jc w:val="right"/>
              <w:spacing w:after="0" w:line="177" w:lineRule="exact"/>
              <w:rPr>
                <w:sz w:val="20"/>
                <w:szCs w:val="20"/>
                <w:color w:val="auto"/>
              </w:rPr>
            </w:pPr>
            <w:r>
              <w:rPr>
                <w:rFonts w:ascii="Arial" w:cs="Arial" w:eastAsia="Arial" w:hAnsi="Arial"/>
                <w:sz w:val="18"/>
                <w:szCs w:val="18"/>
                <w:color w:val="auto"/>
                <w:w w:val="97"/>
              </w:rPr>
              <w:t>3,241</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229</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96"/>
        </w:trPr>
        <w:tc>
          <w:tcPr>
            <w:tcW w:w="97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53439A"/>
            </w:tcBorders>
          </w:tcPr>
          <w:p>
            <w:pPr>
              <w:jc w:val="right"/>
              <w:ind w:right="56"/>
              <w:spacing w:after="0" w:line="196" w:lineRule="exact"/>
              <w:rPr>
                <w:sz w:val="20"/>
                <w:szCs w:val="20"/>
                <w:color w:val="auto"/>
              </w:rPr>
            </w:pPr>
            <w:r>
              <w:rPr>
                <w:rFonts w:ascii="Arial" w:cs="Arial" w:eastAsia="Arial" w:hAnsi="Arial"/>
                <w:sz w:val="18"/>
                <w:szCs w:val="18"/>
                <w:b w:val="1"/>
                <w:bCs w:val="1"/>
                <w:color w:val="auto"/>
                <w:w w:val="97"/>
              </w:rPr>
              <w:t>1,266</w:t>
            </w:r>
          </w:p>
        </w:tc>
        <w:tc>
          <w:tcPr>
            <w:tcW w:w="2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w w:val="97"/>
              </w:rPr>
              <w:t>3,430</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w:t>
      </w:r>
    </w:p>
    <w:p>
      <w:pPr>
        <w:spacing w:after="0" w:line="29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the recorded investment that exceeds our share of the book value of the investee’s net assets, (iii) additional contributions made and dividends received, and (iv) impairments resulting from other-than-temporary declines in fair value. Gains or losses on the sale of equity method investments are recorded to other income (expense), net.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3439A"/>
        </w:rPr>
        <w:t>A&amp;E Television Networks</w:t>
      </w:r>
    </w:p>
    <w:p>
      <w:pPr>
        <w:jc w:val="both"/>
        <w:spacing w:after="0" w:line="275" w:lineRule="auto"/>
        <w:rPr>
          <w:sz w:val="20"/>
          <w:szCs w:val="20"/>
          <w:color w:val="auto"/>
        </w:rPr>
      </w:pPr>
      <w:r>
        <w:rPr>
          <w:rFonts w:ascii="Arial" w:cs="Arial" w:eastAsia="Arial" w:hAnsi="Arial"/>
          <w:sz w:val="16"/>
          <w:szCs w:val="16"/>
          <w:color w:val="auto"/>
        </w:rPr>
        <w:t>In August 2012, we closed our redemption agreement with A&amp;E Television Networks LLC (“A&amp;E Television Networks”) whereby A&amp;E Television Networks redeemed our 15.8% equity interest in A&amp;E Television Networks for $3 billion in cash. We recognized a pretax gain of $1 billion, which is included in other income (expense), net in our consolidated statement of income in 2012. We used a portion of the cash proceeds to make tax distributions of $430 million to NBCUniversal Holdings in 2012 related to taxable income of Comcast and GE associated with this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3439A"/>
        </w:rPr>
        <w:t>MSNBC.com</w:t>
      </w:r>
    </w:p>
    <w:p>
      <w:pPr>
        <w:jc w:val="both"/>
        <w:spacing w:after="0" w:line="237" w:lineRule="auto"/>
        <w:rPr>
          <w:sz w:val="20"/>
          <w:szCs w:val="20"/>
          <w:color w:val="auto"/>
        </w:rPr>
      </w:pPr>
      <w:r>
        <w:rPr>
          <w:rFonts w:ascii="Arial" w:cs="Arial" w:eastAsia="Arial" w:hAnsi="Arial"/>
          <w:sz w:val="18"/>
          <w:szCs w:val="18"/>
          <w:color w:val="auto"/>
        </w:rPr>
        <w:t>In July 2012, we acquired the remaining 50% equity interest in MSNBC Interactive News, LLC and other related entities (“MSNBC.com”) that we did not already own. The total purchase price was $195 million, which was net of $100 million of cash and cash equivalents held at MSNBC.com that were acquired in the transaction, which were not previously attributable to us. Following the close of the transaction, MSNBC.com is a wholly owned consolidated subsidiary.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Combined Financial Information of our Equity Method Investments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35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57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Results of Operations:</w:t>
            </w:r>
          </w:p>
        </w:tc>
        <w:tc>
          <w:tcPr>
            <w:tcW w:w="3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3,475</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Pr>
          <w:p>
            <w:pPr>
              <w:ind w:left="200"/>
              <w:spacing w:after="0" w:line="181" w:lineRule="exact"/>
              <w:rPr>
                <w:sz w:val="20"/>
                <w:szCs w:val="20"/>
                <w:color w:val="auto"/>
              </w:rPr>
            </w:pPr>
            <w:r>
              <w:rPr>
                <w:rFonts w:ascii="Arial" w:cs="Arial" w:eastAsia="Arial" w:hAnsi="Arial"/>
                <w:sz w:val="18"/>
                <w:szCs w:val="18"/>
                <w:color w:val="auto"/>
              </w:rPr>
              <w:t>Revenue</w:t>
            </w:r>
          </w:p>
        </w:tc>
        <w:tc>
          <w:tcPr>
            <w:tcW w:w="3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5,202</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$ 4,931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Operating income</w:t>
            </w:r>
          </w:p>
        </w:tc>
        <w:tc>
          <w:tcPr>
            <w:tcW w:w="3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2,089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$ 1,477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w:t>
            </w:r>
          </w:p>
        </w:tc>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$ 1,153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w:t>
            </w:r>
          </w:p>
        </w:tc>
        <w:tc>
          <w:tcPr>
            <w:tcW w:w="3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522</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Pr>
          <w:p>
            <w:pPr>
              <w:ind w:left="200"/>
              <w:spacing w:after="0" w:line="181" w:lineRule="exact"/>
              <w:rPr>
                <w:sz w:val="20"/>
                <w:szCs w:val="20"/>
                <w:color w:val="auto"/>
              </w:rPr>
            </w:pPr>
            <w:r>
              <w:rPr>
                <w:rFonts w:ascii="Arial" w:cs="Arial" w:eastAsia="Arial" w:hAnsi="Arial"/>
                <w:sz w:val="18"/>
                <w:szCs w:val="18"/>
                <w:color w:val="auto"/>
              </w:rPr>
              <w:t>Current assets</w:t>
            </w:r>
          </w:p>
        </w:tc>
        <w:tc>
          <w:tcPr>
            <w:tcW w:w="3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2,188</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Noncurrent assets</w:t>
            </w:r>
          </w:p>
        </w:tc>
        <w:tc>
          <w:tcPr>
            <w:tcW w:w="3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3,847</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bottom w:val="single" w:sz="8" w:color="53439A"/>
            </w:tcBorders>
          </w:tcPr>
          <w:p>
            <w:pPr>
              <w:ind w:left="200"/>
              <w:spacing w:after="0" w:line="196" w:lineRule="exact"/>
              <w:rPr>
                <w:sz w:val="20"/>
                <w:szCs w:val="20"/>
                <w:color w:val="auto"/>
              </w:rPr>
            </w:pPr>
            <w:r>
              <w:rPr>
                <w:rFonts w:ascii="Arial" w:cs="Arial" w:eastAsia="Arial" w:hAnsi="Arial"/>
                <w:sz w:val="18"/>
                <w:szCs w:val="18"/>
                <w:color w:val="auto"/>
              </w:rPr>
              <w:t>Total assets</w:t>
            </w:r>
          </w:p>
        </w:tc>
        <w:tc>
          <w:tcPr>
            <w:tcW w:w="3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4,369</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10,440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80" w:type="dxa"/>
            <w:vAlign w:val="bottom"/>
          </w:tcPr>
          <w:p>
            <w:pPr>
              <w:ind w:left="200"/>
              <w:spacing w:after="0" w:line="177" w:lineRule="exact"/>
              <w:rPr>
                <w:sz w:val="20"/>
                <w:szCs w:val="20"/>
                <w:color w:val="auto"/>
              </w:rPr>
            </w:pPr>
            <w:r>
              <w:rPr>
                <w:rFonts w:ascii="Arial" w:cs="Arial" w:eastAsia="Arial" w:hAnsi="Arial"/>
                <w:sz w:val="18"/>
                <w:szCs w:val="18"/>
                <w:color w:val="auto"/>
              </w:rPr>
              <w:t>Current liabilities</w:t>
            </w:r>
          </w:p>
        </w:tc>
        <w:tc>
          <w:tcPr>
            <w:tcW w:w="35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243</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647</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Noncurrent liabilities</w:t>
            </w:r>
          </w:p>
        </w:tc>
        <w:tc>
          <w:tcPr>
            <w:tcW w:w="35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2,327</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2,991</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Shareholders’ equity</w:t>
            </w:r>
          </w:p>
        </w:tc>
        <w:tc>
          <w:tcPr>
            <w:tcW w:w="3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1,799</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bottom w:val="single" w:sz="8" w:color="53439A"/>
            </w:tcBorders>
          </w:tcPr>
          <w:p>
            <w:pPr>
              <w:ind w:left="200"/>
              <w:spacing w:after="0" w:line="196" w:lineRule="exact"/>
              <w:rPr>
                <w:sz w:val="20"/>
                <w:szCs w:val="20"/>
                <w:color w:val="auto"/>
              </w:rPr>
            </w:pPr>
            <w:r>
              <w:rPr>
                <w:rFonts w:ascii="Arial" w:cs="Arial" w:eastAsia="Arial" w:hAnsi="Arial"/>
                <w:sz w:val="18"/>
                <w:szCs w:val="18"/>
                <w:color w:val="auto"/>
              </w:rPr>
              <w:t>Total liabilities and equity</w:t>
            </w:r>
          </w:p>
        </w:tc>
        <w:tc>
          <w:tcPr>
            <w:tcW w:w="3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4,369</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10,440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the cost method to account for investments not accounted for under the fair value method and in which we do not have the ability to exercise significant influence over the investee’s operating and financial policies.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Cost method investments held as of December 31, 2012 and 2011 primarily include our investment in Hulu. In January 2011, we relinquished all voting rights and our board seat in Hulu to comply with conditions imposed by the FCC upon approval of the Joint Venture transaction. Our investment in Hulu was previously recorded as an equity method investment.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 net.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Station Venture</w:t>
      </w:r>
    </w:p>
    <w:p>
      <w:pPr>
        <w:jc w:val="both"/>
        <w:spacing w:after="0" w:line="236" w:lineRule="auto"/>
        <w:rPr>
          <w:sz w:val="20"/>
          <w:szCs w:val="20"/>
          <w:color w:val="auto"/>
        </w:rPr>
      </w:pPr>
      <w:r>
        <w:rPr>
          <w:rFonts w:ascii="Arial" w:cs="Arial" w:eastAsia="Arial" w:hAnsi="Arial"/>
          <w:sz w:val="18"/>
          <w:szCs w:val="18"/>
          <w:color w:val="auto"/>
        </w:rPr>
        <w:t>We own a 79.62% equity interest and a 50% voting interest in Station Venture Holdings, LLC (“Station Venture”), a VIE. The remaining equity interests in Station Venture are held by LIN TV, Corp. (“LIN TV”). Station Venture holds an indirect interest in the NBC owned local broadcast television stations in Dallas, Texas and San Diego, California through its ownership interests in Station Venture Operations, LP (“Station LP”), a less than wholly owned consolidated subsidiary. Station Venture is the obligor on an $816 million senior secured note that is due in 2023 to General Electric Capital Corporation (“GECC”), a subsidiary of GE, as servicer. The note is nonrecourse to us, guaranteed by LIN TV and collateralized by substantially all of the assets of Station Venture and Station LP.</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connection with the Joint Venture transaction, GE has indemnified us for all liabilities we may incur as a result of any credit support, risk of loss or similar arrangement related to the senior secured note in existence prior to the closing of that transaction. Due to the change in circumstances, we are no longer the primary beneficiary of, and accordingly do not consolidate, Station Venture. The carrying value of our equity method investment in Station Venture was zero as of December 31, 2012. Because the assets of Station LP serve as collateral for Station Venture’s $816 million senior secured note, we recorded a liability in other noncurrent liabilities in our allocation of purchase price in the Joint Venture transaction, which represented the fair value of the net assets that collateralize the note. As of December 31, 2012 this liability recorded on our consolidated balance sheet was $482 million. In February 2013, Comcast closed an agreement with GE, GECC and LIN TV, under which we purchased the Station Venture senior secured note from GECC for $602 million, representing the agreed upon fair value of the assets of Station LP. As a result of the transaction, the $482 million liability was effectively settled, Station Venture and Station LP became wholly owned consolidated subsidiaries of ours, we now consolidate Station Venture and the Station Venture senior secured note was eliminated in consolidation. Due to the related party nature of this transaction, the excess of the purchase price of the note over the recorded amount of the liability is treated as a capital transaction.</w:t>
      </w:r>
    </w:p>
    <w:p>
      <w:pPr>
        <w:spacing w:after="0" w:line="33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addition to Station Venture, we consider NBCU Receivables Funding LLC (“Funding LLC”), a wholly owned subsidiary, to be a VIE. See Note 17 for additional information. We do not hold any other variable interests that are material to our consolidated financial statements.</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65</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7: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240" w:type="dxa"/>
            <w:vAlign w:val="bottom"/>
            <w:gridSpan w:val="2"/>
          </w:tcPr>
          <w:p>
            <w:pPr>
              <w:jc w:val="right"/>
              <w:ind w:right="100"/>
              <w:spacing w:after="0"/>
              <w:rPr>
                <w:sz w:val="20"/>
                <w:szCs w:val="20"/>
                <w:color w:val="auto"/>
              </w:rPr>
            </w:pPr>
            <w:r>
              <w:rPr>
                <w:rFonts w:ascii="Arial" w:cs="Arial" w:eastAsia="Arial" w:hAnsi="Arial"/>
                <w:sz w:val="14"/>
                <w:szCs w:val="14"/>
                <w:color w:val="auto"/>
              </w:rPr>
              <w:t>Weighted-</w:t>
            </w:r>
          </w:p>
        </w:tc>
        <w:tc>
          <w:tcPr>
            <w:tcW w:w="400" w:type="dxa"/>
            <w:vAlign w:val="bottom"/>
          </w:tcPr>
          <w:p>
            <w:pPr>
              <w:spacing w:after="0"/>
              <w:rPr>
                <w:sz w:val="14"/>
                <w:szCs w:val="14"/>
                <w:color w:val="auto"/>
              </w:rPr>
            </w:pPr>
          </w:p>
        </w:tc>
        <w:tc>
          <w:tcPr>
            <w:tcW w:w="1300" w:type="dxa"/>
            <w:vAlign w:val="bottom"/>
            <w:gridSpan w:val="3"/>
            <w:vMerge w:val="restart"/>
          </w:tcPr>
          <w:p>
            <w:pPr>
              <w:jc w:val="right"/>
              <w:ind w:right="335"/>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424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color w:val="auto"/>
              </w:rPr>
              <w:t>Average Original Useful Life</w:t>
            </w: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5480" w:type="dxa"/>
            <w:vAlign w:val="bottom"/>
          </w:tcPr>
          <w:p>
            <w:pPr>
              <w:spacing w:after="0"/>
              <w:rPr>
                <w:sz w:val="5"/>
                <w:szCs w:val="5"/>
                <w:color w:val="auto"/>
              </w:rPr>
            </w:pPr>
          </w:p>
        </w:tc>
        <w:tc>
          <w:tcPr>
            <w:tcW w:w="42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 of December 31, 2012</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Land</w:t>
            </w:r>
          </w:p>
        </w:tc>
        <w:tc>
          <w:tcPr>
            <w:tcW w:w="4240" w:type="dxa"/>
            <w:vAlign w:val="bottom"/>
            <w:gridSpan w:val="2"/>
          </w:tcPr>
          <w:p>
            <w:pPr>
              <w:jc w:val="right"/>
              <w:ind w:right="100"/>
              <w:spacing w:after="0" w:line="177"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728</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77"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4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 years</w:t>
            </w:r>
          </w:p>
        </w:tc>
        <w:tc>
          <w:tcPr>
            <w:tcW w:w="4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3,223</w:t>
            </w: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2,894</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4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 years</w:t>
            </w:r>
          </w:p>
        </w:tc>
        <w:tc>
          <w:tcPr>
            <w:tcW w:w="4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1,961</w:t>
            </w: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1,569</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process</w:t>
            </w:r>
          </w:p>
        </w:tc>
        <w:tc>
          <w:tcPr>
            <w:tcW w:w="4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6,464</w:t>
            </w:r>
          </w:p>
        </w:tc>
        <w:tc>
          <w:tcPr>
            <w:tcW w:w="220" w:type="dxa"/>
            <w:vAlign w:val="bottom"/>
          </w:tcPr>
          <w:p>
            <w:pPr>
              <w:spacing w:after="0"/>
              <w:rPr>
                <w:sz w:val="15"/>
                <w:szCs w:val="15"/>
                <w:color w:val="auto"/>
              </w:rPr>
            </w:pPr>
          </w:p>
        </w:tc>
        <w:tc>
          <w:tcPr>
            <w:tcW w:w="520" w:type="dxa"/>
            <w:vAlign w:val="bottom"/>
          </w:tcPr>
          <w:p>
            <w:pPr>
              <w:jc w:val="right"/>
              <w:spacing w:after="0" w:line="177" w:lineRule="exact"/>
              <w:rPr>
                <w:sz w:val="20"/>
                <w:szCs w:val="20"/>
                <w:color w:val="auto"/>
              </w:rPr>
            </w:pPr>
            <w:r>
              <w:rPr>
                <w:rFonts w:ascii="Arial" w:cs="Arial" w:eastAsia="Arial" w:hAnsi="Arial"/>
                <w:sz w:val="18"/>
                <w:szCs w:val="18"/>
                <w:color w:val="auto"/>
                <w:w w:val="97"/>
              </w:rPr>
              <w:t>5,601</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140" w:type="dxa"/>
            <w:vAlign w:val="bottom"/>
            <w:tcBorders>
              <w:bottom w:val="single" w:sz="8" w:color="53439A"/>
            </w:tcBorders>
          </w:tcPr>
          <w:p>
            <w:pPr>
              <w:spacing w:after="0"/>
              <w:rPr>
                <w:sz w:val="17"/>
                <w:szCs w:val="17"/>
                <w:color w:val="auto"/>
              </w:rPr>
            </w:pPr>
          </w:p>
        </w:tc>
        <w:tc>
          <w:tcPr>
            <w:tcW w:w="100" w:type="dxa"/>
            <w:vAlign w:val="bottom"/>
            <w:tcBorders>
              <w:bottom w:val="single" w:sz="8" w:color="53439A"/>
            </w:tcBorders>
          </w:tcPr>
          <w:p>
            <w:pPr>
              <w:spacing w:after="0"/>
              <w:rPr>
                <w:sz w:val="17"/>
                <w:szCs w:val="17"/>
                <w:color w:val="auto"/>
              </w:rPr>
            </w:pPr>
          </w:p>
        </w:tc>
        <w:tc>
          <w:tcPr>
            <w:tcW w:w="4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5,381</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w w:val="97"/>
              </w:rPr>
              <w:t>4,964</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For assets that are sold or retired, we remove the applicable cost and accumulated depreciation and, unless the gain or loss on disposition is presented separately, we recognize it as a component of depreciation expense. We record depreciation using the straight-line method over the asset’s estimated useful life.</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8: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040" w:type="dxa"/>
            <w:vAlign w:val="bottom"/>
          </w:tcPr>
          <w:p>
            <w:pPr>
              <w:jc w:val="right"/>
              <w:ind w:right="56"/>
              <w:spacing w:after="0"/>
              <w:rPr>
                <w:sz w:val="20"/>
                <w:szCs w:val="20"/>
                <w:color w:val="auto"/>
              </w:rPr>
            </w:pPr>
            <w:r>
              <w:rPr>
                <w:rFonts w:ascii="Arial" w:cs="Arial" w:eastAsia="Arial" w:hAnsi="Arial"/>
                <w:sz w:val="14"/>
                <w:szCs w:val="14"/>
                <w:color w:val="auto"/>
              </w:rPr>
              <w:t>Cable</w:t>
            </w: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Broadcast</w:t>
            </w:r>
          </w:p>
        </w:tc>
        <w:tc>
          <w:tcPr>
            <w:tcW w:w="34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Filmed</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4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Successor (in millions)</w:t>
            </w:r>
          </w:p>
        </w:tc>
        <w:tc>
          <w:tcPr>
            <w:tcW w:w="304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4"/>
                <w:szCs w:val="14"/>
                <w:color w:val="auto"/>
              </w:rPr>
              <w:t>Networks</w:t>
            </w:r>
          </w:p>
        </w:tc>
        <w:tc>
          <w:tcPr>
            <w:tcW w:w="8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Entertainment</w:t>
            </w:r>
          </w:p>
        </w:tc>
        <w:tc>
          <w:tcPr>
            <w:tcW w:w="10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Theme Parks</w:t>
            </w:r>
          </w:p>
        </w:tc>
        <w:tc>
          <w:tcPr>
            <w:tcW w:w="8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560" w:type="dxa"/>
            <w:vAlign w:val="bottom"/>
          </w:tcPr>
          <w:p>
            <w:pPr>
              <w:spacing w:after="0" w:line="200" w:lineRule="exact"/>
              <w:rPr>
                <w:sz w:val="20"/>
                <w:szCs w:val="20"/>
                <w:color w:val="auto"/>
              </w:rPr>
            </w:pPr>
            <w:r>
              <w:rPr>
                <w:rFonts w:ascii="Arial" w:cs="Arial" w:eastAsia="Arial" w:hAnsi="Arial"/>
                <w:sz w:val="18"/>
                <w:szCs w:val="18"/>
                <w:color w:val="auto"/>
              </w:rPr>
              <w:t>Balance, January 29, 2011</w:t>
            </w:r>
          </w:p>
        </w:tc>
        <w:tc>
          <w:tcPr>
            <w:tcW w:w="3040" w:type="dxa"/>
            <w:vAlign w:val="bottom"/>
          </w:tcPr>
          <w:p>
            <w:pPr>
              <w:jc w:val="right"/>
              <w:ind w:right="56"/>
              <w:spacing w:after="0" w:line="200" w:lineRule="exact"/>
              <w:rPr>
                <w:sz w:val="20"/>
                <w:szCs w:val="20"/>
                <w:color w:val="auto"/>
              </w:rPr>
            </w:pPr>
            <w:r>
              <w:rPr>
                <w:rFonts w:ascii="Arial" w:cs="Arial" w:eastAsia="Arial" w:hAnsi="Arial"/>
                <w:sz w:val="18"/>
                <w:szCs w:val="18"/>
                <w:color w:val="auto"/>
              </w:rPr>
              <w:t>$ 12,744</w:t>
            </w:r>
          </w:p>
        </w:tc>
        <w:tc>
          <w:tcPr>
            <w:tcW w:w="30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765</w:t>
            </w:r>
          </w:p>
        </w:tc>
        <w:tc>
          <w:tcPr>
            <w:tcW w:w="3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$ 13,509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560" w:type="dxa"/>
            <w:vAlign w:val="bottom"/>
          </w:tcPr>
          <w:p>
            <w:pPr>
              <w:ind w:left="220"/>
              <w:spacing w:after="0" w:line="202" w:lineRule="exact"/>
              <w:rPr>
                <w:sz w:val="20"/>
                <w:szCs w:val="20"/>
                <w:color w:val="auto"/>
              </w:rPr>
            </w:pPr>
            <w:r>
              <w:rPr>
                <w:rFonts w:ascii="Arial" w:cs="Arial" w:eastAsia="Arial" w:hAnsi="Arial"/>
                <w:sz w:val="18"/>
                <w:szCs w:val="18"/>
                <w:color w:val="auto"/>
              </w:rPr>
              <w:t>Universal Orlando</w:t>
            </w:r>
          </w:p>
        </w:tc>
        <w:tc>
          <w:tcPr>
            <w:tcW w:w="30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1,140</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1,140</w:t>
            </w:r>
          </w:p>
        </w:tc>
      </w:tr>
      <w:tr>
        <w:trPr>
          <w:trHeight w:val="199"/>
        </w:trPr>
        <w:tc>
          <w:tcPr>
            <w:tcW w:w="45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tcPr>
          <w:p>
            <w:pPr>
              <w:jc w:val="right"/>
              <w:ind w:right="56"/>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8</w:t>
            </w:r>
          </w:p>
        </w:tc>
      </w:tr>
      <w:tr>
        <w:trPr>
          <w:trHeight w:val="177"/>
        </w:trPr>
        <w:tc>
          <w:tcPr>
            <w:tcW w:w="4560" w:type="dxa"/>
            <w:vAlign w:val="bottom"/>
          </w:tcPr>
          <w:p>
            <w:pPr>
              <w:spacing w:after="0" w:line="177" w:lineRule="exact"/>
              <w:rPr>
                <w:sz w:val="20"/>
                <w:szCs w:val="20"/>
                <w:color w:val="auto"/>
              </w:rPr>
            </w:pPr>
            <w:r>
              <w:rPr>
                <w:rFonts w:ascii="Arial" w:cs="Arial" w:eastAsia="Arial" w:hAnsi="Arial"/>
                <w:sz w:val="18"/>
                <w:szCs w:val="18"/>
                <w:color w:val="auto"/>
              </w:rPr>
              <w:t>Balance, December 31, 2011</w:t>
            </w:r>
          </w:p>
        </w:tc>
        <w:tc>
          <w:tcPr>
            <w:tcW w:w="3040" w:type="dxa"/>
            <w:vAlign w:val="bottom"/>
          </w:tcPr>
          <w:p>
            <w:pPr>
              <w:jc w:val="right"/>
              <w:ind w:right="56"/>
              <w:spacing w:after="0" w:line="177" w:lineRule="exact"/>
              <w:rPr>
                <w:sz w:val="20"/>
                <w:szCs w:val="20"/>
                <w:color w:val="auto"/>
              </w:rPr>
            </w:pPr>
            <w:r>
              <w:rPr>
                <w:rFonts w:ascii="Arial" w:cs="Arial" w:eastAsia="Arial" w:hAnsi="Arial"/>
                <w:sz w:val="18"/>
                <w:szCs w:val="18"/>
                <w:color w:val="auto"/>
              </w:rPr>
              <w:t>12,744</w:t>
            </w:r>
          </w:p>
        </w:tc>
        <w:tc>
          <w:tcPr>
            <w:tcW w:w="300" w:type="dxa"/>
            <w:vAlign w:val="bottom"/>
          </w:tcPr>
          <w:p>
            <w:pPr>
              <w:spacing w:after="0"/>
              <w:rPr>
                <w:sz w:val="15"/>
                <w:szCs w:val="15"/>
                <w:color w:val="auto"/>
              </w:rPr>
            </w:pPr>
          </w:p>
        </w:tc>
        <w:tc>
          <w:tcPr>
            <w:tcW w:w="540" w:type="dxa"/>
            <w:vAlign w:val="bottom"/>
          </w:tcPr>
          <w:p>
            <w:pPr>
              <w:jc w:val="right"/>
              <w:ind w:right="52"/>
              <w:spacing w:after="0" w:line="177" w:lineRule="exact"/>
              <w:rPr>
                <w:sz w:val="20"/>
                <w:szCs w:val="20"/>
                <w:color w:val="auto"/>
              </w:rPr>
            </w:pPr>
            <w:r>
              <w:rPr>
                <w:rFonts w:ascii="Arial" w:cs="Arial" w:eastAsia="Arial" w:hAnsi="Arial"/>
                <w:sz w:val="18"/>
                <w:szCs w:val="18"/>
                <w:color w:val="auto"/>
              </w:rPr>
              <w:t>772</w:t>
            </w:r>
          </w:p>
        </w:tc>
        <w:tc>
          <w:tcPr>
            <w:tcW w:w="34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5"/>
                <w:szCs w:val="15"/>
                <w:color w:val="auto"/>
              </w:rPr>
            </w:pPr>
          </w:p>
        </w:tc>
        <w:tc>
          <w:tcPr>
            <w:tcW w:w="720" w:type="dxa"/>
            <w:vAlign w:val="bottom"/>
          </w:tcPr>
          <w:p>
            <w:pPr>
              <w:jc w:val="right"/>
              <w:ind w:right="52"/>
              <w:spacing w:after="0" w:line="177" w:lineRule="exact"/>
              <w:rPr>
                <w:sz w:val="20"/>
                <w:szCs w:val="20"/>
                <w:color w:val="auto"/>
              </w:rPr>
            </w:pPr>
            <w:r>
              <w:rPr>
                <w:rFonts w:ascii="Arial" w:cs="Arial" w:eastAsia="Arial" w:hAnsi="Arial"/>
                <w:sz w:val="18"/>
                <w:szCs w:val="18"/>
                <w:color w:val="auto"/>
              </w:rPr>
              <w:t>1,140</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14,657</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56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MSNBC.com</w:t>
            </w:r>
          </w:p>
        </w:tc>
        <w:tc>
          <w:tcPr>
            <w:tcW w:w="304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227</w:t>
            </w:r>
          </w:p>
        </w:tc>
        <w:tc>
          <w:tcPr>
            <w:tcW w:w="30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227</w:t>
            </w:r>
          </w:p>
        </w:tc>
      </w:tr>
      <w:tr>
        <w:trPr>
          <w:trHeight w:val="203"/>
        </w:trPr>
        <w:tc>
          <w:tcPr>
            <w:tcW w:w="456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Other</w:t>
            </w:r>
          </w:p>
        </w:tc>
        <w:tc>
          <w:tcPr>
            <w:tcW w:w="304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79</w:t>
            </w:r>
          </w:p>
        </w:tc>
        <w:tc>
          <w:tcPr>
            <w:tcW w:w="30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79</w:t>
            </w: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Adjustments</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r>
      <w:tr>
        <w:trPr>
          <w:trHeight w:val="196"/>
        </w:trPr>
        <w:tc>
          <w:tcPr>
            <w:tcW w:w="45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3040" w:type="dxa"/>
            <w:vAlign w:val="bottom"/>
            <w:tcBorders>
              <w:bottom w:val="single" w:sz="8" w:color="53439A"/>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$ 13,026</w:t>
            </w:r>
          </w:p>
        </w:tc>
        <w:tc>
          <w:tcPr>
            <w:tcW w:w="30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53439A"/>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761</w:t>
            </w:r>
          </w:p>
        </w:tc>
        <w:tc>
          <w:tcPr>
            <w:tcW w:w="34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3439A"/>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982</w:t>
            </w:r>
          </w:p>
        </w:tc>
        <w:tc>
          <w:tcPr>
            <w:tcW w:w="88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$ 14,770</w:t>
            </w:r>
          </w:p>
        </w:tc>
      </w:tr>
    </w:tbl>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assess the recoverability of our goodwill annually, or more frequently whenever events or substantive changes in circumstances indicate that an asset might be impaired. We test goodwill for impairment at the reporting unit level. To determine our reporting units, we evaluate the components one level below the segment level and we aggregate the components if they have similar economic characteristics. As a result of this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assessment, our reporting units are the same as our four reportable segments. We evaluate the determination of our reporting units used to test for impairment periodically or whenever events or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 likely than 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Successor</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3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Weighted-Average</w:t>
            </w:r>
          </w:p>
        </w:tc>
        <w:tc>
          <w:tcPr>
            <w:tcW w:w="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color w:val="auto"/>
              </w:rPr>
              <w:t>2011</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340" w:type="dxa"/>
            <w:vAlign w:val="bottom"/>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Original useful life as of</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2"/>
          </w:tcPr>
          <w:p>
            <w:pPr>
              <w:jc w:val="right"/>
              <w:ind w:right="36"/>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December 31 (in millions)</w:t>
            </w:r>
          </w:p>
        </w:tc>
        <w:tc>
          <w:tcPr>
            <w:tcW w:w="3340" w:type="dxa"/>
            <w:vAlign w:val="bottom"/>
            <w:gridSpan w:val="2"/>
          </w:tcPr>
          <w:p>
            <w:pPr>
              <w:jc w:val="right"/>
              <w:ind w:right="220"/>
              <w:spacing w:after="0"/>
              <w:rPr>
                <w:sz w:val="20"/>
                <w:szCs w:val="20"/>
                <w:color w:val="auto"/>
              </w:rPr>
            </w:pPr>
            <w:r>
              <w:rPr>
                <w:rFonts w:ascii="Arial" w:cs="Arial" w:eastAsia="Arial" w:hAnsi="Arial"/>
                <w:sz w:val="14"/>
                <w:szCs w:val="14"/>
                <w:color w:val="auto"/>
              </w:rPr>
              <w:t>December 31, 2012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Pr>
          <w:p>
            <w:pPr>
              <w:jc w:val="right"/>
              <w:spacing w:after="0"/>
              <w:rPr>
                <w:sz w:val="20"/>
                <w:szCs w:val="20"/>
                <w:color w:val="auto"/>
              </w:rPr>
            </w:pPr>
            <w:r>
              <w:rPr>
                <w:rFonts w:ascii="Arial" w:cs="Arial" w:eastAsia="Arial" w:hAnsi="Arial"/>
                <w:sz w:val="14"/>
                <w:szCs w:val="14"/>
                <w:color w:val="auto"/>
              </w:rPr>
              <w:t>Amount</w:t>
            </w:r>
          </w:p>
        </w:tc>
        <w:tc>
          <w:tcPr>
            <w:tcW w:w="960" w:type="dxa"/>
            <w:vAlign w:val="bottom"/>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43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Finite-Lived Intangible Assets:</w:t>
            </w:r>
          </w:p>
        </w:tc>
        <w:tc>
          <w:tcPr>
            <w:tcW w:w="3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$ 13,026</w:t>
            </w: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(2,328)</w:t>
            </w: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4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3340" w:type="dxa"/>
            <w:vAlign w:val="bottom"/>
            <w:gridSpan w:val="2"/>
          </w:tcPr>
          <w:p>
            <w:pPr>
              <w:jc w:val="right"/>
              <w:ind w:right="220"/>
              <w:spacing w:after="0" w:line="181" w:lineRule="exact"/>
              <w:rPr>
                <w:sz w:val="20"/>
                <w:szCs w:val="20"/>
                <w:color w:val="auto"/>
              </w:rPr>
            </w:pPr>
            <w:r>
              <w:rPr>
                <w:rFonts w:ascii="Arial" w:cs="Arial" w:eastAsia="Arial" w:hAnsi="Arial"/>
                <w:sz w:val="18"/>
                <w:szCs w:val="18"/>
                <w:color w:val="auto"/>
              </w:rPr>
              <w:t>19 years</w:t>
            </w:r>
          </w:p>
        </w:tc>
        <w:tc>
          <w:tcPr>
            <w:tcW w:w="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$ 12,788</w:t>
            </w:r>
          </w:p>
        </w:tc>
        <w:tc>
          <w:tcPr>
            <w:tcW w:w="2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3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409</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(164)</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5"/>
        </w:trPr>
        <w:tc>
          <w:tcPr>
            <w:tcW w:w="4340" w:type="dxa"/>
            <w:vAlign w:val="bottom"/>
          </w:tcPr>
          <w:p>
            <w:pPr>
              <w:ind w:left="220"/>
              <w:spacing w:after="0"/>
              <w:rPr>
                <w:sz w:val="20"/>
                <w:szCs w:val="20"/>
                <w:color w:val="auto"/>
              </w:rPr>
            </w:pPr>
            <w:r>
              <w:rPr>
                <w:rFonts w:ascii="Arial" w:cs="Arial" w:eastAsia="Arial" w:hAnsi="Arial"/>
                <w:sz w:val="18"/>
                <w:szCs w:val="18"/>
                <w:color w:val="auto"/>
              </w:rPr>
              <w:t>Other</w:t>
            </w:r>
          </w:p>
        </w:tc>
        <w:tc>
          <w:tcPr>
            <w:tcW w:w="3340" w:type="dxa"/>
            <w:vAlign w:val="bottom"/>
            <w:gridSpan w:val="2"/>
          </w:tcPr>
          <w:p>
            <w:pPr>
              <w:jc w:val="right"/>
              <w:ind w:right="220"/>
              <w:spacing w:after="0"/>
              <w:rPr>
                <w:sz w:val="20"/>
                <w:szCs w:val="20"/>
                <w:color w:val="auto"/>
              </w:rPr>
            </w:pPr>
            <w:r>
              <w:rPr>
                <w:rFonts w:ascii="Arial" w:cs="Arial" w:eastAsia="Arial" w:hAnsi="Arial"/>
                <w:sz w:val="18"/>
                <w:szCs w:val="18"/>
                <w:color w:val="auto"/>
              </w:rPr>
              <w:t>21 years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860" w:type="dxa"/>
            <w:vAlign w:val="bottom"/>
          </w:tcPr>
          <w:p>
            <w:pPr>
              <w:jc w:val="right"/>
              <w:spacing w:after="0"/>
              <w:rPr>
                <w:sz w:val="20"/>
                <w:szCs w:val="20"/>
                <w:color w:val="auto"/>
              </w:rPr>
            </w:pPr>
            <w:r>
              <w:rPr>
                <w:rFonts w:ascii="Arial" w:cs="Arial" w:eastAsia="Arial" w:hAnsi="Arial"/>
                <w:sz w:val="18"/>
                <w:szCs w:val="18"/>
                <w:color w:val="auto"/>
              </w:rPr>
              <w:t>1,431</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3,080</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40" w:type="dxa"/>
            <w:vAlign w:val="bottom"/>
          </w:tcPr>
          <w:p>
            <w:pPr>
              <w:ind w:left="220"/>
              <w:spacing w:after="0" w:line="181" w:lineRule="exact"/>
              <w:rPr>
                <w:sz w:val="20"/>
                <w:szCs w:val="20"/>
                <w:color w:val="auto"/>
              </w:rPr>
            </w:pPr>
            <w:r>
              <w:rPr>
                <w:rFonts w:ascii="Arial" w:cs="Arial" w:eastAsia="Arial" w:hAnsi="Arial"/>
                <w:sz w:val="18"/>
                <w:szCs w:val="18"/>
                <w:color w:val="auto"/>
              </w:rPr>
              <w:t>Trade names</w:t>
            </w: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3,006</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FCC licenses</w:t>
            </w:r>
          </w:p>
        </w:tc>
        <w:tc>
          <w:tcPr>
            <w:tcW w:w="3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3120" w:type="dxa"/>
            <w:vAlign w:val="bottom"/>
            <w:tcBorders>
              <w:bottom w:val="single" w:sz="8" w:color="53439A"/>
            </w:tcBorders>
          </w:tcPr>
          <w:p>
            <w:pPr>
              <w:spacing w:after="0"/>
              <w:rPr>
                <w:sz w:val="17"/>
                <w:szCs w:val="17"/>
                <w:color w:val="auto"/>
              </w:rPr>
            </w:pPr>
          </w:p>
        </w:tc>
        <w:tc>
          <w:tcPr>
            <w:tcW w:w="220" w:type="dxa"/>
            <w:vAlign w:val="bottom"/>
            <w:tcBorders>
              <w:bottom w:val="single" w:sz="8" w:color="53439A"/>
            </w:tcBorders>
          </w:tcPr>
          <w:p>
            <w:pPr>
              <w:spacing w:after="0"/>
              <w:rPr>
                <w:sz w:val="17"/>
                <w:szCs w:val="17"/>
                <w:color w:val="auto"/>
              </w:rPr>
            </w:pPr>
          </w:p>
        </w:tc>
        <w:tc>
          <w:tcPr>
            <w:tcW w:w="8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$ 18,658</w:t>
            </w:r>
          </w:p>
        </w:tc>
        <w:tc>
          <w:tcPr>
            <w:tcW w:w="400" w:type="dxa"/>
            <w:vAlign w:val="bottom"/>
            <w:tcBorders>
              <w:bottom w:val="single" w:sz="8" w:color="53439A"/>
            </w:tcBorders>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(3,238)</w:t>
            </w:r>
          </w:p>
        </w:tc>
        <w:tc>
          <w:tcPr>
            <w:tcW w:w="8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$ 18,157</w:t>
            </w:r>
          </w:p>
        </w:tc>
        <w:tc>
          <w:tcPr>
            <w:tcW w:w="26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3439A"/>
        </w:rPr>
        <w:t>Indefinite-Lived Intangible Assets</w:t>
      </w:r>
    </w:p>
    <w:p>
      <w:pPr>
        <w:jc w:val="both"/>
        <w:spacing w:after="0" w:line="235" w:lineRule="auto"/>
        <w:rPr>
          <w:sz w:val="20"/>
          <w:szCs w:val="20"/>
          <w:color w:val="auto"/>
        </w:rPr>
      </w:pPr>
      <w:r>
        <w:rPr>
          <w:rFonts w:ascii="Arial" w:cs="Arial" w:eastAsia="Arial" w:hAnsi="Arial"/>
          <w:sz w:val="18"/>
          <w:szCs w:val="18"/>
          <w:color w:val="auto"/>
        </w:rPr>
        <w:t>Indefinite-lived intangible assets consist of trade names and FCC licenses. We assess the recoverability of our indefinite-lived intangible assets annually, or more frequently whenever events or substantive changes in circumstances indicate that the assets might be impaired. The assessment of recoverability may first consider qualitative factors to determine whether it is more likely than not that an indefinite-lived intangible asset is impaired. A quantitative assessment is performed if the qualitative assessment results in a more likely than not determination or if a qualitative assessment is not performed. When performing a quantitative assessment, we estimate the fair value of our other indefinite-lived intangible assets primarily based on a discounted cash flow analysis. In analyzing the fair values indicated under the discounted cash flow models, we also consider multiples of operating income before depreciation and amortization generated by the underlying assets, current market transactions, and profitability information. If the fair value of our indefinite-lived intangible assets were less than the carrying amount, we would recognize an impairment charge for the difference between the estimated fair value and the carrying value of the assets. We also evaluate the unit of account used to test for impairment of our indefinite-lived intangible assets periodically or whenever events or substantive changes in circumstances occur to ensure impairment testing is performed at an appropriate level. Unless presented separately, the impairment charge is included as a component of amortization expense.</w:t>
      </w:r>
    </w:p>
    <w:p>
      <w:pPr>
        <w:spacing w:after="0" w:line="330"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53439A"/>
        </w:rPr>
        <w:t>Finite-Lived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53439A"/>
        </w:rPr>
        <w:t>Estimated Amortization Expense of 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660" w:type="dxa"/>
            <w:vAlign w:val="bottom"/>
            <w:tcBorders>
              <w:top w:val="single" w:sz="8" w:color="auto"/>
            </w:tcBorders>
          </w:tcPr>
          <w:p>
            <w:pPr>
              <w:jc w:val="right"/>
              <w:ind w:right="5172"/>
              <w:spacing w:after="0" w:line="200" w:lineRule="exact"/>
              <w:rPr>
                <w:sz w:val="20"/>
                <w:szCs w:val="20"/>
                <w:color w:val="auto"/>
              </w:rPr>
            </w:pPr>
            <w:r>
              <w:rPr>
                <w:rFonts w:ascii="Arial" w:cs="Arial" w:eastAsia="Arial" w:hAnsi="Arial"/>
                <w:sz w:val="18"/>
                <w:szCs w:val="18"/>
                <w:color w:val="auto"/>
                <w:w w:val="94"/>
              </w:rPr>
              <w:t>2013</w:t>
            </w:r>
          </w:p>
        </w:tc>
        <w:tc>
          <w:tcPr>
            <w:tcW w:w="57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$ 720</w:t>
            </w:r>
          </w:p>
        </w:tc>
      </w:tr>
      <w:tr>
        <w:trPr>
          <w:trHeight w:val="203"/>
        </w:trPr>
        <w:tc>
          <w:tcPr>
            <w:tcW w:w="5660" w:type="dxa"/>
            <w:vAlign w:val="bottom"/>
          </w:tcPr>
          <w:p>
            <w:pPr>
              <w:jc w:val="right"/>
              <w:ind w:right="5172"/>
              <w:spacing w:after="0" w:line="202" w:lineRule="exact"/>
              <w:rPr>
                <w:sz w:val="20"/>
                <w:szCs w:val="20"/>
                <w:color w:val="auto"/>
              </w:rPr>
            </w:pPr>
            <w:r>
              <w:rPr>
                <w:rFonts w:ascii="Arial" w:cs="Arial" w:eastAsia="Arial" w:hAnsi="Arial"/>
                <w:sz w:val="18"/>
                <w:szCs w:val="18"/>
                <w:color w:val="auto"/>
                <w:w w:val="94"/>
              </w:rPr>
              <w:t>2014</w:t>
            </w:r>
          </w:p>
        </w:tc>
        <w:tc>
          <w:tcPr>
            <w:tcW w:w="5760" w:type="dxa"/>
            <w:vAlign w:val="bottom"/>
          </w:tcPr>
          <w:p>
            <w:pPr>
              <w:jc w:val="right"/>
              <w:spacing w:after="0" w:line="202" w:lineRule="exact"/>
              <w:rPr>
                <w:sz w:val="20"/>
                <w:szCs w:val="20"/>
                <w:color w:val="auto"/>
              </w:rPr>
            </w:pPr>
            <w:r>
              <w:rPr>
                <w:rFonts w:ascii="Arial" w:cs="Arial" w:eastAsia="Arial" w:hAnsi="Arial"/>
                <w:sz w:val="18"/>
                <w:szCs w:val="18"/>
                <w:color w:val="auto"/>
              </w:rPr>
              <w:t>$ 729</w:t>
            </w:r>
          </w:p>
        </w:tc>
      </w:tr>
      <w:tr>
        <w:trPr>
          <w:trHeight w:val="203"/>
        </w:trPr>
        <w:tc>
          <w:tcPr>
            <w:tcW w:w="5660" w:type="dxa"/>
            <w:vAlign w:val="bottom"/>
          </w:tcPr>
          <w:p>
            <w:pPr>
              <w:jc w:val="right"/>
              <w:ind w:right="5172"/>
              <w:spacing w:after="0" w:line="202" w:lineRule="exact"/>
              <w:rPr>
                <w:sz w:val="20"/>
                <w:szCs w:val="20"/>
                <w:color w:val="auto"/>
              </w:rPr>
            </w:pPr>
            <w:r>
              <w:rPr>
                <w:rFonts w:ascii="Arial" w:cs="Arial" w:eastAsia="Arial" w:hAnsi="Arial"/>
                <w:sz w:val="18"/>
                <w:szCs w:val="18"/>
                <w:color w:val="auto"/>
                <w:w w:val="94"/>
              </w:rPr>
              <w:t>2015</w:t>
            </w:r>
          </w:p>
        </w:tc>
        <w:tc>
          <w:tcPr>
            <w:tcW w:w="5760" w:type="dxa"/>
            <w:vAlign w:val="bottom"/>
          </w:tcPr>
          <w:p>
            <w:pPr>
              <w:jc w:val="right"/>
              <w:spacing w:after="0" w:line="202" w:lineRule="exact"/>
              <w:rPr>
                <w:sz w:val="20"/>
                <w:szCs w:val="20"/>
                <w:color w:val="auto"/>
              </w:rPr>
            </w:pPr>
            <w:r>
              <w:rPr>
                <w:rFonts w:ascii="Arial" w:cs="Arial" w:eastAsia="Arial" w:hAnsi="Arial"/>
                <w:sz w:val="18"/>
                <w:szCs w:val="18"/>
                <w:color w:val="auto"/>
              </w:rPr>
              <w:t>$ 719</w:t>
            </w:r>
          </w:p>
        </w:tc>
      </w:tr>
      <w:tr>
        <w:trPr>
          <w:trHeight w:val="203"/>
        </w:trPr>
        <w:tc>
          <w:tcPr>
            <w:tcW w:w="5660" w:type="dxa"/>
            <w:vAlign w:val="bottom"/>
          </w:tcPr>
          <w:p>
            <w:pPr>
              <w:jc w:val="right"/>
              <w:ind w:right="5172"/>
              <w:spacing w:after="0" w:line="202" w:lineRule="exact"/>
              <w:rPr>
                <w:sz w:val="20"/>
                <w:szCs w:val="20"/>
                <w:color w:val="auto"/>
              </w:rPr>
            </w:pPr>
            <w:r>
              <w:rPr>
                <w:rFonts w:ascii="Arial" w:cs="Arial" w:eastAsia="Arial" w:hAnsi="Arial"/>
                <w:sz w:val="18"/>
                <w:szCs w:val="18"/>
                <w:color w:val="auto"/>
                <w:w w:val="94"/>
              </w:rPr>
              <w:t>2016</w:t>
            </w:r>
          </w:p>
        </w:tc>
        <w:tc>
          <w:tcPr>
            <w:tcW w:w="5760" w:type="dxa"/>
            <w:vAlign w:val="bottom"/>
          </w:tcPr>
          <w:p>
            <w:pPr>
              <w:jc w:val="right"/>
              <w:spacing w:after="0" w:line="202" w:lineRule="exact"/>
              <w:rPr>
                <w:sz w:val="20"/>
                <w:szCs w:val="20"/>
                <w:color w:val="auto"/>
              </w:rPr>
            </w:pPr>
            <w:r>
              <w:rPr>
                <w:rFonts w:ascii="Arial" w:cs="Arial" w:eastAsia="Arial" w:hAnsi="Arial"/>
                <w:sz w:val="18"/>
                <w:szCs w:val="18"/>
                <w:color w:val="auto"/>
              </w:rPr>
              <w:t>$ 700</w:t>
            </w:r>
          </w:p>
        </w:tc>
      </w:tr>
      <w:tr>
        <w:trPr>
          <w:trHeight w:val="199"/>
        </w:trPr>
        <w:tc>
          <w:tcPr>
            <w:tcW w:w="5660" w:type="dxa"/>
            <w:vAlign w:val="bottom"/>
            <w:tcBorders>
              <w:bottom w:val="single" w:sz="8" w:color="auto"/>
            </w:tcBorders>
          </w:tcPr>
          <w:p>
            <w:pPr>
              <w:jc w:val="right"/>
              <w:ind w:right="5172"/>
              <w:spacing w:after="0" w:line="200" w:lineRule="exact"/>
              <w:rPr>
                <w:sz w:val="20"/>
                <w:szCs w:val="20"/>
                <w:color w:val="auto"/>
              </w:rPr>
            </w:pPr>
            <w:r>
              <w:rPr>
                <w:rFonts w:ascii="Arial" w:cs="Arial" w:eastAsia="Arial" w:hAnsi="Arial"/>
                <w:sz w:val="18"/>
                <w:szCs w:val="18"/>
                <w:color w:val="auto"/>
                <w:w w:val="94"/>
              </w:rPr>
              <w:t>2017</w:t>
            </w:r>
          </w:p>
        </w:tc>
        <w:tc>
          <w:tcPr>
            <w:tcW w:w="5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$ 702</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subject to amortization consist primarily of customer relationships acquired in business combinations, intellectual property rights and software. Our finite-lived intangible assets are amortized primarily on a straight-line basis over their estimated useful life or the term of the respective agreement.</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intangible assets and amortize them on a straight-line basis over a period not to exceed five years, beginning when the asset is substantially ready for use.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exceeds its estimated fair value. Unless presented separately, the impairment charge is included as a component of amortization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9: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3439A"/>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Borders>
              <w:top w:val="single" w:sz="8" w:color="auto"/>
            </w:tcBorders>
          </w:tcPr>
          <w:p>
            <w:pPr>
              <w:spacing w:after="0"/>
              <w:rPr>
                <w:sz w:val="14"/>
                <w:szCs w:val="14"/>
                <w:color w:val="auto"/>
              </w:rPr>
            </w:pPr>
          </w:p>
        </w:tc>
        <w:tc>
          <w:tcPr>
            <w:tcW w:w="48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Weighted-</w:t>
            </w: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vMerge w:val="restart"/>
          </w:tcPr>
          <w:p>
            <w:pPr>
              <w:jc w:val="right"/>
              <w:ind w:right="414"/>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48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color w:val="auto"/>
              </w:rPr>
              <w:t>Average Interest Rate as of</w:t>
            </w: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900" w:type="dxa"/>
            <w:vAlign w:val="bottom"/>
          </w:tcPr>
          <w:p>
            <w:pPr>
              <w:spacing w:after="0"/>
              <w:rPr>
                <w:sz w:val="5"/>
                <w:szCs w:val="5"/>
                <w:color w:val="auto"/>
              </w:rPr>
            </w:pPr>
          </w:p>
        </w:tc>
        <w:tc>
          <w:tcPr>
            <w:tcW w:w="48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4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December 31, 2012</w:t>
            </w: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4900" w:type="dxa"/>
            <w:vAlign w:val="bottom"/>
          </w:tcPr>
          <w:p>
            <w:pPr>
              <w:spacing w:after="0" w:line="177" w:lineRule="exact"/>
              <w:rPr>
                <w:sz w:val="20"/>
                <w:szCs w:val="20"/>
                <w:color w:val="auto"/>
              </w:rPr>
            </w:pPr>
            <w:r>
              <w:rPr>
                <w:rFonts w:ascii="Arial" w:cs="Arial" w:eastAsia="Arial" w:hAnsi="Arial"/>
                <w:sz w:val="18"/>
                <w:szCs w:val="18"/>
                <w:color w:val="auto"/>
              </w:rPr>
              <w:t>Commercial paper</w:t>
            </w:r>
          </w:p>
        </w:tc>
        <w:tc>
          <w:tcPr>
            <w:tcW w:w="4840" w:type="dxa"/>
            <w:vAlign w:val="bottom"/>
            <w:gridSpan w:val="2"/>
          </w:tcPr>
          <w:p>
            <w:pPr>
              <w:jc w:val="right"/>
              <w:ind w:right="340"/>
              <w:spacing w:after="0" w:line="177" w:lineRule="exact"/>
              <w:rPr>
                <w:sz w:val="20"/>
                <w:szCs w:val="20"/>
                <w:color w:val="auto"/>
              </w:rPr>
            </w:pPr>
            <w:r>
              <w:rPr>
                <w:rFonts w:ascii="Arial" w:cs="Arial" w:eastAsia="Arial" w:hAnsi="Arial"/>
                <w:sz w:val="18"/>
                <w:szCs w:val="18"/>
                <w:color w:val="auto"/>
              </w:rPr>
              <w:t>N/A</w:t>
            </w:r>
          </w:p>
        </w:tc>
        <w:tc>
          <w:tcPr>
            <w:tcW w:w="2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w:t>
            </w:r>
          </w:p>
        </w:tc>
        <w:tc>
          <w:tcPr>
            <w:tcW w:w="48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2.870%</w:t>
            </w:r>
            <w:r>
              <w:rPr>
                <w:rFonts w:ascii="Arial" w:cs="Arial" w:eastAsia="Arial" w:hAnsi="Arial"/>
                <w:sz w:val="22"/>
                <w:szCs w:val="22"/>
                <w:color w:val="auto"/>
                <w:vertAlign w:val="superscript"/>
              </w:rPr>
              <w:t>(a)</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2,933</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6 and 10 years</w:t>
            </w:r>
          </w:p>
        </w:tc>
        <w:tc>
          <w:tcPr>
            <w:tcW w:w="4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4.764%</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3,999</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greater than 10 years</w:t>
            </w:r>
          </w:p>
        </w:tc>
        <w:tc>
          <w:tcPr>
            <w:tcW w:w="4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4.964%</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4,203</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Senior subordinated notes due 2016</w:t>
            </w:r>
          </w:p>
        </w:tc>
        <w:tc>
          <w:tcPr>
            <w:tcW w:w="4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4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7"/>
        </w:trPr>
        <w:tc>
          <w:tcPr>
            <w:tcW w:w="490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484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4.250%</w:t>
            </w:r>
            <w:r>
              <w:rPr>
                <w:rFonts w:ascii="Arial" w:cs="Arial" w:eastAsia="Arial" w:hAnsi="Arial"/>
                <w:sz w:val="20"/>
                <w:szCs w:val="20"/>
                <w:color w:val="auto"/>
                <w:vertAlign w:val="superscript"/>
              </w:rPr>
              <w:t>(b)</w:t>
            </w:r>
          </w:p>
        </w:tc>
        <w:tc>
          <w:tcPr>
            <w:tcW w:w="24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11,241</w:t>
            </w:r>
          </w:p>
        </w:tc>
        <w:tc>
          <w:tcPr>
            <w:tcW w:w="18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w w:val="94"/>
              </w:rPr>
              <w:t>10,168</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4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Long-term debt</w:t>
            </w:r>
          </w:p>
        </w:tc>
        <w:tc>
          <w:tcPr>
            <w:tcW w:w="4500" w:type="dxa"/>
            <w:vAlign w:val="bottom"/>
            <w:tcBorders>
              <w:bottom w:val="single" w:sz="8" w:color="53439A"/>
            </w:tcBorders>
          </w:tcPr>
          <w:p>
            <w:pPr>
              <w:spacing w:after="0"/>
              <w:rPr>
                <w:sz w:val="17"/>
                <w:szCs w:val="17"/>
                <w:color w:val="auto"/>
              </w:rPr>
            </w:pPr>
          </w:p>
        </w:tc>
        <w:tc>
          <w:tcPr>
            <w:tcW w:w="340" w:type="dxa"/>
            <w:vAlign w:val="bottom"/>
            <w:tcBorders>
              <w:bottom w:val="single" w:sz="8" w:color="53439A"/>
            </w:tcBorders>
          </w:tcPr>
          <w:p>
            <w:pPr>
              <w:spacing w:after="0"/>
              <w:rPr>
                <w:sz w:val="17"/>
                <w:szCs w:val="17"/>
                <w:color w:val="auto"/>
              </w:rPr>
            </w:pP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11,231</w:t>
            </w:r>
          </w:p>
        </w:tc>
        <w:tc>
          <w:tcPr>
            <w:tcW w:w="1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506"/>
        </w:trPr>
        <w:tc>
          <w:tcPr>
            <w:tcW w:w="490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4500" w:type="dxa"/>
            <w:vAlign w:val="bottom"/>
          </w:tcPr>
          <w:p>
            <w:pPr>
              <w:jc w:val="right"/>
              <w:ind w:right="3480"/>
              <w:spacing w:after="0"/>
              <w:rPr>
                <w:sz w:val="20"/>
                <w:szCs w:val="20"/>
                <w:color w:val="auto"/>
              </w:rPr>
            </w:pPr>
            <w:r>
              <w:rPr>
                <w:rFonts w:ascii="Arial" w:cs="Arial" w:eastAsia="Arial" w:hAnsi="Arial"/>
                <w:sz w:val="14"/>
                <w:szCs w:val="14"/>
                <w:b w:val="1"/>
                <w:bCs w:val="1"/>
                <w:color w:val="auto"/>
              </w:rPr>
              <w:t>68</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(a)  The senior notes with maturities of 5 years or less as of December 31, 2012 were as follows:</w:t>
            </w: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37"/>
        </w:trPr>
        <w:tc>
          <w:tcPr>
            <w:tcW w:w="7880" w:type="dxa"/>
            <w:vAlign w:val="bottom"/>
          </w:tcPr>
          <w:p>
            <w:pPr>
              <w:spacing w:after="0"/>
              <w:rPr>
                <w:sz w:val="24"/>
                <w:szCs w:val="24"/>
                <w:color w:val="auto"/>
              </w:rPr>
            </w:pPr>
          </w:p>
        </w:tc>
        <w:tc>
          <w:tcPr>
            <w:tcW w:w="2920" w:type="dxa"/>
            <w:vAlign w:val="bottom"/>
          </w:tcPr>
          <w:p>
            <w:pPr>
              <w:jc w:val="right"/>
              <w:ind w:right="172"/>
              <w:spacing w:after="0"/>
              <w:rPr>
                <w:sz w:val="20"/>
                <w:szCs w:val="20"/>
                <w:color w:val="auto"/>
              </w:rPr>
            </w:pPr>
            <w:r>
              <w:rPr>
                <w:rFonts w:ascii="Arial" w:cs="Arial" w:eastAsia="Arial" w:hAnsi="Arial"/>
                <w:sz w:val="14"/>
                <w:szCs w:val="14"/>
                <w:color w:val="auto"/>
              </w:rPr>
              <w:t>Weighted-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49"/>
        </w:trPr>
        <w:tc>
          <w:tcPr>
            <w:tcW w:w="7880" w:type="dxa"/>
            <w:vAlign w:val="bottom"/>
          </w:tcPr>
          <w:p>
            <w:pPr>
              <w:spacing w:after="0"/>
              <w:rPr>
                <w:sz w:val="12"/>
                <w:szCs w:val="12"/>
                <w:color w:val="auto"/>
              </w:rPr>
            </w:pPr>
          </w:p>
        </w:tc>
        <w:tc>
          <w:tcPr>
            <w:tcW w:w="2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Average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9"/>
        </w:trPr>
        <w:tc>
          <w:tcPr>
            <w:tcW w:w="7880" w:type="dxa"/>
            <w:vAlign w:val="bottom"/>
          </w:tcPr>
          <w:p>
            <w:pPr>
              <w:spacing w:after="0"/>
              <w:rPr>
                <w:sz w:val="12"/>
                <w:szCs w:val="12"/>
                <w:color w:val="auto"/>
              </w:rPr>
            </w:pPr>
          </w:p>
        </w:tc>
        <w:tc>
          <w:tcPr>
            <w:tcW w:w="2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3"/>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Rate</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41"/>
        </w:trPr>
        <w:tc>
          <w:tcPr>
            <w:tcW w:w="7880" w:type="dxa"/>
            <w:vAlign w:val="bottom"/>
          </w:tcPr>
          <w:p>
            <w:pPr>
              <w:spacing w:after="0" w:line="141" w:lineRule="exact"/>
              <w:rPr>
                <w:sz w:val="20"/>
                <w:szCs w:val="20"/>
                <w:color w:val="auto"/>
              </w:rPr>
            </w:pPr>
            <w:r>
              <w:rPr>
                <w:rFonts w:ascii="Arial" w:cs="Arial" w:eastAsia="Arial" w:hAnsi="Arial"/>
                <w:sz w:val="14"/>
                <w:szCs w:val="14"/>
                <w:color w:val="auto"/>
              </w:rPr>
              <w:t>2013</w:t>
            </w:r>
          </w:p>
        </w:tc>
        <w:tc>
          <w:tcPr>
            <w:tcW w:w="2920" w:type="dxa"/>
            <w:vAlign w:val="bottom"/>
          </w:tcPr>
          <w:p>
            <w:pPr>
              <w:jc w:val="right"/>
              <w:ind w:right="172"/>
              <w:spacing w:after="0" w:line="141" w:lineRule="exact"/>
              <w:rPr>
                <w:sz w:val="20"/>
                <w:szCs w:val="20"/>
                <w:color w:val="auto"/>
              </w:rPr>
            </w:pPr>
            <w:r>
              <w:rPr>
                <w:rFonts w:ascii="Arial" w:cs="Arial" w:eastAsia="Arial" w:hAnsi="Arial"/>
                <w:sz w:val="14"/>
                <w:szCs w:val="14"/>
                <w:color w:val="auto"/>
              </w:rPr>
              <w:t>N/A</w:t>
            </w:r>
          </w:p>
        </w:tc>
        <w:tc>
          <w:tcPr>
            <w:tcW w:w="2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r>
      <w:tr>
        <w:trPr>
          <w:trHeight w:val="149"/>
        </w:trPr>
        <w:tc>
          <w:tcPr>
            <w:tcW w:w="788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2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2.090%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904</w:t>
            </w:r>
          </w:p>
        </w:tc>
      </w:tr>
      <w:tr>
        <w:trPr>
          <w:trHeight w:val="149"/>
        </w:trPr>
        <w:tc>
          <w:tcPr>
            <w:tcW w:w="7880" w:type="dxa"/>
            <w:vAlign w:val="bottom"/>
          </w:tcPr>
          <w:p>
            <w:pPr>
              <w:spacing w:after="0" w:line="149" w:lineRule="exact"/>
              <w:rPr>
                <w:sz w:val="20"/>
                <w:szCs w:val="20"/>
                <w:color w:val="auto"/>
              </w:rPr>
            </w:pPr>
            <w:r>
              <w:rPr>
                <w:rFonts w:ascii="Arial" w:cs="Arial" w:eastAsia="Arial" w:hAnsi="Arial"/>
                <w:sz w:val="14"/>
                <w:szCs w:val="14"/>
                <w:color w:val="auto"/>
              </w:rPr>
              <w:t>2015</w:t>
            </w:r>
          </w:p>
        </w:tc>
        <w:tc>
          <w:tcPr>
            <w:tcW w:w="2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3.568%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96"/>
              </w:rPr>
              <w:t>1,023</w:t>
            </w:r>
          </w:p>
        </w:tc>
      </w:tr>
      <w:tr>
        <w:trPr>
          <w:trHeight w:val="149"/>
        </w:trPr>
        <w:tc>
          <w:tcPr>
            <w:tcW w:w="7880" w:type="dxa"/>
            <w:vAlign w:val="bottom"/>
          </w:tcPr>
          <w:p>
            <w:pPr>
              <w:spacing w:after="0" w:line="149" w:lineRule="exact"/>
              <w:rPr>
                <w:sz w:val="20"/>
                <w:szCs w:val="20"/>
                <w:color w:val="auto"/>
              </w:rPr>
            </w:pPr>
            <w:r>
              <w:rPr>
                <w:rFonts w:ascii="Arial" w:cs="Arial" w:eastAsia="Arial" w:hAnsi="Arial"/>
                <w:sz w:val="14"/>
                <w:szCs w:val="14"/>
                <w:color w:val="auto"/>
              </w:rPr>
              <w:t>2016</w:t>
            </w:r>
          </w:p>
        </w:tc>
        <w:tc>
          <w:tcPr>
            <w:tcW w:w="2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2.860%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96"/>
              </w:rPr>
              <w:t>1,006</w:t>
            </w:r>
          </w:p>
        </w:tc>
      </w:tr>
      <w:tr>
        <w:trPr>
          <w:trHeight w:val="149"/>
        </w:trPr>
        <w:tc>
          <w:tcPr>
            <w:tcW w:w="78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2017</w:t>
            </w:r>
          </w:p>
        </w:tc>
        <w:tc>
          <w:tcPr>
            <w:tcW w:w="29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N/A</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2"/>
          <w:szCs w:val="12"/>
          <w:color w:val="auto"/>
        </w:rPr>
        <w:t>Includes the effects of our derivative financial instruments.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and 2011, our debt had an estimated fair value of $12.6 billion and $11 billion, respectively.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Some of our loan agreements require that we maintain certain financial ratios based on our debt and our operating income before depreciation and amortization. We were in compliance with all financial covenants for all periods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2012 Debt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2012 (in millions)</w:t>
      </w:r>
    </w:p>
    <w:tbl>
      <w:tblPr>
        <w:tblLayout w:type="fixed"/>
        <w:tblInd w:w="0" w:type="dxa"/>
        <w:tblCellMar>
          <w:top w:w="0" w:type="dxa"/>
          <w:left w:w="0" w:type="dxa"/>
          <w:bottom w:w="0" w:type="dxa"/>
          <w:right w:w="0" w:type="dxa"/>
        </w:tblCellMar>
      </w:tblPr>
      <w:tr>
        <w:trPr>
          <w:trHeight w:val="199"/>
        </w:trPr>
        <w:tc>
          <w:tcPr>
            <w:tcW w:w="78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2.875% senior notes due 2023</w:t>
            </w:r>
          </w:p>
        </w:tc>
        <w:tc>
          <w:tcPr>
            <w:tcW w:w="35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$ 1,000</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4.450% senior notes due 2043</w:t>
            </w:r>
          </w:p>
        </w:tc>
        <w:tc>
          <w:tcPr>
            <w:tcW w:w="3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1,000</w:t>
            </w:r>
          </w:p>
        </w:tc>
      </w:tr>
      <w:tr>
        <w:trPr>
          <w:trHeight w:val="196"/>
        </w:trPr>
        <w:tc>
          <w:tcPr>
            <w:tcW w:w="78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$ 2,000</w:t>
            </w:r>
          </w:p>
        </w:tc>
      </w:tr>
      <w:tr>
        <w:trPr>
          <w:trHeight w:val="370"/>
        </w:trPr>
        <w:tc>
          <w:tcPr>
            <w:tcW w:w="7880" w:type="dxa"/>
            <w:vAlign w:val="bottom"/>
          </w:tcPr>
          <w:p>
            <w:pPr>
              <w:spacing w:after="0"/>
              <w:rPr>
                <w:sz w:val="20"/>
                <w:szCs w:val="20"/>
                <w:color w:val="auto"/>
              </w:rPr>
            </w:pPr>
            <w:r>
              <w:rPr>
                <w:rFonts w:ascii="Arial" w:cs="Arial" w:eastAsia="Arial" w:hAnsi="Arial"/>
                <w:sz w:val="18"/>
                <w:szCs w:val="18"/>
                <w:color w:val="53439A"/>
              </w:rPr>
              <w:t>2012 Debt Repayments and Redemptions</w:t>
            </w:r>
          </w:p>
        </w:tc>
        <w:tc>
          <w:tcPr>
            <w:tcW w:w="3540" w:type="dxa"/>
            <w:vAlign w:val="bottom"/>
          </w:tcPr>
          <w:p>
            <w:pPr>
              <w:spacing w:after="0"/>
              <w:rPr>
                <w:sz w:val="24"/>
                <w:szCs w:val="24"/>
                <w:color w:val="auto"/>
              </w:rPr>
            </w:pPr>
          </w:p>
        </w:tc>
      </w:tr>
      <w:tr>
        <w:trPr>
          <w:trHeight w:val="43"/>
        </w:trPr>
        <w:tc>
          <w:tcPr>
            <w:tcW w:w="788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237"/>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2012 (in millions)</w:t>
            </w:r>
          </w:p>
        </w:tc>
        <w:tc>
          <w:tcPr>
            <w:tcW w:w="3540" w:type="dxa"/>
            <w:vAlign w:val="bottom"/>
            <w:tcBorders>
              <w:bottom w:val="single" w:sz="8" w:color="auto"/>
            </w:tcBorders>
          </w:tcPr>
          <w:p>
            <w:pPr>
              <w:spacing w:after="0"/>
              <w:rPr>
                <w:sz w:val="20"/>
                <w:szCs w:val="20"/>
                <w:color w:val="auto"/>
              </w:rPr>
            </w:pPr>
          </w:p>
        </w:tc>
      </w:tr>
      <w:tr>
        <w:trPr>
          <w:trHeight w:val="199"/>
        </w:trPr>
        <w:tc>
          <w:tcPr>
            <w:tcW w:w="7880" w:type="dxa"/>
            <w:vAlign w:val="bottom"/>
          </w:tcPr>
          <w:p>
            <w:pPr>
              <w:spacing w:after="0" w:line="200" w:lineRule="exact"/>
              <w:rPr>
                <w:sz w:val="20"/>
                <w:szCs w:val="20"/>
                <w:color w:val="auto"/>
              </w:rPr>
            </w:pPr>
            <w:r>
              <w:rPr>
                <w:rFonts w:ascii="Arial" w:cs="Arial" w:eastAsia="Arial" w:hAnsi="Arial"/>
                <w:sz w:val="18"/>
                <w:szCs w:val="18"/>
                <w:color w:val="auto"/>
              </w:rPr>
              <w:t>Universal Orlando 8.875% senior notes due 2015</w:t>
            </w:r>
          </w:p>
        </w:tc>
        <w:tc>
          <w:tcPr>
            <w:tcW w:w="35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$ 260</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Universal Orlando 10.875% senior subordinated notes due 2016</w:t>
            </w:r>
          </w:p>
        </w:tc>
        <w:tc>
          <w:tcPr>
            <w:tcW w:w="3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146</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35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7</w:t>
            </w:r>
          </w:p>
        </w:tc>
      </w:tr>
      <w:tr>
        <w:trPr>
          <w:trHeight w:val="196"/>
        </w:trPr>
        <w:tc>
          <w:tcPr>
            <w:tcW w:w="78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$ 413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Commercial Paper Program</w:t>
      </w:r>
    </w:p>
    <w:p>
      <w:pPr>
        <w:jc w:val="both"/>
        <w:spacing w:after="0" w:line="239" w:lineRule="auto"/>
        <w:rPr>
          <w:sz w:val="20"/>
          <w:szCs w:val="20"/>
          <w:color w:val="auto"/>
        </w:rPr>
      </w:pPr>
      <w:r>
        <w:rPr>
          <w:rFonts w:ascii="Arial" w:cs="Arial" w:eastAsia="Arial" w:hAnsi="Arial"/>
          <w:sz w:val="18"/>
          <w:szCs w:val="18"/>
          <w:color w:val="auto"/>
        </w:rPr>
        <w:t>Our commercial paper program provides a lower cost source of borrowing to fund our short-term working capital requirements and is supported by our revolving credit facility. As of December 31, 2012, the borrowing capacity available under this program was $1.5 billion.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Revolving Credit Facility</w:t>
      </w:r>
    </w:p>
    <w:p>
      <w:pPr>
        <w:jc w:val="both"/>
        <w:spacing w:after="0" w:line="236" w:lineRule="auto"/>
        <w:rPr>
          <w:sz w:val="20"/>
          <w:szCs w:val="20"/>
          <w:color w:val="auto"/>
        </w:rPr>
      </w:pPr>
      <w:r>
        <w:rPr>
          <w:rFonts w:ascii="Arial" w:cs="Arial" w:eastAsia="Arial" w:hAnsi="Arial"/>
          <w:sz w:val="18"/>
          <w:szCs w:val="18"/>
          <w:color w:val="auto"/>
        </w:rPr>
        <w:t>As of December 31, 2012, we had a $1.5 billion credit facility due June 2016 with a syndicate of banks. The interest rate on this credit facility consists of a base rate plus a borrowing margin that is determined based on our credit rating. As of December 31, 2012, the borrowing margin for LIBOR-based borrowing was 1.125%. Our credit facility requires us to maintain certain financial ratios based on our debt and our earnings. As of December 31, 2012, amounts available under our credit facility, net of amounts outstanding under our commercial paper program and undrawn letters of credit, totaled $1.4 billion. We expect the terms of our credit facility will be amended in connection with Comcast’s agreement to purchase GE’s 49% common equity interest in NBCUniversal that was entered into in February 2013. See Note 20 for additional information.</w:t>
      </w:r>
    </w:p>
    <w:p>
      <w:pPr>
        <w:spacing w:after="0" w:line="326"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53439A"/>
        </w:rPr>
        <w:t>Letters of Credit</w:t>
      </w:r>
    </w:p>
    <w:p>
      <w:pPr>
        <w:spacing w:after="0"/>
        <w:rPr>
          <w:sz w:val="20"/>
          <w:szCs w:val="20"/>
          <w:color w:val="auto"/>
        </w:rPr>
      </w:pPr>
      <w:r>
        <w:rPr>
          <w:rFonts w:ascii="Arial" w:cs="Arial" w:eastAsia="Arial" w:hAnsi="Arial"/>
          <w:sz w:val="18"/>
          <w:szCs w:val="18"/>
          <w:color w:val="auto"/>
        </w:rPr>
        <w:t>As of December 31, 2012, we had $75 million of letters of credit outstanding.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10: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114" w:lineRule="exact"/>
        <w:rPr>
          <w:sz w:val="20"/>
          <w:szCs w:val="20"/>
          <w:color w:val="auto"/>
        </w:rPr>
      </w:pPr>
    </w:p>
    <w:p>
      <w:pPr>
        <w:ind w:left="1020" w:right="124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values are based on quoted market prices for identical financial instruments in an active market.</w:t>
      </w:r>
    </w:p>
    <w:p>
      <w:pPr>
        <w:spacing w:after="0" w:line="114" w:lineRule="exact"/>
        <w:rPr>
          <w:rFonts w:ascii="Arial" w:cs="Arial" w:eastAsia="Arial" w:hAnsi="Arial"/>
          <w:sz w:val="18"/>
          <w:szCs w:val="18"/>
          <w:color w:val="auto"/>
        </w:rPr>
      </w:pPr>
    </w:p>
    <w:p>
      <w:pPr>
        <w:jc w:val="both"/>
        <w:ind w:left="1020" w:right="1240" w:hanging="215"/>
        <w:spacing w:after="0" w:line="23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 instrument and (iv) pricing models whose inputs are derived principally from or corroborated by observable market data through correlation or other means for substantially the full term of the financial instrument.</w:t>
      </w:r>
    </w:p>
    <w:p>
      <w:pPr>
        <w:spacing w:after="0" w:line="115"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3439A"/>
        </w:rPr>
        <w:t>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vMerge w:val="restart"/>
          </w:tcPr>
          <w:p>
            <w:pPr>
              <w:spacing w:after="0"/>
              <w:rPr>
                <w:sz w:val="20"/>
                <w:szCs w:val="20"/>
                <w:color w:val="auto"/>
              </w:rPr>
            </w:pPr>
            <w:r>
              <w:rPr>
                <w:rFonts w:ascii="Arial" w:cs="Arial" w:eastAsia="Arial" w:hAnsi="Arial"/>
                <w:sz w:val="14"/>
                <w:szCs w:val="14"/>
                <w:color w:val="auto"/>
              </w:rPr>
              <w:t>Successor (in millions)</w:t>
            </w: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215"/>
              <w:spacing w:after="0"/>
              <w:rPr>
                <w:sz w:val="20"/>
                <w:szCs w:val="20"/>
                <w:color w:val="auto"/>
              </w:rPr>
            </w:pPr>
            <w:r>
              <w:rPr>
                <w:rFonts w:ascii="Arial" w:cs="Arial" w:eastAsia="Arial" w:hAnsi="Arial"/>
                <w:sz w:val="14"/>
                <w:szCs w:val="14"/>
                <w:b w:val="1"/>
                <w:bCs w:val="1"/>
                <w:color w:val="auto"/>
                <w:w w:val="97"/>
              </w:rPr>
              <w:t>Fair Value as of December 31, 2012</w:t>
            </w: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Fair Value as of December 31, 2011</w:t>
            </w:r>
          </w:p>
        </w:tc>
        <w:tc>
          <w:tcPr>
            <w:tcW w:w="0" w:type="dxa"/>
            <w:vAlign w:val="bottom"/>
          </w:tcPr>
          <w:p>
            <w:pPr>
              <w:spacing w:after="0"/>
              <w:rPr>
                <w:sz w:val="1"/>
                <w:szCs w:val="1"/>
                <w:color w:val="auto"/>
              </w:rPr>
            </w:pPr>
          </w:p>
        </w:tc>
      </w:tr>
      <w:tr>
        <w:trPr>
          <w:trHeight w:val="142"/>
        </w:trPr>
        <w:tc>
          <w:tcPr>
            <w:tcW w:w="57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6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Level 1</w:t>
            </w:r>
          </w:p>
        </w:tc>
        <w:tc>
          <w:tcPr>
            <w:tcW w:w="6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Level 2</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Level 3</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572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31</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line="181" w:lineRule="exact"/>
              <w:rPr>
                <w:sz w:val="20"/>
                <w:szCs w:val="20"/>
                <w:color w:val="auto"/>
              </w:rPr>
            </w:pPr>
            <w:r>
              <w:rPr>
                <w:rFonts w:ascii="Arial" w:cs="Arial" w:eastAsia="Arial" w:hAnsi="Arial"/>
                <w:sz w:val="18"/>
                <w:szCs w:val="18"/>
                <w:color w:val="auto"/>
              </w:rPr>
              <w:t>Interest rate swap agreements</w:t>
            </w:r>
          </w:p>
        </w:tc>
        <w:tc>
          <w:tcPr>
            <w:tcW w:w="2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3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2"/>
              <w:spacing w:after="0" w:line="181" w:lineRule="exact"/>
              <w:rPr>
                <w:sz w:val="20"/>
                <w:szCs w:val="20"/>
                <w:color w:val="auto"/>
              </w:rPr>
            </w:pPr>
            <w:r>
              <w:rPr>
                <w:rFonts w:ascii="Arial" w:cs="Arial" w:eastAsia="Arial" w:hAnsi="Arial"/>
                <w:sz w:val="18"/>
                <w:szCs w:val="18"/>
                <w:color w:val="auto"/>
              </w:rPr>
              <w:t>30</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17"/>
                <w:szCs w:val="17"/>
                <w:color w:val="auto"/>
              </w:rPr>
            </w:pPr>
          </w:p>
        </w:tc>
        <w:tc>
          <w:tcPr>
            <w:tcW w:w="4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53439A"/>
            </w:tcBorders>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37</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21</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58</w:t>
            </w:r>
          </w:p>
        </w:tc>
        <w:tc>
          <w:tcPr>
            <w:tcW w:w="26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40</w:t>
            </w: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color w:val="auto"/>
              </w:rPr>
              <w:t>21</w:t>
            </w: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9"/>
        </w:trPr>
        <w:tc>
          <w:tcPr>
            <w:tcW w:w="572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1,055</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line="181" w:lineRule="exact"/>
              <w:rPr>
                <w:sz w:val="20"/>
                <w:szCs w:val="20"/>
                <w:color w:val="auto"/>
              </w:rPr>
            </w:pPr>
            <w:r>
              <w:rPr>
                <w:rFonts w:ascii="Arial" w:cs="Arial" w:eastAsia="Arial" w:hAnsi="Arial"/>
                <w:sz w:val="18"/>
                <w:szCs w:val="18"/>
                <w:color w:val="auto"/>
              </w:rPr>
              <w:t>Contractual obligations</w:t>
            </w:r>
          </w:p>
        </w:tc>
        <w:tc>
          <w:tcPr>
            <w:tcW w:w="2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3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2"/>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1,004</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w w:val="97"/>
              </w:rPr>
              <w:t>1,004</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53439A"/>
            </w:tcBorders>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1,055</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1,069</w:t>
            </w:r>
          </w:p>
        </w:tc>
        <w:tc>
          <w:tcPr>
            <w:tcW w:w="26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color w:val="auto"/>
              </w:rPr>
              <w:t>1,004</w:t>
            </w: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w w:val="97"/>
              </w:rPr>
              <w:t>1,012</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fair values of the contractual obligations in the table above are primarily based on certain expected future discounted cash flows, the determination of which involves the use of significant unobservable inputs. The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most significant unobservable input we use are our estimates of the future revenue we expect to generate from certain of our entities. The discount rates used in the measurements of fair value were between 11% and 14% and are based on the underlying risk associated with our estimate of future revenue, as well as the terms of the respective contracts. The fair value adjustments to contractual obligations are sensitive to the assumptions related to future revenue, as well as to current interest rates, and therefore, the adjustments are recorded in other income (expense), net in our consolidated statement of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3439A"/>
        </w:rPr>
        <w:t>Changes in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Successor (in millions)</w:t>
      </w:r>
    </w:p>
    <w:tbl>
      <w:tblPr>
        <w:tblLayout w:type="fixed"/>
        <w:tblInd w:w="0" w:type="dxa"/>
        <w:tblCellMar>
          <w:top w:w="0" w:type="dxa"/>
          <w:left w:w="0" w:type="dxa"/>
          <w:bottom w:w="0" w:type="dxa"/>
          <w:right w:w="0" w:type="dxa"/>
        </w:tblCellMar>
      </w:tblPr>
      <w:tr>
        <w:trPr>
          <w:trHeight w:val="199"/>
        </w:trPr>
        <w:tc>
          <w:tcPr>
            <w:tcW w:w="67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Balance, December 31, 2011</w:t>
            </w:r>
          </w:p>
        </w:tc>
        <w:tc>
          <w:tcPr>
            <w:tcW w:w="470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$ 1,004</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Acquisition accounting adjustments</w:t>
            </w:r>
          </w:p>
        </w:tc>
        <w:tc>
          <w:tcPr>
            <w:tcW w:w="47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Fair value adjustments</w:t>
            </w:r>
          </w:p>
        </w:tc>
        <w:tc>
          <w:tcPr>
            <w:tcW w:w="4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186</w:t>
            </w:r>
          </w:p>
        </w:tc>
      </w:tr>
      <w:tr>
        <w:trPr>
          <w:trHeight w:val="199"/>
        </w:trPr>
        <w:tc>
          <w:tcPr>
            <w:tcW w:w="6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Payments</w:t>
            </w:r>
          </w:p>
        </w:tc>
        <w:tc>
          <w:tcPr>
            <w:tcW w:w="4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(88)</w:t>
            </w:r>
          </w:p>
        </w:tc>
      </w:tr>
      <w:tr>
        <w:trPr>
          <w:trHeight w:val="196"/>
        </w:trPr>
        <w:tc>
          <w:tcPr>
            <w:tcW w:w="67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470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$ 1,055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and liabilities that are required to be recorded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Adjustments to capitalized film and stage play production costs of $161 million and $57 million were recorded in 2012 and for the period January 29, 2011 through December 31, 2011, respectively.</w:t>
      </w:r>
    </w:p>
    <w:p>
      <w:pPr>
        <w:spacing w:after="0" w:line="326"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11: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3439A"/>
        </w:rPr>
        <w:t>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ind w:left="520"/>
              <w:spacing w:after="0"/>
              <w:rPr>
                <w:sz w:val="20"/>
                <w:szCs w:val="20"/>
                <w:color w:val="auto"/>
              </w:rPr>
            </w:pPr>
            <w:r>
              <w:rPr>
                <w:rFonts w:ascii="Arial" w:cs="Arial" w:eastAsia="Arial" w:hAnsi="Arial"/>
                <w:sz w:val="14"/>
                <w:szCs w:val="14"/>
                <w:color w:val="auto"/>
              </w:rPr>
              <w:t>Successor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3"/>
          </w:tcPr>
          <w:p>
            <w:pPr>
              <w:jc w:val="right"/>
              <w:ind w:right="61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41"/>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62"/>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80"/>
              <w:spacing w:after="0" w:line="149" w:lineRule="exact"/>
              <w:rPr>
                <w:sz w:val="20"/>
                <w:szCs w:val="20"/>
                <w:color w:val="auto"/>
              </w:rPr>
            </w:pPr>
            <w:r>
              <w:rPr>
                <w:rFonts w:ascii="Arial" w:cs="Arial" w:eastAsia="Arial" w:hAnsi="Arial"/>
                <w:sz w:val="14"/>
                <w:szCs w:val="14"/>
                <w:color w:val="auto"/>
                <w:w w:val="98"/>
              </w:rPr>
              <w:t>January 29,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62"/>
              <w:spacing w:after="0" w:line="149" w:lineRule="exact"/>
              <w:rPr>
                <w:sz w:val="20"/>
                <w:szCs w:val="20"/>
                <w:color w:val="auto"/>
              </w:rPr>
            </w:pPr>
            <w:r>
              <w:rPr>
                <w:rFonts w:ascii="Arial" w:cs="Arial" w:eastAsia="Arial" w:hAnsi="Arial"/>
                <w:sz w:val="14"/>
                <w:szCs w:val="14"/>
                <w:color w:val="auto"/>
              </w:rPr>
              <w:t>January 1,</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80"/>
              <w:spacing w:after="0" w:line="133" w:lineRule="exact"/>
              <w:rPr>
                <w:sz w:val="20"/>
                <w:szCs w:val="20"/>
                <w:color w:val="auto"/>
              </w:rPr>
            </w:pPr>
            <w:r>
              <w:rPr>
                <w:rFonts w:ascii="Arial" w:cs="Arial" w:eastAsia="Arial" w:hAnsi="Arial"/>
                <w:sz w:val="14"/>
                <w:szCs w:val="14"/>
                <w:color w:val="auto"/>
              </w:rPr>
              <w:t>2011 to</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62"/>
              <w:spacing w:after="0" w:line="133" w:lineRule="exact"/>
              <w:rPr>
                <w:sz w:val="20"/>
                <w:szCs w:val="20"/>
                <w:color w:val="auto"/>
              </w:rPr>
            </w:pPr>
            <w:r>
              <w:rPr>
                <w:rFonts w:ascii="Arial" w:cs="Arial" w:eastAsia="Arial" w:hAnsi="Arial"/>
                <w:sz w:val="14"/>
                <w:szCs w:val="14"/>
                <w:color w:val="auto"/>
              </w:rPr>
              <w:t>2011 to</w:t>
            </w:r>
          </w:p>
        </w:tc>
        <w:tc>
          <w:tcPr>
            <w:tcW w:w="200" w:type="dxa"/>
            <w:vAlign w:val="bottom"/>
          </w:tcPr>
          <w:p>
            <w:pPr>
              <w:spacing w:after="0"/>
              <w:rPr>
                <w:sz w:val="11"/>
                <w:szCs w:val="11"/>
                <w:color w:val="auto"/>
              </w:rPr>
            </w:pPr>
          </w:p>
        </w:tc>
        <w:tc>
          <w:tcPr>
            <w:tcW w:w="840" w:type="dxa"/>
            <w:vAlign w:val="bottom"/>
          </w:tcPr>
          <w:p>
            <w:pPr>
              <w:jc w:val="right"/>
              <w:ind w:right="19"/>
              <w:spacing w:after="0" w:line="133" w:lineRule="exact"/>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tcBorders>
              <w:right w:val="single" w:sz="8" w:color="auto"/>
            </w:tcBorders>
            <w:gridSpan w:val="3"/>
          </w:tcPr>
          <w:p>
            <w:pPr>
              <w:jc w:val="right"/>
              <w:ind w:right="280"/>
              <w:spacing w:after="0" w:line="149"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62"/>
              <w:spacing w:after="0" w:line="149" w:lineRule="exact"/>
              <w:rPr>
                <w:sz w:val="20"/>
                <w:szCs w:val="20"/>
                <w:color w:val="auto"/>
              </w:rPr>
            </w:pPr>
            <w:r>
              <w:rPr>
                <w:rFonts w:ascii="Arial" w:cs="Arial" w:eastAsia="Arial" w:hAnsi="Arial"/>
                <w:sz w:val="14"/>
                <w:szCs w:val="14"/>
                <w:color w:val="auto"/>
              </w:rPr>
              <w:t>January 28,</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4740" w:type="dxa"/>
            <w:vAlign w:val="bottom"/>
          </w:tcPr>
          <w:p>
            <w:pPr>
              <w:spacing w:after="0" w:line="200" w:lineRule="exact"/>
              <w:rPr>
                <w:sz w:val="20"/>
                <w:szCs w:val="20"/>
                <w:color w:val="auto"/>
              </w:rPr>
            </w:pPr>
            <w:r>
              <w:rPr>
                <w:rFonts w:ascii="Arial" w:cs="Arial" w:eastAsia="Arial" w:hAnsi="Arial"/>
                <w:sz w:val="18"/>
                <w:szCs w:val="18"/>
                <w:color w:val="auto"/>
              </w:rPr>
              <w:t>Net income (loss) attributable to NBCUniversal</w:t>
            </w:r>
          </w:p>
        </w:tc>
        <w:tc>
          <w:tcPr>
            <w:tcW w:w="2300" w:type="dxa"/>
            <w:vAlign w:val="bottom"/>
            <w:gridSpan w:val="2"/>
          </w:tcPr>
          <w:p>
            <w:pPr>
              <w:ind w:left="2180"/>
              <w:spacing w:after="0" w:line="200" w:lineRule="exact"/>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2"/>
              <w:spacing w:after="0" w:line="200" w:lineRule="exact"/>
              <w:rPr>
                <w:sz w:val="20"/>
                <w:szCs w:val="20"/>
                <w:color w:val="auto"/>
              </w:rPr>
            </w:pPr>
            <w:r>
              <w:rPr>
                <w:rFonts w:ascii="Arial" w:cs="Arial" w:eastAsia="Arial" w:hAnsi="Arial"/>
                <w:sz w:val="18"/>
                <w:szCs w:val="18"/>
                <w:b w:val="1"/>
                <w:bCs w:val="1"/>
                <w:color w:val="auto"/>
              </w:rPr>
              <w:t>3,055</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1,683</w:t>
            </w:r>
          </w:p>
        </w:tc>
        <w:tc>
          <w:tcPr>
            <w:tcW w:w="220" w:type="dxa"/>
            <w:vAlign w:val="bottom"/>
            <w:tcBorders>
              <w:right w:val="single" w:sz="8" w:color="auto"/>
            </w:tcBorders>
          </w:tcPr>
          <w:p>
            <w:pPr>
              <w:spacing w:after="0"/>
              <w:rPr>
                <w:sz w:val="17"/>
                <w:szCs w:val="17"/>
                <w:color w:val="auto"/>
              </w:rPr>
            </w:pPr>
          </w:p>
        </w:tc>
        <w:tc>
          <w:tcPr>
            <w:tcW w:w="36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
              <w:spacing w:after="0" w:line="200" w:lineRule="exact"/>
              <w:rPr>
                <w:sz w:val="20"/>
                <w:szCs w:val="20"/>
                <w:color w:val="auto"/>
              </w:rPr>
            </w:pPr>
            <w:r>
              <w:rPr>
                <w:rFonts w:ascii="Arial" w:cs="Arial" w:eastAsia="Arial" w:hAnsi="Arial"/>
                <w:sz w:val="18"/>
                <w:szCs w:val="18"/>
                <w:color w:val="auto"/>
              </w:rPr>
              <w:t>(23)</w:t>
            </w:r>
          </w:p>
        </w:tc>
        <w:tc>
          <w:tcPr>
            <w:tcW w:w="200" w:type="dxa"/>
            <w:vAlign w:val="bottom"/>
          </w:tcPr>
          <w:p>
            <w:pPr>
              <w:ind w:left="80"/>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line="200" w:lineRule="exact"/>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Transfers from (to) noncontrolling interests: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Increase in NBCUniversal member’s capital resulting from the purchases of</w:t>
            </w:r>
          </w:p>
        </w:tc>
        <w:tc>
          <w:tcPr>
            <w:tcW w:w="860" w:type="dxa"/>
            <w:vAlign w:val="bottom"/>
            <w:vMerge w:val="restart"/>
          </w:tcPr>
          <w:p>
            <w:pPr>
              <w:jc w:val="right"/>
              <w:ind w:right="2"/>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noncontrolling equity interest</w:t>
            </w:r>
          </w:p>
        </w:tc>
        <w:tc>
          <w:tcPr>
            <w:tcW w:w="2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89</w:t>
            </w:r>
          </w:p>
        </w:tc>
        <w:tc>
          <w:tcPr>
            <w:tcW w:w="2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7040" w:type="dxa"/>
            <w:vAlign w:val="bottom"/>
            <w:gridSpan w:val="3"/>
          </w:tcPr>
          <w:p>
            <w:pPr>
              <w:spacing w:after="0" w:line="177" w:lineRule="exact"/>
              <w:rPr>
                <w:sz w:val="20"/>
                <w:szCs w:val="20"/>
                <w:color w:val="auto"/>
              </w:rPr>
            </w:pPr>
            <w:r>
              <w:rPr>
                <w:rFonts w:ascii="Arial" w:cs="Arial" w:eastAsia="Arial" w:hAnsi="Arial"/>
                <w:sz w:val="18"/>
                <w:szCs w:val="18"/>
                <w:color w:val="auto"/>
              </w:rPr>
              <w:t>Changes in member’s equity from net income (loss) attributable to NBCUniversal and</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740" w:type="dxa"/>
            <w:vAlign w:val="bottom"/>
            <w:tcBorders>
              <w:bottom w:val="single" w:sz="8" w:color="53439A"/>
            </w:tcBorders>
          </w:tcPr>
          <w:p>
            <w:pPr>
              <w:ind w:left="220"/>
              <w:spacing w:after="0"/>
              <w:rPr>
                <w:sz w:val="20"/>
                <w:szCs w:val="20"/>
                <w:color w:val="auto"/>
              </w:rPr>
            </w:pPr>
            <w:r>
              <w:rPr>
                <w:rFonts w:ascii="Arial" w:cs="Arial" w:eastAsia="Arial" w:hAnsi="Arial"/>
                <w:sz w:val="18"/>
                <w:szCs w:val="18"/>
                <w:color w:val="auto"/>
              </w:rPr>
              <w:t>transfers from (to) noncontrolling interests</w:t>
            </w:r>
          </w:p>
        </w:tc>
        <w:tc>
          <w:tcPr>
            <w:tcW w:w="2300" w:type="dxa"/>
            <w:vAlign w:val="bottom"/>
            <w:tcBorders>
              <w:bottom w:val="single" w:sz="8" w:color="53439A"/>
            </w:tcBorders>
            <w:gridSpan w:val="2"/>
          </w:tcPr>
          <w:p>
            <w:pPr>
              <w:ind w:left="2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53439A"/>
            </w:tcBorders>
          </w:tcPr>
          <w:p>
            <w:pPr>
              <w:jc w:val="right"/>
              <w:ind w:right="2"/>
              <w:spacing w:after="0"/>
              <w:rPr>
                <w:sz w:val="20"/>
                <w:szCs w:val="20"/>
                <w:color w:val="auto"/>
              </w:rPr>
            </w:pPr>
            <w:r>
              <w:rPr>
                <w:rFonts w:ascii="Arial" w:cs="Arial" w:eastAsia="Arial" w:hAnsi="Arial"/>
                <w:sz w:val="18"/>
                <w:szCs w:val="18"/>
                <w:b w:val="1"/>
                <w:bCs w:val="1"/>
                <w:color w:val="auto"/>
              </w:rPr>
              <w:t>3,059</w:t>
            </w:r>
          </w:p>
        </w:tc>
        <w:tc>
          <w:tcPr>
            <w:tcW w:w="20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Borders>
              <w:bottom w:val="single" w:sz="8" w:color="53439A"/>
              <w:right w:val="single" w:sz="8" w:color="auto"/>
            </w:tcBorders>
          </w:tcPr>
          <w:p>
            <w:pPr>
              <w:spacing w:after="0"/>
              <w:rPr>
                <w:sz w:val="19"/>
                <w:szCs w:val="19"/>
                <w:color w:val="auto"/>
              </w:rPr>
            </w:pPr>
          </w:p>
        </w:tc>
        <w:tc>
          <w:tcPr>
            <w:tcW w:w="360" w:type="dxa"/>
            <w:vAlign w:val="bottom"/>
            <w:tcBorders>
              <w:bottom w:val="single" w:sz="8" w:color="53439A"/>
            </w:tcBorders>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439A"/>
            </w:tcBorders>
          </w:tcPr>
          <w:p>
            <w:pPr>
              <w:jc w:val="right"/>
              <w:ind w:right="2"/>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53439A"/>
            </w:tcBorders>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19"/>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376"/>
        </w:trPr>
        <w:tc>
          <w:tcPr>
            <w:tcW w:w="4740" w:type="dxa"/>
            <w:vAlign w:val="bottom"/>
          </w:tcPr>
          <w:p>
            <w:pPr>
              <w:spacing w:after="0"/>
              <w:rPr>
                <w:sz w:val="20"/>
                <w:szCs w:val="20"/>
                <w:color w:val="auto"/>
              </w:rPr>
            </w:pPr>
            <w:r>
              <w:rPr>
                <w:rFonts w:ascii="Arial" w:cs="Arial" w:eastAsia="Arial" w:hAnsi="Arial"/>
                <w:sz w:val="18"/>
                <w:szCs w:val="18"/>
                <w:color w:val="53439A"/>
              </w:rPr>
              <w:t>Redeemable Noncontrolling Interests</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1"/>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For the Period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2"/>
                <w:szCs w:val="12"/>
                <w:color w:val="auto"/>
              </w:rPr>
            </w:pPr>
          </w:p>
        </w:tc>
        <w:tc>
          <w:tcPr>
            <w:tcW w:w="840" w:type="dxa"/>
            <w:vAlign w:val="bottom"/>
          </w:tcPr>
          <w:p>
            <w:pPr>
              <w:jc w:val="right"/>
              <w:ind w:right="19"/>
              <w:spacing w:after="0" w:line="149" w:lineRule="exact"/>
              <w:rPr>
                <w:sz w:val="20"/>
                <w:szCs w:val="20"/>
                <w:color w:val="auto"/>
              </w:rPr>
            </w:pPr>
            <w:r>
              <w:rPr>
                <w:rFonts w:ascii="Arial" w:cs="Arial" w:eastAsia="Arial" w:hAnsi="Arial"/>
                <w:sz w:val="14"/>
                <w:szCs w:val="14"/>
                <w:color w:val="auto"/>
                <w:w w:val="98"/>
              </w:rPr>
              <w:t>January 29,</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19"/>
              <w:spacing w:after="0" w:line="133" w:lineRule="exact"/>
              <w:rPr>
                <w:sz w:val="20"/>
                <w:szCs w:val="20"/>
                <w:color w:val="auto"/>
              </w:rPr>
            </w:pPr>
            <w:r>
              <w:rPr>
                <w:rFonts w:ascii="Arial" w:cs="Arial" w:eastAsia="Arial" w:hAnsi="Arial"/>
                <w:sz w:val="14"/>
                <w:szCs w:val="14"/>
                <w:color w:val="auto"/>
              </w:rPr>
              <w:t>2011 to</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right"/>
              <w:ind w:right="62"/>
              <w:spacing w:after="0" w:line="14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4740" w:type="dxa"/>
            <w:vAlign w:val="bottom"/>
          </w:tcPr>
          <w:p>
            <w:pPr>
              <w:spacing w:after="0" w:line="177" w:lineRule="exact"/>
              <w:rPr>
                <w:sz w:val="20"/>
                <w:szCs w:val="20"/>
                <w:color w:val="auto"/>
              </w:rPr>
            </w:pPr>
            <w:r>
              <w:rPr>
                <w:rFonts w:ascii="Arial" w:cs="Arial" w:eastAsia="Arial" w:hAnsi="Arial"/>
                <w:sz w:val="18"/>
                <w:szCs w:val="18"/>
                <w:color w:val="auto"/>
              </w:rPr>
              <w:t>Beginning balance</w:t>
            </w: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3"/>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62"/>
              <w:spacing w:after="0" w:line="177" w:lineRule="exact"/>
              <w:rPr>
                <w:sz w:val="20"/>
                <w:szCs w:val="20"/>
                <w:color w:val="auto"/>
              </w:rPr>
            </w:pPr>
            <w:r>
              <w:rPr>
                <w:rFonts w:ascii="Arial" w:cs="Arial" w:eastAsia="Arial" w:hAnsi="Arial"/>
                <w:sz w:val="18"/>
                <w:szCs w:val="18"/>
                <w:b w:val="1"/>
                <w:bCs w:val="1"/>
                <w:color w:val="auto"/>
              </w:rPr>
              <w:t>184</w:t>
            </w:r>
          </w:p>
        </w:tc>
        <w:tc>
          <w:tcPr>
            <w:tcW w:w="200" w:type="dxa"/>
            <w:vAlign w:val="bottom"/>
          </w:tcPr>
          <w:p>
            <w:pPr>
              <w:ind w:left="60"/>
              <w:spacing w:after="0" w:line="177"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62"/>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Distributions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
              <w:spacing w:after="0" w:line="202" w:lineRule="exact"/>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Purchases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
              <w:spacing w:after="0" w:line="202" w:lineRule="exact"/>
              <w:rPr>
                <w:sz w:val="20"/>
                <w:szCs w:val="20"/>
                <w:color w:val="auto"/>
              </w:rPr>
            </w:pPr>
            <w:r>
              <w:rPr>
                <w:rFonts w:ascii="Arial" w:cs="Arial" w:eastAsia="Arial" w:hAnsi="Arial"/>
                <w:sz w:val="18"/>
                <w:szCs w:val="18"/>
                <w:b w:val="1"/>
                <w:bCs w:val="1"/>
                <w:color w:val="auto"/>
              </w:rPr>
              <w:t>(47)</w:t>
            </w:r>
          </w:p>
        </w:tc>
        <w:tc>
          <w:tcPr>
            <w:tcW w:w="200" w:type="dxa"/>
            <w:vAlign w:val="bottom"/>
          </w:tcPr>
          <w:p>
            <w:pPr>
              <w:spacing w:after="0"/>
              <w:rPr>
                <w:sz w:val="17"/>
                <w:szCs w:val="17"/>
                <w:color w:val="auto"/>
              </w:rPr>
            </w:pPr>
          </w:p>
        </w:tc>
        <w:tc>
          <w:tcPr>
            <w:tcW w:w="8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18</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Ending Balance</w:t>
            </w:r>
          </w:p>
        </w:tc>
        <w:tc>
          <w:tcPr>
            <w:tcW w:w="2080" w:type="dxa"/>
            <w:vAlign w:val="bottom"/>
            <w:tcBorders>
              <w:bottom w:val="single" w:sz="8" w:color="53439A"/>
            </w:tcBorders>
          </w:tcPr>
          <w:p>
            <w:pPr>
              <w:spacing w:after="0"/>
              <w:rPr>
                <w:sz w:val="17"/>
                <w:szCs w:val="17"/>
                <w:color w:val="auto"/>
              </w:rPr>
            </w:pPr>
          </w:p>
        </w:tc>
        <w:tc>
          <w:tcPr>
            <w:tcW w:w="220" w:type="dxa"/>
            <w:vAlign w:val="bottom"/>
            <w:tcBorders>
              <w:bottom w:val="single" w:sz="8" w:color="53439A"/>
            </w:tcBorders>
          </w:tcPr>
          <w:p>
            <w:pPr>
              <w:spacing w:after="0"/>
              <w:rPr>
                <w:sz w:val="17"/>
                <w:szCs w:val="17"/>
                <w:color w:val="auto"/>
              </w:rPr>
            </w:pPr>
          </w:p>
        </w:tc>
        <w:tc>
          <w:tcPr>
            <w:tcW w:w="860" w:type="dxa"/>
            <w:vAlign w:val="bottom"/>
            <w:tcBorders>
              <w:bottom w:val="single" w:sz="8" w:color="53439A"/>
            </w:tcBorders>
          </w:tcPr>
          <w:p>
            <w:pPr>
              <w:spacing w:after="0"/>
              <w:rPr>
                <w:sz w:val="17"/>
                <w:szCs w:val="17"/>
                <w:color w:val="auto"/>
              </w:rPr>
            </w:pPr>
          </w:p>
        </w:tc>
        <w:tc>
          <w:tcPr>
            <w:tcW w:w="200" w:type="dxa"/>
            <w:vAlign w:val="bottom"/>
            <w:tcBorders>
              <w:bottom w:val="single" w:sz="8" w:color="53439A"/>
            </w:tcBorders>
          </w:tcPr>
          <w:p>
            <w:pPr>
              <w:spacing w:after="0"/>
              <w:rPr>
                <w:sz w:val="17"/>
                <w:szCs w:val="17"/>
                <w:color w:val="auto"/>
              </w:rPr>
            </w:pPr>
          </w:p>
        </w:tc>
        <w:tc>
          <w:tcPr>
            <w:tcW w:w="800" w:type="dxa"/>
            <w:vAlign w:val="bottom"/>
            <w:tcBorders>
              <w:bottom w:val="single" w:sz="8" w:color="53439A"/>
            </w:tcBorders>
          </w:tcPr>
          <w:p>
            <w:pPr>
              <w:spacing w:after="0"/>
              <w:rPr>
                <w:sz w:val="17"/>
                <w:szCs w:val="17"/>
                <w:color w:val="auto"/>
              </w:rPr>
            </w:pPr>
          </w:p>
        </w:tc>
        <w:tc>
          <w:tcPr>
            <w:tcW w:w="220" w:type="dxa"/>
            <w:vAlign w:val="bottom"/>
            <w:tcBorders>
              <w:bottom w:val="single" w:sz="8" w:color="53439A"/>
            </w:tcBorders>
          </w:tcPr>
          <w:p>
            <w:pPr>
              <w:spacing w:after="0"/>
              <w:rPr>
                <w:sz w:val="17"/>
                <w:szCs w:val="17"/>
                <w:color w:val="auto"/>
              </w:rPr>
            </w:pPr>
          </w:p>
        </w:tc>
        <w:tc>
          <w:tcPr>
            <w:tcW w:w="360" w:type="dxa"/>
            <w:vAlign w:val="bottom"/>
            <w:tcBorders>
              <w:bottom w:val="single" w:sz="8" w:color="53439A"/>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3439A"/>
            </w:tcBorders>
          </w:tcPr>
          <w:p>
            <w:pPr>
              <w:jc w:val="right"/>
              <w:ind w:right="62"/>
              <w:spacing w:after="0" w:line="196" w:lineRule="exact"/>
              <w:rPr>
                <w:sz w:val="20"/>
                <w:szCs w:val="20"/>
                <w:color w:val="auto"/>
              </w:rPr>
            </w:pPr>
            <w:r>
              <w:rPr>
                <w:rFonts w:ascii="Arial" w:cs="Arial" w:eastAsia="Arial" w:hAnsi="Arial"/>
                <w:sz w:val="18"/>
                <w:szCs w:val="18"/>
                <w:b w:val="1"/>
                <w:bCs w:val="1"/>
                <w:color w:val="auto"/>
              </w:rPr>
              <w:t>131</w:t>
            </w:r>
          </w:p>
        </w:tc>
        <w:tc>
          <w:tcPr>
            <w:tcW w:w="20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53439A"/>
            </w:tcBorders>
          </w:tcPr>
          <w:p>
            <w:pPr>
              <w:jc w:val="right"/>
              <w:ind w:right="19"/>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370"/>
        </w:trPr>
        <w:tc>
          <w:tcPr>
            <w:tcW w:w="7040" w:type="dxa"/>
            <w:vAlign w:val="bottom"/>
            <w:gridSpan w:val="3"/>
          </w:tcPr>
          <w:p>
            <w:pPr>
              <w:spacing w:after="0"/>
              <w:rPr>
                <w:sz w:val="20"/>
                <w:szCs w:val="20"/>
                <w:color w:val="auto"/>
              </w:rPr>
            </w:pPr>
            <w:r>
              <w:rPr>
                <w:rFonts w:ascii="Arial" w:cs="Arial" w:eastAsia="Arial" w:hAnsi="Arial"/>
                <w:sz w:val="18"/>
                <w:szCs w:val="18"/>
                <w:color w:val="auto"/>
              </w:rPr>
              <w:t>We did not hold any redeemable noncontrolling interests in any Predecessor period.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474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2080" w:type="dxa"/>
            <w:vAlign w:val="bottom"/>
          </w:tcPr>
          <w:p>
            <w:pPr>
              <w:jc w:val="right"/>
              <w:ind w:right="899"/>
              <w:spacing w:after="0"/>
              <w:rPr>
                <w:sz w:val="20"/>
                <w:szCs w:val="20"/>
                <w:color w:val="auto"/>
              </w:rPr>
            </w:pPr>
            <w:r>
              <w:rPr>
                <w:rFonts w:ascii="Arial" w:cs="Arial" w:eastAsia="Arial" w:hAnsi="Arial"/>
                <w:sz w:val="14"/>
                <w:szCs w:val="14"/>
                <w:b w:val="1"/>
                <w:bCs w:val="1"/>
                <w:color w:val="auto"/>
              </w:rPr>
              <w:t>72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12: Pension, Postretirement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pension and postretirement benefit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100" w:type="dxa"/>
            <w:vAlign w:val="bottom"/>
          </w:tcPr>
          <w:p>
            <w:pPr>
              <w:spacing w:after="0"/>
              <w:rPr>
                <w:sz w:val="12"/>
                <w:szCs w:val="12"/>
                <w:color w:val="auto"/>
              </w:rPr>
            </w:pPr>
          </w:p>
        </w:tc>
        <w:tc>
          <w:tcPr>
            <w:tcW w:w="2920" w:type="dxa"/>
            <w:vAlign w:val="bottom"/>
            <w:gridSpan w:val="3"/>
            <w:vMerge w:val="restart"/>
          </w:tcPr>
          <w:p>
            <w:pPr>
              <w:jc w:val="right"/>
              <w:ind w:right="497"/>
              <w:spacing w:after="0"/>
              <w:rPr>
                <w:sz w:val="20"/>
                <w:szCs w:val="20"/>
                <w:color w:val="auto"/>
              </w:rPr>
            </w:pPr>
            <w:r>
              <w:rPr>
                <w:rFonts w:ascii="Arial" w:cs="Arial" w:eastAsia="Arial" w:hAnsi="Arial"/>
                <w:sz w:val="14"/>
                <w:szCs w:val="14"/>
                <w:b w:val="1"/>
                <w:bCs w:val="1"/>
                <w:color w:val="auto"/>
              </w:rPr>
              <w:t>Year Ended December 31, 2012</w:t>
            </w:r>
          </w:p>
        </w:tc>
        <w:tc>
          <w:tcPr>
            <w:tcW w:w="2400" w:type="dxa"/>
            <w:vAlign w:val="bottom"/>
            <w:gridSpan w:val="4"/>
          </w:tcPr>
          <w:p>
            <w:pPr>
              <w:jc w:val="center"/>
              <w:ind w:right="135"/>
              <w:spacing w:after="0" w:line="141" w:lineRule="exact"/>
              <w:rPr>
                <w:sz w:val="20"/>
                <w:szCs w:val="20"/>
                <w:color w:val="auto"/>
              </w:rPr>
            </w:pPr>
            <w:r>
              <w:rPr>
                <w:rFonts w:ascii="Arial" w:cs="Arial" w:eastAsia="Arial" w:hAnsi="Arial"/>
                <w:sz w:val="14"/>
                <w:szCs w:val="14"/>
                <w:color w:val="auto"/>
                <w:w w:val="97"/>
              </w:rPr>
              <w:t>For the Period January 29, 2011 to</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92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left="318"/>
              <w:spacing w:after="0" w:line="149" w:lineRule="exact"/>
              <w:rPr>
                <w:sz w:val="20"/>
                <w:szCs w:val="20"/>
                <w:color w:val="auto"/>
              </w:rPr>
            </w:pPr>
            <w:r>
              <w:rPr>
                <w:rFonts w:ascii="Arial" w:cs="Arial" w:eastAsia="Arial" w:hAnsi="Arial"/>
                <w:sz w:val="14"/>
                <w:szCs w:val="14"/>
                <w:color w:val="auto"/>
                <w:w w:val="95"/>
              </w:rPr>
              <w:t>December 31, 2011</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100" w:type="dxa"/>
            <w:vAlign w:val="bottom"/>
          </w:tcPr>
          <w:p>
            <w:pPr>
              <w:spacing w:after="0"/>
              <w:rPr>
                <w:sz w:val="11"/>
                <w:szCs w:val="11"/>
                <w:color w:val="auto"/>
              </w:rPr>
            </w:pPr>
          </w:p>
        </w:tc>
        <w:tc>
          <w:tcPr>
            <w:tcW w:w="158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Pension</w:t>
            </w:r>
          </w:p>
        </w:tc>
        <w:tc>
          <w:tcPr>
            <w:tcW w:w="1340" w:type="dxa"/>
            <w:vAlign w:val="bottom"/>
            <w:gridSpan w:val="2"/>
          </w:tcPr>
          <w:p>
            <w:pPr>
              <w:jc w:val="right"/>
              <w:ind w:right="217"/>
              <w:spacing w:after="0" w:line="129" w:lineRule="exact"/>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1"/>
                <w:szCs w:val="11"/>
                <w:color w:val="auto"/>
              </w:rPr>
            </w:pPr>
          </w:p>
        </w:tc>
        <w:tc>
          <w:tcPr>
            <w:tcW w:w="1120" w:type="dxa"/>
            <w:vAlign w:val="bottom"/>
          </w:tcPr>
          <w:p>
            <w:pPr>
              <w:jc w:val="right"/>
              <w:ind w:right="138"/>
              <w:spacing w:after="0" w:line="129" w:lineRule="exact"/>
              <w:rPr>
                <w:sz w:val="20"/>
                <w:szCs w:val="20"/>
                <w:color w:val="auto"/>
              </w:rPr>
            </w:pPr>
            <w:r>
              <w:rPr>
                <w:rFonts w:ascii="Arial" w:cs="Arial" w:eastAsia="Arial" w:hAnsi="Arial"/>
                <w:sz w:val="14"/>
                <w:szCs w:val="14"/>
                <w:color w:val="auto"/>
              </w:rPr>
              <w:t>Pension</w:t>
            </w:r>
          </w:p>
        </w:tc>
        <w:tc>
          <w:tcPr>
            <w:tcW w:w="1180" w:type="dxa"/>
            <w:vAlign w:val="bottom"/>
            <w:gridSpan w:val="2"/>
          </w:tcPr>
          <w:p>
            <w:pPr>
              <w:jc w:val="right"/>
              <w:ind w:right="135"/>
              <w:spacing w:after="0" w:line="129" w:lineRule="exact"/>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76"/>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Benefits</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Benefits</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4"/>
              </w:rPr>
              <w:t>Benefits</w:t>
            </w:r>
          </w:p>
        </w:tc>
        <w:tc>
          <w:tcPr>
            <w:tcW w:w="0" w:type="dxa"/>
            <w:vAlign w:val="bottom"/>
          </w:tcPr>
          <w:p>
            <w:pPr>
              <w:spacing w:after="0"/>
              <w:rPr>
                <w:sz w:val="1"/>
                <w:szCs w:val="1"/>
                <w:color w:val="auto"/>
              </w:rPr>
            </w:pPr>
          </w:p>
        </w:tc>
      </w:tr>
      <w:tr>
        <w:trPr>
          <w:trHeight w:val="177"/>
        </w:trPr>
        <w:tc>
          <w:tcPr>
            <w:tcW w:w="61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1580" w:type="dxa"/>
            <w:vAlign w:val="bottom"/>
          </w:tcPr>
          <w:p>
            <w:pPr>
              <w:jc w:val="right"/>
              <w:ind w:right="1018"/>
              <w:spacing w:after="0" w:line="177" w:lineRule="exact"/>
              <w:rPr>
                <w:sz w:val="20"/>
                <w:szCs w:val="20"/>
                <w:color w:val="auto"/>
              </w:rPr>
            </w:pPr>
            <w:r>
              <w:rPr>
                <w:rFonts w:ascii="Arial" w:cs="Arial" w:eastAsia="Arial" w:hAnsi="Arial"/>
                <w:sz w:val="18"/>
                <w:szCs w:val="18"/>
                <w:b w:val="1"/>
                <w:bCs w:val="1"/>
                <w:color w:val="auto"/>
              </w:rPr>
              <w:t>$546</w:t>
            </w:r>
          </w:p>
        </w:tc>
        <w:tc>
          <w:tcPr>
            <w:tcW w:w="340" w:type="dxa"/>
            <w:vAlign w:val="bottom"/>
          </w:tcPr>
          <w:p>
            <w:pPr>
              <w:jc w:val="right"/>
              <w:ind w:right="82"/>
              <w:spacing w:after="0" w:line="177"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7"/>
              <w:spacing w:after="0" w:line="177" w:lineRule="exact"/>
              <w:rPr>
                <w:sz w:val="20"/>
                <w:szCs w:val="20"/>
                <w:color w:val="auto"/>
              </w:rPr>
            </w:pPr>
            <w:r>
              <w:rPr>
                <w:rFonts w:ascii="Arial" w:cs="Arial" w:eastAsia="Arial" w:hAnsi="Arial"/>
                <w:sz w:val="18"/>
                <w:szCs w:val="18"/>
                <w:b w:val="1"/>
                <w:bCs w:val="1"/>
                <w:color w:val="auto"/>
              </w:rPr>
              <w:t>177</w:t>
            </w:r>
          </w:p>
        </w:tc>
        <w:tc>
          <w:tcPr>
            <w:tcW w:w="100" w:type="dxa"/>
            <w:vAlign w:val="bottom"/>
          </w:tcPr>
          <w:p>
            <w:pPr>
              <w:jc w:val="right"/>
              <w:spacing w:after="0" w:line="177"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8"/>
              <w:spacing w:after="0" w:line="177" w:lineRule="exact"/>
              <w:rPr>
                <w:sz w:val="20"/>
                <w:szCs w:val="20"/>
                <w:color w:val="auto"/>
              </w:rPr>
            </w:pPr>
            <w:r>
              <w:rPr>
                <w:rFonts w:ascii="Arial" w:cs="Arial" w:eastAsia="Arial" w:hAnsi="Arial"/>
                <w:sz w:val="18"/>
                <w:szCs w:val="18"/>
                <w:color w:val="auto"/>
              </w:rPr>
              <w:t>427</w:t>
            </w:r>
          </w:p>
        </w:tc>
        <w:tc>
          <w:tcPr>
            <w:tcW w:w="460" w:type="dxa"/>
            <w:vAlign w:val="bottom"/>
          </w:tcPr>
          <w:p>
            <w:pPr>
              <w:jc w:val="right"/>
              <w:ind w:right="202"/>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610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1580" w:type="dxa"/>
            <w:vAlign w:val="bottom"/>
          </w:tcPr>
          <w:p>
            <w:pPr>
              <w:jc w:val="right"/>
              <w:ind w:right="138"/>
              <w:spacing w:after="0" w:line="202" w:lineRule="exact"/>
              <w:rPr>
                <w:sz w:val="20"/>
                <w:szCs w:val="20"/>
                <w:color w:val="auto"/>
              </w:rPr>
            </w:pPr>
            <w:r>
              <w:rPr>
                <w:rFonts w:ascii="Arial" w:cs="Arial" w:eastAsia="Arial" w:hAnsi="Arial"/>
                <w:sz w:val="18"/>
                <w:szCs w:val="18"/>
                <w:b w:val="1"/>
                <w:bCs w:val="1"/>
                <w:color w:val="auto"/>
              </w:rPr>
              <w:t>217</w:t>
            </w:r>
          </w:p>
        </w:tc>
        <w:tc>
          <w:tcPr>
            <w:tcW w:w="340" w:type="dxa"/>
            <w:vAlign w:val="bottom"/>
          </w:tcPr>
          <w:p>
            <w:pPr>
              <w:spacing w:after="0"/>
              <w:rPr>
                <w:sz w:val="17"/>
                <w:szCs w:val="17"/>
                <w:color w:val="auto"/>
              </w:rPr>
            </w:pPr>
          </w:p>
        </w:tc>
        <w:tc>
          <w:tcPr>
            <w:tcW w:w="1000" w:type="dxa"/>
            <w:vAlign w:val="bottom"/>
          </w:tcPr>
          <w:p>
            <w:pPr>
              <w:jc w:val="right"/>
              <w:ind w:right="21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7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Plan funded status and recorded benefit obligation</w:t>
            </w:r>
          </w:p>
        </w:tc>
        <w:tc>
          <w:tcPr>
            <w:tcW w:w="1580" w:type="dxa"/>
            <w:vAlign w:val="bottom"/>
          </w:tcPr>
          <w:p>
            <w:pPr>
              <w:jc w:val="right"/>
              <w:ind w:right="78"/>
              <w:spacing w:after="0" w:line="202" w:lineRule="exact"/>
              <w:rPr>
                <w:sz w:val="20"/>
                <w:szCs w:val="20"/>
                <w:color w:val="auto"/>
              </w:rPr>
            </w:pPr>
            <w:r>
              <w:rPr>
                <w:rFonts w:ascii="Arial" w:cs="Arial" w:eastAsia="Arial" w:hAnsi="Arial"/>
                <w:sz w:val="18"/>
                <w:szCs w:val="18"/>
                <w:b w:val="1"/>
                <w:bCs w:val="1"/>
                <w:color w:val="auto"/>
              </w:rPr>
              <w:t>(329)</w:t>
            </w:r>
          </w:p>
        </w:tc>
        <w:tc>
          <w:tcPr>
            <w:tcW w:w="340" w:type="dxa"/>
            <w:vAlign w:val="bottom"/>
          </w:tcPr>
          <w:p>
            <w:pPr>
              <w:spacing w:after="0"/>
              <w:rPr>
                <w:sz w:val="17"/>
                <w:szCs w:val="17"/>
                <w:color w:val="auto"/>
              </w:rPr>
            </w:pPr>
          </w:p>
        </w:tc>
        <w:tc>
          <w:tcPr>
            <w:tcW w:w="1000" w:type="dxa"/>
            <w:vAlign w:val="bottom"/>
          </w:tcPr>
          <w:p>
            <w:pPr>
              <w:jc w:val="right"/>
              <w:ind w:right="157"/>
              <w:spacing w:after="0" w:line="202" w:lineRule="exact"/>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7"/>
                <w:szCs w:val="17"/>
                <w:color w:val="auto"/>
              </w:rPr>
            </w:pPr>
          </w:p>
        </w:tc>
        <w:tc>
          <w:tcPr>
            <w:tcW w:w="11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(427)</w:t>
            </w:r>
          </w:p>
        </w:tc>
        <w:tc>
          <w:tcPr>
            <w:tcW w:w="460" w:type="dxa"/>
            <w:vAlign w:val="bottom"/>
          </w:tcPr>
          <w:p>
            <w:pPr>
              <w:spacing w:after="0"/>
              <w:rPr>
                <w:sz w:val="17"/>
                <w:szCs w:val="17"/>
                <w:color w:val="auto"/>
              </w:rPr>
            </w:pP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 benefit expense</w:t>
            </w:r>
          </w:p>
        </w:tc>
        <w:tc>
          <w:tcPr>
            <w:tcW w:w="1580" w:type="dxa"/>
            <w:vAlign w:val="bottom"/>
          </w:tcPr>
          <w:p>
            <w:pPr>
              <w:jc w:val="right"/>
              <w:ind w:right="138"/>
              <w:spacing w:after="0" w:line="202" w:lineRule="exact"/>
              <w:rPr>
                <w:sz w:val="20"/>
                <w:szCs w:val="20"/>
                <w:color w:val="auto"/>
              </w:rPr>
            </w:pPr>
            <w:r>
              <w:rPr>
                <w:rFonts w:ascii="Arial" w:cs="Arial" w:eastAsia="Arial" w:hAnsi="Arial"/>
                <w:sz w:val="18"/>
                <w:szCs w:val="18"/>
                <w:b w:val="1"/>
                <w:bCs w:val="1"/>
                <w:color w:val="auto"/>
              </w:rPr>
              <w:t>53</w:t>
            </w:r>
          </w:p>
        </w:tc>
        <w:tc>
          <w:tcPr>
            <w:tcW w:w="340" w:type="dxa"/>
            <w:vAlign w:val="bottom"/>
          </w:tcPr>
          <w:p>
            <w:pPr>
              <w:spacing w:after="0"/>
              <w:rPr>
                <w:sz w:val="17"/>
                <w:szCs w:val="17"/>
                <w:color w:val="auto"/>
              </w:rPr>
            </w:pPr>
          </w:p>
        </w:tc>
        <w:tc>
          <w:tcPr>
            <w:tcW w:w="1000" w:type="dxa"/>
            <w:vAlign w:val="bottom"/>
          </w:tcPr>
          <w:p>
            <w:pPr>
              <w:jc w:val="right"/>
              <w:ind w:right="157"/>
              <w:spacing w:after="0" w:line="202" w:lineRule="exact"/>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7"/>
                <w:szCs w:val="17"/>
                <w:color w:val="auto"/>
              </w:rPr>
            </w:pPr>
          </w:p>
        </w:tc>
        <w:tc>
          <w:tcPr>
            <w:tcW w:w="112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71</w:t>
            </w:r>
          </w:p>
        </w:tc>
        <w:tc>
          <w:tcPr>
            <w:tcW w:w="460" w:type="dxa"/>
            <w:vAlign w:val="bottom"/>
          </w:tcPr>
          <w:p>
            <w:pPr>
              <w:spacing w:after="0"/>
              <w:rPr>
                <w:sz w:val="17"/>
                <w:szCs w:val="17"/>
                <w:color w:val="auto"/>
              </w:rPr>
            </w:pP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610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Benefits expense</w:t>
            </w:r>
            <w:r>
              <w:rPr>
                <w:rFonts w:ascii="Arial" w:cs="Arial" w:eastAsia="Arial" w:hAnsi="Arial"/>
                <w:sz w:val="22"/>
                <w:szCs w:val="22"/>
                <w:color w:val="auto"/>
                <w:vertAlign w:val="superscript"/>
              </w:rPr>
              <w:t>(b)</w:t>
            </w:r>
          </w:p>
        </w:tc>
        <w:tc>
          <w:tcPr>
            <w:tcW w:w="15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142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111</w:t>
            </w: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7"/>
        </w:trPr>
        <w:tc>
          <w:tcPr>
            <w:tcW w:w="610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15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3.75 – 4.25%</w:t>
            </w:r>
          </w:p>
        </w:tc>
        <w:tc>
          <w:tcPr>
            <w:tcW w:w="340" w:type="dxa"/>
            <w:vAlign w:val="bottom"/>
          </w:tcPr>
          <w:p>
            <w:pPr>
              <w:spacing w:after="0"/>
              <w:rPr>
                <w:sz w:val="15"/>
                <w:szCs w:val="15"/>
                <w:color w:val="auto"/>
              </w:rPr>
            </w:pPr>
          </w:p>
        </w:tc>
        <w:tc>
          <w:tcPr>
            <w:tcW w:w="1000" w:type="dxa"/>
            <w:vAlign w:val="bottom"/>
          </w:tcPr>
          <w:p>
            <w:pPr>
              <w:jc w:val="right"/>
              <w:ind w:right="57"/>
              <w:spacing w:after="0" w:line="177" w:lineRule="exact"/>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w w:val="97"/>
              </w:rPr>
              <w:t>4.75 – 5.25%</w:t>
            </w:r>
          </w:p>
        </w:tc>
        <w:tc>
          <w:tcPr>
            <w:tcW w:w="46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1"/>
        </w:trPr>
        <w:tc>
          <w:tcPr>
            <w:tcW w:w="6100" w:type="dxa"/>
            <w:vAlign w:val="bottom"/>
            <w:tcBorders>
              <w:bottom w:val="single" w:sz="8" w:color="53439A"/>
            </w:tcBorders>
          </w:tcPr>
          <w:p>
            <w:pPr>
              <w:spacing w:after="0"/>
              <w:rPr>
                <w:sz w:val="20"/>
                <w:szCs w:val="20"/>
                <w:color w:val="auto"/>
              </w:rPr>
            </w:pPr>
            <w:r>
              <w:rPr>
                <w:rFonts w:ascii="Arial" w:cs="Arial" w:eastAsia="Arial" w:hAnsi="Arial"/>
                <w:sz w:val="18"/>
                <w:szCs w:val="18"/>
                <w:color w:val="auto"/>
              </w:rPr>
              <w:t>Expected return on plan assets</w:t>
            </w:r>
          </w:p>
        </w:tc>
        <w:tc>
          <w:tcPr>
            <w:tcW w:w="1580" w:type="dxa"/>
            <w:vAlign w:val="bottom"/>
            <w:tcBorders>
              <w:bottom w:val="single" w:sz="8" w:color="53439A"/>
            </w:tcBorders>
          </w:tcPr>
          <w:p>
            <w:pPr>
              <w:jc w:val="right"/>
              <w:spacing w:after="0"/>
              <w:rPr>
                <w:sz w:val="20"/>
                <w:szCs w:val="20"/>
                <w:color w:val="auto"/>
              </w:rPr>
            </w:pPr>
            <w:r>
              <w:rPr>
                <w:rFonts w:ascii="Arial" w:cs="Arial" w:eastAsia="Arial" w:hAnsi="Arial"/>
                <w:sz w:val="18"/>
                <w:szCs w:val="18"/>
                <w:b w:val="1"/>
                <w:bCs w:val="1"/>
                <w:color w:val="auto"/>
              </w:rPr>
              <w:t>5.00%</w:t>
            </w:r>
          </w:p>
        </w:tc>
        <w:tc>
          <w:tcPr>
            <w:tcW w:w="340" w:type="dxa"/>
            <w:vAlign w:val="bottom"/>
            <w:tcBorders>
              <w:bottom w:val="single" w:sz="8" w:color="53439A"/>
            </w:tcBorders>
          </w:tcPr>
          <w:p>
            <w:pPr>
              <w:spacing w:after="0"/>
              <w:rPr>
                <w:sz w:val="19"/>
                <w:szCs w:val="19"/>
                <w:color w:val="auto"/>
              </w:rPr>
            </w:pPr>
          </w:p>
        </w:tc>
        <w:tc>
          <w:tcPr>
            <w:tcW w:w="1000" w:type="dxa"/>
            <w:vAlign w:val="bottom"/>
            <w:tcBorders>
              <w:bottom w:val="single" w:sz="8" w:color="53439A"/>
            </w:tcBorders>
          </w:tcPr>
          <w:p>
            <w:pPr>
              <w:jc w:val="right"/>
              <w:ind w:right="217"/>
              <w:spacing w:after="0"/>
              <w:rPr>
                <w:sz w:val="20"/>
                <w:szCs w:val="20"/>
                <w:color w:val="auto"/>
              </w:rPr>
            </w:pPr>
            <w:r>
              <w:rPr>
                <w:rFonts w:ascii="Arial" w:cs="Arial" w:eastAsia="Arial" w:hAnsi="Arial"/>
                <w:sz w:val="18"/>
                <w:szCs w:val="18"/>
                <w:b w:val="1"/>
                <w:bCs w:val="1"/>
                <w:color w:val="auto"/>
              </w:rPr>
              <w:t>N/A</w:t>
            </w:r>
          </w:p>
        </w:tc>
        <w:tc>
          <w:tcPr>
            <w:tcW w:w="100" w:type="dxa"/>
            <w:vAlign w:val="bottom"/>
            <w:tcBorders>
              <w:bottom w:val="single" w:sz="8" w:color="53439A"/>
            </w:tcBorders>
          </w:tcPr>
          <w:p>
            <w:pPr>
              <w:spacing w:after="0"/>
              <w:rPr>
                <w:sz w:val="19"/>
                <w:szCs w:val="19"/>
                <w:color w:val="auto"/>
              </w:rPr>
            </w:pPr>
          </w:p>
        </w:tc>
        <w:tc>
          <w:tcPr>
            <w:tcW w:w="1120" w:type="dxa"/>
            <w:vAlign w:val="bottom"/>
            <w:tcBorders>
              <w:bottom w:val="single" w:sz="8" w:color="53439A"/>
            </w:tcBorders>
          </w:tcPr>
          <w:p>
            <w:pPr>
              <w:jc w:val="right"/>
              <w:ind w:right="138"/>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53439A"/>
            </w:tcBorders>
          </w:tcPr>
          <w:p>
            <w:pPr>
              <w:spacing w:after="0"/>
              <w:rPr>
                <w:sz w:val="19"/>
                <w:szCs w:val="19"/>
                <w:color w:val="auto"/>
              </w:rPr>
            </w:pPr>
          </w:p>
        </w:tc>
        <w:tc>
          <w:tcPr>
            <w:tcW w:w="720" w:type="dxa"/>
            <w:vAlign w:val="bottom"/>
            <w:tcBorders>
              <w:bottom w:val="single" w:sz="8" w:color="53439A"/>
            </w:tcBorders>
          </w:tcPr>
          <w:p>
            <w:pPr>
              <w:jc w:val="right"/>
              <w:ind w:right="1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fair value of the plan assets are primarily based on Level 1 inputs using quoted market prices for identical financial instruments in an active market.</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2012 and 2011 amounts included service costs related to our pension benefits of $134 million and $99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a qualified plan and nonqualified plan that each provide a lifetime income benefit based on an individual’s length of service and related compensation. The qualified plan does not give credit to eligible participants for the length of service provided before the close of the Joint Venture transaction. The nonqualified plan gives credit to eligible participants for the length of service provided before the close of the Joint Venture transaction to the extent that participants did not vest in a supplemental pension plan sponsored by GE. In October 2012, NBCUniversal provided notice to its plan participants of an amendment to both the qualified and nonqualified NBCUniversal defined benefit plans that froze future benefits effective December 31, 2012. In 2012, we have funded our qualified plan with sufficient contributions to meet our funding requirements through 2013. The nonqualified plan is unfunded. We are also obligated to reimburse GE for future benefit payments to those participants that were vested in the supplemental pension plan sponsored by GE at the time of the close of the Joint Venture transaction.</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expense we recognize related to our defined benefit plans is determined using certain assumptions, including the discount rate and the expected long-term rate of return on plan assets. We cease to recognize service costs associated with our defined benefit plans following the date on which future benefits are frozen. We recognize the funded or unfunded status of our defined benefit plans as an asset or liability in our consolidated balance sheet and recognize changes in the funded status in the year in which the changes occur through accumulated other comprehensive income (loss). In the event of a defined benefit plan termination, we expect to fully fund and settle the plan within 180 days of approval by the Internal Revenue Service and the Pension Benefit Guaranty Corporation.</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balance sheet also includes the assets and liabilities of certain legacy pension plans, as well as the assets and liabilities for pension plans of certain foreign subsidiaries. As of December 31, 2012 and 2011, the benefit obligations associated with these plans exceeded the value of their plan assets by $50 million and $38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postretirement medical and life insurance plans that provide continuous coverage to employees eligible to receive such benefits and give credit for length of service provided before the close of the Joint Venture</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73</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transaction. Certain covered employees also retain the right, following retirement, to elect to participate in corresponding plans sponsored by GE.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our employees make such elections, we will reimburse GE for any amounts due.</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Substantially all of the employees that joined NBCUniversal from the Comcast Content Business at the close of the Joint Venture transaction participate in a postretirement healthcare stipend program (the “stipend plan”).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related to our postretirement benefit plans is determined using certain assumptions, including the discount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 GE Benefit Plans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Before January 28, 2011, our employees participated in GE-sponsored employee benefit plans, including GE’s primary defined benefit pension plan, a nonqualified supplemental pension plan, a defined contribution savings plan, and a number of GE health and life insurance plans.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table below presents the amounts charged to us by GE and recognized in our consolidated statement of income related to our employees’ participation in GE sponsored plans during the predecessor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color w:val="auto"/>
              </w:rPr>
              <w:t>Predecessor</w:t>
            </w:r>
          </w:p>
        </w:tc>
        <w:tc>
          <w:tcPr>
            <w:tcW w:w="860" w:type="dxa"/>
            <w:vAlign w:val="bottom"/>
            <w:tcBorders>
              <w:bottom w:val="single" w:sz="8" w:color="auto"/>
            </w:tcBorders>
          </w:tcPr>
          <w:p>
            <w:pPr>
              <w:spacing w:after="0"/>
              <w:rPr>
                <w:sz w:val="14"/>
                <w:szCs w:val="14"/>
                <w:color w:val="auto"/>
              </w:rPr>
            </w:pPr>
          </w:p>
        </w:tc>
      </w:tr>
      <w:tr>
        <w:trPr>
          <w:trHeight w:val="141"/>
        </w:trPr>
        <w:tc>
          <w:tcPr>
            <w:tcW w:w="8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9"/>
              <w:spacing w:after="0" w:line="141" w:lineRule="exact"/>
              <w:rPr>
                <w:sz w:val="20"/>
                <w:szCs w:val="20"/>
                <w:color w:val="auto"/>
              </w:rPr>
            </w:pPr>
            <w:r>
              <w:rPr>
                <w:rFonts w:ascii="Arial" w:cs="Arial" w:eastAsia="Arial" w:hAnsi="Arial"/>
                <w:sz w:val="14"/>
                <w:szCs w:val="14"/>
                <w:color w:val="auto"/>
              </w:rPr>
              <w:t>For the Period</w:t>
            </w: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8700" w:type="dxa"/>
            <w:vAlign w:val="bottom"/>
          </w:tcPr>
          <w:p>
            <w:pPr>
              <w:spacing w:after="0"/>
              <w:rPr>
                <w:sz w:val="12"/>
                <w:szCs w:val="12"/>
                <w:color w:val="auto"/>
              </w:rPr>
            </w:pPr>
          </w:p>
        </w:tc>
        <w:tc>
          <w:tcPr>
            <w:tcW w:w="13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January 1, 2011 to</w:t>
            </w:r>
          </w:p>
        </w:tc>
        <w:tc>
          <w:tcPr>
            <w:tcW w:w="5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8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gridSpan w:val="2"/>
          </w:tcPr>
          <w:p>
            <w:pPr>
              <w:jc w:val="right"/>
              <w:ind w:right="39"/>
              <w:spacing w:after="0" w:line="149" w:lineRule="exact"/>
              <w:rPr>
                <w:sz w:val="20"/>
                <w:szCs w:val="20"/>
                <w:color w:val="auto"/>
              </w:rPr>
            </w:pPr>
            <w:r>
              <w:rPr>
                <w:rFonts w:ascii="Arial" w:cs="Arial" w:eastAsia="Arial" w:hAnsi="Arial"/>
                <w:sz w:val="14"/>
                <w:szCs w:val="14"/>
                <w:color w:val="auto"/>
              </w:rPr>
              <w:t>January 28, 2011</w:t>
            </w:r>
          </w:p>
        </w:tc>
        <w:tc>
          <w:tcPr>
            <w:tcW w:w="13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w w:val="99"/>
              </w:rPr>
              <w:t>December 31, 2010</w:t>
            </w:r>
          </w:p>
        </w:tc>
      </w:tr>
      <w:tr>
        <w:trPr>
          <w:trHeight w:val="199"/>
        </w:trPr>
        <w:tc>
          <w:tcPr>
            <w:tcW w:w="8700" w:type="dxa"/>
            <w:vAlign w:val="bottom"/>
          </w:tcPr>
          <w:p>
            <w:pPr>
              <w:spacing w:after="0" w:line="200" w:lineRule="exact"/>
              <w:rPr>
                <w:sz w:val="20"/>
                <w:szCs w:val="20"/>
                <w:color w:val="auto"/>
              </w:rPr>
            </w:pPr>
            <w:r>
              <w:rPr>
                <w:rFonts w:ascii="Arial" w:cs="Arial" w:eastAsia="Arial" w:hAnsi="Arial"/>
                <w:sz w:val="18"/>
                <w:szCs w:val="18"/>
                <w:color w:val="auto"/>
              </w:rPr>
              <w:t>GE pension plans</w:t>
            </w:r>
            <w:r>
              <w:rPr>
                <w:rFonts w:ascii="Arial" w:cs="Arial" w:eastAsia="Arial" w:hAnsi="Arial"/>
                <w:sz w:val="11"/>
                <w:szCs w:val="11"/>
                <w:color w:val="auto"/>
              </w:rPr>
              <w:t>(a)</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819"/>
              <w:spacing w:after="0" w:line="200" w:lineRule="exact"/>
              <w:rPr>
                <w:sz w:val="20"/>
                <w:szCs w:val="20"/>
                <w:color w:val="auto"/>
              </w:rPr>
            </w:pPr>
            <w:r>
              <w:rPr>
                <w:rFonts w:ascii="Arial" w:cs="Arial" w:eastAsia="Arial" w:hAnsi="Arial"/>
                <w:sz w:val="18"/>
                <w:szCs w:val="18"/>
                <w:color w:val="auto"/>
                <w:w w:val="99"/>
              </w:rPr>
              <w:t>20</w:t>
            </w:r>
          </w:p>
        </w:tc>
        <w:tc>
          <w:tcPr>
            <w:tcW w:w="500" w:type="dxa"/>
            <w:vAlign w:val="bottom"/>
          </w:tcPr>
          <w:p>
            <w:pPr>
              <w:ind w:left="12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18</w:t>
            </w: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GE health and life insurance plans and other</w:t>
            </w:r>
            <w:r>
              <w:rPr>
                <w:rFonts w:ascii="Arial" w:cs="Arial" w:eastAsia="Arial" w:hAnsi="Arial"/>
                <w:sz w:val="11"/>
                <w:szCs w:val="11"/>
                <w:color w:val="auto"/>
              </w:rPr>
              <w:t>(b)</w:t>
            </w:r>
          </w:p>
        </w:tc>
        <w:tc>
          <w:tcPr>
            <w:tcW w:w="240" w:type="dxa"/>
            <w:vAlign w:val="bottom"/>
          </w:tcPr>
          <w:p>
            <w:pPr>
              <w:spacing w:after="0"/>
              <w:rPr>
                <w:sz w:val="17"/>
                <w:szCs w:val="17"/>
                <w:color w:val="auto"/>
              </w:rPr>
            </w:pPr>
          </w:p>
        </w:tc>
        <w:tc>
          <w:tcPr>
            <w:tcW w:w="11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20</w:t>
            </w: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r>
      <w:tr>
        <w:trPr>
          <w:trHeight w:val="199"/>
        </w:trPr>
        <w:tc>
          <w:tcPr>
            <w:tcW w:w="8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GE benefit plans</w:t>
            </w:r>
            <w:r>
              <w:rPr>
                <w:rFonts w:ascii="Arial" w:cs="Arial" w:eastAsia="Arial" w:hAnsi="Arial"/>
                <w:sz w:val="11"/>
                <w:szCs w:val="11"/>
                <w:color w:val="auto"/>
              </w:rPr>
              <w:t>(c)</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w:t>
            </w:r>
          </w:p>
        </w:tc>
      </w:tr>
      <w:tr>
        <w:trPr>
          <w:trHeight w:val="196"/>
        </w:trPr>
        <w:tc>
          <w:tcPr>
            <w:tcW w:w="8700" w:type="dxa"/>
            <w:vAlign w:val="bottom"/>
            <w:tcBorders>
              <w:bottom w:val="single" w:sz="8" w:color="53439A"/>
            </w:tcBorders>
          </w:tcPr>
          <w:p>
            <w:pPr>
              <w:spacing w:after="0"/>
              <w:rPr>
                <w:sz w:val="17"/>
                <w:szCs w:val="17"/>
                <w:color w:val="auto"/>
              </w:rPr>
            </w:pP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39"/>
              <w:spacing w:after="0" w:line="196" w:lineRule="exact"/>
              <w:rPr>
                <w:sz w:val="20"/>
                <w:szCs w:val="20"/>
                <w:color w:val="auto"/>
              </w:rPr>
            </w:pPr>
            <w:r>
              <w:rPr>
                <w:rFonts w:ascii="Arial" w:cs="Arial" w:eastAsia="Arial" w:hAnsi="Arial"/>
                <w:sz w:val="18"/>
                <w:szCs w:val="18"/>
                <w:color w:val="auto"/>
              </w:rPr>
              <w:t>43</w:t>
            </w:r>
          </w:p>
        </w:tc>
        <w:tc>
          <w:tcPr>
            <w:tcW w:w="500" w:type="dxa"/>
            <w:vAlign w:val="bottom"/>
            <w:tcBorders>
              <w:bottom w:val="single" w:sz="8" w:color="53439A"/>
            </w:tcBorders>
          </w:tcPr>
          <w:p>
            <w:pPr>
              <w:ind w:left="12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248</w:t>
            </w:r>
          </w:p>
        </w:tc>
      </w:tr>
    </w:tbl>
    <w:p>
      <w:pPr>
        <w:spacing w:after="0" w:line="67" w:lineRule="exact"/>
        <w:rPr>
          <w:sz w:val="20"/>
          <w:szCs w:val="20"/>
          <w:color w:val="auto"/>
        </w:rPr>
      </w:pPr>
    </w:p>
    <w:p>
      <w:pPr>
        <w:jc w:val="both"/>
        <w:ind w:left="300" w:hanging="292"/>
        <w:spacing w:after="0" w:line="228"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represents participation of certain of our employees under GE’s supplemental pension plan. In addition, prior to the Joint Venture transaction, our employees participated in GE’s primary pension plan, which is a defined benefit plan administered by GE. Our participation in that plan was accounted for as a participant in a multiemployer plan, for which we recorded expense only to the extent that we were required to fund the plan.</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represents our employees’ and retirees’ participation in GE’s principal retiree benefit plan.</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represents costs associated with our employees’ participation in GE’s defined contribution savings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Deferred Compensation Plans</w:t>
      </w:r>
    </w:p>
    <w:p>
      <w:pPr>
        <w:jc w:val="both"/>
        <w:spacing w:after="0" w:line="238" w:lineRule="auto"/>
        <w:rPr>
          <w:sz w:val="20"/>
          <w:szCs w:val="20"/>
          <w:color w:val="auto"/>
        </w:rPr>
      </w:pPr>
      <w:r>
        <w:rPr>
          <w:rFonts w:ascii="Arial" w:cs="Arial" w:eastAsia="Arial" w:hAnsi="Arial"/>
          <w:sz w:val="18"/>
          <w:szCs w:val="18"/>
          <w:color w:val="auto"/>
        </w:rPr>
        <w:t>We maintain an unfunded, nonqualified deferred compensation plan for certain employees (each, a “participant”). The amount of compensation deferred by each participant is based on participant elections. Participants in the plan designate one or more valuation funds, independently established funds or indices that are used to determine the amount of earnings to be credited or debited to the participant’s account.</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certain of our employees participate in Comcast’s unfunded, nonqualified deferred compensation plan. The amount of compensation deferred by each participant is based on participant elections. Participant accounts are credited with income primarily based on a fixed annual rate.</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case of both deferred compensation plans, participants are eligible to receive distributions of the amounts credited to their account based on elected deferral periods that are consistent with the plans and applicable tax law.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for these deferred compensation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Successor</w:t>
            </w:r>
          </w:p>
        </w:tc>
        <w:tc>
          <w:tcPr>
            <w:tcW w:w="1000" w:type="dxa"/>
            <w:vAlign w:val="bottom"/>
            <w:tcBorders>
              <w:bottom w:val="single" w:sz="8" w:color="auto"/>
            </w:tcBorders>
          </w:tcPr>
          <w:p>
            <w:pPr>
              <w:spacing w:after="0"/>
              <w:rPr>
                <w:sz w:val="14"/>
                <w:szCs w:val="14"/>
                <w:color w:val="auto"/>
              </w:rPr>
            </w:pPr>
          </w:p>
        </w:tc>
      </w:tr>
      <w:tr>
        <w:trPr>
          <w:trHeight w:val="125"/>
        </w:trPr>
        <w:tc>
          <w:tcPr>
            <w:tcW w:w="8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r>
      <w:tr>
        <w:trPr>
          <w:trHeight w:val="149"/>
        </w:trPr>
        <w:tc>
          <w:tcPr>
            <w:tcW w:w="8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r>
      <w:tr>
        <w:trPr>
          <w:trHeight w:val="165"/>
        </w:trPr>
        <w:tc>
          <w:tcPr>
            <w:tcW w:w="8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2012</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2011</w:t>
            </w:r>
          </w:p>
        </w:tc>
      </w:tr>
      <w:tr>
        <w:trPr>
          <w:trHeight w:val="177"/>
        </w:trPr>
        <w:tc>
          <w:tcPr>
            <w:tcW w:w="8600" w:type="dxa"/>
            <w:vAlign w:val="bottom"/>
          </w:tcPr>
          <w:p>
            <w:pPr>
              <w:spacing w:after="0" w:line="177" w:lineRule="exact"/>
              <w:rPr>
                <w:sz w:val="20"/>
                <w:szCs w:val="20"/>
                <w:color w:val="auto"/>
              </w:rPr>
            </w:pPr>
            <w:r>
              <w:rPr>
                <w:rFonts w:ascii="Arial" w:cs="Arial" w:eastAsia="Arial" w:hAnsi="Arial"/>
                <w:sz w:val="18"/>
                <w:szCs w:val="18"/>
                <w:color w:val="auto"/>
              </w:rPr>
              <w:t>Benefits obligation</w:t>
            </w:r>
          </w:p>
        </w:tc>
        <w:tc>
          <w:tcPr>
            <w:tcW w:w="380" w:type="dxa"/>
            <w:vAlign w:val="bottom"/>
          </w:tcPr>
          <w:p>
            <w:pPr>
              <w:ind w:left="100"/>
              <w:spacing w:after="0" w:line="177"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2"/>
              <w:spacing w:after="0" w:line="177" w:lineRule="exact"/>
              <w:rPr>
                <w:sz w:val="20"/>
                <w:szCs w:val="20"/>
                <w:color w:val="auto"/>
              </w:rPr>
            </w:pPr>
            <w:r>
              <w:rPr>
                <w:rFonts w:ascii="Arial" w:cs="Arial" w:eastAsia="Arial" w:hAnsi="Arial"/>
                <w:sz w:val="18"/>
                <w:szCs w:val="18"/>
                <w:b w:val="1"/>
                <w:bCs w:val="1"/>
                <w:color w:val="auto"/>
              </w:rPr>
              <w:t>163</w:t>
            </w:r>
          </w:p>
        </w:tc>
        <w:tc>
          <w:tcPr>
            <w:tcW w:w="380" w:type="dxa"/>
            <w:vAlign w:val="bottom"/>
          </w:tcPr>
          <w:p>
            <w:pPr>
              <w:jc w:val="right"/>
              <w:ind w:right="79"/>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114</w:t>
            </w:r>
          </w:p>
        </w:tc>
      </w:tr>
      <w:tr>
        <w:trPr>
          <w:trHeight w:val="221"/>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11</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3439A"/>
        </w:rPr>
        <w:t>Retirement Investment Plans</w:t>
      </w:r>
    </w:p>
    <w:p>
      <w:pPr>
        <w:jc w:val="both"/>
        <w:spacing w:after="0" w:line="236" w:lineRule="auto"/>
        <w:rPr>
          <w:sz w:val="20"/>
          <w:szCs w:val="20"/>
          <w:color w:val="auto"/>
        </w:rPr>
      </w:pPr>
      <w:r>
        <w:rPr>
          <w:rFonts w:ascii="Arial" w:cs="Arial" w:eastAsia="Arial" w:hAnsi="Arial"/>
          <w:sz w:val="18"/>
          <w:szCs w:val="18"/>
          <w:color w:val="auto"/>
        </w:rPr>
        <w:t>We sponsor a 401(k) defined contribution retirement plan for our U.S. employees and certain of our employees participate in a similar plan sponsored by Comcast. Effective January 1, 2013, the majority of our U.S. employees now participate in the plan sponsored by Comcast. In addition, we also provide similar defined contribution retirement plans for non-U.S. employees. Eligible employees contribute a portion of their compensation through payroll deductions in accordance with specified plan guidelines. We match a percentage of the employees’ contributions up to certain limits. In 2012 and for the period January 29, 2011 to December 31, 2011, expenses related to these plans were $85 million and $70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3439A"/>
        </w:rPr>
        <w:t>Multiemployer Benefit Plans</w:t>
      </w:r>
    </w:p>
    <w:p>
      <w:pPr>
        <w:jc w:val="both"/>
        <w:spacing w:after="0" w:line="236" w:lineRule="auto"/>
        <w:rPr>
          <w:sz w:val="20"/>
          <w:szCs w:val="20"/>
          <w:color w:val="auto"/>
        </w:rPr>
      </w:pPr>
      <w:r>
        <w:rPr>
          <w:rFonts w:ascii="Arial" w:cs="Arial" w:eastAsia="Arial" w:hAnsi="Arial"/>
          <w:sz w:val="18"/>
          <w:szCs w:val="18"/>
          <w:color w:val="auto"/>
        </w:rPr>
        <w:t>We also participate in various multiemployer pension and other benefit plans that cover some of our employees who are represented by labor unions. We make periodic contributions to these plans in accordance with the terms of applicable collective bargaining agreements and laws but do not sponsor or administer these plans. We do not participate in any multiemployer benefit plans where we consider our contributions to be individually significant, and the largest plans in which we participate are funded at a level of 80% or greater. The total contributions we made to multiemployer benefit plans in 2012 and for the period January 29, 2011 to December 31, 2011 were $53 million and $42 million, respectively. Our contributions to multiemployer benefit plans were not material for the predecessor periods presented.</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cease to be obligated to make contributions or otherwise withdraw from participation in any of these plans, applicable law requires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53439A"/>
        </w:rPr>
        <w:t>Severance Benefits</w:t>
      </w:r>
    </w:p>
    <w:p>
      <w:pPr>
        <w:jc w:val="both"/>
        <w:spacing w:after="0" w:line="238" w:lineRule="auto"/>
        <w:rPr>
          <w:sz w:val="20"/>
          <w:szCs w:val="20"/>
          <w:color w:val="auto"/>
        </w:rPr>
      </w:pPr>
      <w:r>
        <w:rPr>
          <w:rFonts w:ascii="Arial" w:cs="Arial" w:eastAsia="Arial" w:hAnsi="Arial"/>
          <w:sz w:val="18"/>
          <w:szCs w:val="18"/>
          <w:color w:val="auto"/>
        </w:rPr>
        <w:t>We provide severance benefits to certain former employees. A liability is recorded for benefits provided when payment is probable, the amount is reasonably estimable, and the obligation relates to rights that have vested or accumulated. During 2012 and the period January 29, 2011 to December 31, 2011, we recorded $90 million and $89 million, respectively, of severance costs.</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75</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condensed information on our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53439A"/>
        </w:rPr>
        <w:t>Recognized Share-Based Compensation Expense – Comcast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Successor</w:t>
            </w:r>
          </w:p>
        </w:tc>
        <w:tc>
          <w:tcPr>
            <w:tcW w:w="980" w:type="dxa"/>
            <w:vAlign w:val="bottom"/>
            <w:tcBorders>
              <w:bottom w:val="single" w:sz="8" w:color="auto"/>
            </w:tcBorders>
          </w:tcPr>
          <w:p>
            <w:pPr>
              <w:spacing w:after="0"/>
              <w:rPr>
                <w:sz w:val="14"/>
                <w:szCs w:val="14"/>
                <w:color w:val="auto"/>
              </w:rPr>
            </w:pPr>
          </w:p>
        </w:tc>
      </w:tr>
      <w:tr>
        <w:trPr>
          <w:trHeight w:val="125"/>
        </w:trPr>
        <w:tc>
          <w:tcPr>
            <w:tcW w:w="8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r>
      <w:tr>
        <w:trPr>
          <w:trHeight w:val="149"/>
        </w:trPr>
        <w:tc>
          <w:tcPr>
            <w:tcW w:w="8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r>
      <w:tr>
        <w:trPr>
          <w:trHeight w:val="165"/>
        </w:trPr>
        <w:tc>
          <w:tcPr>
            <w:tcW w:w="8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2012</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2011</w:t>
            </w:r>
          </w:p>
        </w:tc>
      </w:tr>
      <w:tr>
        <w:trPr>
          <w:trHeight w:val="177"/>
        </w:trPr>
        <w:tc>
          <w:tcPr>
            <w:tcW w:w="8600" w:type="dxa"/>
            <w:vAlign w:val="bottom"/>
          </w:tcPr>
          <w:p>
            <w:pPr>
              <w:spacing w:after="0" w:line="177" w:lineRule="exact"/>
              <w:rPr>
                <w:sz w:val="20"/>
                <w:szCs w:val="20"/>
                <w:color w:val="auto"/>
              </w:rPr>
            </w:pPr>
            <w:r>
              <w:rPr>
                <w:rFonts w:ascii="Arial" w:cs="Arial" w:eastAsia="Arial" w:hAnsi="Arial"/>
                <w:sz w:val="18"/>
                <w:szCs w:val="18"/>
                <w:color w:val="auto"/>
              </w:rPr>
              <w:t>Stock options</w:t>
            </w:r>
          </w:p>
        </w:tc>
        <w:tc>
          <w:tcPr>
            <w:tcW w:w="380" w:type="dxa"/>
            <w:vAlign w:val="bottom"/>
          </w:tcPr>
          <w:p>
            <w:pPr>
              <w:ind w:left="100"/>
              <w:spacing w:after="0" w:line="177"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9"/>
              <w:spacing w:after="0" w:line="177" w:lineRule="exact"/>
              <w:rPr>
                <w:sz w:val="20"/>
                <w:szCs w:val="20"/>
                <w:color w:val="auto"/>
              </w:rPr>
            </w:pPr>
            <w:r>
              <w:rPr>
                <w:rFonts w:ascii="Arial" w:cs="Arial" w:eastAsia="Arial" w:hAnsi="Arial"/>
                <w:sz w:val="18"/>
                <w:szCs w:val="18"/>
                <w:b w:val="1"/>
                <w:bCs w:val="1"/>
                <w:color w:val="auto"/>
              </w:rPr>
              <w:t>15</w:t>
            </w:r>
          </w:p>
        </w:tc>
        <w:tc>
          <w:tcPr>
            <w:tcW w:w="400" w:type="dxa"/>
            <w:vAlign w:val="bottom"/>
          </w:tcPr>
          <w:p>
            <w:pPr>
              <w:jc w:val="right"/>
              <w:ind w:right="99"/>
              <w:spacing w:after="0" w:line="177"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rPr>
              <w:t>13</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380" w:type="dxa"/>
            <w:vAlign w:val="bottom"/>
          </w:tcPr>
          <w:p>
            <w:pPr>
              <w:spacing w:after="0"/>
              <w:rPr>
                <w:sz w:val="17"/>
                <w:szCs w:val="17"/>
                <w:color w:val="auto"/>
              </w:rPr>
            </w:pPr>
          </w:p>
        </w:tc>
        <w:tc>
          <w:tcPr>
            <w:tcW w:w="1060" w:type="dxa"/>
            <w:vAlign w:val="bottom"/>
          </w:tcPr>
          <w:p>
            <w:pPr>
              <w:jc w:val="right"/>
              <w:ind w:right="39"/>
              <w:spacing w:after="0" w:line="202" w:lineRule="exact"/>
              <w:rPr>
                <w:sz w:val="20"/>
                <w:szCs w:val="20"/>
                <w:color w:val="auto"/>
              </w:rPr>
            </w:pPr>
            <w:r>
              <w:rPr>
                <w:rFonts w:ascii="Arial" w:cs="Arial" w:eastAsia="Arial" w:hAnsi="Arial"/>
                <w:sz w:val="18"/>
                <w:szCs w:val="18"/>
                <w:b w:val="1"/>
                <w:bCs w:val="1"/>
                <w:color w:val="auto"/>
              </w:rPr>
              <w:t>28</w:t>
            </w: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21"/>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860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53439A"/>
            </w:tcBorders>
          </w:tcPr>
          <w:p>
            <w:pPr>
              <w:jc w:val="right"/>
              <w:ind w:right="39"/>
              <w:spacing w:after="0" w:line="196" w:lineRule="exact"/>
              <w:rPr>
                <w:sz w:val="20"/>
                <w:szCs w:val="20"/>
                <w:color w:val="auto"/>
              </w:rPr>
            </w:pPr>
            <w:r>
              <w:rPr>
                <w:rFonts w:ascii="Arial" w:cs="Arial" w:eastAsia="Arial" w:hAnsi="Arial"/>
                <w:sz w:val="18"/>
                <w:szCs w:val="18"/>
                <w:b w:val="1"/>
                <w:bCs w:val="1"/>
                <w:color w:val="auto"/>
              </w:rPr>
              <w:t>47</w:t>
            </w:r>
          </w:p>
        </w:tc>
        <w:tc>
          <w:tcPr>
            <w:tcW w:w="400" w:type="dxa"/>
            <w:vAlign w:val="bottom"/>
            <w:tcBorders>
              <w:bottom w:val="single" w:sz="8" w:color="53439A"/>
            </w:tcBorders>
          </w:tcPr>
          <w:p>
            <w:pPr>
              <w:jc w:val="right"/>
              <w:ind w:right="99"/>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33</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we had unrecognized pretax compensation expense of $41 million related to 10 million nonvested Comcast stock options and unrecognized pretax compensation expense of $76 million related to 5.5 million nonvested Comcast restricted share units (“RSUs”) that will be recognized over a weighted-average period of approximately 2.2 years and 1.9 years, respectively.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RSUs to certain employees and directors as part of its approach to long-term incentive compensation. Awards generally vest over a period of five years and in the case of stock options, have a ten year term. Additionally, through the employee stock purchase plans, employees are able to purchase shares of Comcast Class A common stock at a discount through payroll deductions. Certain of our employees participate in these plans and the expense associated with their participation is settled in cash with Comcast.</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cost associated with our share-based compensation is based on an award’s estimated fair value at the date of grant and is recognized over the period in which any related services are provided. Comcast uses the Black-Scholes option pricing model to estimate the fair value of stock option awards. RSUs are valued based on the closing price of Comcast Class A common stock on the date of grant and are discounted for the lack of dividends, if any, during the vesting period.</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presents the weighted-average fair value on the date of grant of RSUs and Class A common stock options awarded under Comcast’s various plans to employees of NBCUniversal and the related weighted-average valuation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Successor</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2"/>
                <w:szCs w:val="12"/>
                <w:color w:val="auto"/>
              </w:rPr>
            </w:pPr>
          </w:p>
        </w:tc>
        <w:tc>
          <w:tcPr>
            <w:tcW w:w="1180" w:type="dxa"/>
            <w:vAlign w:val="bottom"/>
          </w:tcPr>
          <w:p>
            <w:pPr>
              <w:jc w:val="right"/>
              <w:ind w:right="135"/>
              <w:spacing w:after="0" w:line="141" w:lineRule="exact"/>
              <w:rPr>
                <w:sz w:val="20"/>
                <w:szCs w:val="20"/>
                <w:color w:val="auto"/>
              </w:rPr>
            </w:pPr>
            <w:r>
              <w:rPr>
                <w:rFonts w:ascii="Arial" w:cs="Arial" w:eastAsia="Arial" w:hAnsi="Arial"/>
                <w:sz w:val="14"/>
                <w:szCs w:val="14"/>
                <w:color w:val="auto"/>
              </w:rPr>
              <w:t>For the Period</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50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January 29, 2011 to</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2012</w:t>
            </w: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December 31, 2011</w:t>
            </w:r>
          </w:p>
        </w:tc>
        <w:tc>
          <w:tcPr>
            <w:tcW w:w="0" w:type="dxa"/>
            <w:vAlign w:val="bottom"/>
          </w:tcPr>
          <w:p>
            <w:pPr>
              <w:spacing w:after="0"/>
              <w:rPr>
                <w:sz w:val="1"/>
                <w:szCs w:val="1"/>
                <w:color w:val="auto"/>
              </w:rPr>
            </w:pPr>
          </w:p>
        </w:tc>
      </w:tr>
      <w:tr>
        <w:trPr>
          <w:trHeight w:val="177"/>
        </w:trPr>
        <w:tc>
          <w:tcPr>
            <w:tcW w:w="432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4440" w:type="dxa"/>
            <w:vAlign w:val="bottom"/>
            <w:gridSpan w:val="2"/>
          </w:tcPr>
          <w:p>
            <w:pPr>
              <w:ind w:left="4140"/>
              <w:spacing w:after="0" w:line="177"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27.51</w:t>
            </w:r>
          </w:p>
        </w:tc>
        <w:tc>
          <w:tcPr>
            <w:tcW w:w="320" w:type="dxa"/>
            <w:vAlign w:val="bottom"/>
          </w:tcPr>
          <w:p>
            <w:pPr>
              <w:ind w:left="80"/>
              <w:spacing w:after="0" w:line="177"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5"/>
        </w:trPr>
        <w:tc>
          <w:tcPr>
            <w:tcW w:w="432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4440" w:type="dxa"/>
            <w:vAlign w:val="bottom"/>
            <w:gridSpan w:val="2"/>
          </w:tcPr>
          <w:p>
            <w:pPr>
              <w:ind w:left="41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37"/>
              <w:spacing w:after="0"/>
              <w:rPr>
                <w:sz w:val="20"/>
                <w:szCs w:val="20"/>
                <w:color w:val="auto"/>
              </w:rPr>
            </w:pPr>
            <w:r>
              <w:rPr>
                <w:rFonts w:ascii="Arial" w:cs="Arial" w:eastAsia="Arial" w:hAnsi="Arial"/>
                <w:sz w:val="18"/>
                <w:szCs w:val="18"/>
                <w:b w:val="1"/>
                <w:bCs w:val="1"/>
                <w:color w:val="auto"/>
              </w:rPr>
              <w:t>7.42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2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4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29.0%</w:t>
            </w: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4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7.0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06"/>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4040" w:type="dxa"/>
            <w:vAlign w:val="bottom"/>
          </w:tcPr>
          <w:p>
            <w:pPr>
              <w:jc w:val="right"/>
              <w:ind w:right="2439"/>
              <w:spacing w:after="0"/>
              <w:rPr>
                <w:sz w:val="20"/>
                <w:szCs w:val="20"/>
                <w:color w:val="auto"/>
              </w:rPr>
            </w:pPr>
            <w:r>
              <w:rPr>
                <w:rFonts w:ascii="Arial" w:cs="Arial" w:eastAsia="Arial" w:hAnsi="Arial"/>
                <w:sz w:val="14"/>
                <w:szCs w:val="14"/>
                <w:b w:val="1"/>
                <w:bCs w:val="1"/>
                <w:color w:val="auto"/>
              </w:rPr>
              <w:t>76</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14: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Holdings has caused us and will continue to cause us to make distributions or loans to NBCUniversal Holdings to meet its cash requirements. These requirements include an obligation to make distributions on a quarterly basis to enable its indirect owners (Comcast and GE) to meet their obligations to pay taxes on taxable income generated by our businesses. During 2012 and the period January 29, 2011 through December 31, 2011, we made distributions to NBCUniversal Holdings of $964 million and $244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the Predecessor period ended January 28, 2011, we distributed $7.4 billion to GE prior to the close of the Joint Venture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53439A"/>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Successor</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December 31, 2012</w:t>
            </w:r>
          </w:p>
        </w:tc>
        <w:tc>
          <w:tcPr>
            <w:tcW w:w="13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December 31, 2011</w:t>
            </w:r>
          </w:p>
        </w:tc>
        <w:tc>
          <w:tcPr>
            <w:tcW w:w="0" w:type="dxa"/>
            <w:vAlign w:val="bottom"/>
          </w:tcPr>
          <w:p>
            <w:pPr>
              <w:spacing w:after="0"/>
              <w:rPr>
                <w:sz w:val="1"/>
                <w:szCs w:val="1"/>
                <w:color w:val="auto"/>
              </w:rPr>
            </w:pPr>
          </w:p>
        </w:tc>
      </w:tr>
      <w:tr>
        <w:trPr>
          <w:trHeight w:val="177"/>
        </w:trPr>
        <w:tc>
          <w:tcPr>
            <w:tcW w:w="8580" w:type="dxa"/>
            <w:vAlign w:val="bottom"/>
          </w:tcPr>
          <w:p>
            <w:pPr>
              <w:spacing w:after="0" w:line="177" w:lineRule="exact"/>
              <w:rPr>
                <w:sz w:val="20"/>
                <w:szCs w:val="20"/>
                <w:color w:val="auto"/>
              </w:rPr>
            </w:pPr>
            <w:r>
              <w:rPr>
                <w:rFonts w:ascii="Arial" w:cs="Arial" w:eastAsia="Arial" w:hAnsi="Arial"/>
                <w:sz w:val="18"/>
                <w:szCs w:val="18"/>
                <w:color w:val="auto"/>
              </w:rPr>
              <w:t>Unrecognized gains (losses) on employee benefit obligations</w:t>
            </w:r>
          </w:p>
        </w:tc>
        <w:tc>
          <w:tcPr>
            <w:tcW w:w="40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(50)</w:t>
            </w:r>
          </w:p>
        </w:tc>
        <w:tc>
          <w:tcPr>
            <w:tcW w:w="380" w:type="dxa"/>
            <w:vAlign w:val="bottom"/>
          </w:tcPr>
          <w:p>
            <w:pPr>
              <w:ind w:left="80"/>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Accumulated other comprehensive income (loss), net of deferred taxes</w:t>
            </w:r>
          </w:p>
        </w:tc>
        <w:tc>
          <w:tcPr>
            <w:tcW w:w="400" w:type="dxa"/>
            <w:vAlign w:val="bottom"/>
            <w:tcBorders>
              <w:bottom w:val="single" w:sz="8" w:color="53439A"/>
            </w:tcBorders>
            <w:gridSpan w:val="2"/>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(65)</w:t>
            </w:r>
          </w:p>
        </w:tc>
        <w:tc>
          <w:tcPr>
            <w:tcW w:w="3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532"/>
        </w:trPr>
        <w:tc>
          <w:tcPr>
            <w:tcW w:w="8580" w:type="dxa"/>
            <w:vAlign w:val="bottom"/>
          </w:tcPr>
          <w:p>
            <w:pPr>
              <w:spacing w:after="0"/>
              <w:rPr>
                <w:sz w:val="20"/>
                <w:szCs w:val="20"/>
                <w:color w:val="auto"/>
              </w:rPr>
            </w:pPr>
            <w:r>
              <w:rPr>
                <w:rFonts w:ascii="Arial" w:cs="Arial" w:eastAsia="Arial" w:hAnsi="Arial"/>
                <w:sz w:val="18"/>
                <w:szCs w:val="18"/>
                <w:b w:val="1"/>
                <w:bCs w:val="1"/>
                <w:color w:val="53439A"/>
              </w:rPr>
              <w:t>Note 15: Income Taxes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580" w:type="dxa"/>
            <w:vAlign w:val="bottom"/>
            <w:tcBorders>
              <w:bottom w:val="single" w:sz="8" w:color="53439A"/>
            </w:tcBorders>
          </w:tcPr>
          <w:p>
            <w:pPr>
              <w:spacing w:after="0"/>
              <w:rPr>
                <w:sz w:val="3"/>
                <w:szCs w:val="3"/>
                <w:color w:val="auto"/>
              </w:rPr>
            </w:pPr>
          </w:p>
        </w:tc>
        <w:tc>
          <w:tcPr>
            <w:tcW w:w="20" w:type="dxa"/>
            <w:vAlign w:val="bottom"/>
            <w:tcBorders>
              <w:bottom w:val="single" w:sz="8" w:color="53439A"/>
            </w:tcBorders>
          </w:tcPr>
          <w:p>
            <w:pPr>
              <w:spacing w:after="0"/>
              <w:rPr>
                <w:sz w:val="3"/>
                <w:szCs w:val="3"/>
                <w:color w:val="auto"/>
              </w:rPr>
            </w:pPr>
          </w:p>
        </w:tc>
        <w:tc>
          <w:tcPr>
            <w:tcW w:w="380" w:type="dxa"/>
            <w:vAlign w:val="bottom"/>
            <w:tcBorders>
              <w:bottom w:val="single" w:sz="8" w:color="53439A"/>
            </w:tcBorders>
          </w:tcPr>
          <w:p>
            <w:pPr>
              <w:spacing w:after="0"/>
              <w:rPr>
                <w:sz w:val="3"/>
                <w:szCs w:val="3"/>
                <w:color w:val="auto"/>
              </w:rPr>
            </w:pPr>
          </w:p>
        </w:tc>
        <w:tc>
          <w:tcPr>
            <w:tcW w:w="1060" w:type="dxa"/>
            <w:vAlign w:val="bottom"/>
            <w:tcBorders>
              <w:bottom w:val="single" w:sz="8" w:color="53439A"/>
            </w:tcBorders>
          </w:tcPr>
          <w:p>
            <w:pPr>
              <w:spacing w:after="0"/>
              <w:rPr>
                <w:sz w:val="3"/>
                <w:szCs w:val="3"/>
                <w:color w:val="auto"/>
              </w:rPr>
            </w:pPr>
          </w:p>
        </w:tc>
        <w:tc>
          <w:tcPr>
            <w:tcW w:w="380" w:type="dxa"/>
            <w:vAlign w:val="bottom"/>
            <w:tcBorders>
              <w:bottom w:val="single" w:sz="8" w:color="53439A"/>
            </w:tcBorders>
          </w:tcPr>
          <w:p>
            <w:pPr>
              <w:spacing w:after="0"/>
              <w:rPr>
                <w:sz w:val="3"/>
                <w:szCs w:val="3"/>
                <w:color w:val="auto"/>
              </w:rPr>
            </w:pPr>
          </w:p>
        </w:tc>
        <w:tc>
          <w:tcPr>
            <w:tcW w:w="1000" w:type="dxa"/>
            <w:vAlign w:val="bottom"/>
            <w:tcBorders>
              <w:bottom w:val="single" w:sz="8" w:color="53439A"/>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8580" w:type="dxa"/>
            <w:vAlign w:val="bottom"/>
          </w:tcPr>
          <w:p>
            <w:pPr>
              <w:spacing w:after="0"/>
              <w:rPr>
                <w:sz w:val="20"/>
                <w:szCs w:val="20"/>
                <w:color w:val="auto"/>
              </w:rPr>
            </w:pPr>
            <w:r>
              <w:rPr>
                <w:rFonts w:ascii="Arial" w:cs="Arial" w:eastAsia="Arial" w:hAnsi="Arial"/>
                <w:sz w:val="18"/>
                <w:szCs w:val="18"/>
                <w:color w:val="53439A"/>
              </w:rPr>
              <w:t>Components of Income Tax Expense</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Successor</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8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c>
          <w:tcPr>
            <w:tcW w:w="0" w:type="dxa"/>
            <w:vAlign w:val="bottom"/>
          </w:tcPr>
          <w:p>
            <w:pPr>
              <w:spacing w:after="0"/>
              <w:rPr>
                <w:sz w:val="1"/>
                <w:szCs w:val="1"/>
                <w:color w:val="auto"/>
              </w:rPr>
            </w:pPr>
          </w:p>
        </w:tc>
      </w:tr>
      <w:tr>
        <w:trPr>
          <w:trHeight w:val="165"/>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2012</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2011</w:t>
            </w:r>
          </w:p>
        </w:tc>
        <w:tc>
          <w:tcPr>
            <w:tcW w:w="0" w:type="dxa"/>
            <w:vAlign w:val="bottom"/>
          </w:tcPr>
          <w:p>
            <w:pPr>
              <w:spacing w:after="0"/>
              <w:rPr>
                <w:sz w:val="1"/>
                <w:szCs w:val="1"/>
                <w:color w:val="auto"/>
              </w:rPr>
            </w:pPr>
          </w:p>
        </w:tc>
      </w:tr>
      <w:tr>
        <w:trPr>
          <w:trHeight w:val="199"/>
        </w:trPr>
        <w:tc>
          <w:tcPr>
            <w:tcW w:w="8580" w:type="dxa"/>
            <w:vAlign w:val="bottom"/>
          </w:tcPr>
          <w:p>
            <w:pPr>
              <w:spacing w:after="0" w:line="200" w:lineRule="exact"/>
              <w:rPr>
                <w:sz w:val="20"/>
                <w:szCs w:val="20"/>
                <w:color w:val="auto"/>
              </w:rPr>
            </w:pPr>
            <w:r>
              <w:rPr>
                <w:rFonts w:ascii="Arial" w:cs="Arial" w:eastAsia="Arial" w:hAnsi="Arial"/>
                <w:sz w:val="18"/>
                <w:szCs w:val="18"/>
                <w:color w:val="auto"/>
              </w:rPr>
              <w:t>Foreign</w:t>
            </w:r>
          </w:p>
        </w:tc>
        <w:tc>
          <w:tcPr>
            <w:tcW w:w="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69</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580" w:type="dxa"/>
            <w:vAlign w:val="bottom"/>
          </w:tcPr>
          <w:p>
            <w:pPr>
              <w:ind w:left="220"/>
              <w:spacing w:after="0" w:line="181" w:lineRule="exact"/>
              <w:rPr>
                <w:sz w:val="20"/>
                <w:szCs w:val="20"/>
                <w:color w:val="auto"/>
              </w:rPr>
            </w:pPr>
            <w:r>
              <w:rPr>
                <w:rFonts w:ascii="Arial" w:cs="Arial" w:eastAsia="Arial" w:hAnsi="Arial"/>
                <w:sz w:val="18"/>
                <w:szCs w:val="18"/>
                <w:color w:val="auto"/>
              </w:rPr>
              <w:t>Current income tax expense</w:t>
            </w:r>
          </w:p>
        </w:tc>
        <w:tc>
          <w:tcPr>
            <w:tcW w:w="4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tcPr>
          <w:p>
            <w:pPr>
              <w:jc w:val="right"/>
              <w:ind w:right="79"/>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858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 expense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16</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8580" w:type="dxa"/>
            <w:vAlign w:val="bottom"/>
          </w:tcPr>
          <w:p>
            <w:pPr>
              <w:ind w:left="220"/>
              <w:spacing w:after="0" w:line="202" w:lineRule="exact"/>
              <w:rPr>
                <w:sz w:val="20"/>
                <w:szCs w:val="20"/>
                <w:color w:val="auto"/>
              </w:rPr>
            </w:pPr>
            <w:r>
              <w:rPr>
                <w:rFonts w:ascii="Arial" w:cs="Arial" w:eastAsia="Arial" w:hAnsi="Arial"/>
                <w:sz w:val="18"/>
                <w:szCs w:val="18"/>
                <w:color w:val="auto"/>
              </w:rPr>
              <w:t>Withholding tax expense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103</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domestic tax expense</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53439A"/>
            </w:tcBorders>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53439A"/>
            </w:tcBorders>
          </w:tcPr>
          <w:p>
            <w:pPr>
              <w:jc w:val="right"/>
              <w:ind w:right="38"/>
              <w:spacing w:after="0" w:line="196" w:lineRule="exact"/>
              <w:rPr>
                <w:sz w:val="20"/>
                <w:szCs w:val="20"/>
                <w:color w:val="auto"/>
              </w:rPr>
            </w:pPr>
            <w:r>
              <w:rPr>
                <w:rFonts w:ascii="Arial" w:cs="Arial" w:eastAsia="Arial" w:hAnsi="Arial"/>
                <w:sz w:val="18"/>
                <w:szCs w:val="18"/>
                <w:b w:val="1"/>
                <w:bCs w:val="1"/>
                <w:color w:val="auto"/>
              </w:rPr>
              <w:t>197</w:t>
            </w:r>
          </w:p>
        </w:tc>
        <w:tc>
          <w:tcPr>
            <w:tcW w:w="380" w:type="dxa"/>
            <w:vAlign w:val="bottom"/>
            <w:tcBorders>
              <w:bottom w:val="single" w:sz="8" w:color="53439A"/>
            </w:tcBorders>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a limited liability company, and our company is disregarded for U.S. federal income tax purposes as an entity separate from NBCUniversal Holdings, a tax partnership. NBCUniversal and our subsidiaries are not expected to incur any significant current or deferred U.S. domestic income taxes. Our tax liability is comprised primarily of withholding tax on foreign licensing activity and income taxes on foreign earnings. As a result of our tax status, the deferred tax assets and liabilities included in our consolidated balance sheet at December 31, 2012 and 2011 were not material.</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jurisdictions in which we are subject to income taxes, 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326"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77</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60"/>
        <w:spacing w:after="0" w:line="328" w:lineRule="auto"/>
        <w:rPr>
          <w:sz w:val="20"/>
          <w:szCs w:val="20"/>
          <w:color w:val="auto"/>
        </w:rPr>
      </w:pPr>
      <w:r>
        <w:rPr>
          <w:rFonts w:ascii="Arial" w:cs="Arial" w:eastAsia="Arial" w:hAnsi="Arial"/>
          <w:sz w:val="18"/>
          <w:szCs w:val="18"/>
          <w:color w:val="auto"/>
        </w:rPr>
        <w:t xml:space="preserve">We classify interest and penalties, if any, associated with our uncertain tax positions as a component of income tax expense. </w:t>
      </w:r>
      <w:r>
        <w:rPr>
          <w:rFonts w:ascii="Arial" w:cs="Arial" w:eastAsia="Arial" w:hAnsi="Arial"/>
          <w:sz w:val="18"/>
          <w:szCs w:val="18"/>
          <w:b w:val="1"/>
          <w:bCs w:val="1"/>
          <w:color w:val="auto"/>
        </w:rPr>
        <w:t>Uncertain Tax Positions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retain liabilities for uncertain tax positions where we are the tax filer of record. In addition to our change in taxable status in 2011, GE and Comcast have indemnified NBCUniversal Holdings and us with respect to our income tax obligations attributable to periods prior to the close of the Joint Venture transaction, including indemnification of uncertain tax positions relating to filings made prior to the close of the Joint Venture transaction. As a result of our taxable status and the indemnifications from GE and Comcast, the liabilities for uncertain tax positions included in our consolidated balance sheet were not material as of December 31, 2012 and 2011.</w:t>
      </w:r>
    </w:p>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Various domestic and foreign taxing authorities are examining our tax returns through 2011. The majority of the periods under examination relate to tax years 2004 and forward. All periods prior to January 28, 2011 that are subject to audit are covered by the indemnification from GE or Comcast.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periods prior to the Joint Venture transaction, our Predecessor was a U.S. corporation and incurred current and deferred U.S. and foreign taxes on worldwide income. The below tables present information on the taxes incurred by our Predecessor.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Income (Loss) Before Income Taxes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Predecessor</w:t>
            </w:r>
          </w:p>
        </w:tc>
        <w:tc>
          <w:tcPr>
            <w:tcW w:w="880" w:type="dxa"/>
            <w:vAlign w:val="bottom"/>
            <w:tcBorders>
              <w:bottom w:val="single" w:sz="8" w:color="auto"/>
            </w:tcBorders>
          </w:tcPr>
          <w:p>
            <w:pPr>
              <w:spacing w:after="0"/>
              <w:rPr>
                <w:sz w:val="14"/>
                <w:szCs w:val="14"/>
                <w:color w:val="auto"/>
              </w:rPr>
            </w:pPr>
          </w:p>
        </w:tc>
      </w:tr>
      <w:tr>
        <w:trPr>
          <w:trHeight w:val="141"/>
        </w:trPr>
        <w:tc>
          <w:tcPr>
            <w:tcW w:w="43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8"/>
              <w:spacing w:after="0" w:line="141" w:lineRule="exact"/>
              <w:rPr>
                <w:sz w:val="20"/>
                <w:szCs w:val="20"/>
                <w:color w:val="auto"/>
              </w:rPr>
            </w:pPr>
            <w:r>
              <w:rPr>
                <w:rFonts w:ascii="Arial" w:cs="Arial" w:eastAsia="Arial" w:hAnsi="Arial"/>
                <w:sz w:val="14"/>
                <w:szCs w:val="14"/>
                <w:color w:val="auto"/>
              </w:rPr>
              <w:t>For the Period</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43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January 1, 2011 to</w:t>
            </w:r>
          </w:p>
        </w:tc>
        <w:tc>
          <w:tcPr>
            <w:tcW w:w="4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4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4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38"/>
              <w:spacing w:after="0" w:line="149" w:lineRule="exact"/>
              <w:rPr>
                <w:sz w:val="20"/>
                <w:szCs w:val="20"/>
                <w:color w:val="auto"/>
              </w:rPr>
            </w:pPr>
            <w:r>
              <w:rPr>
                <w:rFonts w:ascii="Arial" w:cs="Arial" w:eastAsia="Arial" w:hAnsi="Arial"/>
                <w:sz w:val="14"/>
                <w:szCs w:val="14"/>
                <w:color w:val="auto"/>
              </w:rPr>
              <w:t>January 28, 2011</w:t>
            </w:r>
          </w:p>
        </w:tc>
        <w:tc>
          <w:tcPr>
            <w:tcW w:w="13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w w:val="99"/>
              </w:rPr>
              <w:t>December 31, 2010</w:t>
            </w:r>
          </w:p>
        </w:tc>
      </w:tr>
      <w:tr>
        <w:trPr>
          <w:trHeight w:val="199"/>
        </w:trPr>
        <w:tc>
          <w:tcPr>
            <w:tcW w:w="4320" w:type="dxa"/>
            <w:vAlign w:val="bottom"/>
          </w:tcPr>
          <w:p>
            <w:pPr>
              <w:spacing w:after="0" w:line="200" w:lineRule="exact"/>
              <w:rPr>
                <w:sz w:val="20"/>
                <w:szCs w:val="20"/>
                <w:color w:val="auto"/>
              </w:rPr>
            </w:pPr>
            <w:r>
              <w:rPr>
                <w:rFonts w:ascii="Arial" w:cs="Arial" w:eastAsia="Arial" w:hAnsi="Arial"/>
                <w:sz w:val="18"/>
                <w:szCs w:val="18"/>
                <w:color w:val="auto"/>
              </w:rPr>
              <w:t>United States</w:t>
            </w:r>
          </w:p>
        </w:tc>
        <w:tc>
          <w:tcPr>
            <w:tcW w:w="46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(39)</w:t>
            </w:r>
          </w:p>
        </w:tc>
        <w:tc>
          <w:tcPr>
            <w:tcW w:w="46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1,731</w:t>
            </w:r>
          </w:p>
        </w:tc>
      </w:tr>
      <w:tr>
        <w:trPr>
          <w:trHeight w:val="199"/>
        </w:trPr>
        <w:tc>
          <w:tcPr>
            <w:tcW w:w="4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International</w:t>
            </w:r>
          </w:p>
        </w:tc>
        <w:tc>
          <w:tcPr>
            <w:tcW w:w="4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530</w:t>
            </w:r>
          </w:p>
        </w:tc>
      </w:tr>
      <w:tr>
        <w:trPr>
          <w:trHeight w:val="196"/>
        </w:trPr>
        <w:tc>
          <w:tcPr>
            <w:tcW w:w="4320" w:type="dxa"/>
            <w:vAlign w:val="bottom"/>
            <w:tcBorders>
              <w:bottom w:val="single" w:sz="8" w:color="53439A"/>
            </w:tcBorders>
          </w:tcPr>
          <w:p>
            <w:pPr>
              <w:spacing w:after="0"/>
              <w:rPr>
                <w:sz w:val="17"/>
                <w:szCs w:val="17"/>
                <w:color w:val="auto"/>
              </w:rPr>
            </w:pPr>
          </w:p>
        </w:tc>
        <w:tc>
          <w:tcPr>
            <w:tcW w:w="4680" w:type="dxa"/>
            <w:vAlign w:val="bottom"/>
            <w:tcBorders>
              <w:bottom w:val="single" w:sz="8" w:color="53439A"/>
            </w:tcBorders>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(29)</w:t>
            </w:r>
          </w:p>
        </w:tc>
        <w:tc>
          <w:tcPr>
            <w:tcW w:w="46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2,261</w:t>
            </w:r>
          </w:p>
        </w:tc>
      </w:tr>
      <w:tr>
        <w:trPr>
          <w:trHeight w:val="370"/>
        </w:trPr>
        <w:tc>
          <w:tcPr>
            <w:tcW w:w="4320" w:type="dxa"/>
            <w:vAlign w:val="bottom"/>
          </w:tcPr>
          <w:p>
            <w:pPr>
              <w:spacing w:after="0"/>
              <w:rPr>
                <w:sz w:val="20"/>
                <w:szCs w:val="20"/>
                <w:color w:val="auto"/>
              </w:rPr>
            </w:pPr>
            <w:r>
              <w:rPr>
                <w:rFonts w:ascii="Arial" w:cs="Arial" w:eastAsia="Arial" w:hAnsi="Arial"/>
                <w:sz w:val="18"/>
                <w:szCs w:val="18"/>
                <w:color w:val="53439A"/>
              </w:rPr>
              <w:t>Components of Income Tax Expense</w:t>
            </w: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
        </w:trPr>
        <w:tc>
          <w:tcPr>
            <w:tcW w:w="4320" w:type="dxa"/>
            <w:vAlign w:val="bottom"/>
            <w:tcBorders>
              <w:bottom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43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Predecessor</w:t>
            </w:r>
          </w:p>
        </w:tc>
        <w:tc>
          <w:tcPr>
            <w:tcW w:w="880" w:type="dxa"/>
            <w:vAlign w:val="bottom"/>
            <w:tcBorders>
              <w:bottom w:val="single" w:sz="8" w:color="auto"/>
            </w:tcBorders>
          </w:tcPr>
          <w:p>
            <w:pPr>
              <w:spacing w:after="0"/>
              <w:rPr>
                <w:sz w:val="20"/>
                <w:szCs w:val="20"/>
                <w:color w:val="auto"/>
              </w:rPr>
            </w:pPr>
          </w:p>
        </w:tc>
      </w:tr>
      <w:tr>
        <w:trPr>
          <w:trHeight w:val="141"/>
        </w:trPr>
        <w:tc>
          <w:tcPr>
            <w:tcW w:w="43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98"/>
              <w:spacing w:after="0" w:line="141" w:lineRule="exact"/>
              <w:rPr>
                <w:sz w:val="20"/>
                <w:szCs w:val="20"/>
                <w:color w:val="auto"/>
              </w:rPr>
            </w:pPr>
            <w:r>
              <w:rPr>
                <w:rFonts w:ascii="Arial" w:cs="Arial" w:eastAsia="Arial" w:hAnsi="Arial"/>
                <w:sz w:val="14"/>
                <w:szCs w:val="14"/>
                <w:color w:val="auto"/>
                <w:w w:val="99"/>
              </w:rPr>
              <w:t>For the Period</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43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w w:val="98"/>
              </w:rPr>
              <w:t>January 1, 2011 to</w:t>
            </w:r>
          </w:p>
        </w:tc>
        <w:tc>
          <w:tcPr>
            <w:tcW w:w="460" w:type="dxa"/>
            <w:vAlign w:val="bottom"/>
          </w:tcPr>
          <w:p>
            <w:pPr>
              <w:spacing w:after="0"/>
              <w:rPr>
                <w:sz w:val="12"/>
                <w:szCs w:val="12"/>
                <w:color w:val="auto"/>
              </w:rPr>
            </w:pPr>
          </w:p>
        </w:tc>
        <w:tc>
          <w:tcPr>
            <w:tcW w:w="880" w:type="dxa"/>
            <w:vAlign w:val="bottom"/>
          </w:tcPr>
          <w:p>
            <w:pPr>
              <w:jc w:val="right"/>
              <w:ind w:right="15"/>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4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4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98"/>
              <w:spacing w:after="0" w:line="149" w:lineRule="exact"/>
              <w:rPr>
                <w:sz w:val="20"/>
                <w:szCs w:val="20"/>
                <w:color w:val="auto"/>
              </w:rPr>
            </w:pPr>
            <w:r>
              <w:rPr>
                <w:rFonts w:ascii="Arial" w:cs="Arial" w:eastAsia="Arial" w:hAnsi="Arial"/>
                <w:sz w:val="14"/>
                <w:szCs w:val="14"/>
                <w:color w:val="auto"/>
              </w:rPr>
              <w:t>January 28, 2011</w:t>
            </w:r>
          </w:p>
        </w:tc>
        <w:tc>
          <w:tcPr>
            <w:tcW w:w="1340" w:type="dxa"/>
            <w:vAlign w:val="bottom"/>
            <w:tcBorders>
              <w:bottom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December 31, 2010</w:t>
            </w:r>
          </w:p>
        </w:tc>
      </w:tr>
      <w:tr>
        <w:trPr>
          <w:trHeight w:val="199"/>
        </w:trPr>
        <w:tc>
          <w:tcPr>
            <w:tcW w:w="432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Federal</w:t>
            </w:r>
          </w:p>
        </w:tc>
        <w:tc>
          <w:tcPr>
            <w:tcW w:w="4680" w:type="dxa"/>
            <w:vAlign w:val="bottom"/>
            <w:gridSpan w:val="3"/>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line="202" w:lineRule="exact"/>
              <w:rPr>
                <w:sz w:val="20"/>
                <w:szCs w:val="20"/>
                <w:color w:val="auto"/>
              </w:rPr>
            </w:pPr>
            <w:r>
              <w:rPr>
                <w:rFonts w:ascii="Arial" w:cs="Arial" w:eastAsia="Arial" w:hAnsi="Arial"/>
                <w:sz w:val="18"/>
                <w:szCs w:val="18"/>
                <w:color w:val="auto"/>
              </w:rPr>
              <w:t>403</w:t>
            </w:r>
          </w:p>
        </w:tc>
        <w:tc>
          <w:tcPr>
            <w:tcW w:w="4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290</w:t>
            </w: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98"/>
              <w:spacing w:after="0" w:line="202" w:lineRule="exact"/>
              <w:rPr>
                <w:sz w:val="20"/>
                <w:szCs w:val="20"/>
                <w:color w:val="auto"/>
              </w:rPr>
            </w:pPr>
            <w:r>
              <w:rPr>
                <w:rFonts w:ascii="Arial" w:cs="Arial" w:eastAsia="Arial" w:hAnsi="Arial"/>
                <w:sz w:val="18"/>
                <w:szCs w:val="18"/>
                <w:color w:val="auto"/>
              </w:rPr>
              <w:t>23</w:t>
            </w: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199"/>
        </w:trPr>
        <w:tc>
          <w:tcPr>
            <w:tcW w:w="43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Foreign</w:t>
            </w:r>
          </w:p>
        </w:tc>
        <w:tc>
          <w:tcPr>
            <w:tcW w:w="4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8"/>
              <w:spacing w:after="0" w:line="200" w:lineRule="exact"/>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217</w:t>
            </w:r>
          </w:p>
        </w:tc>
      </w:tr>
      <w:tr>
        <w:trPr>
          <w:trHeight w:val="196"/>
        </w:trPr>
        <w:tc>
          <w:tcPr>
            <w:tcW w:w="432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8"/>
              <w:spacing w:after="0" w:line="196" w:lineRule="exact"/>
              <w:rPr>
                <w:sz w:val="20"/>
                <w:szCs w:val="20"/>
                <w:color w:val="auto"/>
              </w:rPr>
            </w:pPr>
            <w:r>
              <w:rPr>
                <w:rFonts w:ascii="Arial" w:cs="Arial" w:eastAsia="Arial" w:hAnsi="Arial"/>
                <w:sz w:val="18"/>
                <w:szCs w:val="18"/>
                <w:color w:val="auto"/>
              </w:rPr>
              <w:t>441</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491</w:t>
            </w:r>
          </w:p>
        </w:tc>
      </w:tr>
      <w:tr>
        <w:trPr>
          <w:trHeight w:val="199"/>
        </w:trPr>
        <w:tc>
          <w:tcPr>
            <w:tcW w:w="432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Federal</w:t>
            </w:r>
          </w:p>
        </w:tc>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(430)</w:t>
            </w:r>
          </w:p>
        </w:tc>
        <w:tc>
          <w:tcPr>
            <w:tcW w:w="46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230</w:t>
            </w:r>
          </w:p>
        </w:tc>
      </w:tr>
      <w:tr>
        <w:trPr>
          <w:trHeight w:val="199"/>
        </w:trPr>
        <w:tc>
          <w:tcPr>
            <w:tcW w:w="43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State</w:t>
            </w:r>
          </w:p>
        </w:tc>
        <w:tc>
          <w:tcPr>
            <w:tcW w:w="4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24</w:t>
            </w:r>
          </w:p>
        </w:tc>
      </w:tr>
      <w:tr>
        <w:trPr>
          <w:trHeight w:val="196"/>
        </w:trPr>
        <w:tc>
          <w:tcPr>
            <w:tcW w:w="432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(445)</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254</w:t>
            </w:r>
          </w:p>
        </w:tc>
      </w:tr>
      <w:tr>
        <w:trPr>
          <w:trHeight w:val="196"/>
        </w:trPr>
        <w:tc>
          <w:tcPr>
            <w:tcW w:w="43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Income tax expense (benefit)</w:t>
            </w:r>
          </w:p>
        </w:tc>
        <w:tc>
          <w:tcPr>
            <w:tcW w:w="4680" w:type="dxa"/>
            <w:vAlign w:val="bottom"/>
            <w:tcBorders>
              <w:bottom w:val="single" w:sz="8" w:color="53439A"/>
            </w:tcBorders>
            <w:gridSpan w:val="3"/>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53439A"/>
            </w:tcBorders>
          </w:tcPr>
          <w:p>
            <w:pPr>
              <w:jc w:val="right"/>
              <w:ind w:right="38"/>
              <w:spacing w:after="0" w:line="196" w:lineRule="exact"/>
              <w:rPr>
                <w:sz w:val="20"/>
                <w:szCs w:val="20"/>
                <w:color w:val="auto"/>
              </w:rPr>
            </w:pPr>
            <w:r>
              <w:rPr>
                <w:rFonts w:ascii="Arial" w:cs="Arial" w:eastAsia="Arial" w:hAnsi="Arial"/>
                <w:sz w:val="18"/>
                <w:szCs w:val="18"/>
                <w:color w:val="auto"/>
              </w:rPr>
              <w:t>(4)</w:t>
            </w:r>
          </w:p>
        </w:tc>
        <w:tc>
          <w:tcPr>
            <w:tcW w:w="46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color w:val="auto"/>
              </w:rPr>
              <w:t>745</w:t>
            </w:r>
          </w:p>
        </w:tc>
      </w:tr>
      <w:tr>
        <w:trPr>
          <w:trHeight w:val="506"/>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4360" w:type="dxa"/>
            <w:vAlign w:val="bottom"/>
          </w:tcPr>
          <w:p>
            <w:pPr>
              <w:jc w:val="right"/>
              <w:ind w:right="2756"/>
              <w:spacing w:after="0"/>
              <w:rPr>
                <w:sz w:val="20"/>
                <w:szCs w:val="20"/>
                <w:color w:val="auto"/>
              </w:rPr>
            </w:pPr>
            <w:r>
              <w:rPr>
                <w:rFonts w:ascii="Arial" w:cs="Arial" w:eastAsia="Arial" w:hAnsi="Arial"/>
                <w:sz w:val="14"/>
                <w:szCs w:val="14"/>
                <w:b w:val="1"/>
                <w:bCs w:val="1"/>
                <w:color w:val="auto"/>
              </w:rPr>
              <w:t>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income tax expense in our Predecessor periods differs from the federal statutory amount because of the effect of the items detailed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color w:val="auto"/>
              </w:rPr>
              <w:t>Predecessor</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320" w:type="dxa"/>
            <w:vAlign w:val="bottom"/>
          </w:tcPr>
          <w:p>
            <w:pPr>
              <w:spacing w:after="0"/>
              <w:rPr>
                <w:sz w:val="12"/>
                <w:szCs w:val="12"/>
                <w:color w:val="auto"/>
              </w:rPr>
            </w:pPr>
          </w:p>
        </w:tc>
        <w:tc>
          <w:tcPr>
            <w:tcW w:w="152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For the Period</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January 1, 2011 to</w:t>
            </w:r>
          </w:p>
        </w:tc>
        <w:tc>
          <w:tcPr>
            <w:tcW w:w="660" w:type="dxa"/>
            <w:vAlign w:val="bottom"/>
          </w:tcPr>
          <w:p>
            <w:pPr>
              <w:spacing w:after="0"/>
              <w:rPr>
                <w:sz w:val="12"/>
                <w:szCs w:val="12"/>
                <w:color w:val="auto"/>
              </w:rPr>
            </w:pPr>
          </w:p>
        </w:tc>
        <w:tc>
          <w:tcPr>
            <w:tcW w:w="920" w:type="dxa"/>
            <w:vAlign w:val="bottom"/>
          </w:tcPr>
          <w:p>
            <w:pPr>
              <w:jc w:val="right"/>
              <w:ind w:right="136"/>
              <w:spacing w:after="0" w:line="149" w:lineRule="exact"/>
              <w:rPr>
                <w:sz w:val="20"/>
                <w:szCs w:val="20"/>
                <w:color w:val="auto"/>
              </w:rPr>
            </w:pPr>
            <w:r>
              <w:rPr>
                <w:rFonts w:ascii="Arial" w:cs="Arial" w:eastAsia="Arial" w:hAnsi="Arial"/>
                <w:sz w:val="14"/>
                <w:szCs w:val="14"/>
                <w:color w:val="auto"/>
                <w:w w:val="91"/>
              </w:rPr>
              <w:t>Year Ended</w:t>
            </w:r>
          </w:p>
        </w:tc>
        <w:tc>
          <w:tcPr>
            <w:tcW w:w="0" w:type="dxa"/>
            <w:vAlign w:val="bottom"/>
          </w:tcPr>
          <w:p>
            <w:pPr>
              <w:spacing w:after="0"/>
              <w:rPr>
                <w:sz w:val="1"/>
                <w:szCs w:val="1"/>
                <w:color w:val="auto"/>
              </w:rPr>
            </w:pPr>
          </w:p>
        </w:tc>
      </w:tr>
      <w:tr>
        <w:trPr>
          <w:trHeight w:val="149"/>
        </w:trPr>
        <w:tc>
          <w:tcPr>
            <w:tcW w:w="8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January 28, 2011</w:t>
            </w:r>
          </w:p>
        </w:tc>
        <w:tc>
          <w:tcPr>
            <w:tcW w:w="1580" w:type="dxa"/>
            <w:vAlign w:val="bottom"/>
            <w:tcBorders>
              <w:bottom w:val="single" w:sz="8" w:color="auto"/>
            </w:tcBorders>
            <w:gridSpan w:val="2"/>
          </w:tcPr>
          <w:p>
            <w:pPr>
              <w:jc w:val="right"/>
              <w:ind w:right="136"/>
              <w:spacing w:after="0" w:line="149" w:lineRule="exact"/>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99"/>
        </w:trPr>
        <w:tc>
          <w:tcPr>
            <w:tcW w:w="8320" w:type="dxa"/>
            <w:vAlign w:val="bottom"/>
          </w:tcPr>
          <w:p>
            <w:pPr>
              <w:spacing w:after="0" w:line="200" w:lineRule="exact"/>
              <w:rPr>
                <w:sz w:val="20"/>
                <w:szCs w:val="20"/>
                <w:color w:val="auto"/>
              </w:rPr>
            </w:pPr>
            <w:r>
              <w:rPr>
                <w:rFonts w:ascii="Arial" w:cs="Arial" w:eastAsia="Arial" w:hAnsi="Arial"/>
                <w:sz w:val="18"/>
                <w:szCs w:val="18"/>
                <w:color w:val="auto"/>
              </w:rPr>
              <w:t>Federal tax statutory rate</w:t>
            </w:r>
          </w:p>
        </w:tc>
        <w:tc>
          <w:tcPr>
            <w:tcW w:w="15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35.00%</w:t>
            </w:r>
          </w:p>
        </w:tc>
        <w:tc>
          <w:tcPr>
            <w:tcW w:w="660" w:type="dxa"/>
            <w:vAlign w:val="bottom"/>
          </w:tcPr>
          <w:p>
            <w:pPr>
              <w:spacing w:after="0"/>
              <w:rPr>
                <w:sz w:val="17"/>
                <w:szCs w:val="17"/>
                <w:color w:val="auto"/>
              </w:rPr>
            </w:pP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Disposition of business</w:t>
            </w:r>
          </w:p>
        </w:tc>
        <w:tc>
          <w:tcPr>
            <w:tcW w:w="14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(32.66)</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460" w:type="dxa"/>
            <w:vAlign w:val="bottom"/>
          </w:tcPr>
          <w:p>
            <w:pPr>
              <w:jc w:val="right"/>
              <w:ind w:right="80"/>
              <w:spacing w:after="0" w:line="202" w:lineRule="exact"/>
              <w:rPr>
                <w:sz w:val="20"/>
                <w:szCs w:val="20"/>
                <w:color w:val="auto"/>
              </w:rPr>
            </w:pPr>
            <w:r>
              <w:rPr>
                <w:rFonts w:ascii="Arial" w:cs="Arial" w:eastAsia="Arial" w:hAnsi="Arial"/>
                <w:sz w:val="18"/>
                <w:szCs w:val="18"/>
                <w:color w:val="auto"/>
              </w:rPr>
              <w:t>1.90</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Domestic manufacturing and export benefits</w:t>
            </w:r>
          </w:p>
        </w:tc>
        <w:tc>
          <w:tcPr>
            <w:tcW w:w="1460" w:type="dxa"/>
            <w:vAlign w:val="bottom"/>
          </w:tcPr>
          <w:p>
            <w:pPr>
              <w:jc w:val="right"/>
              <w:ind w:right="80"/>
              <w:spacing w:after="0" w:line="202" w:lineRule="exact"/>
              <w:rPr>
                <w:sz w:val="20"/>
                <w:szCs w:val="20"/>
                <w:color w:val="auto"/>
              </w:rPr>
            </w:pPr>
            <w:r>
              <w:rPr>
                <w:rFonts w:ascii="Arial" w:cs="Arial" w:eastAsia="Arial" w:hAnsi="Arial"/>
                <w:sz w:val="18"/>
                <w:szCs w:val="18"/>
                <w:color w:val="auto"/>
              </w:rPr>
              <w:t>11.67</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9"/>
        </w:trPr>
        <w:tc>
          <w:tcPr>
            <w:tcW w:w="8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net</w:t>
            </w:r>
          </w:p>
        </w:tc>
        <w:tc>
          <w:tcPr>
            <w:tcW w:w="14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(2.12)</w:t>
            </w: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Actual income tax rate</w:t>
            </w:r>
          </w:p>
        </w:tc>
        <w:tc>
          <w:tcPr>
            <w:tcW w:w="1520" w:type="dxa"/>
            <w:vAlign w:val="bottom"/>
            <w:tcBorders>
              <w:bottom w:val="single" w:sz="8" w:color="53439A"/>
            </w:tcBorders>
            <w:gridSpan w:val="2"/>
          </w:tcPr>
          <w:p>
            <w:pPr>
              <w:jc w:val="right"/>
              <w:ind w:right="60"/>
              <w:spacing w:after="0" w:line="196" w:lineRule="exact"/>
              <w:rPr>
                <w:sz w:val="20"/>
                <w:szCs w:val="20"/>
                <w:color w:val="auto"/>
              </w:rPr>
            </w:pPr>
            <w:r>
              <w:rPr>
                <w:rFonts w:ascii="Arial" w:cs="Arial" w:eastAsia="Arial" w:hAnsi="Arial"/>
                <w:sz w:val="18"/>
                <w:szCs w:val="18"/>
                <w:color w:val="auto"/>
              </w:rPr>
              <w:t>13.79%</w:t>
            </w:r>
          </w:p>
        </w:tc>
        <w:tc>
          <w:tcPr>
            <w:tcW w:w="660" w:type="dxa"/>
            <w:vAlign w:val="bottom"/>
            <w:tcBorders>
              <w:bottom w:val="single" w:sz="8" w:color="53439A"/>
            </w:tcBorders>
          </w:tcPr>
          <w:p>
            <w:pPr>
              <w:spacing w:after="0"/>
              <w:rPr>
                <w:sz w:val="17"/>
                <w:szCs w:val="17"/>
                <w:color w:val="auto"/>
              </w:rPr>
            </w:pPr>
          </w:p>
        </w:tc>
        <w:tc>
          <w:tcPr>
            <w:tcW w:w="9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532"/>
        </w:trPr>
        <w:tc>
          <w:tcPr>
            <w:tcW w:w="8320" w:type="dxa"/>
            <w:vAlign w:val="bottom"/>
          </w:tcPr>
          <w:p>
            <w:pPr>
              <w:spacing w:after="0"/>
              <w:rPr>
                <w:sz w:val="20"/>
                <w:szCs w:val="20"/>
                <w:color w:val="auto"/>
              </w:rPr>
            </w:pPr>
            <w:r>
              <w:rPr>
                <w:rFonts w:ascii="Arial" w:cs="Arial" w:eastAsia="Arial" w:hAnsi="Arial"/>
                <w:sz w:val="18"/>
                <w:szCs w:val="18"/>
                <w:b w:val="1"/>
                <w:bCs w:val="1"/>
                <w:color w:val="53439A"/>
              </w:rPr>
              <w:t>Note 16: Supplemental Financial Information</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320" w:type="dxa"/>
            <w:vAlign w:val="bottom"/>
            <w:tcBorders>
              <w:bottom w:val="single" w:sz="8" w:color="53439A"/>
            </w:tcBorders>
          </w:tcPr>
          <w:p>
            <w:pPr>
              <w:spacing w:after="0"/>
              <w:rPr>
                <w:sz w:val="3"/>
                <w:szCs w:val="3"/>
                <w:color w:val="auto"/>
              </w:rPr>
            </w:pPr>
          </w:p>
        </w:tc>
        <w:tc>
          <w:tcPr>
            <w:tcW w:w="1460" w:type="dxa"/>
            <w:vAlign w:val="bottom"/>
            <w:tcBorders>
              <w:bottom w:val="single" w:sz="8" w:color="53439A"/>
            </w:tcBorders>
          </w:tcPr>
          <w:p>
            <w:pPr>
              <w:spacing w:after="0"/>
              <w:rPr>
                <w:sz w:val="3"/>
                <w:szCs w:val="3"/>
                <w:color w:val="auto"/>
              </w:rPr>
            </w:pPr>
          </w:p>
        </w:tc>
        <w:tc>
          <w:tcPr>
            <w:tcW w:w="60" w:type="dxa"/>
            <w:vAlign w:val="bottom"/>
            <w:tcBorders>
              <w:bottom w:val="single" w:sz="8" w:color="53439A"/>
            </w:tcBorders>
          </w:tcPr>
          <w:p>
            <w:pPr>
              <w:spacing w:after="0"/>
              <w:rPr>
                <w:sz w:val="3"/>
                <w:szCs w:val="3"/>
                <w:color w:val="auto"/>
              </w:rPr>
            </w:pPr>
          </w:p>
        </w:tc>
        <w:tc>
          <w:tcPr>
            <w:tcW w:w="660" w:type="dxa"/>
            <w:vAlign w:val="bottom"/>
            <w:tcBorders>
              <w:bottom w:val="single" w:sz="8" w:color="53439A"/>
            </w:tcBorders>
          </w:tcPr>
          <w:p>
            <w:pPr>
              <w:spacing w:after="0"/>
              <w:rPr>
                <w:sz w:val="3"/>
                <w:szCs w:val="3"/>
                <w:color w:val="auto"/>
              </w:rPr>
            </w:pPr>
          </w:p>
        </w:tc>
        <w:tc>
          <w:tcPr>
            <w:tcW w:w="920" w:type="dxa"/>
            <w:vAlign w:val="bottom"/>
            <w:tcBorders>
              <w:bottom w:val="single" w:sz="8" w:color="53439A"/>
            </w:tcBorders>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8320" w:type="dxa"/>
            <w:vAlign w:val="bottom"/>
          </w:tcPr>
          <w:p>
            <w:pPr>
              <w:spacing w:after="0"/>
              <w:rPr>
                <w:sz w:val="20"/>
                <w:szCs w:val="20"/>
                <w:color w:val="auto"/>
              </w:rPr>
            </w:pPr>
            <w:r>
              <w:rPr>
                <w:rFonts w:ascii="Arial" w:cs="Arial" w:eastAsia="Arial" w:hAnsi="Arial"/>
                <w:sz w:val="18"/>
                <w:szCs w:val="18"/>
                <w:color w:val="53439A"/>
              </w:rPr>
              <w:t>Receivables</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3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32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14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832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832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$ 4,381</w:t>
            </w:r>
          </w:p>
        </w:tc>
        <w:tc>
          <w:tcPr>
            <w:tcW w:w="920" w:type="dxa"/>
            <w:vAlign w:val="bottom"/>
          </w:tcPr>
          <w:p>
            <w:pPr>
              <w:jc w:val="right"/>
              <w:spacing w:after="0" w:line="177" w:lineRule="exact"/>
              <w:rPr>
                <w:sz w:val="20"/>
                <w:szCs w:val="20"/>
                <w:color w:val="auto"/>
              </w:rPr>
            </w:pPr>
            <w:r>
              <w:rPr>
                <w:rFonts w:ascii="Arial" w:cs="Arial" w:eastAsia="Arial" w:hAnsi="Arial"/>
                <w:sz w:val="18"/>
                <w:szCs w:val="18"/>
                <w:color w:val="auto"/>
              </w:rPr>
              <w:t>$ 3,797</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1"/>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1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Receivables, net</w:t>
            </w:r>
          </w:p>
        </w:tc>
        <w:tc>
          <w:tcPr>
            <w:tcW w:w="1460" w:type="dxa"/>
            <w:vAlign w:val="bottom"/>
            <w:tcBorders>
              <w:bottom w:val="single" w:sz="8" w:color="53439A"/>
            </w:tcBorders>
          </w:tcPr>
          <w:p>
            <w:pPr>
              <w:spacing w:after="0"/>
              <w:rPr>
                <w:sz w:val="17"/>
                <w:szCs w:val="17"/>
                <w:color w:val="auto"/>
              </w:rPr>
            </w:pPr>
          </w:p>
        </w:tc>
        <w:tc>
          <w:tcPr>
            <w:tcW w:w="60" w:type="dxa"/>
            <w:vAlign w:val="bottom"/>
            <w:tcBorders>
              <w:bottom w:val="single" w:sz="8" w:color="53439A"/>
            </w:tcBorders>
          </w:tcPr>
          <w:p>
            <w:pPr>
              <w:spacing w:after="0"/>
              <w:rPr>
                <w:sz w:val="17"/>
                <w:szCs w:val="17"/>
                <w:color w:val="auto"/>
              </w:rPr>
            </w:pPr>
          </w:p>
        </w:tc>
        <w:tc>
          <w:tcPr>
            <w:tcW w:w="6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$ 4,028</w:t>
            </w:r>
          </w:p>
        </w:tc>
        <w:tc>
          <w:tcPr>
            <w:tcW w:w="9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$ 3,338</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In addition to the amounts in the table above, noncurrent receivables, net of $641 million and $684 million, as of December 31, 2012 and 2011, respectively, are included in other noncurrent assets, net that primarily related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53439A"/>
        </w:rPr>
        <w:t>Cash Payments for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Successor</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color w:val="auto"/>
              </w:rPr>
              <w:t>Predecessor</w:t>
            </w:r>
          </w:p>
        </w:tc>
        <w:tc>
          <w:tcPr>
            <w:tcW w:w="380" w:type="dxa"/>
            <w:vAlign w:val="bottom"/>
            <w:tcBorders>
              <w:bottom w:val="single" w:sz="8" w:color="auto"/>
            </w:tcBorders>
          </w:tcPr>
          <w:p>
            <w:pPr>
              <w:spacing w:after="0"/>
              <w:rPr>
                <w:sz w:val="14"/>
                <w:szCs w:val="14"/>
                <w:color w:val="auto"/>
              </w:rPr>
            </w:pPr>
          </w:p>
        </w:tc>
      </w:tr>
      <w:tr>
        <w:trPr>
          <w:trHeight w:val="125"/>
        </w:trPr>
        <w:tc>
          <w:tcPr>
            <w:tcW w:w="6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right"/>
              <w:ind w:right="2"/>
              <w:spacing w:after="0" w:line="125" w:lineRule="exact"/>
              <w:rPr>
                <w:sz w:val="20"/>
                <w:szCs w:val="20"/>
                <w:color w:val="auto"/>
              </w:rPr>
            </w:pPr>
            <w:r>
              <w:rPr>
                <w:rFonts w:ascii="Arial" w:cs="Arial" w:eastAsia="Arial" w:hAnsi="Arial"/>
                <w:sz w:val="14"/>
                <w:szCs w:val="14"/>
                <w:color w:val="auto"/>
              </w:rPr>
              <w:t>For the Period</w:t>
            </w:r>
          </w:p>
        </w:tc>
        <w:tc>
          <w:tcPr>
            <w:tcW w:w="98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Year Ended</w:t>
            </w:r>
          </w:p>
        </w:tc>
      </w:tr>
      <w:tr>
        <w:trPr>
          <w:trHeight w:val="149"/>
        </w:trPr>
        <w:tc>
          <w:tcPr>
            <w:tcW w:w="6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Borders>
              <w:right w:val="single" w:sz="8" w:color="auto"/>
            </w:tcBorders>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280" w:type="dxa"/>
            <w:vAlign w:val="bottom"/>
            <w:gridSpan w:val="2"/>
          </w:tcPr>
          <w:p>
            <w:pPr>
              <w:jc w:val="right"/>
              <w:ind w:right="2"/>
              <w:spacing w:after="0" w:line="149" w:lineRule="exact"/>
              <w:rPr>
                <w:sz w:val="20"/>
                <w:szCs w:val="20"/>
                <w:color w:val="auto"/>
              </w:rPr>
            </w:pPr>
            <w:r>
              <w:rPr>
                <w:rFonts w:ascii="Arial" w:cs="Arial" w:eastAsia="Arial" w:hAnsi="Arial"/>
                <w:sz w:val="14"/>
                <w:szCs w:val="14"/>
                <w:color w:val="auto"/>
              </w:rPr>
              <w:t>January 1, 2011 to</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r>
      <w:tr>
        <w:trPr>
          <w:trHeight w:val="165"/>
        </w:trPr>
        <w:tc>
          <w:tcPr>
            <w:tcW w:w="6060" w:type="dxa"/>
            <w:vAlign w:val="bottom"/>
          </w:tcPr>
          <w:p>
            <w:pPr>
              <w:spacing w:after="0"/>
              <w:rPr>
                <w:sz w:val="20"/>
                <w:szCs w:val="20"/>
                <w:color w:val="auto"/>
              </w:rPr>
            </w:pPr>
            <w:r>
              <w:rPr>
                <w:rFonts w:ascii="Arial" w:cs="Arial" w:eastAsia="Arial" w:hAnsi="Arial"/>
                <w:sz w:val="14"/>
                <w:szCs w:val="14"/>
                <w:color w:val="auto"/>
              </w:rPr>
              <w:t>(in millions)</w:t>
            </w:r>
          </w:p>
        </w:tc>
        <w:tc>
          <w:tcPr>
            <w:tcW w:w="138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December 31, 2012</w:t>
            </w:r>
          </w:p>
        </w:tc>
        <w:tc>
          <w:tcPr>
            <w:tcW w:w="154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December 31, 2011</w:t>
            </w:r>
          </w:p>
        </w:tc>
        <w:tc>
          <w:tcPr>
            <w:tcW w:w="180" w:type="dxa"/>
            <w:vAlign w:val="bottom"/>
          </w:tcPr>
          <w:p>
            <w:pPr>
              <w:spacing w:after="0"/>
              <w:rPr>
                <w:sz w:val="14"/>
                <w:szCs w:val="14"/>
                <w:color w:val="auto"/>
              </w:rPr>
            </w:pPr>
          </w:p>
        </w:tc>
        <w:tc>
          <w:tcPr>
            <w:tcW w:w="1280" w:type="dxa"/>
            <w:vAlign w:val="bottom"/>
            <w:gridSpan w:val="2"/>
          </w:tcPr>
          <w:p>
            <w:pPr>
              <w:jc w:val="right"/>
              <w:ind w:right="2"/>
              <w:spacing w:after="0"/>
              <w:rPr>
                <w:sz w:val="20"/>
                <w:szCs w:val="20"/>
                <w:color w:val="auto"/>
              </w:rPr>
            </w:pPr>
            <w:r>
              <w:rPr>
                <w:rFonts w:ascii="Arial" w:cs="Arial" w:eastAsia="Arial" w:hAnsi="Arial"/>
                <w:sz w:val="14"/>
                <w:szCs w:val="14"/>
                <w:color w:val="auto"/>
              </w:rPr>
              <w:t>January 28, 2011</w:t>
            </w:r>
          </w:p>
        </w:tc>
        <w:tc>
          <w:tcPr>
            <w:tcW w:w="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2010</w:t>
            </w:r>
          </w:p>
        </w:tc>
      </w:tr>
      <w:tr>
        <w:trPr>
          <w:trHeight w:val="177"/>
        </w:trPr>
        <w:tc>
          <w:tcPr>
            <w:tcW w:w="60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Interest</w:t>
            </w:r>
          </w:p>
        </w:tc>
        <w:tc>
          <w:tcPr>
            <w:tcW w:w="380" w:type="dxa"/>
            <w:vAlign w:val="bottom"/>
            <w:tcBorders>
              <w:top w:val="single" w:sz="8" w:color="auto"/>
            </w:tcBorders>
          </w:tcPr>
          <w:p>
            <w:pPr>
              <w:jc w:val="right"/>
              <w:ind w:right="119"/>
              <w:spacing w:after="0" w:line="177"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2"/>
              <w:spacing w:after="0" w:line="177" w:lineRule="exact"/>
              <w:rPr>
                <w:sz w:val="20"/>
                <w:szCs w:val="20"/>
                <w:color w:val="auto"/>
              </w:rPr>
            </w:pPr>
            <w:r>
              <w:rPr>
                <w:rFonts w:ascii="Arial" w:cs="Arial" w:eastAsia="Arial" w:hAnsi="Arial"/>
                <w:sz w:val="18"/>
                <w:szCs w:val="18"/>
                <w:b w:val="1"/>
                <w:bCs w:val="1"/>
                <w:color w:val="auto"/>
              </w:rPr>
              <w:t>461</w:t>
            </w:r>
          </w:p>
        </w:tc>
        <w:tc>
          <w:tcPr>
            <w:tcW w:w="360" w:type="dxa"/>
            <w:vAlign w:val="bottom"/>
            <w:tcBorders>
              <w:top w:val="single" w:sz="8" w:color="auto"/>
            </w:tcBorders>
          </w:tcPr>
          <w:p>
            <w:pPr>
              <w:jc w:val="right"/>
              <w:ind w:right="99"/>
              <w:spacing w:after="0" w:line="177"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444</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tcBorders>
          </w:tcPr>
          <w:p>
            <w:pPr>
              <w:jc w:val="right"/>
              <w:ind w:right="2"/>
              <w:spacing w:after="0" w:line="177"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2"/>
              <w:spacing w:after="0" w:line="177" w:lineRule="exact"/>
              <w:rPr>
                <w:sz w:val="20"/>
                <w:szCs w:val="20"/>
                <w:color w:val="auto"/>
              </w:rPr>
            </w:pPr>
            <w:r>
              <w:rPr>
                <w:rFonts w:ascii="Arial" w:cs="Arial" w:eastAsia="Arial" w:hAnsi="Arial"/>
                <w:sz w:val="18"/>
                <w:szCs w:val="18"/>
                <w:color w:val="auto"/>
              </w:rPr>
              <w:t>1</w:t>
            </w:r>
          </w:p>
        </w:tc>
        <w:tc>
          <w:tcPr>
            <w:tcW w:w="600" w:type="dxa"/>
            <w:vAlign w:val="bottom"/>
            <w:tcBorders>
              <w:top w:val="single" w:sz="8" w:color="auto"/>
            </w:tcBorders>
          </w:tcPr>
          <w:p>
            <w:pPr>
              <w:ind w:left="80"/>
              <w:spacing w:after="0" w:line="177"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99"/>
              </w:rPr>
              <w:t>275</w:t>
            </w:r>
          </w:p>
        </w:tc>
      </w:tr>
      <w:tr>
        <w:trPr>
          <w:trHeight w:val="221"/>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169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493</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328</w:t>
            </w:r>
          </w:p>
        </w:tc>
      </w:tr>
      <w:tr>
        <w:trPr>
          <w:trHeight w:val="370"/>
        </w:trPr>
        <w:tc>
          <w:tcPr>
            <w:tcW w:w="6060" w:type="dxa"/>
            <w:vAlign w:val="bottom"/>
          </w:tcPr>
          <w:p>
            <w:pPr>
              <w:spacing w:after="0"/>
              <w:rPr>
                <w:sz w:val="20"/>
                <w:szCs w:val="20"/>
                <w:color w:val="auto"/>
              </w:rPr>
            </w:pPr>
            <w:r>
              <w:rPr>
                <w:rFonts w:ascii="Arial" w:cs="Arial" w:eastAsia="Arial" w:hAnsi="Arial"/>
                <w:sz w:val="18"/>
                <w:szCs w:val="18"/>
                <w:color w:val="53439A"/>
              </w:rPr>
              <w:t>Other Cash Flow Information</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
        </w:trPr>
        <w:tc>
          <w:tcPr>
            <w:tcW w:w="6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January 28, 2011 (in millions)</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r>
      <w:tr>
        <w:trPr>
          <w:trHeight w:val="199"/>
        </w:trPr>
        <w:tc>
          <w:tcPr>
            <w:tcW w:w="6060" w:type="dxa"/>
            <w:vAlign w:val="bottom"/>
          </w:tcPr>
          <w:p>
            <w:pPr>
              <w:spacing w:after="0" w:line="200" w:lineRule="exact"/>
              <w:rPr>
                <w:sz w:val="20"/>
                <w:szCs w:val="20"/>
                <w:color w:val="auto"/>
              </w:rPr>
            </w:pPr>
            <w:r>
              <w:rPr>
                <w:rFonts w:ascii="Arial" w:cs="Arial" w:eastAsia="Arial" w:hAnsi="Arial"/>
                <w:sz w:val="18"/>
                <w:szCs w:val="18"/>
                <w:color w:val="auto"/>
              </w:rPr>
              <w:t>Cash and cash equivalents at end of Predecessor period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w w:val="99"/>
              </w:rPr>
              <w:t>470</w:t>
            </w:r>
          </w:p>
        </w:tc>
      </w:tr>
      <w:tr>
        <w:trPr>
          <w:trHeight w:val="199"/>
        </w:trPr>
        <w:tc>
          <w:tcPr>
            <w:tcW w:w="60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Comcast Content Business contributed cash balances</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w:t>
            </w:r>
          </w:p>
        </w:tc>
      </w:tr>
      <w:tr>
        <w:trPr>
          <w:trHeight w:val="196"/>
        </w:trPr>
        <w:tc>
          <w:tcPr>
            <w:tcW w:w="60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Cash and cash equivalents at beginning of Successor period</w:t>
            </w:r>
          </w:p>
        </w:tc>
        <w:tc>
          <w:tcPr>
            <w:tcW w:w="380" w:type="dxa"/>
            <w:vAlign w:val="bottom"/>
            <w:tcBorders>
              <w:bottom w:val="single" w:sz="8" w:color="53439A"/>
            </w:tcBorders>
          </w:tcPr>
          <w:p>
            <w:pPr>
              <w:spacing w:after="0"/>
              <w:rPr>
                <w:sz w:val="17"/>
                <w:szCs w:val="17"/>
                <w:color w:val="auto"/>
              </w:rPr>
            </w:pPr>
          </w:p>
        </w:tc>
        <w:tc>
          <w:tcPr>
            <w:tcW w:w="1000" w:type="dxa"/>
            <w:vAlign w:val="bottom"/>
            <w:tcBorders>
              <w:bottom w:val="single" w:sz="8" w:color="53439A"/>
            </w:tcBorders>
          </w:tcPr>
          <w:p>
            <w:pPr>
              <w:spacing w:after="0"/>
              <w:rPr>
                <w:sz w:val="17"/>
                <w:szCs w:val="17"/>
                <w:color w:val="auto"/>
              </w:rPr>
            </w:pPr>
          </w:p>
        </w:tc>
        <w:tc>
          <w:tcPr>
            <w:tcW w:w="360" w:type="dxa"/>
            <w:vAlign w:val="bottom"/>
            <w:tcBorders>
              <w:bottom w:val="single" w:sz="8" w:color="53439A"/>
            </w:tcBorders>
          </w:tcPr>
          <w:p>
            <w:pPr>
              <w:spacing w:after="0"/>
              <w:rPr>
                <w:sz w:val="17"/>
                <w:szCs w:val="17"/>
                <w:color w:val="auto"/>
              </w:rPr>
            </w:pPr>
          </w:p>
        </w:tc>
        <w:tc>
          <w:tcPr>
            <w:tcW w:w="980" w:type="dxa"/>
            <w:vAlign w:val="bottom"/>
            <w:tcBorders>
              <w:bottom w:val="single" w:sz="8" w:color="53439A"/>
            </w:tcBorders>
          </w:tcPr>
          <w:p>
            <w:pPr>
              <w:spacing w:after="0"/>
              <w:rPr>
                <w:sz w:val="17"/>
                <w:szCs w:val="17"/>
                <w:color w:val="auto"/>
              </w:rPr>
            </w:pPr>
          </w:p>
        </w:tc>
        <w:tc>
          <w:tcPr>
            <w:tcW w:w="200" w:type="dxa"/>
            <w:vAlign w:val="bottom"/>
            <w:tcBorders>
              <w:bottom w:val="single" w:sz="8" w:color="53439A"/>
            </w:tcBorders>
          </w:tcPr>
          <w:p>
            <w:pPr>
              <w:spacing w:after="0"/>
              <w:rPr>
                <w:sz w:val="17"/>
                <w:szCs w:val="17"/>
                <w:color w:val="auto"/>
              </w:rPr>
            </w:pPr>
          </w:p>
        </w:tc>
        <w:tc>
          <w:tcPr>
            <w:tcW w:w="180" w:type="dxa"/>
            <w:vAlign w:val="bottom"/>
            <w:tcBorders>
              <w:bottom w:val="single" w:sz="8" w:color="53439A"/>
            </w:tcBorders>
          </w:tcPr>
          <w:p>
            <w:pPr>
              <w:spacing w:after="0"/>
              <w:rPr>
                <w:sz w:val="17"/>
                <w:szCs w:val="17"/>
                <w:color w:val="auto"/>
              </w:rPr>
            </w:pPr>
          </w:p>
        </w:tc>
        <w:tc>
          <w:tcPr>
            <w:tcW w:w="260" w:type="dxa"/>
            <w:vAlign w:val="bottom"/>
            <w:tcBorders>
              <w:bottom w:val="single" w:sz="8" w:color="53439A"/>
            </w:tcBorders>
          </w:tcPr>
          <w:p>
            <w:pPr>
              <w:spacing w:after="0"/>
              <w:rPr>
                <w:sz w:val="17"/>
                <w:szCs w:val="17"/>
                <w:color w:val="auto"/>
              </w:rPr>
            </w:pPr>
          </w:p>
        </w:tc>
        <w:tc>
          <w:tcPr>
            <w:tcW w:w="1020" w:type="dxa"/>
            <w:vAlign w:val="bottom"/>
            <w:tcBorders>
              <w:bottom w:val="single" w:sz="8" w:color="53439A"/>
            </w:tcBorders>
          </w:tcPr>
          <w:p>
            <w:pPr>
              <w:spacing w:after="0"/>
              <w:rPr>
                <w:sz w:val="17"/>
                <w:szCs w:val="17"/>
                <w:color w:val="auto"/>
              </w:rPr>
            </w:pPr>
          </w:p>
        </w:tc>
        <w:tc>
          <w:tcPr>
            <w:tcW w:w="6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w w:val="99"/>
              </w:rPr>
              <w:t>508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2012:</w:t>
      </w:r>
    </w:p>
    <w:p>
      <w:pPr>
        <w:spacing w:after="0" w:line="117" w:lineRule="exact"/>
        <w:rPr>
          <w:sz w:val="20"/>
          <w:szCs w:val="20"/>
          <w:color w:val="auto"/>
        </w:rPr>
      </w:pPr>
    </w:p>
    <w:p>
      <w:pPr>
        <w:ind w:left="1020" w:right="1260" w:hanging="215"/>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acquired control of MSNBC.com, in which the fair value of our previously held equity interest in MSNBC.com was accounted for as noncash consideration in the application of acquisition accounting</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79</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020" w:right="1240" w:hanging="215"/>
        <w:spacing w:after="0" w:line="23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contributed certain assets to acquire control of a previously held equity method investment in Brazil, and the fair value of its previously held equity interest was accounted for as noncash consideration in the application of acquisition accounting</w:t>
      </w:r>
    </w:p>
    <w:p>
      <w:pPr>
        <w:spacing w:after="0" w:line="11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entered into a capital lease transaction that resulted in an increase in property and equipment and debt of $85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2011:</w:t>
      </w:r>
    </w:p>
    <w:p>
      <w:pPr>
        <w:spacing w:after="0" w:line="117" w:lineRule="exact"/>
        <w:rPr>
          <w:sz w:val="20"/>
          <w:szCs w:val="20"/>
          <w:color w:val="auto"/>
        </w:rPr>
      </w:pPr>
    </w:p>
    <w:p>
      <w:pPr>
        <w:ind w:left="1020" w:right="1260" w:hanging="21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contributed the Comcast Content Business to NBCUniversal as part of the Joint Venture transaction (see Note 3 for additional information on the Joint Venture transaction)</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fair value of our previously held equity interest in Universal Orlando was accounted for as noncash consideration in the application of acquisition accounting for the Universal Orlando transaction (see Note 3 for additional information on the Universal Orlando transaction)</w:t>
      </w:r>
    </w:p>
    <w:p>
      <w:pPr>
        <w:spacing w:after="0" w:line="113"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acquired $339 million of intellectual property rights that were accrued and unpaid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17: Receivables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monetize certain of our accounts receivable under programs with a syndicate of banks. We transfer, at fair value, a significant portion of our accounts receivable that are to be monetized to NBCU Receivables Funding LLC (“Funding LLC”), a wholly owned subsidiary of ours. The operating activities of Funding LLC are restricted to the transfer and sale of the monetized receivables to a third-party syndicate of banks. Due to these restrictions, Funding LLC is considered a VIE, which we consolidate because we are the primary beneficiary. The assets and liabilities of this entity primarily represent the receivables and cash receipts that are not yet remitted to the programs as of the balance sheet date.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included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December 31, 2012.</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responsible for servicing the receivables and remitting collections to the purchasers under the monetization programs. We perform this service for a fee that is equal to the prevailing market rate for such services. As a result, no servicing asset or liability has been recorded on our consolidated balance sheet as of December 31, 2012 and 2011. The servicing fees are a component of net (loss) gain on sale, which is presented in the table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53439A"/>
        </w:rPr>
        <w:t>Effect on Income from Receivables Monetization and Cash Flows on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rPr>
              <w:t>Successor</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w w:val="94"/>
              </w:rPr>
              <w:t>Predecessor</w:t>
            </w:r>
          </w:p>
        </w:tc>
        <w:tc>
          <w:tcPr>
            <w:tcW w:w="800" w:type="dxa"/>
            <w:vAlign w:val="bottom"/>
            <w:tcBorders>
              <w:bottom w:val="single" w:sz="8" w:color="auto"/>
            </w:tcBorders>
          </w:tcPr>
          <w:p>
            <w:pPr>
              <w:spacing w:after="0"/>
              <w:rPr>
                <w:sz w:val="14"/>
                <w:szCs w:val="14"/>
                <w:color w:val="auto"/>
              </w:rPr>
            </w:pPr>
          </w:p>
        </w:tc>
      </w:tr>
      <w:tr>
        <w:trPr>
          <w:trHeight w:val="125"/>
        </w:trPr>
        <w:tc>
          <w:tcPr>
            <w:tcW w:w="5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ind w:right="37"/>
              <w:spacing w:after="0" w:line="125"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ind w:right="40"/>
              <w:spacing w:after="0" w:line="125" w:lineRule="exact"/>
              <w:rPr>
                <w:sz w:val="20"/>
                <w:szCs w:val="20"/>
                <w:color w:val="auto"/>
              </w:rPr>
            </w:pPr>
            <w:r>
              <w:rPr>
                <w:rFonts w:ascii="Arial" w:cs="Arial" w:eastAsia="Arial" w:hAnsi="Arial"/>
                <w:sz w:val="14"/>
                <w:szCs w:val="14"/>
                <w:color w:val="auto"/>
              </w:rPr>
              <w:t>For the Period</w:t>
            </w:r>
          </w:p>
        </w:tc>
        <w:tc>
          <w:tcPr>
            <w:tcW w:w="220" w:type="dxa"/>
            <w:vAlign w:val="bottom"/>
          </w:tcPr>
          <w:p>
            <w:pPr>
              <w:spacing w:after="0"/>
              <w:rPr>
                <w:sz w:val="10"/>
                <w:szCs w:val="10"/>
                <w:color w:val="auto"/>
              </w:rPr>
            </w:pPr>
          </w:p>
        </w:tc>
        <w:tc>
          <w:tcPr>
            <w:tcW w:w="800" w:type="dxa"/>
            <w:vAlign w:val="bottom"/>
          </w:tcPr>
          <w:p>
            <w:pPr>
              <w:jc w:val="right"/>
              <w:ind w:right="20"/>
              <w:spacing w:after="0" w:line="125" w:lineRule="exact"/>
              <w:rPr>
                <w:sz w:val="20"/>
                <w:szCs w:val="20"/>
                <w:color w:val="auto"/>
              </w:rPr>
            </w:pPr>
            <w:r>
              <w:rPr>
                <w:rFonts w:ascii="Arial" w:cs="Arial" w:eastAsia="Arial" w:hAnsi="Arial"/>
                <w:sz w:val="14"/>
                <w:szCs w:val="14"/>
                <w:color w:val="auto"/>
                <w:w w:val="91"/>
              </w:rPr>
              <w:t>Year Ended</w:t>
            </w:r>
          </w:p>
        </w:tc>
      </w:tr>
      <w:tr>
        <w:trPr>
          <w:trHeight w:val="149"/>
        </w:trPr>
        <w:tc>
          <w:tcPr>
            <w:tcW w:w="5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40" w:type="dxa"/>
            <w:vAlign w:val="bottom"/>
            <w:tcBorders>
              <w:right w:val="single" w:sz="8" w:color="auto"/>
            </w:tcBorders>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January 1, 2011 to</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r>
      <w:tr>
        <w:trPr>
          <w:trHeight w:val="16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2012</w:t>
            </w:r>
          </w:p>
        </w:tc>
        <w:tc>
          <w:tcPr>
            <w:tcW w:w="15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January 28, 2011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2010</w:t>
            </w:r>
          </w:p>
        </w:tc>
      </w:tr>
      <w:tr>
        <w:trPr>
          <w:trHeight w:val="177"/>
        </w:trPr>
        <w:tc>
          <w:tcPr>
            <w:tcW w:w="588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380" w:type="dxa"/>
            <w:vAlign w:val="bottom"/>
          </w:tcPr>
          <w:p>
            <w:pPr>
              <w:ind w:left="80"/>
              <w:spacing w:after="0" w:line="177"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(12)</w:t>
            </w:r>
          </w:p>
        </w:tc>
        <w:tc>
          <w:tcPr>
            <w:tcW w:w="340" w:type="dxa"/>
            <w:vAlign w:val="bottom"/>
          </w:tcPr>
          <w:p>
            <w:pPr>
              <w:ind w:left="60"/>
              <w:spacing w:after="0" w:line="177"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tcPr>
          <w:p>
            <w:pPr>
              <w:jc w:val="right"/>
              <w:ind w:right="320"/>
              <w:spacing w:after="0" w:line="177" w:lineRule="exact"/>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line="177"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40"/>
              <w:spacing w:after="0" w:line="177"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0"/>
              <w:spacing w:after="0" w:line="177" w:lineRule="exact"/>
              <w:rPr>
                <w:sz w:val="20"/>
                <w:szCs w:val="20"/>
                <w:color w:val="auto"/>
              </w:rPr>
            </w:pPr>
            <w:r>
              <w:rPr>
                <w:rFonts w:ascii="Arial" w:cs="Arial" w:eastAsia="Arial" w:hAnsi="Arial"/>
                <w:sz w:val="18"/>
                <w:szCs w:val="18"/>
                <w:color w:val="auto"/>
              </w:rPr>
              <w:t>—</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38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tcBorders>
              <w:right w:val="single" w:sz="8" w:color="auto"/>
            </w:tcBorders>
          </w:tcPr>
          <w:p>
            <w:pPr>
              <w:spacing w:after="0"/>
              <w:rPr>
                <w:sz w:val="17"/>
                <w:szCs w:val="17"/>
                <w:color w:val="auto"/>
              </w:rPr>
            </w:pPr>
          </w:p>
        </w:tc>
        <w:tc>
          <w:tcPr>
            <w:tcW w:w="4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2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w:t>
            </w:r>
          </w:p>
        </w:tc>
      </w:tr>
    </w:tbl>
    <w:p>
      <w:pPr>
        <w:spacing w:after="0" w:line="67"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consolidated statement of income.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consolidated statement of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53439A"/>
        </w:rPr>
        <w:t>Receivables Monetized and Deferred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13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100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10060" w:type="dxa"/>
            <w:vAlign w:val="bottom"/>
          </w:tcPr>
          <w:p>
            <w:pPr>
              <w:spacing w:after="0" w:line="177" w:lineRule="exact"/>
              <w:rPr>
                <w:sz w:val="20"/>
                <w:szCs w:val="20"/>
                <w:color w:val="auto"/>
              </w:rPr>
            </w:pPr>
            <w:r>
              <w:rPr>
                <w:rFonts w:ascii="Arial" w:cs="Arial" w:eastAsia="Arial" w:hAnsi="Arial"/>
                <w:sz w:val="18"/>
                <w:szCs w:val="18"/>
                <w:color w:val="auto"/>
              </w:rPr>
              <w:t>Monetized receivables sold</w:t>
            </w:r>
          </w:p>
        </w:tc>
        <w:tc>
          <w:tcPr>
            <w:tcW w:w="720" w:type="dxa"/>
            <w:vAlign w:val="bottom"/>
          </w:tcPr>
          <w:p>
            <w:pPr>
              <w:jc w:val="right"/>
              <w:ind w:right="62"/>
              <w:spacing w:after="0" w:line="177" w:lineRule="exact"/>
              <w:rPr>
                <w:sz w:val="20"/>
                <w:szCs w:val="20"/>
                <w:color w:val="auto"/>
              </w:rPr>
            </w:pPr>
            <w:r>
              <w:rPr>
                <w:rFonts w:ascii="Arial" w:cs="Arial" w:eastAsia="Arial" w:hAnsi="Arial"/>
                <w:sz w:val="18"/>
                <w:szCs w:val="18"/>
                <w:b w:val="1"/>
                <w:bCs w:val="1"/>
                <w:color w:val="auto"/>
              </w:rPr>
              <w:t>$ 791</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$ 961</w:t>
            </w:r>
          </w:p>
        </w:tc>
        <w:tc>
          <w:tcPr>
            <w:tcW w:w="0" w:type="dxa"/>
            <w:vAlign w:val="bottom"/>
          </w:tcPr>
          <w:p>
            <w:pPr>
              <w:spacing w:after="0"/>
              <w:rPr>
                <w:sz w:val="1"/>
                <w:szCs w:val="1"/>
                <w:color w:val="auto"/>
              </w:rPr>
            </w:pPr>
          </w:p>
        </w:tc>
      </w:tr>
      <w:tr>
        <w:trPr>
          <w:trHeight w:val="221"/>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$ 274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$ 268</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amounts presented above, we had $882 million and $781 million payable to our monetization programs as of December 31, 2012 and 2011, respectively. These amounts represent cash receipts that were not yet remitted to the monetization programs as of the balance sheet date and are recorded to accounts payable and accrued expenses related to trade creditors.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enter into long-term commitments with third parties in the ordinary course of our business, including commitments to acquire film and television programming, take or pay creative talent and employment agreements, and various other television-related commitments. Many of our employees, including writers, directors, actors, technical and production personnel, and others, as well as some of our on-air and creative talent, are covered by collective bargaining agreements or works councils. As of December 31, 2012, the total number of full-time, part-time and hourly employees covered by collective bargaining agreements was 6,700 full-time equivalent employees. Of this total, approximately 18% of these full-time equivalent employees were covered by collective bargaining agreements that have expired or are scheduled to expire during 2013.</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table below summarizes our minimum annual programming and talent commitments and our minimum annual rental commitments for office space and equipment under operating leases. Programming and talent commitments include acquired film and television programming, including U.S. television rights to the future Olympic Games through 2020, </w:t>
      </w:r>
      <w:r>
        <w:rPr>
          <w:rFonts w:ascii="Arial" w:cs="Arial" w:eastAsia="Arial" w:hAnsi="Arial"/>
          <w:sz w:val="16"/>
          <w:szCs w:val="16"/>
          <w:i w:val="1"/>
          <w:iCs w:val="1"/>
          <w:color w:val="auto"/>
        </w:rPr>
        <w:t>Sunday Night Football</w:t>
      </w:r>
      <w:r>
        <w:rPr>
          <w:rFonts w:ascii="Arial" w:cs="Arial" w:eastAsia="Arial" w:hAnsi="Arial"/>
          <w:sz w:val="16"/>
          <w:szCs w:val="16"/>
          <w:color w:val="auto"/>
        </w:rPr>
        <w:t xml:space="preserve"> on NBC through the 2022-23 season, and other programming commitments, as well as our various contracts with creative talent and employment agreements under take-or-pay contracts.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800" w:type="dxa"/>
            <w:vAlign w:val="bottom"/>
            <w:gridSpan w:val="2"/>
          </w:tcPr>
          <w:p>
            <w:pPr>
              <w:ind w:left="1200"/>
              <w:spacing w:after="0"/>
              <w:rPr>
                <w:sz w:val="20"/>
                <w:szCs w:val="20"/>
                <w:color w:val="auto"/>
              </w:rPr>
            </w:pPr>
            <w:r>
              <w:rPr>
                <w:rFonts w:ascii="Arial" w:cs="Arial" w:eastAsia="Arial" w:hAnsi="Arial"/>
                <w:sz w:val="14"/>
                <w:szCs w:val="14"/>
                <w:color w:val="auto"/>
              </w:rPr>
              <w:t>Programming and Talent</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Operating</w:t>
            </w:r>
          </w:p>
        </w:tc>
      </w:tr>
      <w:tr>
        <w:trPr>
          <w:trHeight w:val="149"/>
        </w:trPr>
        <w:tc>
          <w:tcPr>
            <w:tcW w:w="7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2012 (in millions)</w:t>
            </w:r>
          </w:p>
        </w:tc>
        <w:tc>
          <w:tcPr>
            <w:tcW w:w="15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5"/>
              <w:spacing w:after="0" w:line="149" w:lineRule="exact"/>
              <w:rPr>
                <w:sz w:val="20"/>
                <w:szCs w:val="20"/>
                <w:color w:val="auto"/>
              </w:rPr>
            </w:pPr>
            <w:r>
              <w:rPr>
                <w:rFonts w:ascii="Arial" w:cs="Arial" w:eastAsia="Arial" w:hAnsi="Arial"/>
                <w:sz w:val="14"/>
                <w:szCs w:val="14"/>
                <w:color w:val="auto"/>
              </w:rPr>
              <w:t>Commitments</w:t>
            </w:r>
          </w:p>
        </w:tc>
        <w:tc>
          <w:tcPr>
            <w:tcW w:w="78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Leases(a)</w:t>
            </w:r>
          </w:p>
        </w:tc>
      </w:tr>
      <w:tr>
        <w:trPr>
          <w:trHeight w:val="199"/>
        </w:trPr>
        <w:tc>
          <w:tcPr>
            <w:tcW w:w="7840" w:type="dxa"/>
            <w:vAlign w:val="bottom"/>
          </w:tcPr>
          <w:p>
            <w:pPr>
              <w:spacing w:after="0" w:line="200" w:lineRule="exact"/>
              <w:rPr>
                <w:sz w:val="20"/>
                <w:szCs w:val="20"/>
                <w:color w:val="auto"/>
              </w:rPr>
            </w:pPr>
            <w:r>
              <w:rPr>
                <w:rFonts w:ascii="Arial" w:cs="Arial" w:eastAsia="Arial" w:hAnsi="Arial"/>
                <w:sz w:val="18"/>
                <w:szCs w:val="18"/>
                <w:color w:val="auto"/>
              </w:rPr>
              <w:t>2013</w:t>
            </w:r>
          </w:p>
        </w:tc>
        <w:tc>
          <w:tcPr>
            <w:tcW w:w="1560" w:type="dxa"/>
            <w:vAlign w:val="bottom"/>
          </w:tcPr>
          <w:p>
            <w:pPr>
              <w:ind w:left="1180"/>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3,789</w:t>
            </w:r>
          </w:p>
        </w:tc>
        <w:tc>
          <w:tcPr>
            <w:tcW w:w="320" w:type="dxa"/>
            <w:vAlign w:val="bottom"/>
          </w:tcPr>
          <w:p>
            <w:pPr>
              <w:ind w:left="120"/>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239</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1560" w:type="dxa"/>
            <w:vAlign w:val="bottom"/>
          </w:tcPr>
          <w:p>
            <w:pPr>
              <w:ind w:left="11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3,495</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1560" w:type="dxa"/>
            <w:vAlign w:val="bottom"/>
          </w:tcPr>
          <w:p>
            <w:pPr>
              <w:ind w:left="11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2,301</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1560" w:type="dxa"/>
            <w:vAlign w:val="bottom"/>
          </w:tcPr>
          <w:p>
            <w:pPr>
              <w:ind w:left="11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3,291</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1560" w:type="dxa"/>
            <w:vAlign w:val="bottom"/>
          </w:tcPr>
          <w:p>
            <w:pPr>
              <w:ind w:left="11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2,078</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r>
      <w:tr>
        <w:trPr>
          <w:trHeight w:val="199"/>
        </w:trPr>
        <w:tc>
          <w:tcPr>
            <w:tcW w:w="78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auto"/>
            </w:tcBorders>
          </w:tcPr>
          <w:p>
            <w:pPr>
              <w:ind w:left="1180"/>
              <w:spacing w:after="0" w:line="200"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15,478</w:t>
            </w:r>
          </w:p>
        </w:tc>
        <w:tc>
          <w:tcPr>
            <w:tcW w:w="320" w:type="dxa"/>
            <w:vAlign w:val="bottom"/>
            <w:tcBorders>
              <w:bottom w:val="single" w:sz="8" w:color="auto"/>
            </w:tcBorders>
          </w:tcPr>
          <w:p>
            <w:pPr>
              <w:ind w:left="120"/>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681</w:t>
            </w:r>
          </w:p>
        </w:tc>
      </w:tr>
      <w:tr>
        <w:trPr>
          <w:trHeight w:val="223"/>
        </w:trPr>
        <w:tc>
          <w:tcPr>
            <w:tcW w:w="7840" w:type="dxa"/>
            <w:vAlign w:val="bottom"/>
          </w:tcPr>
          <w:p>
            <w:pPr>
              <w:spacing w:after="0"/>
              <w:rPr>
                <w:sz w:val="20"/>
                <w:szCs w:val="20"/>
                <w:color w:val="auto"/>
              </w:rPr>
            </w:pPr>
            <w:r>
              <w:rPr>
                <w:rFonts w:ascii="Arial" w:cs="Arial" w:eastAsia="Arial" w:hAnsi="Arial"/>
                <w:sz w:val="14"/>
                <w:szCs w:val="14"/>
                <w:color w:val="auto"/>
              </w:rPr>
              <w:t>(a)  Our minimum annual commitments under operating leases include commitments with related parties of $511 million.</w:t>
            </w:r>
          </w:p>
        </w:tc>
        <w:tc>
          <w:tcPr>
            <w:tcW w:w="1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00"/>
        </w:trPr>
        <w:tc>
          <w:tcPr>
            <w:tcW w:w="7840" w:type="dxa"/>
            <w:vAlign w:val="bottom"/>
          </w:tcPr>
          <w:p>
            <w:pPr>
              <w:ind w:left="5680"/>
              <w:spacing w:after="0"/>
              <w:rPr>
                <w:sz w:val="20"/>
                <w:szCs w:val="20"/>
                <w:color w:val="auto"/>
              </w:rPr>
            </w:pPr>
            <w:r>
              <w:rPr>
                <w:rFonts w:ascii="Arial" w:cs="Arial" w:eastAsia="Arial" w:hAnsi="Arial"/>
                <w:sz w:val="14"/>
                <w:szCs w:val="14"/>
                <w:b w:val="1"/>
                <w:bCs w:val="1"/>
                <w:color w:val="auto"/>
              </w:rPr>
              <w:t>81</w:t>
            </w:r>
          </w:p>
        </w:tc>
        <w:tc>
          <w:tcPr>
            <w:tcW w:w="3580" w:type="dxa"/>
            <w:vAlign w:val="bottom"/>
            <w:gridSpan w:val="4"/>
          </w:tcPr>
          <w:p>
            <w:pPr>
              <w:ind w:left="640"/>
              <w:spacing w:after="0"/>
              <w:rPr>
                <w:sz w:val="20"/>
                <w:szCs w:val="20"/>
                <w:color w:val="auto"/>
              </w:rPr>
            </w:pPr>
            <w:r>
              <w:rPr>
                <w:rFonts w:ascii="Arial" w:cs="Arial" w:eastAsia="Arial" w:hAnsi="Arial"/>
                <w:sz w:val="14"/>
                <w:szCs w:val="14"/>
                <w:color w:val="auto"/>
                <w:w w:val="95"/>
              </w:rPr>
              <w:t>NBCUniversal 2012 Annual Report on Form 10-K</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Successor</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color w:val="auto"/>
              </w:rPr>
              <w:t>Predecessor</w:t>
            </w: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125"/>
        </w:trPr>
        <w:tc>
          <w:tcPr>
            <w:tcW w:w="5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right"/>
              <w:ind w:right="6"/>
              <w:spacing w:after="0" w:line="125" w:lineRule="exact"/>
              <w:rPr>
                <w:sz w:val="20"/>
                <w:szCs w:val="20"/>
                <w:color w:val="auto"/>
              </w:rPr>
            </w:pPr>
            <w:r>
              <w:rPr>
                <w:rFonts w:ascii="Arial" w:cs="Arial" w:eastAsia="Arial" w:hAnsi="Arial"/>
                <w:sz w:val="14"/>
                <w:szCs w:val="14"/>
                <w:color w:val="auto"/>
              </w:rPr>
              <w:t>For the Period</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Borders>
              <w:right w:val="single" w:sz="8" w:color="auto"/>
            </w:tcBorders>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280" w:type="dxa"/>
            <w:vAlign w:val="bottom"/>
            <w:gridSpan w:val="2"/>
          </w:tcPr>
          <w:p>
            <w:pPr>
              <w:jc w:val="right"/>
              <w:ind w:right="6"/>
              <w:spacing w:after="0" w:line="149" w:lineRule="exact"/>
              <w:rPr>
                <w:sz w:val="20"/>
                <w:szCs w:val="20"/>
                <w:color w:val="auto"/>
              </w:rPr>
            </w:pPr>
            <w:r>
              <w:rPr>
                <w:rFonts w:ascii="Arial" w:cs="Arial" w:eastAsia="Arial" w:hAnsi="Arial"/>
                <w:sz w:val="14"/>
                <w:szCs w:val="14"/>
                <w:color w:val="auto"/>
              </w:rPr>
              <w:t>January 1, 2011 to</w:t>
            </w:r>
          </w:p>
        </w:tc>
        <w:tc>
          <w:tcPr>
            <w:tcW w:w="5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Year Ended</w:t>
            </w:r>
          </w:p>
        </w:tc>
        <w:tc>
          <w:tcPr>
            <w:tcW w:w="60" w:type="dxa"/>
            <w:vAlign w:val="bottom"/>
          </w:tcPr>
          <w:p>
            <w:pPr>
              <w:spacing w:after="0"/>
              <w:rPr>
                <w:sz w:val="12"/>
                <w:szCs w:val="12"/>
                <w:color w:val="auto"/>
              </w:rPr>
            </w:pPr>
          </w:p>
        </w:tc>
      </w:tr>
      <w:tr>
        <w:trPr>
          <w:trHeight w:val="165"/>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b w:val="1"/>
                <w:bCs w:val="1"/>
                <w:color w:val="auto"/>
              </w:rPr>
              <w:t>December 31, 2012</w:t>
            </w:r>
          </w:p>
        </w:tc>
        <w:tc>
          <w:tcPr>
            <w:tcW w:w="1540" w:type="dxa"/>
            <w:vAlign w:val="bottom"/>
            <w:tcBorders>
              <w:bottom w:val="single" w:sz="8" w:color="auto"/>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color w:val="auto"/>
              </w:rPr>
              <w:t>January 28, 2011</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2010</w:t>
            </w:r>
          </w:p>
        </w:tc>
        <w:tc>
          <w:tcPr>
            <w:tcW w:w="60" w:type="dxa"/>
            <w:vAlign w:val="bottom"/>
            <w:tcBorders>
              <w:bottom w:val="single" w:sz="8" w:color="auto"/>
            </w:tcBorders>
          </w:tcPr>
          <w:p>
            <w:pPr>
              <w:spacing w:after="0"/>
              <w:rPr>
                <w:sz w:val="14"/>
                <w:szCs w:val="14"/>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Rental expense</w:t>
            </w:r>
          </w:p>
        </w:tc>
        <w:tc>
          <w:tcPr>
            <w:tcW w:w="380" w:type="dxa"/>
            <w:vAlign w:val="bottom"/>
          </w:tcPr>
          <w:p>
            <w:pPr>
              <w:jc w:val="right"/>
              <w:ind w:right="122"/>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6"/>
              <w:spacing w:after="0" w:line="196" w:lineRule="exact"/>
              <w:rPr>
                <w:sz w:val="20"/>
                <w:szCs w:val="20"/>
                <w:color w:val="auto"/>
              </w:rPr>
            </w:pPr>
            <w:r>
              <w:rPr>
                <w:rFonts w:ascii="Arial" w:cs="Arial" w:eastAsia="Arial" w:hAnsi="Arial"/>
                <w:sz w:val="18"/>
                <w:szCs w:val="18"/>
                <w:b w:val="1"/>
                <w:bCs w:val="1"/>
                <w:color w:val="auto"/>
              </w:rPr>
              <w:t>317</w:t>
            </w:r>
          </w:p>
        </w:tc>
        <w:tc>
          <w:tcPr>
            <w:tcW w:w="360" w:type="dxa"/>
            <w:vAlign w:val="bottom"/>
          </w:tcPr>
          <w:p>
            <w:pPr>
              <w:jc w:val="right"/>
              <w:ind w:right="102"/>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267</w:t>
            </w:r>
          </w:p>
        </w:tc>
        <w:tc>
          <w:tcPr>
            <w:tcW w:w="220" w:type="dxa"/>
            <w:vAlign w:val="bottom"/>
            <w:tcBorders>
              <w:right w:val="single" w:sz="8" w:color="auto"/>
            </w:tcBorders>
          </w:tcPr>
          <w:p>
            <w:pPr>
              <w:spacing w:after="0"/>
              <w:rPr>
                <w:sz w:val="17"/>
                <w:szCs w:val="17"/>
                <w:color w:val="auto"/>
              </w:rPr>
            </w:pPr>
          </w:p>
        </w:tc>
        <w:tc>
          <w:tcPr>
            <w:tcW w:w="4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6"/>
              <w:spacing w:after="0" w:line="196" w:lineRule="exact"/>
              <w:rPr>
                <w:sz w:val="20"/>
                <w:szCs w:val="20"/>
                <w:color w:val="auto"/>
              </w:rPr>
            </w:pPr>
            <w:r>
              <w:rPr>
                <w:rFonts w:ascii="Arial" w:cs="Arial" w:eastAsia="Arial" w:hAnsi="Arial"/>
                <w:sz w:val="18"/>
                <w:szCs w:val="18"/>
                <w:color w:val="auto"/>
              </w:rPr>
              <w:t>18</w:t>
            </w:r>
          </w:p>
        </w:tc>
        <w:tc>
          <w:tcPr>
            <w:tcW w:w="500" w:type="dxa"/>
            <w:vAlign w:val="bottom"/>
          </w:tcPr>
          <w:p>
            <w:pPr>
              <w:jc w:val="right"/>
              <w:ind w:right="242"/>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217</w:t>
            </w:r>
          </w:p>
        </w:tc>
        <w:tc>
          <w:tcPr>
            <w:tcW w:w="60" w:type="dxa"/>
            <w:vAlign w:val="bottom"/>
          </w:tcPr>
          <w:p>
            <w:pPr>
              <w:spacing w:after="0"/>
              <w:rPr>
                <w:sz w:val="17"/>
                <w:szCs w:val="17"/>
                <w:color w:val="auto"/>
              </w:rPr>
            </w:pPr>
          </w:p>
        </w:tc>
      </w:tr>
      <w:tr>
        <w:trPr>
          <w:trHeight w:val="27"/>
        </w:trPr>
        <w:tc>
          <w:tcPr>
            <w:tcW w:w="5740" w:type="dxa"/>
            <w:vAlign w:val="bottom"/>
            <w:tcBorders>
              <w:bottom w:val="single" w:sz="8" w:color="53439A"/>
            </w:tcBorders>
          </w:tcPr>
          <w:p>
            <w:pPr>
              <w:spacing w:after="0"/>
              <w:rPr>
                <w:sz w:val="2"/>
                <w:szCs w:val="2"/>
                <w:color w:val="auto"/>
              </w:rPr>
            </w:pPr>
          </w:p>
        </w:tc>
        <w:tc>
          <w:tcPr>
            <w:tcW w:w="380" w:type="dxa"/>
            <w:vAlign w:val="bottom"/>
            <w:tcBorders>
              <w:bottom w:val="single" w:sz="8" w:color="53439A"/>
            </w:tcBorders>
          </w:tcPr>
          <w:p>
            <w:pPr>
              <w:spacing w:after="0"/>
              <w:rPr>
                <w:sz w:val="2"/>
                <w:szCs w:val="2"/>
                <w:color w:val="auto"/>
              </w:rPr>
            </w:pPr>
          </w:p>
        </w:tc>
        <w:tc>
          <w:tcPr>
            <w:tcW w:w="1000" w:type="dxa"/>
            <w:vAlign w:val="bottom"/>
            <w:tcBorders>
              <w:bottom w:val="single" w:sz="8" w:color="53439A"/>
            </w:tcBorders>
          </w:tcPr>
          <w:p>
            <w:pPr>
              <w:spacing w:after="0"/>
              <w:rPr>
                <w:sz w:val="2"/>
                <w:szCs w:val="2"/>
                <w:color w:val="auto"/>
              </w:rPr>
            </w:pPr>
          </w:p>
        </w:tc>
        <w:tc>
          <w:tcPr>
            <w:tcW w:w="360" w:type="dxa"/>
            <w:vAlign w:val="bottom"/>
            <w:tcBorders>
              <w:bottom w:val="single" w:sz="8" w:color="53439A"/>
            </w:tcBorders>
          </w:tcPr>
          <w:p>
            <w:pPr>
              <w:spacing w:after="0"/>
              <w:rPr>
                <w:sz w:val="2"/>
                <w:szCs w:val="2"/>
                <w:color w:val="auto"/>
              </w:rPr>
            </w:pPr>
          </w:p>
        </w:tc>
        <w:tc>
          <w:tcPr>
            <w:tcW w:w="960" w:type="dxa"/>
            <w:vAlign w:val="bottom"/>
            <w:tcBorders>
              <w:bottom w:val="single" w:sz="8" w:color="53439A"/>
            </w:tcBorders>
          </w:tcPr>
          <w:p>
            <w:pPr>
              <w:spacing w:after="0"/>
              <w:rPr>
                <w:sz w:val="2"/>
                <w:szCs w:val="2"/>
                <w:color w:val="auto"/>
              </w:rPr>
            </w:pPr>
          </w:p>
        </w:tc>
        <w:tc>
          <w:tcPr>
            <w:tcW w:w="220" w:type="dxa"/>
            <w:vAlign w:val="bottom"/>
            <w:tcBorders>
              <w:bottom w:val="single" w:sz="8" w:color="53439A"/>
            </w:tcBorders>
          </w:tcPr>
          <w:p>
            <w:pPr>
              <w:spacing w:after="0"/>
              <w:rPr>
                <w:sz w:val="2"/>
                <w:szCs w:val="2"/>
                <w:color w:val="auto"/>
              </w:rPr>
            </w:pPr>
          </w:p>
        </w:tc>
        <w:tc>
          <w:tcPr>
            <w:tcW w:w="160" w:type="dxa"/>
            <w:vAlign w:val="bottom"/>
            <w:tcBorders>
              <w:bottom w:val="single" w:sz="8" w:color="53439A"/>
            </w:tcBorders>
          </w:tcPr>
          <w:p>
            <w:pPr>
              <w:spacing w:after="0"/>
              <w:rPr>
                <w:sz w:val="2"/>
                <w:szCs w:val="2"/>
                <w:color w:val="auto"/>
              </w:rPr>
            </w:pPr>
          </w:p>
        </w:tc>
        <w:tc>
          <w:tcPr>
            <w:tcW w:w="260" w:type="dxa"/>
            <w:vAlign w:val="bottom"/>
            <w:tcBorders>
              <w:bottom w:val="single" w:sz="8" w:color="53439A"/>
            </w:tcBorders>
          </w:tcPr>
          <w:p>
            <w:pPr>
              <w:spacing w:after="0"/>
              <w:rPr>
                <w:sz w:val="2"/>
                <w:szCs w:val="2"/>
                <w:color w:val="auto"/>
              </w:rPr>
            </w:pPr>
          </w:p>
        </w:tc>
        <w:tc>
          <w:tcPr>
            <w:tcW w:w="1020" w:type="dxa"/>
            <w:vAlign w:val="bottom"/>
            <w:tcBorders>
              <w:bottom w:val="single" w:sz="8" w:color="53439A"/>
            </w:tcBorders>
          </w:tcPr>
          <w:p>
            <w:pPr>
              <w:spacing w:after="0"/>
              <w:rPr>
                <w:sz w:val="2"/>
                <w:szCs w:val="2"/>
                <w:color w:val="auto"/>
              </w:rPr>
            </w:pPr>
          </w:p>
        </w:tc>
        <w:tc>
          <w:tcPr>
            <w:tcW w:w="500" w:type="dxa"/>
            <w:vAlign w:val="bottom"/>
            <w:tcBorders>
              <w:bottom w:val="single" w:sz="8" w:color="53439A"/>
            </w:tcBorders>
          </w:tcPr>
          <w:p>
            <w:pPr>
              <w:spacing w:after="0"/>
              <w:rPr>
                <w:sz w:val="2"/>
                <w:szCs w:val="2"/>
                <w:color w:val="auto"/>
              </w:rPr>
            </w:pPr>
          </w:p>
        </w:tc>
        <w:tc>
          <w:tcPr>
            <w:tcW w:w="760" w:type="dxa"/>
            <w:vAlign w:val="bottom"/>
            <w:tcBorders>
              <w:bottom w:val="single" w:sz="8" w:color="53439A"/>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19: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present our operations in four reportable business segments: Cable Networks, Broadcast Television, Filmed Entertainment and Theme Parks.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data by reportable business segment is presented in the tables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Successor</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rPr>
              <w:t>Predecessor</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ind w:right="14"/>
              <w:spacing w:after="0" w:line="125"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right"/>
              <w:ind w:right="56"/>
              <w:spacing w:after="0" w:line="125" w:lineRule="exact"/>
              <w:rPr>
                <w:sz w:val="20"/>
                <w:szCs w:val="20"/>
                <w:color w:val="auto"/>
              </w:rPr>
            </w:pPr>
            <w:r>
              <w:rPr>
                <w:rFonts w:ascii="Arial" w:cs="Arial" w:eastAsia="Arial" w:hAnsi="Arial"/>
                <w:sz w:val="14"/>
                <w:szCs w:val="14"/>
                <w:color w:val="auto"/>
              </w:rPr>
              <w:t>For the Period</w:t>
            </w: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tcBorders>
              <w:right w:val="single" w:sz="8" w:color="auto"/>
            </w:tcBorders>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40" w:type="dxa"/>
            <w:vAlign w:val="bottom"/>
            <w:gridSpan w:val="2"/>
          </w:tcPr>
          <w:p>
            <w:pPr>
              <w:jc w:val="right"/>
              <w:ind w:right="56"/>
              <w:spacing w:after="0" w:line="149" w:lineRule="exact"/>
              <w:rPr>
                <w:sz w:val="20"/>
                <w:szCs w:val="20"/>
                <w:color w:val="auto"/>
              </w:rPr>
            </w:pPr>
            <w:r>
              <w:rPr>
                <w:rFonts w:ascii="Arial" w:cs="Arial" w:eastAsia="Arial" w:hAnsi="Arial"/>
                <w:sz w:val="14"/>
                <w:szCs w:val="14"/>
                <w:color w:val="auto"/>
              </w:rPr>
              <w:t>January 1, 2011 to</w:t>
            </w:r>
          </w:p>
        </w:tc>
        <w:tc>
          <w:tcPr>
            <w:tcW w:w="4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5"/>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2012</w:t>
            </w:r>
          </w:p>
        </w:tc>
        <w:tc>
          <w:tcPr>
            <w:tcW w:w="1580" w:type="dxa"/>
            <w:vAlign w:val="bottom"/>
            <w:tcBorders>
              <w:bottom w:val="single" w:sz="8" w:color="auto"/>
              <w:right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color w:val="auto"/>
              </w:rPr>
              <w:t>January 28, 2011</w:t>
            </w: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99"/>
        </w:trPr>
        <w:tc>
          <w:tcPr>
            <w:tcW w:w="5520" w:type="dxa"/>
            <w:vAlign w:val="bottom"/>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8,773</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20" w:type="dxa"/>
            <w:vAlign w:val="bottom"/>
          </w:tcPr>
          <w:p>
            <w:pPr>
              <w:spacing w:after="0" w:line="181" w:lineRule="exact"/>
              <w:rPr>
                <w:sz w:val="20"/>
                <w:szCs w:val="20"/>
                <w:color w:val="auto"/>
              </w:rPr>
            </w:pPr>
            <w:r>
              <w:rPr>
                <w:rFonts w:ascii="Arial" w:cs="Arial" w:eastAsia="Arial" w:hAnsi="Arial"/>
                <w:sz w:val="16"/>
                <w:szCs w:val="16"/>
                <w:color w:val="auto"/>
              </w:rPr>
              <w:t>Cable Networks</w:t>
            </w:r>
            <w:r>
              <w:rPr>
                <w:rFonts w:ascii="Arial" w:cs="Arial" w:eastAsia="Arial" w:hAnsi="Arial"/>
                <w:sz w:val="20"/>
                <w:szCs w:val="20"/>
                <w:color w:val="auto"/>
                <w:vertAlign w:val="superscript"/>
              </w:rPr>
              <w:t>(a)</w:t>
            </w:r>
          </w:p>
        </w:tc>
        <w:tc>
          <w:tcPr>
            <w:tcW w:w="1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40" w:type="dxa"/>
            <w:vAlign w:val="bottom"/>
          </w:tcPr>
          <w:p>
            <w:pPr>
              <w:jc w:val="right"/>
              <w:ind w:right="99"/>
              <w:spacing w:after="0" w:line="18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line="181" w:lineRule="exact"/>
              <w:rPr>
                <w:sz w:val="20"/>
                <w:szCs w:val="20"/>
                <w:color w:val="auto"/>
              </w:rPr>
            </w:pPr>
            <w:r>
              <w:rPr>
                <w:rFonts w:ascii="Arial" w:cs="Arial" w:eastAsia="Arial" w:hAnsi="Arial"/>
                <w:sz w:val="18"/>
                <w:szCs w:val="18"/>
                <w:color w:val="auto"/>
              </w:rPr>
              <w:t>7,876</w:t>
            </w:r>
          </w:p>
        </w:tc>
        <w:tc>
          <w:tcPr>
            <w:tcW w:w="200" w:type="dxa"/>
            <w:vAlign w:val="bottom"/>
            <w:tcBorders>
              <w:right w:val="single" w:sz="8" w:color="auto"/>
            </w:tcBorders>
          </w:tcPr>
          <w:p>
            <w:pPr>
              <w:spacing w:after="0"/>
              <w:rPr>
                <w:sz w:val="15"/>
                <w:szCs w:val="15"/>
                <w:color w:val="auto"/>
              </w:rPr>
            </w:pPr>
          </w:p>
        </w:tc>
        <w:tc>
          <w:tcPr>
            <w:tcW w:w="440" w:type="dxa"/>
            <w:vAlign w:val="bottom"/>
            <w:gridSpan w:val="2"/>
          </w:tcPr>
          <w:p>
            <w:pPr>
              <w:jc w:val="right"/>
              <w:ind w:right="12"/>
              <w:spacing w:after="0" w:line="18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line="181" w:lineRule="exact"/>
              <w:rPr>
                <w:sz w:val="20"/>
                <w:szCs w:val="20"/>
                <w:color w:val="auto"/>
              </w:rPr>
            </w:pPr>
            <w:r>
              <w:rPr>
                <w:rFonts w:ascii="Arial" w:cs="Arial" w:eastAsia="Arial" w:hAnsi="Arial"/>
                <w:sz w:val="18"/>
                <w:szCs w:val="18"/>
                <w:color w:val="auto"/>
              </w:rPr>
              <w:t>389</w:t>
            </w:r>
          </w:p>
        </w:tc>
        <w:tc>
          <w:tcPr>
            <w:tcW w:w="4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4,954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(b)</w:t>
            </w:r>
          </w:p>
        </w:tc>
        <w:tc>
          <w:tcPr>
            <w:tcW w:w="180" w:type="dxa"/>
            <w:vAlign w:val="bottom"/>
          </w:tcPr>
          <w:p>
            <w:pPr>
              <w:spacing w:after="0"/>
              <w:rPr>
                <w:sz w:val="17"/>
                <w:szCs w:val="17"/>
                <w:color w:val="auto"/>
              </w:rPr>
            </w:pPr>
          </w:p>
        </w:tc>
        <w:tc>
          <w:tcPr>
            <w:tcW w:w="126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8,154</w:t>
            </w:r>
          </w:p>
        </w:tc>
        <w:tc>
          <w:tcPr>
            <w:tcW w:w="34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5,935</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464</w:t>
            </w:r>
          </w:p>
        </w:tc>
        <w:tc>
          <w:tcPr>
            <w:tcW w:w="4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Filmed Entertainment</w:t>
            </w:r>
          </w:p>
        </w:tc>
        <w:tc>
          <w:tcPr>
            <w:tcW w:w="180" w:type="dxa"/>
            <w:vAlign w:val="bottom"/>
          </w:tcPr>
          <w:p>
            <w:pPr>
              <w:spacing w:after="0"/>
              <w:rPr>
                <w:sz w:val="17"/>
                <w:szCs w:val="17"/>
                <w:color w:val="auto"/>
              </w:rPr>
            </w:pPr>
          </w:p>
        </w:tc>
        <w:tc>
          <w:tcPr>
            <w:tcW w:w="126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5,159</w:t>
            </w:r>
          </w:p>
        </w:tc>
        <w:tc>
          <w:tcPr>
            <w:tcW w:w="34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4,239</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353</w:t>
            </w:r>
          </w:p>
        </w:tc>
        <w:tc>
          <w:tcPr>
            <w:tcW w:w="4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Theme Parks</w:t>
            </w:r>
            <w:r>
              <w:rPr>
                <w:rFonts w:ascii="Arial" w:cs="Arial" w:eastAsia="Arial" w:hAnsi="Arial"/>
                <w:sz w:val="22"/>
                <w:szCs w:val="22"/>
                <w:color w:val="auto"/>
                <w:vertAlign w:val="superscript"/>
              </w:rPr>
              <w:t>(c)</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2,085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1,874</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115</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520" w:type="dxa"/>
            <w:vAlign w:val="bottom"/>
          </w:tcPr>
          <w:p>
            <w:pPr>
              <w:spacing w:after="0" w:line="177" w:lineRule="exact"/>
              <w:rPr>
                <w:sz w:val="20"/>
                <w:szCs w:val="20"/>
                <w:color w:val="auto"/>
              </w:rPr>
            </w:pPr>
            <w:r>
              <w:rPr>
                <w:rFonts w:ascii="Arial" w:cs="Arial" w:eastAsia="Arial" w:hAnsi="Arial"/>
                <w:sz w:val="18"/>
                <w:szCs w:val="18"/>
                <w:color w:val="auto"/>
              </w:rPr>
              <w:t>Total segment revenue</w:t>
            </w:r>
          </w:p>
        </w:tc>
        <w:tc>
          <w:tcPr>
            <w:tcW w:w="180" w:type="dxa"/>
            <w:vAlign w:val="bottom"/>
          </w:tcPr>
          <w:p>
            <w:pPr>
              <w:spacing w:after="0"/>
              <w:rPr>
                <w:sz w:val="15"/>
                <w:szCs w:val="15"/>
                <w:color w:val="auto"/>
              </w:rPr>
            </w:pPr>
          </w:p>
        </w:tc>
        <w:tc>
          <w:tcPr>
            <w:tcW w:w="1260" w:type="dxa"/>
            <w:vAlign w:val="bottom"/>
          </w:tcPr>
          <w:p>
            <w:pPr>
              <w:jc w:val="right"/>
              <w:ind w:right="58"/>
              <w:spacing w:after="0" w:line="177" w:lineRule="exact"/>
              <w:rPr>
                <w:sz w:val="20"/>
                <w:szCs w:val="20"/>
                <w:color w:val="auto"/>
              </w:rPr>
            </w:pPr>
            <w:r>
              <w:rPr>
                <w:rFonts w:ascii="Arial" w:cs="Arial" w:eastAsia="Arial" w:hAnsi="Arial"/>
                <w:sz w:val="18"/>
                <w:szCs w:val="18"/>
                <w:b w:val="1"/>
                <w:bCs w:val="1"/>
                <w:color w:val="auto"/>
              </w:rPr>
              <w:t>24,171</w:t>
            </w:r>
          </w:p>
        </w:tc>
        <w:tc>
          <w:tcPr>
            <w:tcW w:w="340" w:type="dxa"/>
            <w:vAlign w:val="bottom"/>
          </w:tcPr>
          <w:p>
            <w:pPr>
              <w:spacing w:after="0"/>
              <w:rPr>
                <w:sz w:val="15"/>
                <w:szCs w:val="15"/>
                <w:color w:val="auto"/>
              </w:rPr>
            </w:pPr>
          </w:p>
        </w:tc>
        <w:tc>
          <w:tcPr>
            <w:tcW w:w="104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19,924</w:t>
            </w: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6"/>
              <w:spacing w:after="0" w:line="177" w:lineRule="exact"/>
              <w:rPr>
                <w:sz w:val="20"/>
                <w:szCs w:val="20"/>
                <w:color w:val="auto"/>
              </w:rPr>
            </w:pPr>
            <w:r>
              <w:rPr>
                <w:rFonts w:ascii="Arial" w:cs="Arial" w:eastAsia="Arial" w:hAnsi="Arial"/>
                <w:sz w:val="18"/>
                <w:szCs w:val="18"/>
                <w:color w:val="auto"/>
              </w:rPr>
              <w:t>1,321</w:t>
            </w:r>
          </w:p>
        </w:tc>
        <w:tc>
          <w:tcPr>
            <w:tcW w:w="460" w:type="dxa"/>
            <w:vAlign w:val="bottom"/>
          </w:tcPr>
          <w:p>
            <w:pPr>
              <w:spacing w:after="0"/>
              <w:rPr>
                <w:sz w:val="15"/>
                <w:szCs w:val="15"/>
                <w:color w:val="auto"/>
              </w:rPr>
            </w:pPr>
          </w:p>
        </w:tc>
        <w:tc>
          <w:tcPr>
            <w:tcW w:w="900" w:type="dxa"/>
            <w:vAlign w:val="bottom"/>
            <w:gridSpan w:val="2"/>
          </w:tcPr>
          <w:p>
            <w:pPr>
              <w:jc w:val="right"/>
              <w:ind w:right="100"/>
              <w:spacing w:after="0" w:line="177" w:lineRule="exact"/>
              <w:rPr>
                <w:sz w:val="20"/>
                <w:szCs w:val="20"/>
                <w:color w:val="auto"/>
              </w:rPr>
            </w:pPr>
            <w:r>
              <w:rPr>
                <w:rFonts w:ascii="Arial" w:cs="Arial" w:eastAsia="Arial" w:hAnsi="Arial"/>
                <w:sz w:val="18"/>
                <w:szCs w:val="18"/>
                <w:color w:val="auto"/>
              </w:rPr>
              <w:t>18,018</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Headquarters and Other</w:t>
            </w:r>
          </w:p>
        </w:tc>
        <w:tc>
          <w:tcPr>
            <w:tcW w:w="180" w:type="dxa"/>
            <w:vAlign w:val="bottom"/>
          </w:tcPr>
          <w:p>
            <w:pPr>
              <w:spacing w:after="0"/>
              <w:rPr>
                <w:sz w:val="17"/>
                <w:szCs w:val="17"/>
                <w:color w:val="auto"/>
              </w:rPr>
            </w:pPr>
          </w:p>
        </w:tc>
        <w:tc>
          <w:tcPr>
            <w:tcW w:w="126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43</w:t>
            </w:r>
          </w:p>
        </w:tc>
        <w:tc>
          <w:tcPr>
            <w:tcW w:w="34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45</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auto"/>
              </w:rPr>
              <w:t>Total revenue</w:t>
            </w:r>
            <w:r>
              <w:rPr>
                <w:rFonts w:ascii="Arial" w:cs="Arial" w:eastAsia="Arial" w:hAnsi="Arial"/>
                <w:sz w:val="22"/>
                <w:szCs w:val="22"/>
                <w:color w:val="auto"/>
                <w:vertAlign w:val="superscript"/>
              </w:rPr>
              <w:t>(f)(h)</w:t>
            </w:r>
          </w:p>
        </w:tc>
        <w:tc>
          <w:tcPr>
            <w:tcW w:w="18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23,812</w:t>
            </w:r>
          </w:p>
        </w:tc>
        <w:tc>
          <w:tcPr>
            <w:tcW w:w="340" w:type="dxa"/>
            <w:vAlign w:val="bottom"/>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19,028</w:t>
            </w:r>
          </w:p>
        </w:tc>
        <w:tc>
          <w:tcPr>
            <w:tcW w:w="20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1,206</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540"/>
        </w:trPr>
        <w:tc>
          <w:tcPr>
            <w:tcW w:w="5520" w:type="dxa"/>
            <w:vAlign w:val="bottom"/>
            <w:tcBorders>
              <w:top w:val="single" w:sz="8" w:color="53439A"/>
            </w:tcBorders>
          </w:tcPr>
          <w:p>
            <w:pPr>
              <w:spacing w:after="0"/>
              <w:rPr>
                <w:sz w:val="20"/>
                <w:szCs w:val="20"/>
                <w:color w:val="auto"/>
              </w:rPr>
            </w:pPr>
            <w:r>
              <w:rPr>
                <w:rFonts w:ascii="Arial" w:cs="Arial" w:eastAsia="Arial" w:hAnsi="Arial"/>
                <w:sz w:val="14"/>
                <w:szCs w:val="14"/>
                <w:color w:val="auto"/>
              </w:rPr>
              <w:t>NBCUniversal 2012 Annual Report on Form 10-K</w:t>
            </w:r>
          </w:p>
        </w:tc>
        <w:tc>
          <w:tcPr>
            <w:tcW w:w="180" w:type="dxa"/>
            <w:vAlign w:val="bottom"/>
            <w:tcBorders>
              <w:top w:val="single" w:sz="8" w:color="53439A"/>
            </w:tcBorders>
          </w:tcPr>
          <w:p>
            <w:pPr>
              <w:spacing w:after="0"/>
              <w:rPr>
                <w:sz w:val="24"/>
                <w:szCs w:val="24"/>
                <w:color w:val="auto"/>
              </w:rPr>
            </w:pPr>
          </w:p>
        </w:tc>
        <w:tc>
          <w:tcPr>
            <w:tcW w:w="1260" w:type="dxa"/>
            <w:vAlign w:val="bottom"/>
            <w:tcBorders>
              <w:top w:val="single" w:sz="8" w:color="53439A"/>
            </w:tcBorders>
          </w:tcPr>
          <w:p>
            <w:pPr>
              <w:jc w:val="right"/>
              <w:ind w:right="1038"/>
              <w:spacing w:after="0"/>
              <w:rPr>
                <w:sz w:val="20"/>
                <w:szCs w:val="20"/>
                <w:color w:val="auto"/>
              </w:rPr>
            </w:pPr>
            <w:r>
              <w:rPr>
                <w:rFonts w:ascii="Arial" w:cs="Arial" w:eastAsia="Arial" w:hAnsi="Arial"/>
                <w:sz w:val="14"/>
                <w:szCs w:val="14"/>
                <w:b w:val="1"/>
                <w:bCs w:val="1"/>
                <w:color w:val="auto"/>
                <w:w w:val="76"/>
              </w:rPr>
              <w:t>82</w:t>
            </w:r>
          </w:p>
        </w:tc>
        <w:tc>
          <w:tcPr>
            <w:tcW w:w="340" w:type="dxa"/>
            <w:vAlign w:val="bottom"/>
            <w:tcBorders>
              <w:top w:val="single" w:sz="8" w:color="53439A"/>
            </w:tcBorders>
          </w:tcPr>
          <w:p>
            <w:pPr>
              <w:spacing w:after="0"/>
              <w:rPr>
                <w:sz w:val="24"/>
                <w:szCs w:val="24"/>
                <w:color w:val="auto"/>
              </w:rPr>
            </w:pPr>
          </w:p>
        </w:tc>
        <w:tc>
          <w:tcPr>
            <w:tcW w:w="1040" w:type="dxa"/>
            <w:vAlign w:val="bottom"/>
            <w:tcBorders>
              <w:top w:val="single" w:sz="8" w:color="53439A"/>
            </w:tcBorders>
          </w:tcPr>
          <w:p>
            <w:pPr>
              <w:spacing w:after="0"/>
              <w:rPr>
                <w:sz w:val="24"/>
                <w:szCs w:val="24"/>
                <w:color w:val="auto"/>
              </w:rPr>
            </w:pPr>
          </w:p>
        </w:tc>
        <w:tc>
          <w:tcPr>
            <w:tcW w:w="200" w:type="dxa"/>
            <w:vAlign w:val="bottom"/>
            <w:tcBorders>
              <w:top w:val="single" w:sz="8" w:color="53439A"/>
            </w:tcBorders>
          </w:tcPr>
          <w:p>
            <w:pPr>
              <w:spacing w:after="0"/>
              <w:rPr>
                <w:sz w:val="24"/>
                <w:szCs w:val="24"/>
                <w:color w:val="auto"/>
              </w:rPr>
            </w:pPr>
          </w:p>
        </w:tc>
        <w:tc>
          <w:tcPr>
            <w:tcW w:w="180" w:type="dxa"/>
            <w:vAlign w:val="bottom"/>
            <w:tcBorders>
              <w:top w:val="single" w:sz="8" w:color="53439A"/>
            </w:tcBorders>
          </w:tcPr>
          <w:p>
            <w:pPr>
              <w:spacing w:after="0"/>
              <w:rPr>
                <w:sz w:val="24"/>
                <w:szCs w:val="24"/>
                <w:color w:val="auto"/>
              </w:rPr>
            </w:pPr>
          </w:p>
        </w:tc>
        <w:tc>
          <w:tcPr>
            <w:tcW w:w="260" w:type="dxa"/>
            <w:vAlign w:val="bottom"/>
            <w:tcBorders>
              <w:top w:val="single" w:sz="8" w:color="53439A"/>
            </w:tcBorders>
          </w:tcPr>
          <w:p>
            <w:pPr>
              <w:spacing w:after="0"/>
              <w:rPr>
                <w:sz w:val="24"/>
                <w:szCs w:val="24"/>
                <w:color w:val="auto"/>
              </w:rPr>
            </w:pPr>
          </w:p>
        </w:tc>
        <w:tc>
          <w:tcPr>
            <w:tcW w:w="1080" w:type="dxa"/>
            <w:vAlign w:val="bottom"/>
            <w:tcBorders>
              <w:top w:val="single" w:sz="8" w:color="53439A"/>
            </w:tcBorders>
          </w:tcPr>
          <w:p>
            <w:pPr>
              <w:spacing w:after="0"/>
              <w:rPr>
                <w:sz w:val="24"/>
                <w:szCs w:val="24"/>
                <w:color w:val="auto"/>
              </w:rPr>
            </w:pPr>
          </w:p>
        </w:tc>
        <w:tc>
          <w:tcPr>
            <w:tcW w:w="460" w:type="dxa"/>
            <w:vAlign w:val="bottom"/>
            <w:tcBorders>
              <w:top w:val="single" w:sz="8" w:color="53439A"/>
            </w:tcBorders>
          </w:tcPr>
          <w:p>
            <w:pPr>
              <w:spacing w:after="0"/>
              <w:rPr>
                <w:sz w:val="24"/>
                <w:szCs w:val="24"/>
                <w:color w:val="auto"/>
              </w:rPr>
            </w:pPr>
          </w:p>
        </w:tc>
        <w:tc>
          <w:tcPr>
            <w:tcW w:w="800" w:type="dxa"/>
            <w:vAlign w:val="bottom"/>
            <w:tcBorders>
              <w:top w:val="single" w:sz="8" w:color="5343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Successor</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Predecessor</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14"/>
              <w:spacing w:after="0" w:line="125" w:lineRule="exact"/>
              <w:rPr>
                <w:sz w:val="20"/>
                <w:szCs w:val="20"/>
                <w:color w:val="auto"/>
              </w:rPr>
            </w:pPr>
            <w:r>
              <w:rPr>
                <w:rFonts w:ascii="Arial" w:cs="Arial" w:eastAsia="Arial" w:hAnsi="Arial"/>
                <w:sz w:val="14"/>
                <w:szCs w:val="14"/>
                <w:color w:val="auto"/>
                <w:w w:val="99"/>
              </w:rPr>
              <w:t>For the Period</w:t>
            </w: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72"/>
              <w:spacing w:after="0" w:line="125" w:lineRule="exact"/>
              <w:rPr>
                <w:sz w:val="20"/>
                <w:szCs w:val="20"/>
                <w:color w:val="auto"/>
              </w:rPr>
            </w:pPr>
            <w:r>
              <w:rPr>
                <w:rFonts w:ascii="Arial" w:cs="Arial" w:eastAsia="Arial" w:hAnsi="Arial"/>
                <w:sz w:val="14"/>
                <w:szCs w:val="14"/>
                <w:color w:val="auto"/>
                <w:w w:val="96"/>
              </w:rPr>
              <w:t>For the Period</w:t>
            </w: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tcBorders>
              <w:right w:val="single" w:sz="8" w:color="auto"/>
            </w:tcBorders>
            <w:gridSpan w:val="6"/>
          </w:tcPr>
          <w:p>
            <w:pPr>
              <w:jc w:val="right"/>
              <w:ind w:right="300"/>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4"/>
          </w:tcPr>
          <w:p>
            <w:pPr>
              <w:jc w:val="right"/>
              <w:ind w:right="72"/>
              <w:spacing w:after="0" w:line="149" w:lineRule="exact"/>
              <w:rPr>
                <w:sz w:val="20"/>
                <w:szCs w:val="20"/>
                <w:color w:val="auto"/>
              </w:rPr>
            </w:pPr>
            <w:r>
              <w:rPr>
                <w:rFonts w:ascii="Arial" w:cs="Arial" w:eastAsia="Arial" w:hAnsi="Arial"/>
                <w:sz w:val="14"/>
                <w:szCs w:val="14"/>
                <w:color w:val="auto"/>
              </w:rPr>
              <w:t>January 1, 2011 to</w:t>
            </w:r>
          </w:p>
        </w:tc>
        <w:tc>
          <w:tcPr>
            <w:tcW w:w="500" w:type="dxa"/>
            <w:vAlign w:val="bottom"/>
          </w:tcPr>
          <w:p>
            <w:pPr>
              <w:spacing w:after="0"/>
              <w:rPr>
                <w:sz w:val="12"/>
                <w:szCs w:val="12"/>
                <w:color w:val="auto"/>
              </w:rPr>
            </w:pPr>
          </w:p>
        </w:tc>
        <w:tc>
          <w:tcPr>
            <w:tcW w:w="860" w:type="dxa"/>
            <w:vAlign w:val="bottom"/>
          </w:tcPr>
          <w:p>
            <w:pPr>
              <w:jc w:val="right"/>
              <w:ind w:right="14"/>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5"/>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December 31, 2012</w:t>
            </w:r>
          </w:p>
        </w:tc>
        <w:tc>
          <w:tcPr>
            <w:tcW w:w="1700" w:type="dxa"/>
            <w:vAlign w:val="bottom"/>
            <w:tcBorders>
              <w:bottom w:val="single" w:sz="8" w:color="auto"/>
              <w:right w:val="single" w:sz="8" w:color="auto"/>
            </w:tcBorders>
            <w:gridSpan w:val="5"/>
          </w:tcPr>
          <w:p>
            <w:pPr>
              <w:jc w:val="right"/>
              <w:ind w:right="300"/>
              <w:spacing w:after="0"/>
              <w:rPr>
                <w:sz w:val="20"/>
                <w:szCs w:val="20"/>
                <w:color w:val="auto"/>
              </w:rPr>
            </w:pPr>
            <w:r>
              <w:rPr>
                <w:rFonts w:ascii="Arial" w:cs="Arial" w:eastAsia="Arial" w:hAnsi="Arial"/>
                <w:sz w:val="14"/>
                <w:szCs w:val="14"/>
                <w:color w:val="auto"/>
              </w:rPr>
              <w:t>December 31, 2011</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color w:val="auto"/>
                <w:w w:val="99"/>
              </w:rPr>
              <w:t>January 28, 2011</w:t>
            </w:r>
          </w:p>
        </w:tc>
        <w:tc>
          <w:tcPr>
            <w:tcW w:w="13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99"/>
        </w:trPr>
        <w:tc>
          <w:tcPr>
            <w:tcW w:w="55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Income (Loss) Before Depreciation and Amortization</w:t>
            </w:r>
          </w:p>
        </w:tc>
        <w:tc>
          <w:tcPr>
            <w:tcW w:w="2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3,292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20" w:type="dxa"/>
            <w:vAlign w:val="bottom"/>
            <w:gridSpan w:val="2"/>
          </w:tcPr>
          <w:p>
            <w:pPr>
              <w:spacing w:after="0" w:line="181"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3,119</w:t>
            </w: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00" w:type="dxa"/>
            <w:vAlign w:val="bottom"/>
            <w:gridSpan w:val="4"/>
          </w:tcPr>
          <w:p>
            <w:pPr>
              <w:jc w:val="right"/>
              <w:ind w:right="72"/>
              <w:spacing w:after="0" w:line="18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2"/>
              <w:spacing w:after="0" w:line="181" w:lineRule="exact"/>
              <w:rPr>
                <w:sz w:val="20"/>
                <w:szCs w:val="20"/>
                <w:color w:val="auto"/>
              </w:rPr>
            </w:pPr>
            <w:r>
              <w:rPr>
                <w:rFonts w:ascii="Arial" w:cs="Arial" w:eastAsia="Arial" w:hAnsi="Arial"/>
                <w:sz w:val="18"/>
                <w:szCs w:val="18"/>
                <w:color w:val="auto"/>
              </w:rPr>
              <w:t>143</w:t>
            </w:r>
          </w:p>
        </w:tc>
        <w:tc>
          <w:tcPr>
            <w:tcW w:w="500" w:type="dxa"/>
            <w:vAlign w:val="bottom"/>
          </w:tcPr>
          <w:p>
            <w:pPr>
              <w:jc w:val="right"/>
              <w:ind w:right="260"/>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line="181" w:lineRule="exact"/>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(b)</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138</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(16)</w:t>
            </w:r>
          </w:p>
        </w:tc>
        <w:tc>
          <w:tcPr>
            <w:tcW w:w="5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(c)</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830</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37</w:t>
            </w:r>
          </w:p>
        </w:tc>
        <w:tc>
          <w:tcPr>
            <w:tcW w:w="5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95"/>
              <w:spacing w:after="0" w:line="202" w:lineRule="exact"/>
              <w:rPr>
                <w:sz w:val="20"/>
                <w:szCs w:val="20"/>
                <w:color w:val="auto"/>
              </w:rPr>
            </w:pPr>
            <w:r>
              <w:rPr>
                <w:rFonts w:ascii="Arial" w:cs="Arial" w:eastAsia="Arial" w:hAnsi="Arial"/>
                <w:sz w:val="18"/>
                <w:szCs w:val="18"/>
                <w:b w:val="1"/>
                <w:bCs w:val="1"/>
                <w:color w:val="auto"/>
              </w:rPr>
              <w:t>(603)</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(99)</w:t>
            </w: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(31)</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income (loss) before depreciation and amortization</w:t>
            </w:r>
            <w:r>
              <w:rPr>
                <w:rFonts w:ascii="Arial" w:cs="Arial" w:eastAsia="Arial" w:hAnsi="Arial"/>
                <w:sz w:val="11"/>
                <w:szCs w:val="11"/>
                <w:color w:val="auto"/>
              </w:rPr>
              <w:t>(g)</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4,107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3,396</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72"/>
              <w:spacing w:after="0" w:line="196" w:lineRule="exact"/>
              <w:rPr>
                <w:sz w:val="20"/>
                <w:szCs w:val="20"/>
                <w:color w:val="auto"/>
              </w:rPr>
            </w:pPr>
            <w:r>
              <w:rPr>
                <w:rFonts w:ascii="Arial" w:cs="Arial" w:eastAsia="Arial" w:hAnsi="Arial"/>
                <w:sz w:val="18"/>
                <w:szCs w:val="18"/>
                <w:color w:val="auto"/>
              </w:rPr>
              <w:t>35</w:t>
            </w:r>
          </w:p>
        </w:tc>
        <w:tc>
          <w:tcPr>
            <w:tcW w:w="500" w:type="dxa"/>
            <w:vAlign w:val="bottom"/>
          </w:tcPr>
          <w:p>
            <w:pPr>
              <w:spacing w:after="0"/>
              <w:rPr>
                <w:sz w:val="17"/>
                <w:szCs w:val="17"/>
                <w:color w:val="auto"/>
              </w:rPr>
            </w:pPr>
          </w:p>
        </w:tc>
        <w:tc>
          <w:tcPr>
            <w:tcW w:w="8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53439A"/>
          </w:tcPr>
          <w:p>
            <w:pPr>
              <w:spacing w:after="0" w:line="20" w:lineRule="exact"/>
              <w:rPr>
                <w:sz w:val="1"/>
                <w:szCs w:val="1"/>
                <w:color w:val="auto"/>
              </w:rPr>
            </w:pPr>
          </w:p>
        </w:tc>
        <w:tc>
          <w:tcPr>
            <w:tcW w:w="220" w:type="dxa"/>
            <w:vAlign w:val="bottom"/>
            <w:shd w:val="clear" w:color="auto" w:fill="53439A"/>
          </w:tcPr>
          <w:p>
            <w:pPr>
              <w:spacing w:after="0" w:line="20" w:lineRule="exact"/>
              <w:rPr>
                <w:sz w:val="1"/>
                <w:szCs w:val="1"/>
                <w:color w:val="auto"/>
              </w:rPr>
            </w:pPr>
          </w:p>
        </w:tc>
        <w:tc>
          <w:tcPr>
            <w:tcW w:w="260" w:type="dxa"/>
            <w:vAlign w:val="bottom"/>
            <w:shd w:val="clear" w:color="auto" w:fill="53439A"/>
          </w:tcPr>
          <w:p>
            <w:pPr>
              <w:spacing w:after="0" w:line="20" w:lineRule="exact"/>
              <w:rPr>
                <w:sz w:val="1"/>
                <w:szCs w:val="1"/>
                <w:color w:val="auto"/>
              </w:rPr>
            </w:pPr>
          </w:p>
        </w:tc>
        <w:tc>
          <w:tcPr>
            <w:tcW w:w="840" w:type="dxa"/>
            <w:vAlign w:val="bottom"/>
            <w:shd w:val="clear" w:color="auto" w:fill="53439A"/>
          </w:tcPr>
          <w:p>
            <w:pPr>
              <w:spacing w:after="0" w:line="20" w:lineRule="exact"/>
              <w:rPr>
                <w:sz w:val="1"/>
                <w:szCs w:val="1"/>
                <w:color w:val="auto"/>
              </w:rPr>
            </w:pPr>
          </w:p>
        </w:tc>
        <w:tc>
          <w:tcPr>
            <w:tcW w:w="320" w:type="dxa"/>
            <w:vAlign w:val="bottom"/>
            <w:shd w:val="clear" w:color="auto" w:fill="53439A"/>
          </w:tcPr>
          <w:p>
            <w:pPr>
              <w:spacing w:after="0" w:line="20" w:lineRule="exact"/>
              <w:rPr>
                <w:sz w:val="1"/>
                <w:szCs w:val="1"/>
                <w:color w:val="auto"/>
              </w:rPr>
            </w:pPr>
          </w:p>
        </w:tc>
        <w:tc>
          <w:tcPr>
            <w:tcW w:w="180" w:type="dxa"/>
            <w:vAlign w:val="bottom"/>
            <w:shd w:val="clear" w:color="auto" w:fill="53439A"/>
          </w:tcPr>
          <w:p>
            <w:pPr>
              <w:spacing w:after="0" w:line="20" w:lineRule="exact"/>
              <w:rPr>
                <w:sz w:val="1"/>
                <w:szCs w:val="1"/>
                <w:color w:val="auto"/>
              </w:rPr>
            </w:pPr>
          </w:p>
        </w:tc>
        <w:tc>
          <w:tcPr>
            <w:tcW w:w="1000" w:type="dxa"/>
            <w:vAlign w:val="bottom"/>
            <w:shd w:val="clear" w:color="auto" w:fill="53439A"/>
          </w:tcPr>
          <w:p>
            <w:pPr>
              <w:spacing w:after="0" w:line="20" w:lineRule="exact"/>
              <w:rPr>
                <w:sz w:val="1"/>
                <w:szCs w:val="1"/>
                <w:color w:val="auto"/>
              </w:rPr>
            </w:pPr>
          </w:p>
        </w:tc>
        <w:tc>
          <w:tcPr>
            <w:tcW w:w="100" w:type="dxa"/>
            <w:vAlign w:val="bottom"/>
            <w:shd w:val="clear" w:color="auto" w:fill="53439A"/>
          </w:tcPr>
          <w:p>
            <w:pPr>
              <w:spacing w:after="0" w:line="20" w:lineRule="exact"/>
              <w:rPr>
                <w:sz w:val="1"/>
                <w:szCs w:val="1"/>
                <w:color w:val="auto"/>
              </w:rPr>
            </w:pPr>
          </w:p>
        </w:tc>
        <w:tc>
          <w:tcPr>
            <w:tcW w:w="100" w:type="dxa"/>
            <w:vAlign w:val="bottom"/>
            <w:tcBorders>
              <w:right w:val="single" w:sz="8" w:color="auto"/>
            </w:tcBorders>
            <w:shd w:val="clear" w:color="auto" w:fill="53439A"/>
          </w:tcPr>
          <w:p>
            <w:pPr>
              <w:spacing w:after="0" w:line="20" w:lineRule="exact"/>
              <w:rPr>
                <w:sz w:val="1"/>
                <w:szCs w:val="1"/>
                <w:color w:val="auto"/>
              </w:rPr>
            </w:pPr>
          </w:p>
        </w:tc>
        <w:tc>
          <w:tcPr>
            <w:tcW w:w="120" w:type="dxa"/>
            <w:vAlign w:val="bottom"/>
            <w:tcBorders>
              <w:right w:val="single" w:sz="8" w:color="53439A"/>
            </w:tcBorders>
            <w:shd w:val="clear" w:color="auto" w:fill="53439A"/>
          </w:tcPr>
          <w:p>
            <w:pPr>
              <w:spacing w:after="0" w:line="20" w:lineRule="exact"/>
              <w:rPr>
                <w:sz w:val="1"/>
                <w:szCs w:val="1"/>
                <w:color w:val="auto"/>
              </w:rPr>
            </w:pPr>
          </w:p>
        </w:tc>
        <w:tc>
          <w:tcPr>
            <w:tcW w:w="60" w:type="dxa"/>
            <w:vAlign w:val="bottom"/>
            <w:shd w:val="clear" w:color="auto" w:fill="53439A"/>
          </w:tcPr>
          <w:p>
            <w:pPr>
              <w:spacing w:after="0" w:line="20" w:lineRule="exact"/>
              <w:rPr>
                <w:sz w:val="1"/>
                <w:szCs w:val="1"/>
                <w:color w:val="auto"/>
              </w:rPr>
            </w:pPr>
          </w:p>
        </w:tc>
        <w:tc>
          <w:tcPr>
            <w:tcW w:w="100" w:type="dxa"/>
            <w:vAlign w:val="bottom"/>
            <w:shd w:val="clear" w:color="auto" w:fill="53439A"/>
          </w:tcPr>
          <w:p>
            <w:pPr>
              <w:spacing w:after="0" w:line="20" w:lineRule="exact"/>
              <w:rPr>
                <w:sz w:val="1"/>
                <w:szCs w:val="1"/>
                <w:color w:val="auto"/>
              </w:rPr>
            </w:pPr>
          </w:p>
        </w:tc>
        <w:tc>
          <w:tcPr>
            <w:tcW w:w="220" w:type="dxa"/>
            <w:vAlign w:val="bottom"/>
            <w:shd w:val="clear" w:color="auto" w:fill="53439A"/>
          </w:tcPr>
          <w:p>
            <w:pPr>
              <w:spacing w:after="0" w:line="20" w:lineRule="exact"/>
              <w:rPr>
                <w:sz w:val="1"/>
                <w:szCs w:val="1"/>
                <w:color w:val="auto"/>
              </w:rPr>
            </w:pPr>
          </w:p>
        </w:tc>
        <w:tc>
          <w:tcPr>
            <w:tcW w:w="560" w:type="dxa"/>
            <w:vAlign w:val="bottom"/>
            <w:shd w:val="clear" w:color="auto" w:fill="53439A"/>
          </w:tcPr>
          <w:p>
            <w:pPr>
              <w:spacing w:after="0" w:line="20" w:lineRule="exact"/>
              <w:rPr>
                <w:sz w:val="1"/>
                <w:szCs w:val="1"/>
                <w:color w:val="auto"/>
              </w:rPr>
            </w:pPr>
          </w:p>
        </w:tc>
        <w:tc>
          <w:tcPr>
            <w:tcW w:w="460" w:type="dxa"/>
            <w:vAlign w:val="bottom"/>
            <w:shd w:val="clear" w:color="auto" w:fill="53439A"/>
          </w:tcPr>
          <w:p>
            <w:pPr>
              <w:spacing w:after="0" w:line="20" w:lineRule="exact"/>
              <w:rPr>
                <w:sz w:val="1"/>
                <w:szCs w:val="1"/>
                <w:color w:val="auto"/>
              </w:rPr>
            </w:pPr>
          </w:p>
        </w:tc>
        <w:tc>
          <w:tcPr>
            <w:tcW w:w="500" w:type="dxa"/>
            <w:vAlign w:val="bottom"/>
            <w:shd w:val="clear" w:color="auto" w:fill="53439A"/>
          </w:tcPr>
          <w:p>
            <w:pPr>
              <w:spacing w:after="0" w:line="20" w:lineRule="exact"/>
              <w:rPr>
                <w:sz w:val="1"/>
                <w:szCs w:val="1"/>
                <w:color w:val="auto"/>
              </w:rPr>
            </w:pPr>
          </w:p>
        </w:tc>
        <w:tc>
          <w:tcPr>
            <w:tcW w:w="860" w:type="dxa"/>
            <w:vAlign w:val="bottom"/>
            <w:shd w:val="clear" w:color="auto" w:fill="53439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20" w:type="dxa"/>
            <w:vAlign w:val="bottom"/>
            <w:gridSpan w:val="2"/>
          </w:tcPr>
          <w:p>
            <w:pPr>
              <w:spacing w:after="0" w:line="177" w:lineRule="exact"/>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562</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401</w:t>
            </w: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72"/>
              <w:spacing w:after="0" w:line="177" w:lineRule="exact"/>
              <w:rPr>
                <w:sz w:val="20"/>
                <w:szCs w:val="20"/>
                <w:color w:val="auto"/>
              </w:rPr>
            </w:pPr>
            <w:r>
              <w:rPr>
                <w:rFonts w:ascii="Arial" w:cs="Arial" w:eastAsia="Arial" w:hAnsi="Arial"/>
                <w:sz w:val="18"/>
                <w:szCs w:val="18"/>
                <w:color w:val="auto"/>
              </w:rPr>
              <w:t>19</w:t>
            </w:r>
          </w:p>
        </w:tc>
        <w:tc>
          <w:tcPr>
            <w:tcW w:w="500" w:type="dxa"/>
            <w:vAlign w:val="bottom"/>
          </w:tcPr>
          <w:p>
            <w:pPr>
              <w:spacing w:after="0"/>
              <w:rPr>
                <w:sz w:val="15"/>
                <w:szCs w:val="15"/>
                <w:color w:val="auto"/>
              </w:rPr>
            </w:pPr>
          </w:p>
        </w:tc>
        <w:tc>
          <w:tcPr>
            <w:tcW w:w="86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income</w:t>
            </w:r>
          </w:p>
        </w:tc>
        <w:tc>
          <w:tcPr>
            <w:tcW w:w="22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2,781</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2,283</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500" w:type="dxa"/>
            <w:vAlign w:val="bottom"/>
            <w:gridSpan w:val="4"/>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2"/>
              <w:spacing w:after="0" w:line="196" w:lineRule="exact"/>
              <w:rPr>
                <w:sz w:val="20"/>
                <w:szCs w:val="20"/>
                <w:color w:val="auto"/>
              </w:rPr>
            </w:pPr>
            <w:r>
              <w:rPr>
                <w:rFonts w:ascii="Arial" w:cs="Arial" w:eastAsia="Arial" w:hAnsi="Arial"/>
                <w:sz w:val="18"/>
                <w:szCs w:val="18"/>
                <w:color w:val="auto"/>
              </w:rPr>
              <w:t>8</w:t>
            </w:r>
          </w:p>
        </w:tc>
        <w:tc>
          <w:tcPr>
            <w:tcW w:w="500" w:type="dxa"/>
            <w:vAlign w:val="bottom"/>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53439A"/>
          </w:tcPr>
          <w:p>
            <w:pPr>
              <w:spacing w:after="0" w:line="20" w:lineRule="exact"/>
              <w:rPr>
                <w:sz w:val="1"/>
                <w:szCs w:val="1"/>
                <w:color w:val="auto"/>
              </w:rPr>
            </w:pPr>
          </w:p>
        </w:tc>
        <w:tc>
          <w:tcPr>
            <w:tcW w:w="220" w:type="dxa"/>
            <w:vAlign w:val="bottom"/>
            <w:shd w:val="clear" w:color="auto" w:fill="53439A"/>
          </w:tcPr>
          <w:p>
            <w:pPr>
              <w:spacing w:after="0" w:line="20" w:lineRule="exact"/>
              <w:rPr>
                <w:sz w:val="1"/>
                <w:szCs w:val="1"/>
                <w:color w:val="auto"/>
              </w:rPr>
            </w:pPr>
          </w:p>
        </w:tc>
        <w:tc>
          <w:tcPr>
            <w:tcW w:w="260" w:type="dxa"/>
            <w:vAlign w:val="bottom"/>
            <w:shd w:val="clear" w:color="auto" w:fill="53439A"/>
          </w:tcPr>
          <w:p>
            <w:pPr>
              <w:spacing w:after="0" w:line="20" w:lineRule="exact"/>
              <w:rPr>
                <w:sz w:val="1"/>
                <w:szCs w:val="1"/>
                <w:color w:val="auto"/>
              </w:rPr>
            </w:pPr>
          </w:p>
        </w:tc>
        <w:tc>
          <w:tcPr>
            <w:tcW w:w="840" w:type="dxa"/>
            <w:vAlign w:val="bottom"/>
            <w:shd w:val="clear" w:color="auto" w:fill="53439A"/>
          </w:tcPr>
          <w:p>
            <w:pPr>
              <w:spacing w:after="0" w:line="20" w:lineRule="exact"/>
              <w:rPr>
                <w:sz w:val="1"/>
                <w:szCs w:val="1"/>
                <w:color w:val="auto"/>
              </w:rPr>
            </w:pPr>
          </w:p>
        </w:tc>
        <w:tc>
          <w:tcPr>
            <w:tcW w:w="320" w:type="dxa"/>
            <w:vAlign w:val="bottom"/>
            <w:shd w:val="clear" w:color="auto" w:fill="53439A"/>
          </w:tcPr>
          <w:p>
            <w:pPr>
              <w:spacing w:after="0" w:line="20" w:lineRule="exact"/>
              <w:rPr>
                <w:sz w:val="1"/>
                <w:szCs w:val="1"/>
                <w:color w:val="auto"/>
              </w:rPr>
            </w:pPr>
          </w:p>
        </w:tc>
        <w:tc>
          <w:tcPr>
            <w:tcW w:w="180" w:type="dxa"/>
            <w:vAlign w:val="bottom"/>
            <w:shd w:val="clear" w:color="auto" w:fill="53439A"/>
          </w:tcPr>
          <w:p>
            <w:pPr>
              <w:spacing w:after="0" w:line="20" w:lineRule="exact"/>
              <w:rPr>
                <w:sz w:val="1"/>
                <w:szCs w:val="1"/>
                <w:color w:val="auto"/>
              </w:rPr>
            </w:pPr>
          </w:p>
        </w:tc>
        <w:tc>
          <w:tcPr>
            <w:tcW w:w="1000" w:type="dxa"/>
            <w:vAlign w:val="bottom"/>
            <w:shd w:val="clear" w:color="auto" w:fill="53439A"/>
          </w:tcPr>
          <w:p>
            <w:pPr>
              <w:spacing w:after="0" w:line="20" w:lineRule="exact"/>
              <w:rPr>
                <w:sz w:val="1"/>
                <w:szCs w:val="1"/>
                <w:color w:val="auto"/>
              </w:rPr>
            </w:pPr>
          </w:p>
        </w:tc>
        <w:tc>
          <w:tcPr>
            <w:tcW w:w="100" w:type="dxa"/>
            <w:vAlign w:val="bottom"/>
            <w:shd w:val="clear" w:color="auto" w:fill="53439A"/>
          </w:tcPr>
          <w:p>
            <w:pPr>
              <w:spacing w:after="0" w:line="20" w:lineRule="exact"/>
              <w:rPr>
                <w:sz w:val="1"/>
                <w:szCs w:val="1"/>
                <w:color w:val="auto"/>
              </w:rPr>
            </w:pPr>
          </w:p>
        </w:tc>
        <w:tc>
          <w:tcPr>
            <w:tcW w:w="100" w:type="dxa"/>
            <w:vAlign w:val="bottom"/>
            <w:tcBorders>
              <w:right w:val="single" w:sz="8" w:color="auto"/>
            </w:tcBorders>
            <w:shd w:val="clear" w:color="auto" w:fill="53439A"/>
          </w:tcPr>
          <w:p>
            <w:pPr>
              <w:spacing w:after="0" w:line="20" w:lineRule="exact"/>
              <w:rPr>
                <w:sz w:val="1"/>
                <w:szCs w:val="1"/>
                <w:color w:val="auto"/>
              </w:rPr>
            </w:pPr>
          </w:p>
        </w:tc>
        <w:tc>
          <w:tcPr>
            <w:tcW w:w="120" w:type="dxa"/>
            <w:vAlign w:val="bottom"/>
            <w:tcBorders>
              <w:right w:val="single" w:sz="8" w:color="53439A"/>
            </w:tcBorders>
            <w:shd w:val="clear" w:color="auto" w:fill="53439A"/>
          </w:tcPr>
          <w:p>
            <w:pPr>
              <w:spacing w:after="0" w:line="20" w:lineRule="exact"/>
              <w:rPr>
                <w:sz w:val="1"/>
                <w:szCs w:val="1"/>
                <w:color w:val="auto"/>
              </w:rPr>
            </w:pPr>
          </w:p>
        </w:tc>
        <w:tc>
          <w:tcPr>
            <w:tcW w:w="60" w:type="dxa"/>
            <w:vAlign w:val="bottom"/>
            <w:shd w:val="clear" w:color="auto" w:fill="53439A"/>
          </w:tcPr>
          <w:p>
            <w:pPr>
              <w:spacing w:after="0" w:line="20" w:lineRule="exact"/>
              <w:rPr>
                <w:sz w:val="1"/>
                <w:szCs w:val="1"/>
                <w:color w:val="auto"/>
              </w:rPr>
            </w:pPr>
          </w:p>
        </w:tc>
        <w:tc>
          <w:tcPr>
            <w:tcW w:w="100" w:type="dxa"/>
            <w:vAlign w:val="bottom"/>
            <w:shd w:val="clear" w:color="auto" w:fill="53439A"/>
          </w:tcPr>
          <w:p>
            <w:pPr>
              <w:spacing w:after="0" w:line="20" w:lineRule="exact"/>
              <w:rPr>
                <w:sz w:val="1"/>
                <w:szCs w:val="1"/>
                <w:color w:val="auto"/>
              </w:rPr>
            </w:pPr>
          </w:p>
        </w:tc>
        <w:tc>
          <w:tcPr>
            <w:tcW w:w="220" w:type="dxa"/>
            <w:vAlign w:val="bottom"/>
            <w:shd w:val="clear" w:color="auto" w:fill="53439A"/>
          </w:tcPr>
          <w:p>
            <w:pPr>
              <w:spacing w:after="0" w:line="20" w:lineRule="exact"/>
              <w:rPr>
                <w:sz w:val="1"/>
                <w:szCs w:val="1"/>
                <w:color w:val="auto"/>
              </w:rPr>
            </w:pPr>
          </w:p>
        </w:tc>
        <w:tc>
          <w:tcPr>
            <w:tcW w:w="560" w:type="dxa"/>
            <w:vAlign w:val="bottom"/>
            <w:shd w:val="clear" w:color="auto" w:fill="53439A"/>
          </w:tcPr>
          <w:p>
            <w:pPr>
              <w:spacing w:after="0" w:line="20" w:lineRule="exact"/>
              <w:rPr>
                <w:sz w:val="1"/>
                <w:szCs w:val="1"/>
                <w:color w:val="auto"/>
              </w:rPr>
            </w:pPr>
          </w:p>
        </w:tc>
        <w:tc>
          <w:tcPr>
            <w:tcW w:w="460" w:type="dxa"/>
            <w:vAlign w:val="bottom"/>
            <w:shd w:val="clear" w:color="auto" w:fill="53439A"/>
          </w:tcPr>
          <w:p>
            <w:pPr>
              <w:spacing w:after="0" w:line="20" w:lineRule="exact"/>
              <w:rPr>
                <w:sz w:val="1"/>
                <w:szCs w:val="1"/>
                <w:color w:val="auto"/>
              </w:rPr>
            </w:pPr>
          </w:p>
        </w:tc>
        <w:tc>
          <w:tcPr>
            <w:tcW w:w="1360" w:type="dxa"/>
            <w:vAlign w:val="bottom"/>
            <w:gridSpan w:val="2"/>
            <w:shd w:val="clear" w:color="auto" w:fill="53439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20" w:type="dxa"/>
            <w:vAlign w:val="bottom"/>
            <w:gridSpan w:val="2"/>
            <w:vMerge w:val="restart"/>
          </w:tcPr>
          <w:p>
            <w:pPr>
              <w:spacing w:after="0"/>
              <w:rPr>
                <w:sz w:val="20"/>
                <w:szCs w:val="20"/>
                <w:color w:val="auto"/>
              </w:rPr>
            </w:pPr>
            <w:r>
              <w:rPr>
                <w:rFonts w:ascii="Arial" w:cs="Arial" w:eastAsia="Arial" w:hAnsi="Arial"/>
                <w:sz w:val="14"/>
                <w:szCs w:val="14"/>
                <w:color w:val="auto"/>
              </w:rPr>
              <w:t>December 31 (in millions)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55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$ 29,674</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20" w:type="dxa"/>
            <w:vAlign w:val="bottom"/>
            <w:gridSpan w:val="2"/>
          </w:tcPr>
          <w:p>
            <w:pPr>
              <w:spacing w:after="0" w:line="181" w:lineRule="exact"/>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$ 29,578</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6,376</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3,769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Theme Parks</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6,266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177"/>
        </w:trPr>
        <w:tc>
          <w:tcPr>
            <w:tcW w:w="5520" w:type="dxa"/>
            <w:vAlign w:val="bottom"/>
            <w:gridSpan w:val="2"/>
          </w:tcPr>
          <w:p>
            <w:pPr>
              <w:spacing w:after="0" w:line="177" w:lineRule="exact"/>
              <w:rPr>
                <w:sz w:val="20"/>
                <w:szCs w:val="20"/>
                <w:color w:val="auto"/>
              </w:rPr>
            </w:pPr>
            <w:r>
              <w:rPr>
                <w:rFonts w:ascii="Arial" w:cs="Arial" w:eastAsia="Arial" w:hAnsi="Arial"/>
                <w:sz w:val="18"/>
                <w:szCs w:val="18"/>
                <w:color w:val="auto"/>
              </w:rPr>
              <w:t>Total segment assets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ind w:right="80"/>
              <w:spacing w:after="0" w:line="177" w:lineRule="exact"/>
              <w:rPr>
                <w:sz w:val="20"/>
                <w:szCs w:val="20"/>
                <w:color w:val="auto"/>
              </w:rPr>
            </w:pPr>
            <w:r>
              <w:rPr>
                <w:rFonts w:ascii="Arial" w:cs="Arial" w:eastAsia="Arial" w:hAnsi="Arial"/>
                <w:sz w:val="18"/>
                <w:szCs w:val="18"/>
                <w:b w:val="1"/>
                <w:bCs w:val="1"/>
                <w:color w:val="auto"/>
              </w:rPr>
              <w:t>46,085</w:t>
            </w: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45,879</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Headquarters, other and eliminations</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8,377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right"/>
              <w:ind w:right="80"/>
              <w:spacing w:after="0" w:line="196" w:lineRule="exact"/>
              <w:rPr>
                <w:sz w:val="20"/>
                <w:szCs w:val="20"/>
                <w:color w:val="auto"/>
              </w:rPr>
            </w:pPr>
            <w:r>
              <w:rPr>
                <w:rFonts w:ascii="Arial" w:cs="Arial" w:eastAsia="Arial" w:hAnsi="Arial"/>
                <w:sz w:val="18"/>
                <w:szCs w:val="18"/>
                <w:b w:val="1"/>
                <w:bCs w:val="1"/>
                <w:color w:val="auto"/>
              </w:rPr>
              <w:t>$ 54,462</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$ 50,784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50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260" w:type="dxa"/>
            <w:vAlign w:val="bottom"/>
            <w:tcBorders>
              <w:top w:val="single" w:sz="8" w:color="53439A"/>
            </w:tcBorders>
          </w:tcPr>
          <w:p>
            <w:pPr>
              <w:spacing w:after="0"/>
              <w:rPr>
                <w:sz w:val="24"/>
                <w:szCs w:val="24"/>
                <w:color w:val="auto"/>
              </w:rPr>
            </w:pPr>
          </w:p>
        </w:tc>
        <w:tc>
          <w:tcPr>
            <w:tcW w:w="2540" w:type="dxa"/>
            <w:vAlign w:val="bottom"/>
            <w:tcBorders>
              <w:top w:val="single" w:sz="8" w:color="53439A"/>
            </w:tcBorders>
            <w:gridSpan w:val="6"/>
          </w:tcPr>
          <w:p>
            <w:pPr>
              <w:ind w:left="780"/>
              <w:spacing w:after="0"/>
              <w:rPr>
                <w:sz w:val="20"/>
                <w:szCs w:val="20"/>
                <w:color w:val="auto"/>
              </w:rPr>
            </w:pPr>
            <w:r>
              <w:rPr>
                <w:rFonts w:ascii="Arial" w:cs="Arial" w:eastAsia="Arial" w:hAnsi="Arial"/>
                <w:sz w:val="14"/>
                <w:szCs w:val="14"/>
                <w:color w:val="auto"/>
              </w:rPr>
              <w:t>Successor</w:t>
            </w:r>
          </w:p>
        </w:tc>
        <w:tc>
          <w:tcPr>
            <w:tcW w:w="120" w:type="dxa"/>
            <w:vAlign w:val="bottom"/>
            <w:tcBorders>
              <w:top w:val="single" w:sz="8" w:color="53439A"/>
            </w:tcBorders>
          </w:tcPr>
          <w:p>
            <w:pPr>
              <w:spacing w:after="0"/>
              <w:rPr>
                <w:sz w:val="24"/>
                <w:szCs w:val="24"/>
                <w:color w:val="auto"/>
              </w:rPr>
            </w:pPr>
          </w:p>
        </w:tc>
        <w:tc>
          <w:tcPr>
            <w:tcW w:w="60" w:type="dxa"/>
            <w:vAlign w:val="bottom"/>
            <w:tcBorders>
              <w:top w:val="single" w:sz="8" w:color="53439A"/>
            </w:tcBorders>
          </w:tcPr>
          <w:p>
            <w:pPr>
              <w:spacing w:after="0"/>
              <w:rPr>
                <w:sz w:val="24"/>
                <w:szCs w:val="24"/>
                <w:color w:val="auto"/>
              </w:rPr>
            </w:pPr>
          </w:p>
        </w:tc>
        <w:tc>
          <w:tcPr>
            <w:tcW w:w="10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560" w:type="dxa"/>
            <w:vAlign w:val="bottom"/>
            <w:tcBorders>
              <w:top w:val="single" w:sz="8" w:color="53439A"/>
            </w:tcBorders>
          </w:tcPr>
          <w:p>
            <w:pPr>
              <w:spacing w:after="0"/>
              <w:rPr>
                <w:sz w:val="24"/>
                <w:szCs w:val="24"/>
                <w:color w:val="auto"/>
              </w:rPr>
            </w:pPr>
          </w:p>
        </w:tc>
        <w:tc>
          <w:tcPr>
            <w:tcW w:w="960" w:type="dxa"/>
            <w:vAlign w:val="bottom"/>
            <w:tcBorders>
              <w:top w:val="single" w:sz="8" w:color="53439A"/>
            </w:tcBorders>
            <w:gridSpan w:val="2"/>
          </w:tcPr>
          <w:p>
            <w:pPr>
              <w:jc w:val="right"/>
              <w:spacing w:after="0"/>
              <w:rPr>
                <w:sz w:val="20"/>
                <w:szCs w:val="20"/>
                <w:color w:val="auto"/>
              </w:rPr>
            </w:pPr>
            <w:r>
              <w:rPr>
                <w:rFonts w:ascii="Arial" w:cs="Arial" w:eastAsia="Arial" w:hAnsi="Arial"/>
                <w:sz w:val="14"/>
                <w:szCs w:val="14"/>
                <w:color w:val="auto"/>
              </w:rPr>
              <w:t>Predecessor</w:t>
            </w:r>
          </w:p>
        </w:tc>
        <w:tc>
          <w:tcPr>
            <w:tcW w:w="860" w:type="dxa"/>
            <w:vAlign w:val="bottom"/>
            <w:tcBorders>
              <w:top w:val="single" w:sz="8" w:color="53439A"/>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0"/>
              <w:spacing w:after="0" w:line="125" w:lineRule="exact"/>
              <w:rPr>
                <w:sz w:val="20"/>
                <w:szCs w:val="20"/>
                <w:color w:val="auto"/>
              </w:rPr>
            </w:pPr>
            <w:r>
              <w:rPr>
                <w:rFonts w:ascii="Arial" w:cs="Arial" w:eastAsia="Arial" w:hAnsi="Arial"/>
                <w:sz w:val="14"/>
                <w:szCs w:val="14"/>
                <w:color w:val="auto"/>
              </w:rPr>
              <w:t>For the Period</w:t>
            </w: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4"/>
                <w:szCs w:val="14"/>
                <w:color w:val="auto"/>
              </w:rPr>
              <w:t>For the Period</w:t>
            </w:r>
          </w:p>
        </w:tc>
        <w:tc>
          <w:tcPr>
            <w:tcW w:w="5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gridSpan w:val="6"/>
          </w:tcPr>
          <w:p>
            <w:pPr>
              <w:jc w:val="right"/>
              <w:ind w:right="140"/>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6"/>
              </w:rPr>
              <w:t>January 1, 2011 to</w:t>
            </w:r>
          </w:p>
        </w:tc>
        <w:tc>
          <w:tcPr>
            <w:tcW w:w="5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5"/>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2012</w:t>
            </w: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December 31, 2011</w:t>
            </w: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January 28, 2011</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99"/>
        </w:trPr>
        <w:tc>
          <w:tcPr>
            <w:tcW w:w="55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Capital Expenditures</w:t>
            </w:r>
          </w:p>
        </w:tc>
        <w:tc>
          <w:tcPr>
            <w:tcW w:w="4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tcPr>
          <w:p>
            <w:pPr>
              <w:jc w:val="right"/>
              <w:ind w:right="35"/>
              <w:spacing w:after="0"/>
              <w:rPr>
                <w:sz w:val="20"/>
                <w:szCs w:val="20"/>
                <w:color w:val="auto"/>
              </w:rPr>
            </w:pPr>
            <w:r>
              <w:rPr>
                <w:rFonts w:ascii="Arial" w:cs="Arial" w:eastAsia="Arial" w:hAnsi="Arial"/>
                <w:sz w:val="18"/>
                <w:szCs w:val="18"/>
                <w:b w:val="1"/>
                <w:bCs w:val="1"/>
                <w:color w:val="auto"/>
              </w:rPr>
              <w:t>150</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20" w:type="dxa"/>
            <w:vAlign w:val="bottom"/>
            <w:gridSpan w:val="2"/>
          </w:tcPr>
          <w:p>
            <w:pPr>
              <w:spacing w:after="0" w:line="181" w:lineRule="exact"/>
              <w:rPr>
                <w:sz w:val="20"/>
                <w:szCs w:val="20"/>
                <w:color w:val="auto"/>
              </w:rPr>
            </w:pPr>
            <w:r>
              <w:rPr>
                <w:rFonts w:ascii="Arial" w:cs="Arial" w:eastAsia="Arial" w:hAnsi="Arial"/>
                <w:sz w:val="18"/>
                <w:szCs w:val="18"/>
                <w:color w:val="auto"/>
              </w:rPr>
              <w:t>Cable Networks</w:t>
            </w:r>
          </w:p>
        </w:tc>
        <w:tc>
          <w:tcPr>
            <w:tcW w:w="4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181"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80" w:type="dxa"/>
            <w:vAlign w:val="bottom"/>
            <w:gridSpan w:val="3"/>
          </w:tcPr>
          <w:p>
            <w:pPr>
              <w:ind w:left="240"/>
              <w:spacing w:after="0" w:line="18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1</w:t>
            </w:r>
          </w:p>
        </w:tc>
        <w:tc>
          <w:tcPr>
            <w:tcW w:w="500" w:type="dxa"/>
            <w:vAlign w:val="bottom"/>
          </w:tcPr>
          <w:p>
            <w:pPr>
              <w:jc w:val="right"/>
              <w:ind w:right="200"/>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w w:val="89"/>
              </w:rPr>
              <w:t>65</w:t>
            </w:r>
          </w:p>
        </w:tc>
        <w:tc>
          <w:tcPr>
            <w:tcW w:w="1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5"/>
              <w:spacing w:after="0" w:line="202" w:lineRule="exact"/>
              <w:rPr>
                <w:sz w:val="20"/>
                <w:szCs w:val="20"/>
                <w:color w:val="auto"/>
              </w:rPr>
            </w:pPr>
            <w:r>
              <w:rPr>
                <w:rFonts w:ascii="Arial" w:cs="Arial" w:eastAsia="Arial" w:hAnsi="Arial"/>
                <w:sz w:val="18"/>
                <w:szCs w:val="18"/>
                <w:b w:val="1"/>
                <w:bCs w:val="1"/>
                <w:color w:val="auto"/>
              </w:rPr>
              <w:t>272</w:t>
            </w:r>
          </w:p>
        </w:tc>
        <w:tc>
          <w:tcPr>
            <w:tcW w:w="1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Headquarters and Other</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8"/>
                <w:szCs w:val="18"/>
                <w:b w:val="1"/>
                <w:bCs w:val="1"/>
                <w:color w:val="auto"/>
              </w:rPr>
              <w:t>269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480" w:type="dxa"/>
            <w:vAlign w:val="bottom"/>
            <w:gridSpan w:val="2"/>
          </w:tcPr>
          <w:p>
            <w:pPr>
              <w:ind w:left="30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35"/>
              <w:spacing w:after="0" w:line="196" w:lineRule="exact"/>
              <w:rPr>
                <w:sz w:val="20"/>
                <w:szCs w:val="20"/>
                <w:color w:val="auto"/>
              </w:rPr>
            </w:pPr>
            <w:r>
              <w:rPr>
                <w:rFonts w:ascii="Arial" w:cs="Arial" w:eastAsia="Arial" w:hAnsi="Arial"/>
                <w:sz w:val="18"/>
                <w:szCs w:val="18"/>
                <w:b w:val="1"/>
                <w:bCs w:val="1"/>
                <w:color w:val="auto"/>
              </w:rPr>
              <w:t>763</w:t>
            </w:r>
          </w:p>
        </w:tc>
        <w:tc>
          <w:tcPr>
            <w:tcW w:w="18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432</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500" w:type="dxa"/>
            <w:vAlign w:val="bottom"/>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00" w:type="dxa"/>
            <w:vAlign w:val="bottom"/>
            <w:tcBorders>
              <w:top w:val="single" w:sz="8" w:color="53439A"/>
            </w:tcBorders>
          </w:tcPr>
          <w:p>
            <w:pPr>
              <w:spacing w:after="0" w:line="200" w:lineRule="exact"/>
              <w:rPr>
                <w:sz w:val="20"/>
                <w:szCs w:val="20"/>
                <w:color w:val="auto"/>
              </w:rPr>
            </w:pPr>
            <w:r>
              <w:rPr>
                <w:rFonts w:ascii="Arial" w:cs="Arial" w:eastAsia="Arial" w:hAnsi="Arial"/>
                <w:sz w:val="18"/>
                <w:szCs w:val="18"/>
                <w:b w:val="1"/>
                <w:bCs w:val="1"/>
                <w:color w:val="auto"/>
              </w:rPr>
              <w:t>Depreciation and Amortization</w:t>
            </w:r>
          </w:p>
        </w:tc>
        <w:tc>
          <w:tcPr>
            <w:tcW w:w="480" w:type="dxa"/>
            <w:vAlign w:val="bottom"/>
            <w:tcBorders>
              <w:top w:val="single" w:sz="8" w:color="53439A"/>
            </w:tcBorders>
            <w:gridSpan w:val="2"/>
            <w:vMerge w:val="restart"/>
          </w:tcPr>
          <w:p>
            <w:pPr>
              <w:ind w:left="30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53439A"/>
            </w:tcBorders>
            <w:gridSpan w:val="2"/>
            <w:vMerge w:val="restart"/>
          </w:tcPr>
          <w:p>
            <w:pPr>
              <w:jc w:val="right"/>
              <w:ind w:right="35"/>
              <w:spacing w:after="0"/>
              <w:rPr>
                <w:sz w:val="20"/>
                <w:szCs w:val="20"/>
                <w:color w:val="auto"/>
              </w:rPr>
            </w:pPr>
            <w:r>
              <w:rPr>
                <w:rFonts w:ascii="Arial" w:cs="Arial" w:eastAsia="Arial" w:hAnsi="Arial"/>
                <w:sz w:val="18"/>
                <w:szCs w:val="18"/>
                <w:b w:val="1"/>
                <w:bCs w:val="1"/>
                <w:color w:val="auto"/>
              </w:rPr>
              <w:t>741</w:t>
            </w:r>
          </w:p>
        </w:tc>
        <w:tc>
          <w:tcPr>
            <w:tcW w:w="180" w:type="dxa"/>
            <w:vAlign w:val="bottom"/>
            <w:tcBorders>
              <w:top w:val="single" w:sz="8" w:color="53439A"/>
            </w:tcBorders>
          </w:tcPr>
          <w:p>
            <w:pPr>
              <w:spacing w:after="0"/>
              <w:rPr>
                <w:sz w:val="17"/>
                <w:szCs w:val="17"/>
                <w:color w:val="auto"/>
              </w:rPr>
            </w:pPr>
          </w:p>
        </w:tc>
        <w:tc>
          <w:tcPr>
            <w:tcW w:w="1000" w:type="dxa"/>
            <w:vAlign w:val="bottom"/>
            <w:tcBorders>
              <w:top w:val="single" w:sz="8" w:color="53439A"/>
            </w:tcBorders>
          </w:tcPr>
          <w:p>
            <w:pPr>
              <w:spacing w:after="0"/>
              <w:rPr>
                <w:sz w:val="17"/>
                <w:szCs w:val="17"/>
                <w:color w:val="auto"/>
              </w:rPr>
            </w:pPr>
          </w:p>
        </w:tc>
        <w:tc>
          <w:tcPr>
            <w:tcW w:w="100" w:type="dxa"/>
            <w:vAlign w:val="bottom"/>
            <w:tcBorders>
              <w:top w:val="single" w:sz="8" w:color="53439A"/>
            </w:tcBorders>
          </w:tcPr>
          <w:p>
            <w:pPr>
              <w:spacing w:after="0"/>
              <w:rPr>
                <w:sz w:val="17"/>
                <w:szCs w:val="17"/>
                <w:color w:val="auto"/>
              </w:rPr>
            </w:pPr>
          </w:p>
        </w:tc>
        <w:tc>
          <w:tcPr>
            <w:tcW w:w="100" w:type="dxa"/>
            <w:vAlign w:val="bottom"/>
            <w:tcBorders>
              <w:top w:val="single" w:sz="8" w:color="53439A"/>
            </w:tcBorders>
          </w:tcPr>
          <w:p>
            <w:pPr>
              <w:spacing w:after="0"/>
              <w:rPr>
                <w:sz w:val="17"/>
                <w:szCs w:val="17"/>
                <w:color w:val="auto"/>
              </w:rPr>
            </w:pPr>
          </w:p>
        </w:tc>
        <w:tc>
          <w:tcPr>
            <w:tcW w:w="120" w:type="dxa"/>
            <w:vAlign w:val="bottom"/>
            <w:tcBorders>
              <w:top w:val="single" w:sz="8" w:color="53439A"/>
              <w:right w:val="single" w:sz="8" w:color="auto"/>
            </w:tcBorders>
          </w:tcPr>
          <w:p>
            <w:pPr>
              <w:spacing w:after="0"/>
              <w:rPr>
                <w:sz w:val="17"/>
                <w:szCs w:val="17"/>
                <w:color w:val="auto"/>
              </w:rPr>
            </w:pPr>
          </w:p>
        </w:tc>
        <w:tc>
          <w:tcPr>
            <w:tcW w:w="60" w:type="dxa"/>
            <w:vAlign w:val="bottom"/>
            <w:tcBorders>
              <w:top w:val="single" w:sz="8" w:color="53439A"/>
            </w:tcBorders>
          </w:tcPr>
          <w:p>
            <w:pPr>
              <w:spacing w:after="0"/>
              <w:rPr>
                <w:sz w:val="17"/>
                <w:szCs w:val="17"/>
                <w:color w:val="auto"/>
              </w:rPr>
            </w:pPr>
          </w:p>
        </w:tc>
        <w:tc>
          <w:tcPr>
            <w:tcW w:w="100" w:type="dxa"/>
            <w:vAlign w:val="bottom"/>
            <w:tcBorders>
              <w:top w:val="single" w:sz="8" w:color="53439A"/>
            </w:tcBorders>
          </w:tcPr>
          <w:p>
            <w:pPr>
              <w:spacing w:after="0"/>
              <w:rPr>
                <w:sz w:val="17"/>
                <w:szCs w:val="17"/>
                <w:color w:val="auto"/>
              </w:rPr>
            </w:pPr>
          </w:p>
        </w:tc>
        <w:tc>
          <w:tcPr>
            <w:tcW w:w="220" w:type="dxa"/>
            <w:vAlign w:val="bottom"/>
            <w:tcBorders>
              <w:top w:val="single" w:sz="8" w:color="53439A"/>
            </w:tcBorders>
          </w:tcPr>
          <w:p>
            <w:pPr>
              <w:spacing w:after="0"/>
              <w:rPr>
                <w:sz w:val="17"/>
                <w:szCs w:val="17"/>
                <w:color w:val="auto"/>
              </w:rPr>
            </w:pPr>
          </w:p>
        </w:tc>
        <w:tc>
          <w:tcPr>
            <w:tcW w:w="560" w:type="dxa"/>
            <w:vAlign w:val="bottom"/>
            <w:tcBorders>
              <w:top w:val="single" w:sz="8" w:color="53439A"/>
            </w:tcBorders>
          </w:tcPr>
          <w:p>
            <w:pPr>
              <w:spacing w:after="0"/>
              <w:rPr>
                <w:sz w:val="17"/>
                <w:szCs w:val="17"/>
                <w:color w:val="auto"/>
              </w:rPr>
            </w:pPr>
          </w:p>
        </w:tc>
        <w:tc>
          <w:tcPr>
            <w:tcW w:w="460" w:type="dxa"/>
            <w:vAlign w:val="bottom"/>
            <w:tcBorders>
              <w:top w:val="single" w:sz="8" w:color="53439A"/>
            </w:tcBorders>
          </w:tcPr>
          <w:p>
            <w:pPr>
              <w:spacing w:after="0"/>
              <w:rPr>
                <w:sz w:val="17"/>
                <w:szCs w:val="17"/>
                <w:color w:val="auto"/>
              </w:rPr>
            </w:pPr>
          </w:p>
        </w:tc>
        <w:tc>
          <w:tcPr>
            <w:tcW w:w="500" w:type="dxa"/>
            <w:vAlign w:val="bottom"/>
            <w:tcBorders>
              <w:top w:val="single" w:sz="8" w:color="53439A"/>
            </w:tcBorders>
          </w:tcPr>
          <w:p>
            <w:pPr>
              <w:spacing w:after="0"/>
              <w:rPr>
                <w:sz w:val="17"/>
                <w:szCs w:val="17"/>
                <w:color w:val="auto"/>
              </w:rPr>
            </w:pPr>
          </w:p>
        </w:tc>
        <w:tc>
          <w:tcPr>
            <w:tcW w:w="860" w:type="dxa"/>
            <w:vAlign w:val="bottom"/>
            <w:tcBorders>
              <w:top w:val="single" w:sz="8" w:color="53439A"/>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20" w:type="dxa"/>
            <w:vAlign w:val="bottom"/>
            <w:gridSpan w:val="2"/>
          </w:tcPr>
          <w:p>
            <w:pPr>
              <w:spacing w:after="0" w:line="181" w:lineRule="exact"/>
              <w:rPr>
                <w:sz w:val="20"/>
                <w:szCs w:val="20"/>
                <w:color w:val="auto"/>
              </w:rPr>
            </w:pPr>
            <w:r>
              <w:rPr>
                <w:rFonts w:ascii="Arial" w:cs="Arial" w:eastAsia="Arial" w:hAnsi="Arial"/>
                <w:sz w:val="18"/>
                <w:szCs w:val="18"/>
                <w:color w:val="auto"/>
              </w:rPr>
              <w:t>Cable Networks</w:t>
            </w:r>
          </w:p>
        </w:tc>
        <w:tc>
          <w:tcPr>
            <w:tcW w:w="4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181" w:lineRule="exact"/>
              <w:rPr>
                <w:sz w:val="20"/>
                <w:szCs w:val="20"/>
                <w:color w:val="auto"/>
              </w:rPr>
            </w:pPr>
            <w:r>
              <w:rPr>
                <w:rFonts w:ascii="Arial" w:cs="Arial" w:eastAsia="Arial" w:hAnsi="Arial"/>
                <w:sz w:val="18"/>
                <w:szCs w:val="18"/>
                <w:color w:val="auto"/>
              </w:rPr>
              <w:t>700</w:t>
            </w: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80" w:type="dxa"/>
            <w:vAlign w:val="bottom"/>
            <w:gridSpan w:val="3"/>
          </w:tcPr>
          <w:p>
            <w:pPr>
              <w:ind w:left="240"/>
              <w:spacing w:after="0" w:line="18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4</w:t>
            </w:r>
          </w:p>
        </w:tc>
        <w:tc>
          <w:tcPr>
            <w:tcW w:w="500" w:type="dxa"/>
            <w:vAlign w:val="bottom"/>
          </w:tcPr>
          <w:p>
            <w:pPr>
              <w:jc w:val="right"/>
              <w:ind w:right="200"/>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w w:val="89"/>
              </w:rPr>
              <w:t>91</w:t>
            </w:r>
          </w:p>
        </w:tc>
        <w:tc>
          <w:tcPr>
            <w:tcW w:w="1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w w:val="89"/>
              </w:rPr>
              <w:t>16</w:t>
            </w:r>
          </w:p>
        </w:tc>
        <w:tc>
          <w:tcPr>
            <w:tcW w:w="1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5"/>
              <w:spacing w:after="0" w:line="202" w:lineRule="exact"/>
              <w:rPr>
                <w:sz w:val="20"/>
                <w:szCs w:val="20"/>
                <w:color w:val="auto"/>
              </w:rPr>
            </w:pPr>
            <w:r>
              <w:rPr>
                <w:rFonts w:ascii="Arial" w:cs="Arial" w:eastAsia="Arial" w:hAnsi="Arial"/>
                <w:sz w:val="18"/>
                <w:szCs w:val="18"/>
                <w:b w:val="1"/>
                <w:bCs w:val="1"/>
                <w:color w:val="auto"/>
              </w:rPr>
              <w:t>268</w:t>
            </w:r>
          </w:p>
        </w:tc>
        <w:tc>
          <w:tcPr>
            <w:tcW w:w="1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201</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Headquarters, other and eliminations</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8"/>
                <w:szCs w:val="18"/>
                <w:b w:val="1"/>
                <w:bCs w:val="1"/>
                <w:color w:val="auto"/>
              </w:rPr>
              <w:t>210</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53439A"/>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480" w:type="dxa"/>
            <w:vAlign w:val="bottom"/>
            <w:tcBorders>
              <w:bottom w:val="single" w:sz="8" w:color="53439A"/>
            </w:tcBorders>
            <w:gridSpan w:val="2"/>
          </w:tcPr>
          <w:p>
            <w:pPr>
              <w:ind w:left="30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53439A"/>
            </w:tcBorders>
            <w:gridSpan w:val="2"/>
          </w:tcPr>
          <w:p>
            <w:pPr>
              <w:jc w:val="right"/>
              <w:ind w:right="35"/>
              <w:spacing w:after="0" w:line="196" w:lineRule="exact"/>
              <w:rPr>
                <w:sz w:val="20"/>
                <w:szCs w:val="20"/>
                <w:color w:val="auto"/>
              </w:rPr>
            </w:pPr>
            <w:r>
              <w:rPr>
                <w:rFonts w:ascii="Arial" w:cs="Arial" w:eastAsia="Arial" w:hAnsi="Arial"/>
                <w:sz w:val="18"/>
                <w:szCs w:val="18"/>
                <w:b w:val="1"/>
                <w:bCs w:val="1"/>
                <w:color w:val="auto"/>
              </w:rPr>
              <w:t>1,326</w:t>
            </w:r>
          </w:p>
        </w:tc>
        <w:tc>
          <w:tcPr>
            <w:tcW w:w="18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53439A"/>
            </w:tcBorders>
            <w:gridSpan w:val="2"/>
          </w:tcPr>
          <w:p>
            <w:pPr>
              <w:jc w:val="right"/>
              <w:ind w:right="40"/>
              <w:spacing w:after="0" w:line="196" w:lineRule="exact"/>
              <w:rPr>
                <w:sz w:val="20"/>
                <w:szCs w:val="20"/>
                <w:color w:val="auto"/>
              </w:rPr>
            </w:pPr>
            <w:r>
              <w:rPr>
                <w:rFonts w:ascii="Arial" w:cs="Arial" w:eastAsia="Arial" w:hAnsi="Arial"/>
                <w:sz w:val="18"/>
                <w:szCs w:val="18"/>
                <w:color w:val="auto"/>
              </w:rPr>
              <w:t>1,113</w:t>
            </w:r>
          </w:p>
        </w:tc>
        <w:tc>
          <w:tcPr>
            <w:tcW w:w="100" w:type="dxa"/>
            <w:vAlign w:val="bottom"/>
            <w:tcBorders>
              <w:bottom w:val="single" w:sz="8" w:color="53439A"/>
            </w:tcBorders>
          </w:tcPr>
          <w:p>
            <w:pPr>
              <w:spacing w:after="0"/>
              <w:rPr>
                <w:sz w:val="17"/>
                <w:szCs w:val="17"/>
                <w:color w:val="auto"/>
              </w:rPr>
            </w:pPr>
          </w:p>
        </w:tc>
        <w:tc>
          <w:tcPr>
            <w:tcW w:w="120" w:type="dxa"/>
            <w:vAlign w:val="bottom"/>
            <w:tcBorders>
              <w:bottom w:val="single" w:sz="8" w:color="53439A"/>
              <w:right w:val="single" w:sz="8" w:color="auto"/>
            </w:tcBorders>
          </w:tcPr>
          <w:p>
            <w:pPr>
              <w:spacing w:after="0"/>
              <w:rPr>
                <w:sz w:val="17"/>
                <w:szCs w:val="17"/>
                <w:color w:val="auto"/>
              </w:rPr>
            </w:pPr>
          </w:p>
        </w:tc>
        <w:tc>
          <w:tcPr>
            <w:tcW w:w="380" w:type="dxa"/>
            <w:vAlign w:val="bottom"/>
            <w:tcBorders>
              <w:bottom w:val="single" w:sz="8" w:color="53439A"/>
            </w:tcBorders>
            <w:gridSpan w:val="3"/>
          </w:tcPr>
          <w:p>
            <w:pPr>
              <w:ind w:left="24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53439A"/>
            </w:tcBorders>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500" w:type="dxa"/>
            <w:vAlign w:val="bottom"/>
            <w:tcBorders>
              <w:bottom w:val="single" w:sz="8" w:color="53439A"/>
            </w:tcBorders>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For 2012 and the period January 29, 2011 through December 31, 2011, our Cable Networks segment included the results of operations of the Comcast Content Business.</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83</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00" w:hanging="292"/>
        <w:spacing w:after="0" w:line="228"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2012, our Broadcast Television segment included all revenue and costs and expenses associated with our broadcast of the 2012 London Olympics, which generated $120 million of operating income before depreciation and amortization. This amount reflects the settlement of a $237 million liability associated with the unfavorable Olympics contract that had been recorded through the application of acquisition accounting in 2011.</w:t>
      </w:r>
    </w:p>
    <w:p>
      <w:pPr>
        <w:spacing w:after="0" w:line="54"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2010 and the periods January 1, 2011 through January 28, 2011 and January 29, 2011 through June 30, 2011, our Theme Parks segment included the results of operations for Universal Orlando to reflect our measure of operating performance for our Theme Parks segment.</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Headquarters and Other activities included costs associated with overhead, personnel costs and corporate initiatives.</w:t>
      </w:r>
    </w:p>
    <w:p>
      <w:pPr>
        <w:spacing w:after="0" w:line="55"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Eliminations for 2010 and for the periods January 1, 2011 through January 28, 2011 and January 29, 2011 through June 30, 2011 included the eliminations of the results of operations for Universal Orlando for these periods. These results were not included in our consolidated results of operations because we recorded Universal Orlando as an equity method investment during those periods.</w:t>
      </w:r>
    </w:p>
    <w:p>
      <w:pPr>
        <w:spacing w:after="0" w:line="54" w:lineRule="exact"/>
        <w:rPr>
          <w:sz w:val="20"/>
          <w:szCs w:val="20"/>
          <w:color w:val="auto"/>
        </w:rPr>
      </w:pPr>
    </w:p>
    <w:p>
      <w:pPr>
        <w:ind w:left="220" w:right="20"/>
        <w:spacing w:after="0" w:line="231" w:lineRule="auto"/>
        <w:rPr>
          <w:sz w:val="20"/>
          <w:szCs w:val="20"/>
          <w:color w:val="auto"/>
        </w:rPr>
      </w:pPr>
      <w:r>
        <w:rPr>
          <w:rFonts w:ascii="Arial" w:cs="Arial" w:eastAsia="Arial" w:hAnsi="Arial"/>
          <w:sz w:val="14"/>
          <w:szCs w:val="14"/>
          <w:color w:val="auto"/>
        </w:rPr>
        <w:t>Also included in 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68"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68"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67" w:lineRule="exact"/>
        <w:rPr>
          <w:rFonts w:ascii="Arial" w:cs="Arial" w:eastAsia="Arial" w:hAnsi="Arial"/>
          <w:sz w:val="14"/>
          <w:szCs w:val="14"/>
          <w:color w:val="auto"/>
        </w:rPr>
      </w:pPr>
    </w:p>
    <w:p>
      <w:pPr>
        <w:ind w:left="300" w:hanging="292"/>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operate primarily in the United States, but also in select international markets primarily in Europe and Asia. The table below summarizes revenue by geographic location.</w:t>
      </w:r>
    </w:p>
    <w:p>
      <w:pPr>
        <w:spacing w:after="0" w:line="5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Successor</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Predecessor</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20" w:type="dxa"/>
            <w:vAlign w:val="bottom"/>
            <w:tcBorders>
              <w:right w:val="single" w:sz="8" w:color="auto"/>
            </w:tcBorders>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January 1, 2011 to</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79"/>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December 31, 2012</w:t>
            </w:r>
          </w:p>
        </w:tc>
        <w:tc>
          <w:tcPr>
            <w:tcW w:w="1520" w:type="dxa"/>
            <w:vAlign w:val="bottom"/>
            <w:tcBorders>
              <w:bottom w:val="single" w:sz="8" w:color="auto"/>
              <w:right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January 28, 2011  December 31, 2010</w:t>
            </w:r>
          </w:p>
        </w:tc>
        <w:tc>
          <w:tcPr>
            <w:tcW w:w="0" w:type="dxa"/>
            <w:vAlign w:val="bottom"/>
          </w:tcPr>
          <w:p>
            <w:pPr>
              <w:spacing w:after="0"/>
              <w:rPr>
                <w:sz w:val="1"/>
                <w:szCs w:val="1"/>
                <w:color w:val="auto"/>
              </w:rPr>
            </w:pPr>
          </w:p>
        </w:tc>
      </w:tr>
      <w:tr>
        <w:trPr>
          <w:trHeight w:val="141"/>
        </w:trPr>
        <w:tc>
          <w:tcPr>
            <w:tcW w:w="5540" w:type="dxa"/>
            <w:vAlign w:val="bottom"/>
          </w:tcPr>
          <w:p>
            <w:pPr>
              <w:spacing w:after="0" w:line="141" w:lineRule="exact"/>
              <w:rPr>
                <w:sz w:val="20"/>
                <w:szCs w:val="20"/>
                <w:color w:val="auto"/>
              </w:rPr>
            </w:pPr>
            <w:r>
              <w:rPr>
                <w:rFonts w:ascii="Arial" w:cs="Arial" w:eastAsia="Arial" w:hAnsi="Arial"/>
                <w:sz w:val="14"/>
                <w:szCs w:val="14"/>
                <w:color w:val="auto"/>
              </w:rPr>
              <w:t>Revenue:</w:t>
            </w:r>
          </w:p>
        </w:tc>
        <w:tc>
          <w:tcPr>
            <w:tcW w:w="3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19,348</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40" w:type="dxa"/>
            <w:vAlign w:val="bottom"/>
          </w:tcPr>
          <w:p>
            <w:pPr>
              <w:ind w:left="220"/>
              <w:spacing w:after="0" w:line="133" w:lineRule="exact"/>
              <w:rPr>
                <w:sz w:val="20"/>
                <w:szCs w:val="20"/>
                <w:color w:val="auto"/>
              </w:rPr>
            </w:pPr>
            <w:r>
              <w:rPr>
                <w:rFonts w:ascii="Arial" w:cs="Arial" w:eastAsia="Arial" w:hAnsi="Arial"/>
                <w:sz w:val="14"/>
                <w:szCs w:val="14"/>
                <w:color w:val="auto"/>
              </w:rPr>
              <w:t>United States</w:t>
            </w:r>
          </w:p>
        </w:tc>
        <w:tc>
          <w:tcPr>
            <w:tcW w:w="3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4"/>
                <w:szCs w:val="14"/>
                <w:color w:val="auto"/>
              </w:rPr>
              <w:t>14,927</w:t>
            </w:r>
          </w:p>
        </w:tc>
        <w:tc>
          <w:tcPr>
            <w:tcW w:w="200" w:type="dxa"/>
            <w:vAlign w:val="bottom"/>
            <w:tcBorders>
              <w:right w:val="single" w:sz="8" w:color="auto"/>
            </w:tcBorders>
          </w:tcPr>
          <w:p>
            <w:pPr>
              <w:spacing w:after="0"/>
              <w:rPr>
                <w:sz w:val="11"/>
                <w:szCs w:val="11"/>
                <w:color w:val="auto"/>
              </w:rPr>
            </w:pPr>
          </w:p>
        </w:tc>
        <w:tc>
          <w:tcPr>
            <w:tcW w:w="34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935</w:t>
            </w:r>
          </w:p>
        </w:tc>
        <w:tc>
          <w:tcPr>
            <w:tcW w:w="480" w:type="dxa"/>
            <w:vAlign w:val="bottom"/>
          </w:tcPr>
          <w:p>
            <w:pPr>
              <w:jc w:val="right"/>
              <w:ind w:right="272"/>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3" w:lineRule="exact"/>
              <w:rPr>
                <w:sz w:val="20"/>
                <w:szCs w:val="20"/>
                <w:color w:val="auto"/>
              </w:rPr>
            </w:pPr>
            <w:r>
              <w:rPr>
                <w:rFonts w:ascii="Arial" w:cs="Arial" w:eastAsia="Arial" w:hAnsi="Arial"/>
                <w:sz w:val="14"/>
                <w:szCs w:val="14"/>
                <w:color w:val="auto"/>
              </w:rPr>
              <w:t>12,839</w:t>
            </w:r>
          </w:p>
        </w:tc>
        <w:tc>
          <w:tcPr>
            <w:tcW w:w="0" w:type="dxa"/>
            <w:vAlign w:val="bottom"/>
          </w:tcPr>
          <w:p>
            <w:pPr>
              <w:spacing w:after="0"/>
              <w:rPr>
                <w:sz w:val="1"/>
                <w:szCs w:val="1"/>
                <w:color w:val="auto"/>
              </w:rPr>
            </w:pPr>
          </w:p>
        </w:tc>
      </w:tr>
      <w:tr>
        <w:trPr>
          <w:trHeight w:val="165"/>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4,464</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4,101</w:t>
            </w:r>
          </w:p>
        </w:tc>
        <w:tc>
          <w:tcPr>
            <w:tcW w:w="20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3,751</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20: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Agreement to Acquire GE’s Interest in NBCUniversal</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12, 2013, Comcast entered into an agreement to acquire GE’s 49% common equity interest in NBCUniversal Holdings for approximately $16.7 billion. In addition, we agreed to acquire from GE the portion of 30 Rockefeller Plaza in New York City that we occupy and CNBC’s headquarters in Englewood Cliffs, New Jersey for approximately $1.4 billion. The transactions, which are subject to customary closing conditions, are expected to close by the end of March 2013.</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consideration will consist of $11.4 billion of cash on hand, of which $4.6 billion will be from us; $4 billion of senior unsecured debt securities issued by a holding company (“HoldCo”), whose sole asset is its interests in NBCUniversal Holdings; $2 billion of cash funded through a combination of Comcast’s existing credit facility and NBCUniversal’s credit facility, which is expected to be amended, among other things, to substitute HoldCo as the sole borrower; and $725 million of Holdco preferred stock. After closing, Comcast will control and consolidate HoldCo and own all of its capital stock other than the preferred stock. HoldCo’s debt securities and credit facility will be guaranteed by Comcast and its cable holding company subsidiaries that guarantee Comcast’s senior indebtedness. The preferred stock will pay dividends at a fixed rate and can be put to HoldCo for redemption at par on the later of seven years following the issuance of the preferred stock and three years following the sale by GE of shares to unaffiliated third parties, and thereafter, every third anniversary of such date (a “Put Date”). Shares of preferred stock can be called for redemption by HoldCo at par one year following each Put Date applicable to such shares.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53439A"/>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24"/>
          <w:szCs w:val="24"/>
          <w:color w:val="53439A"/>
        </w:rPr>
        <w:t>Item 9A: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020" w:right="1260" w:hanging="21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14" w:lineRule="exact"/>
        <w:rPr>
          <w:rFonts w:ascii="Arial" w:cs="Arial" w:eastAsia="Arial" w:hAnsi="Arial"/>
          <w:sz w:val="18"/>
          <w:szCs w:val="18"/>
          <w:color w:val="auto"/>
        </w:rPr>
      </w:pPr>
    </w:p>
    <w:p>
      <w:pPr>
        <w:jc w:val="both"/>
        <w:ind w:left="1020" w:right="1260" w:hanging="215"/>
        <w:spacing w:after="0" w:line="281"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83" w:lineRule="exact"/>
        <w:rPr>
          <w:rFonts w:ascii="Arial" w:cs="Arial" w:eastAsia="Arial" w:hAnsi="Arial"/>
          <w:sz w:val="16"/>
          <w:szCs w:val="16"/>
          <w:color w:val="auto"/>
        </w:rPr>
      </w:pPr>
    </w:p>
    <w:p>
      <w:pPr>
        <w:ind w:left="1020" w:right="1260" w:hanging="21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concluded that our system of internal control over financial reporting was effective as of December 31,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color w:val="53439A"/>
        </w:rPr>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85</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III</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53439A"/>
        </w:rPr>
        <w:t>Item 10: Directors, Executive Officers and 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Our Company</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sets forth certain information with respect to each of our current executive officers as of December 31, 2012, each of whom has served as such since the close of the Joint Venture transaction on January 28, 2011: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758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Title</w:t>
            </w:r>
          </w:p>
        </w:tc>
      </w:tr>
      <w:tr>
        <w:trPr>
          <w:trHeight w:val="199"/>
        </w:trPr>
        <w:tc>
          <w:tcPr>
            <w:tcW w:w="3840" w:type="dxa"/>
            <w:vAlign w:val="bottom"/>
          </w:tcPr>
          <w:p>
            <w:pPr>
              <w:spacing w:after="0" w:line="200" w:lineRule="exact"/>
              <w:rPr>
                <w:sz w:val="20"/>
                <w:szCs w:val="20"/>
                <w:color w:val="auto"/>
              </w:rPr>
            </w:pPr>
            <w:r>
              <w:rPr>
                <w:rFonts w:ascii="Arial" w:cs="Arial" w:eastAsia="Arial" w:hAnsi="Arial"/>
                <w:sz w:val="18"/>
                <w:szCs w:val="18"/>
                <w:color w:val="auto"/>
              </w:rPr>
              <w:t>Michael J. Angelakis</w:t>
            </w:r>
          </w:p>
        </w:tc>
        <w:tc>
          <w:tcPr>
            <w:tcW w:w="7580" w:type="dxa"/>
            <w:vAlign w:val="bottom"/>
          </w:tcPr>
          <w:p>
            <w:pPr>
              <w:ind w:left="2220"/>
              <w:spacing w:after="0" w:line="200" w:lineRule="exact"/>
              <w:rPr>
                <w:sz w:val="20"/>
                <w:szCs w:val="20"/>
                <w:color w:val="auto"/>
              </w:rPr>
            </w:pPr>
            <w:r>
              <w:rPr>
                <w:rFonts w:ascii="Arial" w:cs="Arial" w:eastAsia="Arial" w:hAnsi="Arial"/>
                <w:sz w:val="18"/>
                <w:szCs w:val="18"/>
                <w:color w:val="auto"/>
              </w:rPr>
              <w:t>Principal Financial Officer</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7580" w:type="dxa"/>
            <w:vAlign w:val="bottom"/>
          </w:tcPr>
          <w:p>
            <w:pPr>
              <w:ind w:left="2220"/>
              <w:spacing w:after="0" w:line="202" w:lineRule="exact"/>
              <w:rPr>
                <w:sz w:val="20"/>
                <w:szCs w:val="20"/>
                <w:color w:val="auto"/>
              </w:rPr>
            </w:pPr>
            <w:r>
              <w:rPr>
                <w:rFonts w:ascii="Arial" w:cs="Arial" w:eastAsia="Arial" w:hAnsi="Arial"/>
                <w:sz w:val="18"/>
                <w:szCs w:val="18"/>
                <w:color w:val="auto"/>
              </w:rPr>
              <w:t>Senior Vice President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7580" w:type="dxa"/>
            <w:vAlign w:val="bottom"/>
          </w:tcPr>
          <w:p>
            <w:pPr>
              <w:ind w:left="2220"/>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7580" w:type="dxa"/>
            <w:vAlign w:val="bottom"/>
          </w:tcPr>
          <w:p>
            <w:pPr>
              <w:ind w:left="222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Brian L. Roberts</w:t>
            </w:r>
          </w:p>
        </w:tc>
        <w:tc>
          <w:tcPr>
            <w:tcW w:w="7580" w:type="dxa"/>
            <w:vAlign w:val="bottom"/>
          </w:tcPr>
          <w:p>
            <w:pPr>
              <w:ind w:left="2220"/>
              <w:spacing w:after="0" w:line="202" w:lineRule="exact"/>
              <w:rPr>
                <w:sz w:val="20"/>
                <w:szCs w:val="20"/>
                <w:color w:val="auto"/>
              </w:rPr>
            </w:pPr>
            <w:r>
              <w:rPr>
                <w:rFonts w:ascii="Arial" w:cs="Arial" w:eastAsia="Arial" w:hAnsi="Arial"/>
                <w:sz w:val="18"/>
                <w:szCs w:val="18"/>
                <w:color w:val="auto"/>
              </w:rPr>
              <w:t>Principal Executive Officer</w:t>
            </w:r>
          </w:p>
        </w:tc>
      </w:tr>
      <w:tr>
        <w:trPr>
          <w:trHeight w:val="199"/>
        </w:trPr>
        <w:tc>
          <w:tcPr>
            <w:tcW w:w="38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7580" w:type="dxa"/>
            <w:vAlign w:val="bottom"/>
            <w:tcBorders>
              <w:bottom w:val="single" w:sz="8" w:color="auto"/>
            </w:tcBorders>
          </w:tcPr>
          <w:p>
            <w:pPr>
              <w:ind w:left="2220"/>
              <w:spacing w:after="0" w:line="200" w:lineRule="exact"/>
              <w:rPr>
                <w:sz w:val="20"/>
                <w:szCs w:val="20"/>
                <w:color w:val="auto"/>
              </w:rPr>
            </w:pPr>
            <w:r>
              <w:rPr>
                <w:rFonts w:ascii="Arial" w:cs="Arial" w:eastAsia="Arial" w:hAnsi="Arial"/>
                <w:sz w:val="18"/>
                <w:szCs w:val="18"/>
                <w:color w:val="auto"/>
              </w:rPr>
              <w:t>Senior Vice President</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of our current executive officers are also executive officers of Comcast. For the year ended December 31, 2012, we reimbursed Comcast approximately $23 million for direct services provided by our executive officers.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information in this Item 10 is applicable for periods in which we continue to be indirectly owned 51% by Comcast and 49% by GE. On February 12, 2013, Comcast entered into an agreement to acquire GE’s 49% common equity interest in NBCUniversal Holdings. See Note 20 to our consolidated financial statements included in this Annual Report on Form 10-K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Our Company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close of the Joint Venture transaction, our company converted from a Delaware corporation into a Delaware limited liability company of which NBCUniversal Holdings is the sole member. We are managed by NBCUniversal Holdings, and the board of directors of NBCUniversal Holdings is effectively our governing body. The management and operation of NBCUniversal Holdings and NBCUniversal is subject the governance and control arrangements provided for under the Operating Agreement of NBCUniversal Holdings (the “Operating Agreement”), which are described in more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of NBCUniversal Holdings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Holdings’ board consists of five members, three of which are designated by Comcast, and two of which are designated by GE. The current Comcast designees are Michael J. Angelakis, Stephen B. Burke and Brian L. Roberts, and the current GE designees are Jeffrey R. Immelt and Keith S. Sherin. GE’s representation right will be reduced to one director if GE’s ownership interest falls below 20%, and GE will lose its representation right if GE’s ownership interest falls below 10%, with Comcast designees replacing the outgoing GE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NBCUniversal Holdings</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NBCUniversal Holdings currently has no board committees. If NBCUniversal Holdings sells its equity securities in an initial public offering, it would be required to have an audit committee, although under the Operating Agreement the audit committee would have delegated to it only those duties it is required to have. To the extent the board of NBCUniversal Holdings forms any committees in the future, the Operating Agreement requires each such committee to have a majority of Comcast designees and at least one GE designee. In addition, following an initial public offering, the audit committee will be comprised solely of “independent” directors as defined under the applicable rules of any national securities exchange.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Provisions of the Board of Directors of NBCUniversal Holdings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has the right to designate a majority of the members of NBCUniversal Holdings’ board of directors, and its board generally can take action by the vote of a majority of the directors in attendance at a meeting where a quorum exists. As a result, Comcast generally is able to control decisions of NBCUniversal Holdings’ board, subject to certain limitations as described in more detail below under “Governance and Control Arrangements under the Operating Agreement.”</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presence in person or by proxy of a number of directors equal to a majority of the board generally constitutes a quorum, but at least a majority of the directors present must be designated by Comcast and, for so long as GE’s ownership interest is at least 10%, at least one director present must be a GE designee. If a meeting is adjourned due to a lack of a quorum as a result of the failure of at least one GE designee to be present, then a GE designee’s presence is not necessary for a quorum to exist if the reconvened meeting is held at least 24 hours thereafter.</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Holdings’ directors generally owe fiduciary duties to NBCUniversal Holdings and its owners as may exist from time to time under the laws of Delaware. However, in some cases the Operating Agreement provides a different standard or process and, in these cases, fiduciary duties under Delaware law will not apply. Different standards or processes will apply, for example, when directors make decisions about whether to refrain from engaging in business activities that are the same as or similar to our businesses (where directors generally will not be under any duty to NBCUniversal Holdings to refrain from such activities, except as specifically agreed under non-compete restrictions and similar provisions), and decisions about transactions between NBCUniversal Holdings or us, on the one hand, and Comcast or its affiliates, on the other hand (where a general arm’s-length standard and dispute resolution process will apply).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Control Arrangements under the Operating Agreement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 Comcast and their respective subsidiaries through which they own their membership interests in NBCUniversal Holdings entered into the Operating Agreement with respect to NBCUniversal Holdings in connection with the close of the Joint Venture transaction. The Operating Agreement sets forth the governance and operation of both NBCUniversal Holdings and NBCUniversal. It includes provisions relating to the redemption, purchase and transfer of ownership interests in NBCUniversal Holdings and certain non-compete restrictions on the part of Comcast and GE with respect to our principal businesses. The material terms of the Operating Agreement are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described above under “Governance Provisions of the Board of Directors of NBCUniversal Holdings,” NBCUniversal Holdings is managed by a board of directors consisting of three Comcast designees and two GE designees. GE’s representation right will be reduced to one director if GE’s ownership interest in NBCUniversal Holdings falls below 20%, and GE will lose its representation right if GE’s ownership interest in NBCUniversal Holdings falls below 10%, with Comcast designees replacing the outgoing GE directors.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so long as a qualifying IPO has not occurred and GE continues to own at least 10% of NBCUniversal Holdings, certain matters must be approved by at least three members of the board, which include: (i) certain incurrences or repayments of debt; (ii) removal of the Chief Executive Officer or employees reporting directly to the Chief Executive Officer; (iii) certain acquisitions and dispositions; (iv) entering into certain non-ordinary course agreements; (v) subject to certain limitations, approval of new strategic plans or material amendments to or departures from existing strategic plans; and (vi) adoption of the annual budget of NBCUniversal Holdings and its subsidiaries.</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Furthermore, for so long as GE continues to own at least 20% of NBCUniversal Holdings, GE will have veto rights with respect to certain matters, which include: (i) certain acquisitions; (ii) material expansions of</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87</w:t>
      </w:r>
      <w:r>
        <w:rPr>
          <w:sz w:val="20"/>
          <w:szCs w:val="20"/>
          <w:color w:val="auto"/>
        </w:rPr>
        <w:tab/>
      </w:r>
      <w:r>
        <w:rPr>
          <w:rFonts w:ascii="Arial" w:cs="Arial" w:eastAsia="Arial" w:hAnsi="Arial"/>
          <w:sz w:val="12"/>
          <w:szCs w:val="12"/>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NBCUniversal Holdings’ scope of business or purpose; (iii) certain issuances or repurchases of equity; (iv) certain distributions to equity holders;</w:t>
      </w:r>
    </w:p>
    <w:p>
      <w:pPr>
        <w:spacing w:after="0" w:line="19" w:lineRule="exact"/>
        <w:rPr>
          <w:sz w:val="20"/>
          <w:szCs w:val="20"/>
          <w:color w:val="auto"/>
        </w:rPr>
      </w:pPr>
    </w:p>
    <w:p>
      <w:pPr>
        <w:jc w:val="both"/>
        <w:ind w:firstLine="8"/>
        <w:spacing w:after="0" w:line="23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debt incurrences; (vi) certain loans to or guarantees for other persons made outside of the ordinary course of business; (vii) a liquidation or voluntary bankruptcy of NBCUniversal Holdings or any of its principal subsidiaries; (viii) certain changes to NBCUniversal Holdings’ long-term incentive plan or increases in the value of certain awards granted thereunder; and (ix) our consent with respect to Comcast’s use or sublicensing of certain of our trademarks.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in the event of a vacancy in the position of Chief Executive Officer of NBCUniversal Holdings or our company before July 28, 2014, GE will have the right to veto up to two candidates proposed by Comcast. For so long as GE continues to own at least 10% of NBCUniversal Holdings, the Chief Executive Officer of NBCUniversal Holdings and our company will be the same person.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Provisions for Future Related Party Transactions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so long as GE has any interests in NBCUniversal Holdings, all related party transactions between Comcast and its affiliates and our company or NBCUniversal Holdings must be on arm’s-length terms. During this time, NBCUniversal Holdings must notify GE of proposed related party transactions involving annual payments or obligations over $7.5 million. In addition, for so long as GE owns at least a 10% interest in NBCUniversal Holdings, GE has the right to veto any non-ordinary course related party transaction and, with respect to any ordinary-course related party transaction, to dispute whether such transaction is on arm’s-length terms and require such dispute to be arbitrated, if necessary.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Operating Agreement generally prohibits (i) Comcast from transferring its ownership interest in NBCUniversal Holdings until January 28, 2015; and (ii) GE from transferring its ownership interest until July 28, 2014, at which respective point either party may sell its ownership interest in NBCUniversal Holdings publicly or privately, subject, in the case of sales by GE, to a right of first offer in favor of Comcast, which would permit Comcast to purchase all, but not less than all, of the interests proposed to be transferred. If Comcast sells its entire ownership interest in NBCUniversal Holdings, it can require GE, or GE may elect, to sell its entire interest on the same terms, subject to certain minimum purchase price requirements as set forth in the Operating Agreement. The Operating Agreement also allows Comcast to effect a spin-off of its interest in NBCUniversal Holdings in specified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and GE have certain demand and piggyback registration rights generally exercisable, in the case of Comcast, after January 28, 2015 and, in the case of GE, after July 28, 2014. The parties’ registration rights will be subject to various restrictions on timing, frequency (including “blackout” periods in various circumstances) and, in the case of GE,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and GE have the right to purchase their pro rata portions of securities that NBCUniversal Holdings proposes to issue. If one of the parties fails to exercise its purchase right, or exercises its right for less than its full pro rata portion, the other party has the right to purchase those securities. This purchase right does not apply to issuances of securities in certain cases, including issuances to employees under benefit arrangements and certain issuances in connection with debt financing or acquisition activities.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53439A"/>
        </w:rPr>
        <w:t>Item 11: Executive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I(2)(c) to Form 10-K.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right="520"/>
        <w:spacing w:after="0" w:line="260" w:lineRule="auto"/>
        <w:rPr>
          <w:sz w:val="20"/>
          <w:szCs w:val="20"/>
          <w:color w:val="auto"/>
        </w:rPr>
      </w:pPr>
      <w:r>
        <w:rPr>
          <w:rFonts w:ascii="Arial" w:cs="Arial" w:eastAsia="Arial" w:hAnsi="Arial"/>
          <w:sz w:val="24"/>
          <w:szCs w:val="24"/>
          <w:color w:val="53439A"/>
        </w:rPr>
        <w:t>Item 12: Security Ownership of Certain Beneficial Owners and Management and Related Stockholder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I(2)(c)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13: Certain Relationships and Related Transactions, and Director Independence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I(2)(c)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14: Principal Accountant Fees and Services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KPMG LLP performed the audit of our annual consolidated financial statements as of and for the year ended December 31, 2010 and had been our independent auditor until the close of the Joint Venture transaction on January 28, 2011. Following the closing of the Joint Venture Transaction, the Audit Committee of Comcast’s Board of Directors appointed Deloitte &amp; Touche LLP as our independent registered public accounting firm for the years ended December 31, 2012 and 2011. Set forth below are the fees paid or accrued for the services of Deloitte &amp; Touche LLP, the member firms of Deloitte Touche Tohmatsu and their respective affiliates in 2012.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9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2011</w:t>
            </w:r>
          </w:p>
        </w:tc>
      </w:tr>
      <w:tr>
        <w:trPr>
          <w:trHeight w:val="199"/>
        </w:trPr>
        <w:tc>
          <w:tcPr>
            <w:tcW w:w="5740" w:type="dxa"/>
            <w:vAlign w:val="bottom"/>
          </w:tcPr>
          <w:p>
            <w:pPr>
              <w:spacing w:after="0" w:line="200" w:lineRule="exact"/>
              <w:rPr>
                <w:sz w:val="20"/>
                <w:szCs w:val="20"/>
                <w:color w:val="auto"/>
              </w:rPr>
            </w:pPr>
            <w:r>
              <w:rPr>
                <w:rFonts w:ascii="Arial" w:cs="Arial" w:eastAsia="Arial" w:hAnsi="Arial"/>
                <w:sz w:val="18"/>
                <w:szCs w:val="18"/>
                <w:color w:val="auto"/>
              </w:rPr>
              <w:t>Audit fees</w:t>
            </w:r>
          </w:p>
        </w:tc>
        <w:tc>
          <w:tcPr>
            <w:tcW w:w="4920" w:type="dxa"/>
            <w:vAlign w:val="bottom"/>
          </w:tcPr>
          <w:p>
            <w:pPr>
              <w:jc w:val="right"/>
              <w:ind w:right="96"/>
              <w:spacing w:after="0" w:line="200" w:lineRule="exact"/>
              <w:rPr>
                <w:sz w:val="20"/>
                <w:szCs w:val="20"/>
                <w:color w:val="auto"/>
              </w:rPr>
            </w:pPr>
            <w:r>
              <w:rPr>
                <w:rFonts w:ascii="Arial" w:cs="Arial" w:eastAsia="Arial" w:hAnsi="Arial"/>
                <w:sz w:val="18"/>
                <w:szCs w:val="18"/>
                <w:color w:val="auto"/>
              </w:rPr>
              <w:t>$ 8.4</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9.1</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49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0.4</w:t>
            </w:r>
          </w:p>
        </w:tc>
        <w:tc>
          <w:tcPr>
            <w:tcW w:w="28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0.7</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49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0.6</w:t>
            </w:r>
          </w:p>
        </w:tc>
        <w:tc>
          <w:tcPr>
            <w:tcW w:w="28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0.4</w:t>
            </w:r>
          </w:p>
        </w:tc>
      </w:tr>
      <w:tr>
        <w:trPr>
          <w:trHeight w:val="199"/>
        </w:trPr>
        <w:tc>
          <w:tcPr>
            <w:tcW w:w="5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All other fees</w:t>
            </w:r>
          </w:p>
        </w:tc>
        <w:tc>
          <w:tcPr>
            <w:tcW w:w="4920" w:type="dxa"/>
            <w:vAlign w:val="bottom"/>
            <w:tcBorders>
              <w:bottom w:val="single" w:sz="8" w:color="auto"/>
            </w:tcBorders>
          </w:tcPr>
          <w:p>
            <w:pPr>
              <w:jc w:val="right"/>
              <w:ind w:right="96"/>
              <w:spacing w:after="0" w:line="200" w:lineRule="exact"/>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0.5</w:t>
            </w:r>
          </w:p>
        </w:tc>
      </w:tr>
      <w:tr>
        <w:trPr>
          <w:trHeight w:val="196"/>
        </w:trPr>
        <w:tc>
          <w:tcPr>
            <w:tcW w:w="5740" w:type="dxa"/>
            <w:vAlign w:val="bottom"/>
            <w:tcBorders>
              <w:bottom w:val="single" w:sz="8" w:color="53439A"/>
            </w:tcBorders>
          </w:tcPr>
          <w:p>
            <w:pPr>
              <w:spacing w:after="0"/>
              <w:rPr>
                <w:sz w:val="17"/>
                <w:szCs w:val="17"/>
                <w:color w:val="auto"/>
              </w:rPr>
            </w:pPr>
          </w:p>
        </w:tc>
        <w:tc>
          <w:tcPr>
            <w:tcW w:w="4920" w:type="dxa"/>
            <w:vAlign w:val="bottom"/>
            <w:tcBorders>
              <w:bottom w:val="single" w:sz="8" w:color="53439A"/>
            </w:tcBorders>
          </w:tcPr>
          <w:p>
            <w:pPr>
              <w:jc w:val="right"/>
              <w:ind w:right="96"/>
              <w:spacing w:after="0" w:line="196" w:lineRule="exact"/>
              <w:rPr>
                <w:sz w:val="20"/>
                <w:szCs w:val="20"/>
                <w:color w:val="auto"/>
              </w:rPr>
            </w:pPr>
            <w:r>
              <w:rPr>
                <w:rFonts w:ascii="Arial" w:cs="Arial" w:eastAsia="Arial" w:hAnsi="Arial"/>
                <w:sz w:val="18"/>
                <w:szCs w:val="18"/>
                <w:color w:val="auto"/>
              </w:rPr>
              <w:t>$ 9.5</w:t>
            </w:r>
          </w:p>
        </w:tc>
        <w:tc>
          <w:tcPr>
            <w:tcW w:w="2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3439A"/>
            </w:tcBorders>
          </w:tcPr>
          <w:p>
            <w:pPr>
              <w:jc w:val="right"/>
              <w:ind w:right="16"/>
              <w:spacing w:after="0" w:line="196" w:lineRule="exact"/>
              <w:rPr>
                <w:sz w:val="20"/>
                <w:szCs w:val="20"/>
                <w:color w:val="auto"/>
              </w:rPr>
            </w:pPr>
            <w:r>
              <w:rPr>
                <w:rFonts w:ascii="Arial" w:cs="Arial" w:eastAsia="Arial" w:hAnsi="Arial"/>
                <w:sz w:val="18"/>
                <w:szCs w:val="18"/>
                <w:color w:val="auto"/>
              </w:rPr>
              <w:t>10.7</w:t>
            </w:r>
          </w:p>
        </w:tc>
      </w:tr>
    </w:tbl>
    <w:p>
      <w:pPr>
        <w:spacing w:after="0" w:line="16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reviews of our quarterly financial statements and audit services provided in connection with other statutory or regulatory filings.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Audit-related fees in 2012 consisted primarily of fees paid or accrued for audits associated with our employee benefit plans. Audit-related fees in 2011 consisted primarily of fees paid or accrued for audits associated with the Joint Venture transaction.</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Tax fees in 2012 and 2011 consisted of fees paid or accrued for domestic and foreign tax compliance services, including tax examination assistance. In 2012, tax compliance services included an analysis of our tax accounting methods.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Other fees in 2012 and 2011 consisted of fees paid or accrued for various consulting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consolidated subsidiary of Comcast, we are subject to Comcast’s Audit Committee’s policies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326"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89</w:t>
      </w:r>
      <w:r>
        <w:rPr>
          <w:sz w:val="20"/>
          <w:szCs w:val="20"/>
          <w:color w:val="auto"/>
        </w:rPr>
        <w:tab/>
      </w:r>
      <w:r>
        <w:rPr>
          <w:rFonts w:ascii="Arial" w:cs="Arial" w:eastAsia="Arial" w:hAnsi="Arial"/>
          <w:sz w:val="14"/>
          <w:szCs w:val="14"/>
          <w:color w:val="auto"/>
        </w:rPr>
        <w:t>NBCUniversal 2012 Annual Report on Form 10-K</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IV</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53439A"/>
        </w:rPr>
        <w:t>Item 15: Exhibits and Financial Statement Schedules</w:t>
      </w:r>
    </w:p>
    <w:p>
      <w:pPr>
        <w:spacing w:after="0" w:line="123" w:lineRule="exact"/>
        <w:rPr>
          <w:sz w:val="20"/>
          <w:szCs w:val="20"/>
          <w:color w:val="auto"/>
        </w:rPr>
      </w:pPr>
    </w:p>
    <w:p>
      <w:pPr>
        <w:jc w:val="both"/>
        <w:ind w:firstLine="8"/>
        <w:spacing w:after="0" w:line="23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consolidated financial statements are filed as a part of this report on Form 10-K in Item 8, Financial Statements and Supplementary Data, and a list of the consolidated financial statements are found on page 46 of this report. Schedule II – Valuation and Qualifying Accounts is found on page 95 of this report; all other financial statement schedules are omitted because the required information is not applicable, or because the information required is included in the consolidated financial statements and notes thereto.</w:t>
      </w:r>
    </w:p>
    <w:p>
      <w:pPr>
        <w:spacing w:after="0" w:line="19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600" w:type="dxa"/>
            <w:vAlign w:val="bottom"/>
          </w:tcPr>
          <w:p>
            <w:pPr>
              <w:jc w:val="right"/>
              <w:ind w:right="272"/>
              <w:spacing w:after="0"/>
              <w:rPr>
                <w:sz w:val="20"/>
                <w:szCs w:val="20"/>
                <w:color w:val="auto"/>
              </w:rPr>
            </w:pPr>
            <w:r>
              <w:rPr>
                <w:rFonts w:ascii="Arial" w:cs="Arial" w:eastAsia="Arial" w:hAnsi="Arial"/>
                <w:sz w:val="18"/>
                <w:szCs w:val="18"/>
                <w:color w:val="auto"/>
                <w:w w:val="87"/>
              </w:rPr>
              <w:t>3.1</w:t>
            </w:r>
          </w:p>
        </w:tc>
        <w:tc>
          <w:tcPr>
            <w:tcW w:w="10720" w:type="dxa"/>
            <w:vAlign w:val="bottom"/>
          </w:tcPr>
          <w:p>
            <w:pPr>
              <w:ind w:left="340"/>
              <w:spacing w:after="0"/>
              <w:rPr>
                <w:sz w:val="20"/>
                <w:szCs w:val="20"/>
                <w:color w:val="auto"/>
              </w:rPr>
            </w:pPr>
            <w:r>
              <w:rPr>
                <w:rFonts w:ascii="Arial" w:cs="Arial" w:eastAsia="Arial" w:hAnsi="Arial"/>
                <w:sz w:val="18"/>
                <w:szCs w:val="18"/>
                <w:color w:val="auto"/>
                <w:w w:val="97"/>
              </w:rPr>
              <w:t>Certificate of Formation of NBCUniversal Media, LLC (incorporated by reference to Exhibit 3.1 to the Registration Statement on Form</w:t>
            </w:r>
          </w:p>
        </w:tc>
      </w:tr>
      <w:tr>
        <w:trPr>
          <w:trHeight w:val="203"/>
        </w:trPr>
        <w:tc>
          <w:tcPr>
            <w:tcW w:w="600" w:type="dxa"/>
            <w:vAlign w:val="bottom"/>
          </w:tcPr>
          <w:p>
            <w:pPr>
              <w:spacing w:after="0"/>
              <w:rPr>
                <w:sz w:val="17"/>
                <w:szCs w:val="17"/>
                <w:color w:val="auto"/>
              </w:rPr>
            </w:pPr>
          </w:p>
        </w:tc>
        <w:tc>
          <w:tcPr>
            <w:tcW w:w="10720" w:type="dxa"/>
            <w:vAlign w:val="bottom"/>
          </w:tcPr>
          <w:p>
            <w:pPr>
              <w:ind w:left="340"/>
              <w:spacing w:after="0" w:line="202" w:lineRule="exact"/>
              <w:rPr>
                <w:sz w:val="20"/>
                <w:szCs w:val="20"/>
                <w:color w:val="auto"/>
              </w:rPr>
            </w:pPr>
            <w:r>
              <w:rPr>
                <w:rFonts w:ascii="Arial" w:cs="Arial" w:eastAsia="Arial" w:hAnsi="Arial"/>
                <w:sz w:val="18"/>
                <w:szCs w:val="18"/>
                <w:color w:val="auto"/>
              </w:rPr>
              <w:t>S-4 of NBCUniversal Media, LLC filed on May 13, 2011).</w:t>
            </w:r>
          </w:p>
        </w:tc>
      </w:tr>
      <w:tr>
        <w:trPr>
          <w:trHeight w:val="203"/>
        </w:trPr>
        <w:tc>
          <w:tcPr>
            <w:tcW w:w="60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87"/>
              </w:rPr>
              <w:t>3.2</w:t>
            </w:r>
          </w:p>
        </w:tc>
        <w:tc>
          <w:tcPr>
            <w:tcW w:w="10720" w:type="dxa"/>
            <w:vAlign w:val="bottom"/>
          </w:tcPr>
          <w:p>
            <w:pPr>
              <w:ind w:left="340"/>
              <w:spacing w:after="0" w:line="202" w:lineRule="exact"/>
              <w:rPr>
                <w:sz w:val="20"/>
                <w:szCs w:val="20"/>
                <w:color w:val="auto"/>
              </w:rPr>
            </w:pPr>
            <w:r>
              <w:rPr>
                <w:rFonts w:ascii="Arial" w:cs="Arial" w:eastAsia="Arial" w:hAnsi="Arial"/>
                <w:sz w:val="18"/>
                <w:szCs w:val="18"/>
                <w:color w:val="auto"/>
              </w:rPr>
              <w:t>Certificate of Amendment to Certificate of Formation of NBCUniversal Media, LLC (incorporated by reference to Exhibit 3.2 to the</w:t>
            </w:r>
          </w:p>
        </w:tc>
      </w:tr>
      <w:tr>
        <w:trPr>
          <w:trHeight w:val="203"/>
        </w:trPr>
        <w:tc>
          <w:tcPr>
            <w:tcW w:w="600" w:type="dxa"/>
            <w:vAlign w:val="bottom"/>
          </w:tcPr>
          <w:p>
            <w:pPr>
              <w:spacing w:after="0"/>
              <w:rPr>
                <w:sz w:val="17"/>
                <w:szCs w:val="17"/>
                <w:color w:val="auto"/>
              </w:rPr>
            </w:pPr>
          </w:p>
        </w:tc>
        <w:tc>
          <w:tcPr>
            <w:tcW w:w="10720" w:type="dxa"/>
            <w:vAlign w:val="bottom"/>
          </w:tcPr>
          <w:p>
            <w:pPr>
              <w:ind w:left="340"/>
              <w:spacing w:after="0" w:line="202" w:lineRule="exact"/>
              <w:rPr>
                <w:sz w:val="20"/>
                <w:szCs w:val="20"/>
                <w:color w:val="auto"/>
              </w:rPr>
            </w:pPr>
            <w:r>
              <w:rPr>
                <w:rFonts w:ascii="Arial" w:cs="Arial" w:eastAsia="Arial" w:hAnsi="Arial"/>
                <w:sz w:val="18"/>
                <w:szCs w:val="18"/>
                <w:color w:val="auto"/>
              </w:rPr>
              <w:t>Registration Statement on Form S-4 of NBCUniversal Media, LLC filed on May 13, 2011).</w:t>
            </w:r>
          </w:p>
        </w:tc>
      </w:tr>
      <w:tr>
        <w:trPr>
          <w:trHeight w:val="203"/>
        </w:trPr>
        <w:tc>
          <w:tcPr>
            <w:tcW w:w="60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87"/>
              </w:rPr>
              <w:t>3.3</w:t>
            </w:r>
          </w:p>
        </w:tc>
        <w:tc>
          <w:tcPr>
            <w:tcW w:w="10720" w:type="dxa"/>
            <w:vAlign w:val="bottom"/>
          </w:tcPr>
          <w:p>
            <w:pPr>
              <w:ind w:left="340"/>
              <w:spacing w:after="0" w:line="202" w:lineRule="exact"/>
              <w:rPr>
                <w:sz w:val="20"/>
                <w:szCs w:val="20"/>
                <w:color w:val="auto"/>
              </w:rPr>
            </w:pPr>
            <w:r>
              <w:rPr>
                <w:rFonts w:ascii="Arial" w:cs="Arial" w:eastAsia="Arial" w:hAnsi="Arial"/>
                <w:sz w:val="18"/>
                <w:szCs w:val="18"/>
                <w:color w:val="auto"/>
                <w:w w:val="98"/>
              </w:rPr>
              <w:t>Limited Liability Company Agreement of NBCUniversal Media, LLC (incorporated by reference to Exhibit 3.2 to Amendment No. 2 to</w:t>
            </w:r>
          </w:p>
        </w:tc>
      </w:tr>
      <w:tr>
        <w:trPr>
          <w:trHeight w:val="203"/>
        </w:trPr>
        <w:tc>
          <w:tcPr>
            <w:tcW w:w="600" w:type="dxa"/>
            <w:vAlign w:val="bottom"/>
          </w:tcPr>
          <w:p>
            <w:pPr>
              <w:spacing w:after="0"/>
              <w:rPr>
                <w:sz w:val="17"/>
                <w:szCs w:val="17"/>
                <w:color w:val="auto"/>
              </w:rPr>
            </w:pPr>
          </w:p>
        </w:tc>
        <w:tc>
          <w:tcPr>
            <w:tcW w:w="10720" w:type="dxa"/>
            <w:vAlign w:val="bottom"/>
          </w:tcPr>
          <w:p>
            <w:pPr>
              <w:ind w:left="340"/>
              <w:spacing w:after="0" w:line="202" w:lineRule="exact"/>
              <w:rPr>
                <w:sz w:val="20"/>
                <w:szCs w:val="20"/>
                <w:color w:val="auto"/>
              </w:rPr>
            </w:pPr>
            <w:r>
              <w:rPr>
                <w:rFonts w:ascii="Arial" w:cs="Arial" w:eastAsia="Arial" w:hAnsi="Arial"/>
                <w:sz w:val="18"/>
                <w:szCs w:val="18"/>
                <w:color w:val="auto"/>
              </w:rPr>
              <w:t>the Registration Statement on Form S-4 of NBCUniversal Media, LLC filed on July 12, 2011).</w:t>
            </w:r>
          </w:p>
        </w:tc>
      </w:tr>
    </w:tbl>
    <w:p>
      <w:pPr>
        <w:jc w:val="both"/>
        <w:ind w:left="1040" w:hanging="934"/>
        <w:spacing w:after="0" w:line="264"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Indenture, dated as of April 30, 2010 between NBC Universal, Inc. (n/k/a NBCUniversal Media, LLC) and The Bank of New York Mellon, as Trustee (incorporated by reference to Exhibit 4.1 to the Registration Statement on Form S-4 of NBCUniversal Media, LLC</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4660" w:type="dxa"/>
            <w:vAlign w:val="bottom"/>
          </w:tcPr>
          <w:p>
            <w:pPr>
              <w:ind w:left="300"/>
              <w:spacing w:after="0" w:line="203" w:lineRule="exact"/>
              <w:rPr>
                <w:sz w:val="20"/>
                <w:szCs w:val="20"/>
                <w:color w:val="auto"/>
              </w:rPr>
            </w:pPr>
            <w:r>
              <w:rPr>
                <w:rFonts w:ascii="Arial" w:cs="Arial" w:eastAsia="Arial" w:hAnsi="Arial"/>
                <w:sz w:val="18"/>
                <w:szCs w:val="18"/>
                <w:color w:val="auto"/>
              </w:rPr>
              <w:t>filed on May 13, 2011).</w:t>
            </w:r>
          </w:p>
        </w:tc>
        <w:tc>
          <w:tcPr>
            <w:tcW w:w="6020" w:type="dxa"/>
            <w:vAlign w:val="bottom"/>
          </w:tcPr>
          <w:p>
            <w:pPr>
              <w:spacing w:after="0"/>
              <w:rPr>
                <w:sz w:val="17"/>
                <w:szCs w:val="17"/>
                <w:color w:val="auto"/>
              </w:rPr>
            </w:pP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10.1</w:t>
            </w: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Master Agreement, dated as of December 3, 2009, among General Electric Company, NBC Universal, Inc. (n/k/a NBCUniversal</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Media, LLC), Comcast Corporation and Navy, LLC (n/k/a NBCUniversal, LLC) (incorporated by reference to Exhibit 2.1 to the Current</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Report on Form 8-K of Comcast Corporation filed on December 4, 2009).</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10.2</w:t>
            </w: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Amendment No. 1, dated as of January 28, 2011, to Master Agreement among General Electric Company, NBC Universal, Inc. (n/k/a</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NBCUniversal Media, LLC), Comcast Corporation and Navy, LLC (n/k/a NBCUniversal, LLC) (incorporated by reference to Exhibit</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10.49 to the Annual Report on Form 10-K of Comcast Corporation for the year ended December 31, 2010).</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10.3</w:t>
            </w: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Amended and Restated Limited Liability Company Agreement of Navy, LLC (n/k/a NBCUniversal, LLC), dated as of January 28, 2011</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(incorporated by reference to Exhibit 10.50 to the Annual Report on Form 10-K of Comcast Corporation for the year ended December</w:t>
            </w:r>
          </w:p>
        </w:tc>
      </w:tr>
      <w:tr>
        <w:trPr>
          <w:trHeight w:val="203"/>
        </w:trPr>
        <w:tc>
          <w:tcPr>
            <w:tcW w:w="740" w:type="dxa"/>
            <w:vAlign w:val="bottom"/>
          </w:tcPr>
          <w:p>
            <w:pPr>
              <w:spacing w:after="0"/>
              <w:rPr>
                <w:sz w:val="17"/>
                <w:szCs w:val="17"/>
                <w:color w:val="auto"/>
              </w:rPr>
            </w:pPr>
          </w:p>
        </w:tc>
        <w:tc>
          <w:tcPr>
            <w:tcW w:w="4660" w:type="dxa"/>
            <w:vAlign w:val="bottom"/>
          </w:tcPr>
          <w:p>
            <w:pPr>
              <w:ind w:left="300"/>
              <w:spacing w:after="0" w:line="202" w:lineRule="exact"/>
              <w:rPr>
                <w:sz w:val="20"/>
                <w:szCs w:val="20"/>
                <w:color w:val="auto"/>
              </w:rPr>
            </w:pPr>
            <w:r>
              <w:rPr>
                <w:rFonts w:ascii="Arial" w:cs="Arial" w:eastAsia="Arial" w:hAnsi="Arial"/>
                <w:sz w:val="18"/>
                <w:szCs w:val="18"/>
                <w:color w:val="auto"/>
              </w:rPr>
              <w:t>31, 2010).</w:t>
            </w:r>
          </w:p>
        </w:tc>
        <w:tc>
          <w:tcPr>
            <w:tcW w:w="6020" w:type="dxa"/>
            <w:vAlign w:val="bottom"/>
          </w:tcPr>
          <w:p>
            <w:pPr>
              <w:spacing w:after="0"/>
              <w:rPr>
                <w:sz w:val="17"/>
                <w:szCs w:val="17"/>
                <w:color w:val="auto"/>
              </w:rPr>
            </w:pP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Transition Services Agreement, dated as of January 28, 2011, between General Electric Company and Navy, LLC (n/k/a</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NBCUniversal, LLC) (incorporated by reference to Exhibit 10.4 to Amendment No. 2 to the Registration Statement on Form S-4 of</w:t>
            </w:r>
          </w:p>
        </w:tc>
      </w:tr>
      <w:tr>
        <w:trPr>
          <w:trHeight w:val="203"/>
        </w:trPr>
        <w:tc>
          <w:tcPr>
            <w:tcW w:w="740" w:type="dxa"/>
            <w:vAlign w:val="bottom"/>
          </w:tcPr>
          <w:p>
            <w:pPr>
              <w:spacing w:after="0"/>
              <w:rPr>
                <w:sz w:val="17"/>
                <w:szCs w:val="17"/>
                <w:color w:val="auto"/>
              </w:rPr>
            </w:pPr>
          </w:p>
        </w:tc>
        <w:tc>
          <w:tcPr>
            <w:tcW w:w="4660" w:type="dxa"/>
            <w:vAlign w:val="bottom"/>
          </w:tcPr>
          <w:p>
            <w:pPr>
              <w:ind w:left="300"/>
              <w:spacing w:after="0" w:line="202" w:lineRule="exact"/>
              <w:rPr>
                <w:sz w:val="20"/>
                <w:szCs w:val="20"/>
                <w:color w:val="auto"/>
              </w:rPr>
            </w:pPr>
            <w:r>
              <w:rPr>
                <w:rFonts w:ascii="Arial" w:cs="Arial" w:eastAsia="Arial" w:hAnsi="Arial"/>
                <w:sz w:val="18"/>
                <w:szCs w:val="18"/>
                <w:color w:val="auto"/>
              </w:rPr>
              <w:t>NBCUniversal Media, LLC filed on July 12, 2011).</w:t>
            </w:r>
          </w:p>
        </w:tc>
        <w:tc>
          <w:tcPr>
            <w:tcW w:w="6020" w:type="dxa"/>
            <w:vAlign w:val="bottom"/>
          </w:tcPr>
          <w:p>
            <w:pPr>
              <w:spacing w:after="0"/>
              <w:rPr>
                <w:sz w:val="17"/>
                <w:szCs w:val="17"/>
                <w:color w:val="auto"/>
              </w:rPr>
            </w:pP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w:t>
            </w: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Comcast Services Agreement, dated as of January 28, 2011, between Comcast Corporation and Navy, LLC (n/k/a NBCUniversal,</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LLC) (incorporated by reference to Exhibit 10.5 to Amendment No. 2 to the Registration Statement on Form S-4 of NBCUniversal</w:t>
            </w:r>
          </w:p>
        </w:tc>
      </w:tr>
      <w:tr>
        <w:trPr>
          <w:trHeight w:val="203"/>
        </w:trPr>
        <w:tc>
          <w:tcPr>
            <w:tcW w:w="740" w:type="dxa"/>
            <w:vAlign w:val="bottom"/>
          </w:tcPr>
          <w:p>
            <w:pPr>
              <w:spacing w:after="0"/>
              <w:rPr>
                <w:sz w:val="17"/>
                <w:szCs w:val="17"/>
                <w:color w:val="auto"/>
              </w:rPr>
            </w:pPr>
          </w:p>
        </w:tc>
        <w:tc>
          <w:tcPr>
            <w:tcW w:w="4660" w:type="dxa"/>
            <w:vAlign w:val="bottom"/>
          </w:tcPr>
          <w:p>
            <w:pPr>
              <w:ind w:left="300"/>
              <w:spacing w:after="0" w:line="202" w:lineRule="exact"/>
              <w:rPr>
                <w:sz w:val="20"/>
                <w:szCs w:val="20"/>
                <w:color w:val="auto"/>
              </w:rPr>
            </w:pPr>
            <w:r>
              <w:rPr>
                <w:rFonts w:ascii="Arial" w:cs="Arial" w:eastAsia="Arial" w:hAnsi="Arial"/>
                <w:sz w:val="18"/>
                <w:szCs w:val="18"/>
                <w:color w:val="auto"/>
              </w:rPr>
              <w:t>Media, LLC filed on July 12, 2011).</w:t>
            </w:r>
          </w:p>
        </w:tc>
        <w:tc>
          <w:tcPr>
            <w:tcW w:w="6020" w:type="dxa"/>
            <w:vAlign w:val="bottom"/>
          </w:tcPr>
          <w:p>
            <w:pPr>
              <w:spacing w:after="0"/>
              <w:rPr>
                <w:sz w:val="17"/>
                <w:szCs w:val="17"/>
                <w:color w:val="auto"/>
              </w:rPr>
            </w:pP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10.6†</w:t>
            </w: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GE Intellectual Property Cross License Agreement, dated as of January 28, 2011, between General Electric Company and Navy, LLC</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(n/k/a NBCUniversal, LLC) (incorporated by reference to Exhibit 10.6 to Amendment No. 2 to the Registration Statement on Form S-4</w:t>
            </w:r>
          </w:p>
        </w:tc>
      </w:tr>
      <w:tr>
        <w:trPr>
          <w:trHeight w:val="203"/>
        </w:trPr>
        <w:tc>
          <w:tcPr>
            <w:tcW w:w="740" w:type="dxa"/>
            <w:vAlign w:val="bottom"/>
          </w:tcPr>
          <w:p>
            <w:pPr>
              <w:spacing w:after="0"/>
              <w:rPr>
                <w:sz w:val="17"/>
                <w:szCs w:val="17"/>
                <w:color w:val="auto"/>
              </w:rPr>
            </w:pPr>
          </w:p>
        </w:tc>
        <w:tc>
          <w:tcPr>
            <w:tcW w:w="4660" w:type="dxa"/>
            <w:vAlign w:val="bottom"/>
          </w:tcPr>
          <w:p>
            <w:pPr>
              <w:ind w:left="300"/>
              <w:spacing w:after="0" w:line="202" w:lineRule="exact"/>
              <w:rPr>
                <w:sz w:val="20"/>
                <w:szCs w:val="20"/>
                <w:color w:val="auto"/>
              </w:rPr>
            </w:pPr>
            <w:r>
              <w:rPr>
                <w:rFonts w:ascii="Arial" w:cs="Arial" w:eastAsia="Arial" w:hAnsi="Arial"/>
                <w:sz w:val="18"/>
                <w:szCs w:val="18"/>
                <w:color w:val="auto"/>
              </w:rPr>
              <w:t>of NBCUniversal Media, LLC filed on July 12, 2011).</w:t>
            </w:r>
          </w:p>
        </w:tc>
        <w:tc>
          <w:tcPr>
            <w:tcW w:w="6020" w:type="dxa"/>
            <w:vAlign w:val="bottom"/>
          </w:tcPr>
          <w:p>
            <w:pPr>
              <w:spacing w:after="0"/>
              <w:rPr>
                <w:sz w:val="17"/>
                <w:szCs w:val="17"/>
                <w:color w:val="auto"/>
              </w:rPr>
            </w:pP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10.7†</w:t>
            </w: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Comcast Intellectual Property Cross License Agreement, dated as of January 28, 2011, between Comcast Corporation and Navy,</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LLC (n/k/a NBCUniversal, LLC) (incorporated by reference to Exhibit 10.7 to Amendment No. 2 to the Registration Statement on</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Form S-4 of NBCUniversal Media, LLC filed on July 12, 2011).</w:t>
            </w:r>
          </w:p>
        </w:tc>
      </w:tr>
      <w:tr>
        <w:trPr>
          <w:trHeight w:val="501"/>
        </w:trPr>
        <w:tc>
          <w:tcPr>
            <w:tcW w:w="5400" w:type="dxa"/>
            <w:vAlign w:val="bottom"/>
            <w:gridSpan w:val="2"/>
          </w:tcPr>
          <w:p>
            <w:pPr>
              <w:spacing w:after="0"/>
              <w:rPr>
                <w:sz w:val="20"/>
                <w:szCs w:val="20"/>
                <w:color w:val="auto"/>
              </w:rPr>
            </w:pPr>
            <w:r>
              <w:rPr>
                <w:rFonts w:ascii="Arial" w:cs="Arial" w:eastAsia="Arial" w:hAnsi="Arial"/>
                <w:sz w:val="14"/>
                <w:szCs w:val="14"/>
                <w:color w:val="auto"/>
              </w:rPr>
              <w:t>NBCUniversal 2012 Annual Report on Form 10-K</w:t>
            </w:r>
          </w:p>
        </w:tc>
        <w:tc>
          <w:tcPr>
            <w:tcW w:w="6020" w:type="dxa"/>
            <w:vAlign w:val="bottom"/>
          </w:tcPr>
          <w:p>
            <w:pPr>
              <w:jc w:val="right"/>
              <w:ind w:right="5512"/>
              <w:spacing w:after="0"/>
              <w:rPr>
                <w:sz w:val="20"/>
                <w:szCs w:val="20"/>
                <w:color w:val="auto"/>
              </w:rPr>
            </w:pPr>
            <w:r>
              <w:rPr>
                <w:rFonts w:ascii="Arial" w:cs="Arial" w:eastAsia="Arial" w:hAnsi="Arial"/>
                <w:sz w:val="14"/>
                <w:szCs w:val="14"/>
                <w:b w:val="1"/>
                <w:bCs w:val="1"/>
                <w:color w:val="auto"/>
              </w:rPr>
              <w:t>90</w:t>
            </w: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8"/>
              </w:rPr>
              <w:t>Three-Year Credit Agreement, among NBC Universal, Inc. (n/k/a NBCUniversal Media, LLC), the financial institutions party thereto</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and JPMorgan Chase Bank, N.A., as Administrative Agent and Issuing Lender, Goldman Sachs Credit Partners L.P. and Morgan</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Stanley Senior Funding, Inc., as Co-Syndication Agents, and Bank of America, N.A. and Citigroup Global Markets Inc., as Co-</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Documentation Agents, dated as of March 19, 2010 (incorporated by reference to Exhibit 10.1 to the Current Report on Form 8-K of</w:t>
            </w:r>
          </w:p>
        </w:tc>
      </w:tr>
      <w:tr>
        <w:trPr>
          <w:trHeight w:val="203"/>
        </w:trPr>
        <w:tc>
          <w:tcPr>
            <w:tcW w:w="860" w:type="dxa"/>
            <w:vAlign w:val="bottom"/>
          </w:tcPr>
          <w:p>
            <w:pPr>
              <w:spacing w:after="0"/>
              <w:rPr>
                <w:sz w:val="17"/>
                <w:szCs w:val="17"/>
                <w:color w:val="auto"/>
              </w:rPr>
            </w:pP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General Electric Company filed on March 25, 2010).</w:t>
            </w:r>
          </w:p>
        </w:tc>
        <w:tc>
          <w:tcPr>
            <w:tcW w:w="4160" w:type="dxa"/>
            <w:vAlign w:val="bottom"/>
          </w:tcPr>
          <w:p>
            <w:pPr>
              <w:spacing w:after="0"/>
              <w:rPr>
                <w:sz w:val="17"/>
                <w:szCs w:val="17"/>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10.9</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First Amendment to the Three-Year Credit Agreement, dated June 28, 2011, among NBCUniversal Media, LLC, the financial</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institutions party thereto and JPMorgan Chase Bank, N.A., as Administrative Agent and Issuing Lender, and the other agents and</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arrangers party thereto (incorporated by reference to Exhibit 10.10a to Amendment No. 2 to the Registration Statement on Form S-4</w:t>
            </w:r>
          </w:p>
        </w:tc>
      </w:tr>
      <w:tr>
        <w:trPr>
          <w:trHeight w:val="203"/>
        </w:trPr>
        <w:tc>
          <w:tcPr>
            <w:tcW w:w="860" w:type="dxa"/>
            <w:vAlign w:val="bottom"/>
          </w:tcPr>
          <w:p>
            <w:pPr>
              <w:spacing w:after="0"/>
              <w:rPr>
                <w:sz w:val="17"/>
                <w:szCs w:val="17"/>
                <w:color w:val="auto"/>
              </w:rPr>
            </w:pP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of NBCUniversal Media, LLC filed on July 12, 2011).</w:t>
            </w:r>
          </w:p>
        </w:tc>
        <w:tc>
          <w:tcPr>
            <w:tcW w:w="4160" w:type="dxa"/>
            <w:vAlign w:val="bottom"/>
          </w:tcPr>
          <w:p>
            <w:pPr>
              <w:spacing w:after="0"/>
              <w:rPr>
                <w:sz w:val="17"/>
                <w:szCs w:val="17"/>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10.10†</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NBCUniversal Division Receivables Purchase Agreement, among each seller from time to time party thereto, NBCUniversal Media,</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LLC, as Seller Agent, and General Electric Capital Corporation, as the Purchaser, dated February 1, 2011 (incorporated by</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reference to Exhibit 10.11 to Amendment No. 2 to the Registration Statement on Form S-4 of NBCUniversal Media, LLC filed on</w:t>
            </w:r>
          </w:p>
        </w:tc>
      </w:tr>
      <w:tr>
        <w:trPr>
          <w:trHeight w:val="203"/>
        </w:trPr>
        <w:tc>
          <w:tcPr>
            <w:tcW w:w="860" w:type="dxa"/>
            <w:vAlign w:val="bottom"/>
          </w:tcPr>
          <w:p>
            <w:pPr>
              <w:spacing w:after="0"/>
              <w:rPr>
                <w:sz w:val="17"/>
                <w:szCs w:val="17"/>
                <w:color w:val="auto"/>
              </w:rPr>
            </w:pP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July 12, 2011).</w:t>
            </w:r>
          </w:p>
        </w:tc>
        <w:tc>
          <w:tcPr>
            <w:tcW w:w="4160" w:type="dxa"/>
            <w:vAlign w:val="bottom"/>
          </w:tcPr>
          <w:p>
            <w:pPr>
              <w:spacing w:after="0"/>
              <w:rPr>
                <w:sz w:val="17"/>
                <w:szCs w:val="17"/>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10.11</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Performance Undertaking by NBCUniversal Media, LLC, as Guarantor, in favor of General Electric Capital Corporation, dated</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February 1, 2011 (incorporated by reference to Exhibit 10.12 to the Registration Statement on Form S-4 of NBCUniversal Media,</w:t>
            </w:r>
          </w:p>
        </w:tc>
      </w:tr>
      <w:tr>
        <w:trPr>
          <w:trHeight w:val="203"/>
        </w:trPr>
        <w:tc>
          <w:tcPr>
            <w:tcW w:w="860" w:type="dxa"/>
            <w:vAlign w:val="bottom"/>
          </w:tcPr>
          <w:p>
            <w:pPr>
              <w:spacing w:after="0"/>
              <w:rPr>
                <w:sz w:val="17"/>
                <w:szCs w:val="17"/>
                <w:color w:val="auto"/>
              </w:rPr>
            </w:pP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LLC filed on May 13, 2011).</w:t>
            </w:r>
          </w:p>
        </w:tc>
        <w:tc>
          <w:tcPr>
            <w:tcW w:w="4160" w:type="dxa"/>
            <w:vAlign w:val="bottom"/>
          </w:tcPr>
          <w:p>
            <w:pPr>
              <w:spacing w:after="0"/>
              <w:rPr>
                <w:sz w:val="17"/>
                <w:szCs w:val="17"/>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10.12</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Receivables Acquisition Agreement among NBCUniversal Media, LLC; NBCUniversal Receivables Funding LLC; Gotham Funding</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Corporation, Victory Receivables Corporation, Market Street Funding LLC and Working Capital Management Co., L.P., as Conduits;</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PNC Bank, National Association, and Mizuho Corporate Bank, Ltd., as Investor Agents and Banks; and The Bank Of Tokyo-</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Mitsubishi UFJ, Ltd., New York Branch, as Investor Agent, Program Agent and Bank, dated as of December 5, 2011 (incorporated</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by reference to Exhibit 10.12 to our Annual Report on Form 10-K for the year ended December 31, 2011).</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10.13†</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Second Amended and Restated NBC Lease Agreement (30 Rockefeller Plaza) dated January 27, 2011 between NBC Trust No.</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1996A and NBC Universal, Inc. (n/k/a NBCUniversal Media, LLC) (incorporated by reference to Exhibit 10.16 to Amendment No. 2</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to the Registration Statement on Form S-4 of NBCUniversal Media, LLC filed on July 12, 2011).</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10.14†</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Consultant Agreement, dated as of January 20, 1987, between Steven Spielberg and Universal City Florida Partners (incorporated</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by reference to Exhibit 10.49 to the Registration Statement on Form S-4 of Universal City Development Partners, Ltd. and UCDP</w:t>
            </w:r>
          </w:p>
        </w:tc>
      </w:tr>
      <w:tr>
        <w:trPr>
          <w:trHeight w:val="203"/>
        </w:trPr>
        <w:tc>
          <w:tcPr>
            <w:tcW w:w="860" w:type="dxa"/>
            <w:vAlign w:val="bottom"/>
          </w:tcPr>
          <w:p>
            <w:pPr>
              <w:spacing w:after="0"/>
              <w:rPr>
                <w:sz w:val="17"/>
                <w:szCs w:val="17"/>
                <w:color w:val="auto"/>
              </w:rPr>
            </w:pP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Finance, Inc. filed on January 20, 2010 (File No. 333-164431)).</w:t>
            </w:r>
          </w:p>
        </w:tc>
        <w:tc>
          <w:tcPr>
            <w:tcW w:w="4160" w:type="dxa"/>
            <w:vAlign w:val="bottom"/>
          </w:tcPr>
          <w:p>
            <w:pPr>
              <w:spacing w:after="0"/>
              <w:rPr>
                <w:sz w:val="17"/>
                <w:szCs w:val="17"/>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10.15</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Amendment dated February 5, 2001 to the Consultant Agreement dated as of January 20, 1987, between the Consultant and</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Universal City Florida Partners (incorporated by reference to Exhibit 10.50 to the Registration Statement on Form S-4 of Universal</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10.16†</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Amendment to the Consultant Agreement, dated as of October 18, 2009, between Steven Spielberg, Diamond Lane Productions,</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Inc. and Universal City Development Partners, Ltd. (incorporated by reference to Exhibit 10.52 to the Registration Statement on</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Form S-4 of Universal City Development Partners, Ltd. and UCDP Finance, Inc. filed on January 20, 2010 (File No. 333-164431)).</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10.17†</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Letter Agreement dated July 15, 2003, among Diamond Lane Productions, Vivendi Universal Entertainment LLLP and Universal City</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Development Partners, Ltd. (incorporated by reference to Exhibit 10.51 to the Registration Statement on Form S-4 of Universal City</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10.18*</w:t>
            </w: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NBCUniversal Deferred Compensation Plan (incorporated by reference to Exhibit 10.1 to the Quarterly Report on Form 10-Q of</w:t>
            </w:r>
          </w:p>
        </w:tc>
      </w:tr>
      <w:tr>
        <w:trPr>
          <w:trHeight w:val="203"/>
        </w:trPr>
        <w:tc>
          <w:tcPr>
            <w:tcW w:w="860" w:type="dxa"/>
            <w:vAlign w:val="bottom"/>
          </w:tcPr>
          <w:p>
            <w:pPr>
              <w:spacing w:after="0"/>
              <w:rPr>
                <w:sz w:val="17"/>
                <w:szCs w:val="17"/>
                <w:color w:val="auto"/>
              </w:rPr>
            </w:pPr>
          </w:p>
        </w:tc>
        <w:tc>
          <w:tcPr>
            <w:tcW w:w="6400" w:type="dxa"/>
            <w:vAlign w:val="bottom"/>
          </w:tcPr>
          <w:p>
            <w:pPr>
              <w:ind w:left="300"/>
              <w:spacing w:after="0" w:line="202" w:lineRule="exact"/>
              <w:rPr>
                <w:sz w:val="20"/>
                <w:szCs w:val="20"/>
                <w:color w:val="auto"/>
              </w:rPr>
            </w:pPr>
            <w:r>
              <w:rPr>
                <w:rFonts w:ascii="Arial" w:cs="Arial" w:eastAsia="Arial" w:hAnsi="Arial"/>
                <w:sz w:val="18"/>
                <w:szCs w:val="18"/>
                <w:color w:val="auto"/>
              </w:rPr>
              <w:t>NBCUniversal Media, LLC filed on October 26, 2012).</w:t>
            </w:r>
          </w:p>
        </w:tc>
        <w:tc>
          <w:tcPr>
            <w:tcW w:w="4160" w:type="dxa"/>
            <w:vAlign w:val="bottom"/>
          </w:tcPr>
          <w:p>
            <w:pPr>
              <w:spacing w:after="0"/>
              <w:rPr>
                <w:sz w:val="17"/>
                <w:szCs w:val="17"/>
                <w:color w:val="auto"/>
              </w:rPr>
            </w:pPr>
          </w:p>
        </w:tc>
      </w:tr>
      <w:tr>
        <w:trPr>
          <w:trHeight w:val="211"/>
        </w:trPr>
        <w:tc>
          <w:tcPr>
            <w:tcW w:w="860" w:type="dxa"/>
            <w:vAlign w:val="bottom"/>
          </w:tcPr>
          <w:p>
            <w:pPr>
              <w:spacing w:after="0"/>
              <w:rPr>
                <w:sz w:val="20"/>
                <w:szCs w:val="20"/>
                <w:color w:val="auto"/>
              </w:rPr>
            </w:pPr>
            <w:r>
              <w:rPr>
                <w:rFonts w:ascii="Arial" w:cs="Arial" w:eastAsia="Arial" w:hAnsi="Arial"/>
                <w:sz w:val="18"/>
                <w:szCs w:val="18"/>
                <w:color w:val="auto"/>
              </w:rPr>
              <w:t>21</w:t>
            </w:r>
          </w:p>
        </w:tc>
        <w:tc>
          <w:tcPr>
            <w:tcW w:w="6400" w:type="dxa"/>
            <w:vAlign w:val="bottom"/>
          </w:tcPr>
          <w:p>
            <w:pPr>
              <w:ind w:left="300"/>
              <w:spacing w:after="0"/>
              <w:rPr>
                <w:sz w:val="20"/>
                <w:szCs w:val="20"/>
                <w:color w:val="auto"/>
              </w:rPr>
            </w:pPr>
            <w:r>
              <w:rPr>
                <w:rFonts w:ascii="Arial" w:cs="Arial" w:eastAsia="Arial" w:hAnsi="Arial"/>
                <w:sz w:val="18"/>
                <w:szCs w:val="18"/>
                <w:color w:val="auto"/>
              </w:rPr>
              <w:t>List of subsidiaries.</w:t>
            </w:r>
          </w:p>
        </w:tc>
        <w:tc>
          <w:tcPr>
            <w:tcW w:w="4160" w:type="dxa"/>
            <w:vAlign w:val="bottom"/>
          </w:tcPr>
          <w:p>
            <w:pPr>
              <w:spacing w:after="0"/>
              <w:rPr>
                <w:sz w:val="18"/>
                <w:szCs w:val="18"/>
                <w:color w:val="auto"/>
              </w:rPr>
            </w:pPr>
          </w:p>
        </w:tc>
      </w:tr>
      <w:tr>
        <w:trPr>
          <w:trHeight w:val="501"/>
        </w:trPr>
        <w:tc>
          <w:tcPr>
            <w:tcW w:w="860" w:type="dxa"/>
            <w:vAlign w:val="bottom"/>
          </w:tcPr>
          <w:p>
            <w:pPr>
              <w:spacing w:after="0"/>
              <w:rPr>
                <w:sz w:val="24"/>
                <w:szCs w:val="24"/>
                <w:color w:val="auto"/>
              </w:rPr>
            </w:pPr>
          </w:p>
        </w:tc>
        <w:tc>
          <w:tcPr>
            <w:tcW w:w="6400" w:type="dxa"/>
            <w:vAlign w:val="bottom"/>
          </w:tcPr>
          <w:p>
            <w:pPr>
              <w:ind w:left="4820"/>
              <w:spacing w:after="0"/>
              <w:rPr>
                <w:sz w:val="20"/>
                <w:szCs w:val="20"/>
                <w:color w:val="auto"/>
              </w:rPr>
            </w:pPr>
            <w:r>
              <w:rPr>
                <w:rFonts w:ascii="Arial" w:cs="Arial" w:eastAsia="Arial" w:hAnsi="Arial"/>
                <w:sz w:val="14"/>
                <w:szCs w:val="14"/>
                <w:b w:val="1"/>
                <w:bCs w:val="1"/>
                <w:color w:val="auto"/>
              </w:rPr>
              <w:t>91</w:t>
            </w:r>
          </w:p>
        </w:tc>
        <w:tc>
          <w:tcPr>
            <w:tcW w:w="4160" w:type="dxa"/>
            <w:vAlign w:val="bottom"/>
          </w:tcPr>
          <w:p>
            <w:pPr>
              <w:ind w:left="1220"/>
              <w:spacing w:after="0"/>
              <w:rPr>
                <w:sz w:val="20"/>
                <w:szCs w:val="20"/>
                <w:color w:val="auto"/>
              </w:rPr>
            </w:pPr>
            <w:r>
              <w:rPr>
                <w:rFonts w:ascii="Arial" w:cs="Arial" w:eastAsia="Arial" w:hAnsi="Arial"/>
                <w:sz w:val="14"/>
                <w:szCs w:val="14"/>
                <w:color w:val="auto"/>
                <w:w w:val="95"/>
              </w:rPr>
              <w:t>NBCUniversal 2012 Annual Report on Form 10-K</w:t>
            </w: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ind w:left="100"/>
        <w:spacing w:after="0"/>
        <w:tabs>
          <w:tab w:leader="none" w:pos="10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w:t>
      </w:r>
    </w:p>
    <w:p>
      <w:pPr>
        <w:spacing w:after="0" w:line="1" w:lineRule="exact"/>
        <w:rPr>
          <w:sz w:val="20"/>
          <w:szCs w:val="20"/>
          <w:color w:val="auto"/>
        </w:rPr>
      </w:pPr>
    </w:p>
    <w:p>
      <w:pPr>
        <w:ind w:left="1040" w:hanging="934"/>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18" w:lineRule="exact"/>
        <w:rPr>
          <w:rFonts w:ascii="Arial" w:cs="Arial" w:eastAsia="Arial" w:hAnsi="Arial"/>
          <w:sz w:val="16"/>
          <w:szCs w:val="16"/>
          <w:color w:val="auto"/>
        </w:rPr>
      </w:pPr>
    </w:p>
    <w:p>
      <w:pPr>
        <w:ind w:left="1040" w:hanging="934"/>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19" w:lineRule="exact"/>
        <w:rPr>
          <w:sz w:val="20"/>
          <w:szCs w:val="20"/>
          <w:color w:val="auto"/>
        </w:rPr>
      </w:pPr>
    </w:p>
    <w:p>
      <w:pPr>
        <w:jc w:val="both"/>
        <w:ind w:left="1040" w:hanging="1032"/>
        <w:spacing w:after="0" w:line="236"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Annual Report on Form 10-K for the year ended December 31, 2012, filed with the Securities and Exchange Commission on February 20, 2013, formatted in XBRL (eXtensible Business Reporting Language): (i) the Consolidated Balance Sheet; (ii) the Consolidated Statement of Income; (iii) the Consolidated Statement of Comprehensive Income; (iv) the Consolidated Statement of Cash Flows; (v) the Consolidated Statement of Changes in Equity; and (vi)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Confidential treatment granted.</w:t>
      </w:r>
    </w:p>
    <w:p>
      <w:pPr>
        <w:spacing w:after="0" w:line="5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20, 2013.</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NBCUNIVERSAL MEDIA, LLC</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NBCUNIVERSAL, LLC, its sole member</w:t>
      </w:r>
    </w:p>
    <w:p>
      <w:pPr>
        <w:spacing w:after="0" w:line="198"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tab/>
        <w:t>/S/ S</w:t>
      </w:r>
      <w:r>
        <w:rPr>
          <w:rFonts w:ascii="Arial" w:cs="Arial" w:eastAsia="Arial" w:hAnsi="Arial"/>
          <w:sz w:val="14"/>
          <w:szCs w:val="14"/>
          <w:color w:val="auto"/>
        </w:rPr>
        <w:t>TEPHEN</w:t>
      </w:r>
      <w:r>
        <w:rPr>
          <w:rFonts w:ascii="Arial" w:cs="Arial" w:eastAsia="Arial" w:hAnsi="Arial"/>
          <w:sz w:val="18"/>
          <w:szCs w:val="18"/>
          <w:color w:val="auto"/>
        </w:rPr>
        <w:t xml:space="preserve"> B. B</w:t>
      </w:r>
      <w:r>
        <w:rPr>
          <w:rFonts w:ascii="Arial" w:cs="Arial" w:eastAsia="Arial" w:hAnsi="Arial"/>
          <w:sz w:val="14"/>
          <w:szCs w:val="14"/>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color w:val="auto"/>
        </w:rPr>
        <w:t>Name: Stephen B. Burke</w:t>
      </w:r>
    </w:p>
    <w:p>
      <w:pPr>
        <w:ind w:left="7280"/>
        <w:spacing w:after="0"/>
        <w:tabs>
          <w:tab w:leader="none" w:pos="7820" w:val="left"/>
        </w:tabs>
        <w:rPr>
          <w:sz w:val="20"/>
          <w:szCs w:val="20"/>
          <w:color w:val="auto"/>
        </w:rPr>
      </w:pPr>
      <w:r>
        <w:rPr>
          <w:rFonts w:ascii="Arial" w:cs="Arial" w:eastAsia="Arial" w:hAnsi="Arial"/>
          <w:sz w:val="18"/>
          <w:szCs w:val="18"/>
          <w:color w:val="auto"/>
        </w:rPr>
        <w:t>Title:</w:t>
        <w:tab/>
        <w:t>Chief Executive Officer</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20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19"/>
              <w:spacing w:after="0"/>
              <w:rPr>
                <w:sz w:val="20"/>
                <w:szCs w:val="20"/>
                <w:color w:val="auto"/>
              </w:rPr>
            </w:pPr>
            <w:r>
              <w:rPr>
                <w:rFonts w:ascii="Arial" w:cs="Arial" w:eastAsia="Arial" w:hAnsi="Arial"/>
                <w:sz w:val="14"/>
                <w:szCs w:val="14"/>
                <w:color w:val="auto"/>
                <w:w w:val="90"/>
              </w:rPr>
              <w:t>Title</w:t>
            </w:r>
          </w:p>
        </w:tc>
        <w:tc>
          <w:tcPr>
            <w:tcW w:w="1980" w:type="dxa"/>
            <w:vAlign w:val="bottom"/>
            <w:tcBorders>
              <w:bottom w:val="single" w:sz="8" w:color="auto"/>
            </w:tcBorders>
          </w:tcPr>
          <w:p>
            <w:pPr>
              <w:jc w:val="center"/>
              <w:ind w:left="276"/>
              <w:spacing w:after="0"/>
              <w:rPr>
                <w:sz w:val="20"/>
                <w:szCs w:val="20"/>
                <w:color w:val="auto"/>
              </w:rPr>
            </w:pPr>
            <w:r>
              <w:rPr>
                <w:rFonts w:ascii="Arial" w:cs="Arial" w:eastAsia="Arial" w:hAnsi="Arial"/>
                <w:sz w:val="14"/>
                <w:szCs w:val="14"/>
                <w:color w:val="auto"/>
              </w:rPr>
              <w:t>Date</w:t>
            </w:r>
          </w:p>
        </w:tc>
      </w:tr>
      <w:tr>
        <w:trPr>
          <w:trHeight w:val="399"/>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5560" w:type="dxa"/>
            <w:vAlign w:val="bottom"/>
            <w:gridSpan w:val="2"/>
          </w:tcPr>
          <w:p>
            <w:pPr>
              <w:jc w:val="center"/>
              <w:ind w:left="1076"/>
              <w:spacing w:after="0"/>
              <w:rPr>
                <w:sz w:val="20"/>
                <w:szCs w:val="20"/>
                <w:color w:val="auto"/>
              </w:rPr>
            </w:pPr>
            <w:r>
              <w:rPr>
                <w:rFonts w:ascii="Arial" w:cs="Arial" w:eastAsia="Arial" w:hAnsi="Arial"/>
                <w:sz w:val="18"/>
                <w:szCs w:val="18"/>
                <w:color w:val="auto"/>
                <w:w w:val="97"/>
              </w:rPr>
              <w:t>Principal Executive Officer of NBCUniversal</w:t>
            </w:r>
          </w:p>
        </w:tc>
        <w:tc>
          <w:tcPr>
            <w:tcW w:w="1980" w:type="dxa"/>
            <w:vAlign w:val="bottom"/>
          </w:tcPr>
          <w:p>
            <w:pPr>
              <w:jc w:val="center"/>
              <w:ind w:left="276"/>
              <w:spacing w:after="0"/>
              <w:rPr>
                <w:sz w:val="20"/>
                <w:szCs w:val="20"/>
                <w:color w:val="auto"/>
              </w:rPr>
            </w:pPr>
            <w:r>
              <w:rPr>
                <w:rFonts w:ascii="Arial" w:cs="Arial" w:eastAsia="Arial" w:hAnsi="Arial"/>
                <w:sz w:val="18"/>
                <w:szCs w:val="18"/>
                <w:color w:val="auto"/>
                <w:w w:val="96"/>
              </w:rPr>
              <w:t>February 20, 2013</w:t>
            </w:r>
          </w:p>
        </w:tc>
      </w:tr>
      <w:tr>
        <w:trPr>
          <w:trHeight w:val="208"/>
        </w:trPr>
        <w:tc>
          <w:tcPr>
            <w:tcW w:w="38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5560" w:type="dxa"/>
            <w:vAlign w:val="bottom"/>
            <w:gridSpan w:val="2"/>
          </w:tcPr>
          <w:p>
            <w:pPr>
              <w:jc w:val="center"/>
              <w:ind w:left="1076"/>
              <w:spacing w:after="0" w:line="195" w:lineRule="exact"/>
              <w:rPr>
                <w:sz w:val="20"/>
                <w:szCs w:val="20"/>
                <w:color w:val="auto"/>
              </w:rPr>
            </w:pPr>
            <w:r>
              <w:rPr>
                <w:rFonts w:ascii="Arial" w:cs="Arial" w:eastAsia="Arial" w:hAnsi="Arial"/>
                <w:sz w:val="18"/>
                <w:szCs w:val="18"/>
                <w:color w:val="auto"/>
                <w:w w:val="97"/>
              </w:rPr>
              <w:t>Media, LLC; Director of NBCUniversal, LLC</w:t>
            </w:r>
          </w:p>
        </w:tc>
        <w:tc>
          <w:tcPr>
            <w:tcW w:w="1980" w:type="dxa"/>
            <w:vAlign w:val="bottom"/>
          </w:tcPr>
          <w:p>
            <w:pPr>
              <w:spacing w:after="0"/>
              <w:rPr>
                <w:sz w:val="18"/>
                <w:szCs w:val="18"/>
                <w:color w:val="auto"/>
              </w:rPr>
            </w:pPr>
          </w:p>
        </w:tc>
      </w:tr>
      <w:tr>
        <w:trPr>
          <w:trHeight w:val="42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5560" w:type="dxa"/>
            <w:vAlign w:val="bottom"/>
            <w:gridSpan w:val="2"/>
          </w:tcPr>
          <w:p>
            <w:pPr>
              <w:jc w:val="center"/>
              <w:ind w:left="1076"/>
              <w:spacing w:after="0"/>
              <w:rPr>
                <w:sz w:val="20"/>
                <w:szCs w:val="20"/>
                <w:color w:val="auto"/>
              </w:rPr>
            </w:pPr>
            <w:r>
              <w:rPr>
                <w:rFonts w:ascii="Arial" w:cs="Arial" w:eastAsia="Arial" w:hAnsi="Arial"/>
                <w:sz w:val="18"/>
                <w:szCs w:val="18"/>
                <w:color w:val="auto"/>
                <w:w w:val="97"/>
              </w:rPr>
              <w:t>Principal Financial Officer of NBCUniversal</w:t>
            </w:r>
          </w:p>
        </w:tc>
        <w:tc>
          <w:tcPr>
            <w:tcW w:w="1980" w:type="dxa"/>
            <w:vAlign w:val="bottom"/>
          </w:tcPr>
          <w:p>
            <w:pPr>
              <w:jc w:val="center"/>
              <w:ind w:left="276"/>
              <w:spacing w:after="0"/>
              <w:rPr>
                <w:sz w:val="20"/>
                <w:szCs w:val="20"/>
                <w:color w:val="auto"/>
              </w:rPr>
            </w:pPr>
            <w:r>
              <w:rPr>
                <w:rFonts w:ascii="Arial" w:cs="Arial" w:eastAsia="Arial" w:hAnsi="Arial"/>
                <w:sz w:val="18"/>
                <w:szCs w:val="18"/>
                <w:color w:val="auto"/>
                <w:w w:val="96"/>
              </w:rPr>
              <w:t>February 20, 2013</w:t>
            </w:r>
          </w:p>
        </w:tc>
      </w:tr>
      <w:tr>
        <w:trPr>
          <w:trHeight w:val="208"/>
        </w:trPr>
        <w:tc>
          <w:tcPr>
            <w:tcW w:w="388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c>
          <w:tcPr>
            <w:tcW w:w="5560" w:type="dxa"/>
            <w:vAlign w:val="bottom"/>
            <w:gridSpan w:val="2"/>
          </w:tcPr>
          <w:p>
            <w:pPr>
              <w:jc w:val="center"/>
              <w:ind w:left="1076"/>
              <w:spacing w:after="0" w:line="195" w:lineRule="exact"/>
              <w:rPr>
                <w:sz w:val="20"/>
                <w:szCs w:val="20"/>
                <w:color w:val="auto"/>
              </w:rPr>
            </w:pPr>
            <w:r>
              <w:rPr>
                <w:rFonts w:ascii="Arial" w:cs="Arial" w:eastAsia="Arial" w:hAnsi="Arial"/>
                <w:sz w:val="18"/>
                <w:szCs w:val="18"/>
                <w:color w:val="auto"/>
                <w:w w:val="97"/>
              </w:rPr>
              <w:t>Media, LLC; Director of NBCUniversal, LLC</w:t>
            </w:r>
          </w:p>
        </w:tc>
        <w:tc>
          <w:tcPr>
            <w:tcW w:w="1980" w:type="dxa"/>
            <w:vAlign w:val="bottom"/>
          </w:tcPr>
          <w:p>
            <w:pPr>
              <w:spacing w:after="0"/>
              <w:rPr>
                <w:sz w:val="18"/>
                <w:szCs w:val="18"/>
                <w:color w:val="auto"/>
              </w:rPr>
            </w:pPr>
          </w:p>
        </w:tc>
      </w:tr>
      <w:tr>
        <w:trPr>
          <w:trHeight w:val="42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B. B</w:t>
            </w:r>
            <w:r>
              <w:rPr>
                <w:rFonts w:ascii="Arial" w:cs="Arial" w:eastAsia="Arial" w:hAnsi="Arial"/>
                <w:sz w:val="14"/>
                <w:szCs w:val="14"/>
                <w:color w:val="auto"/>
              </w:rPr>
              <w:t>URKE</w:t>
            </w:r>
          </w:p>
        </w:tc>
        <w:tc>
          <w:tcPr>
            <w:tcW w:w="2060" w:type="dxa"/>
            <w:vAlign w:val="bottom"/>
          </w:tcPr>
          <w:p>
            <w:pPr>
              <w:spacing w:after="0"/>
              <w:rPr>
                <w:sz w:val="24"/>
                <w:szCs w:val="24"/>
                <w:color w:val="auto"/>
              </w:rPr>
            </w:pPr>
          </w:p>
        </w:tc>
        <w:tc>
          <w:tcPr>
            <w:tcW w:w="3500" w:type="dxa"/>
            <w:vAlign w:val="bottom"/>
          </w:tcPr>
          <w:p>
            <w:pPr>
              <w:jc w:val="center"/>
              <w:ind w:right="819"/>
              <w:spacing w:after="0"/>
              <w:rPr>
                <w:sz w:val="20"/>
                <w:szCs w:val="20"/>
                <w:color w:val="auto"/>
              </w:rPr>
            </w:pPr>
            <w:r>
              <w:rPr>
                <w:rFonts w:ascii="Arial" w:cs="Arial" w:eastAsia="Arial" w:hAnsi="Arial"/>
                <w:sz w:val="18"/>
                <w:szCs w:val="18"/>
                <w:color w:val="auto"/>
                <w:w w:val="98"/>
              </w:rPr>
              <w:t>Director of NBCUniversal, LLC</w:t>
            </w:r>
          </w:p>
        </w:tc>
        <w:tc>
          <w:tcPr>
            <w:tcW w:w="1980" w:type="dxa"/>
            <w:vAlign w:val="bottom"/>
          </w:tcPr>
          <w:p>
            <w:pPr>
              <w:jc w:val="center"/>
              <w:ind w:left="276"/>
              <w:spacing w:after="0"/>
              <w:rPr>
                <w:sz w:val="20"/>
                <w:szCs w:val="20"/>
                <w:color w:val="auto"/>
              </w:rPr>
            </w:pPr>
            <w:r>
              <w:rPr>
                <w:rFonts w:ascii="Arial" w:cs="Arial" w:eastAsia="Arial" w:hAnsi="Arial"/>
                <w:sz w:val="18"/>
                <w:szCs w:val="18"/>
                <w:color w:val="auto"/>
                <w:w w:val="96"/>
              </w:rPr>
              <w:t>February 20, 2013</w:t>
            </w:r>
          </w:p>
        </w:tc>
      </w:tr>
      <w:tr>
        <w:trPr>
          <w:trHeight w:val="208"/>
        </w:trPr>
        <w:tc>
          <w:tcPr>
            <w:tcW w:w="3880" w:type="dxa"/>
            <w:vAlign w:val="bottom"/>
          </w:tcPr>
          <w:p>
            <w:pPr>
              <w:jc w:val="center"/>
              <w:spacing w:after="0"/>
              <w:rPr>
                <w:sz w:val="20"/>
                <w:szCs w:val="20"/>
                <w:color w:val="auto"/>
              </w:rPr>
            </w:pPr>
            <w:r>
              <w:rPr>
                <w:rFonts w:ascii="Arial" w:cs="Arial" w:eastAsia="Arial" w:hAnsi="Arial"/>
                <w:sz w:val="18"/>
                <w:szCs w:val="18"/>
                <w:color w:val="auto"/>
                <w:w w:val="97"/>
              </w:rPr>
              <w:t>Stephen B. Burke</w:t>
            </w:r>
          </w:p>
        </w:tc>
        <w:tc>
          <w:tcPr>
            <w:tcW w:w="20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21"/>
        </w:trPr>
        <w:tc>
          <w:tcPr>
            <w:tcW w:w="388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3500" w:type="dxa"/>
            <w:vAlign w:val="bottom"/>
          </w:tcPr>
          <w:p>
            <w:pPr>
              <w:jc w:val="center"/>
              <w:ind w:right="819"/>
              <w:spacing w:after="0"/>
              <w:rPr>
                <w:sz w:val="20"/>
                <w:szCs w:val="20"/>
                <w:color w:val="auto"/>
              </w:rPr>
            </w:pPr>
            <w:r>
              <w:rPr>
                <w:rFonts w:ascii="Arial" w:cs="Arial" w:eastAsia="Arial" w:hAnsi="Arial"/>
                <w:sz w:val="18"/>
                <w:szCs w:val="18"/>
                <w:color w:val="auto"/>
                <w:w w:val="98"/>
              </w:rPr>
              <w:t>Director of NBCUniversal, LLC</w:t>
            </w:r>
          </w:p>
        </w:tc>
        <w:tc>
          <w:tcPr>
            <w:tcW w:w="1980" w:type="dxa"/>
            <w:vAlign w:val="bottom"/>
          </w:tcPr>
          <w:p>
            <w:pPr>
              <w:spacing w:after="0"/>
              <w:rPr>
                <w:sz w:val="24"/>
                <w:szCs w:val="24"/>
                <w:color w:val="auto"/>
              </w:rPr>
            </w:pPr>
          </w:p>
        </w:tc>
      </w:tr>
      <w:tr>
        <w:trPr>
          <w:trHeight w:val="208"/>
        </w:trPr>
        <w:tc>
          <w:tcPr>
            <w:tcW w:w="3880" w:type="dxa"/>
            <w:vAlign w:val="bottom"/>
          </w:tcPr>
          <w:p>
            <w:pPr>
              <w:jc w:val="center"/>
              <w:spacing w:after="0"/>
              <w:rPr>
                <w:sz w:val="20"/>
                <w:szCs w:val="20"/>
                <w:color w:val="auto"/>
              </w:rPr>
            </w:pPr>
            <w:r>
              <w:rPr>
                <w:rFonts w:ascii="Arial" w:cs="Arial" w:eastAsia="Arial" w:hAnsi="Arial"/>
                <w:sz w:val="18"/>
                <w:szCs w:val="18"/>
                <w:color w:val="auto"/>
                <w:w w:val="97"/>
              </w:rPr>
              <w:t>Jeffrey R. Immelt</w:t>
            </w:r>
          </w:p>
        </w:tc>
        <w:tc>
          <w:tcPr>
            <w:tcW w:w="20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2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EITH</w:t>
            </w:r>
            <w:r>
              <w:rPr>
                <w:rFonts w:ascii="Arial" w:cs="Arial" w:eastAsia="Arial" w:hAnsi="Arial"/>
                <w:sz w:val="18"/>
                <w:szCs w:val="18"/>
                <w:color w:val="auto"/>
              </w:rPr>
              <w:t xml:space="preserve"> S. S</w:t>
            </w:r>
            <w:r>
              <w:rPr>
                <w:rFonts w:ascii="Arial" w:cs="Arial" w:eastAsia="Arial" w:hAnsi="Arial"/>
                <w:sz w:val="14"/>
                <w:szCs w:val="14"/>
                <w:color w:val="auto"/>
              </w:rPr>
              <w:t>HERIN</w:t>
            </w:r>
          </w:p>
        </w:tc>
        <w:tc>
          <w:tcPr>
            <w:tcW w:w="2060" w:type="dxa"/>
            <w:vAlign w:val="bottom"/>
          </w:tcPr>
          <w:p>
            <w:pPr>
              <w:spacing w:after="0"/>
              <w:rPr>
                <w:sz w:val="24"/>
                <w:szCs w:val="24"/>
                <w:color w:val="auto"/>
              </w:rPr>
            </w:pPr>
          </w:p>
        </w:tc>
        <w:tc>
          <w:tcPr>
            <w:tcW w:w="3500" w:type="dxa"/>
            <w:vAlign w:val="bottom"/>
          </w:tcPr>
          <w:p>
            <w:pPr>
              <w:jc w:val="center"/>
              <w:ind w:right="819"/>
              <w:spacing w:after="0"/>
              <w:rPr>
                <w:sz w:val="20"/>
                <w:szCs w:val="20"/>
                <w:color w:val="auto"/>
              </w:rPr>
            </w:pPr>
            <w:r>
              <w:rPr>
                <w:rFonts w:ascii="Arial" w:cs="Arial" w:eastAsia="Arial" w:hAnsi="Arial"/>
                <w:sz w:val="18"/>
                <w:szCs w:val="18"/>
                <w:color w:val="auto"/>
                <w:w w:val="98"/>
              </w:rPr>
              <w:t>Director of NBCUniversal, LLC</w:t>
            </w:r>
          </w:p>
        </w:tc>
        <w:tc>
          <w:tcPr>
            <w:tcW w:w="1980" w:type="dxa"/>
            <w:vAlign w:val="bottom"/>
          </w:tcPr>
          <w:p>
            <w:pPr>
              <w:jc w:val="center"/>
              <w:ind w:left="276"/>
              <w:spacing w:after="0"/>
              <w:rPr>
                <w:sz w:val="20"/>
                <w:szCs w:val="20"/>
                <w:color w:val="auto"/>
              </w:rPr>
            </w:pPr>
            <w:r>
              <w:rPr>
                <w:rFonts w:ascii="Arial" w:cs="Arial" w:eastAsia="Arial" w:hAnsi="Arial"/>
                <w:sz w:val="18"/>
                <w:szCs w:val="18"/>
                <w:color w:val="auto"/>
                <w:w w:val="96"/>
              </w:rPr>
              <w:t>February 20, 2013</w:t>
            </w:r>
          </w:p>
        </w:tc>
      </w:tr>
      <w:tr>
        <w:trPr>
          <w:trHeight w:val="208"/>
        </w:trPr>
        <w:tc>
          <w:tcPr>
            <w:tcW w:w="3880" w:type="dxa"/>
            <w:vAlign w:val="bottom"/>
          </w:tcPr>
          <w:p>
            <w:pPr>
              <w:jc w:val="center"/>
              <w:spacing w:after="0"/>
              <w:rPr>
                <w:sz w:val="20"/>
                <w:szCs w:val="20"/>
                <w:color w:val="auto"/>
              </w:rPr>
            </w:pPr>
            <w:r>
              <w:rPr>
                <w:rFonts w:ascii="Arial" w:cs="Arial" w:eastAsia="Arial" w:hAnsi="Arial"/>
                <w:sz w:val="18"/>
                <w:szCs w:val="18"/>
                <w:color w:val="auto"/>
                <w:w w:val="98"/>
              </w:rPr>
              <w:t>Keith S. Sherin</w:t>
            </w:r>
          </w:p>
        </w:tc>
        <w:tc>
          <w:tcPr>
            <w:tcW w:w="20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2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5560" w:type="dxa"/>
            <w:vAlign w:val="bottom"/>
            <w:gridSpan w:val="2"/>
          </w:tcPr>
          <w:p>
            <w:pPr>
              <w:jc w:val="center"/>
              <w:ind w:left="1076"/>
              <w:spacing w:after="0"/>
              <w:rPr>
                <w:sz w:val="20"/>
                <w:szCs w:val="20"/>
                <w:color w:val="auto"/>
              </w:rPr>
            </w:pPr>
            <w:r>
              <w:rPr>
                <w:rFonts w:ascii="Arial" w:cs="Arial" w:eastAsia="Arial" w:hAnsi="Arial"/>
                <w:sz w:val="18"/>
                <w:szCs w:val="18"/>
                <w:color w:val="auto"/>
                <w:w w:val="96"/>
              </w:rPr>
              <w:t>Principal Accounting Officer of NBCUniversal</w:t>
            </w:r>
          </w:p>
        </w:tc>
        <w:tc>
          <w:tcPr>
            <w:tcW w:w="1980" w:type="dxa"/>
            <w:vAlign w:val="bottom"/>
          </w:tcPr>
          <w:p>
            <w:pPr>
              <w:jc w:val="center"/>
              <w:ind w:left="276"/>
              <w:spacing w:after="0"/>
              <w:rPr>
                <w:sz w:val="20"/>
                <w:szCs w:val="20"/>
                <w:color w:val="auto"/>
              </w:rPr>
            </w:pPr>
            <w:r>
              <w:rPr>
                <w:rFonts w:ascii="Arial" w:cs="Arial" w:eastAsia="Arial" w:hAnsi="Arial"/>
                <w:sz w:val="18"/>
                <w:szCs w:val="18"/>
                <w:color w:val="auto"/>
                <w:w w:val="96"/>
              </w:rPr>
              <w:t>February 20, 2013</w:t>
            </w:r>
          </w:p>
        </w:tc>
      </w:tr>
      <w:tr>
        <w:trPr>
          <w:trHeight w:val="208"/>
        </w:trPr>
        <w:tc>
          <w:tcPr>
            <w:tcW w:w="3880" w:type="dxa"/>
            <w:vAlign w:val="bottom"/>
          </w:tcPr>
          <w:p>
            <w:pPr>
              <w:jc w:val="center"/>
              <w:spacing w:after="0"/>
              <w:rPr>
                <w:sz w:val="20"/>
                <w:szCs w:val="20"/>
                <w:color w:val="auto"/>
              </w:rPr>
            </w:pPr>
            <w:r>
              <w:rPr>
                <w:rFonts w:ascii="Arial" w:cs="Arial" w:eastAsia="Arial" w:hAnsi="Arial"/>
                <w:sz w:val="18"/>
                <w:szCs w:val="18"/>
                <w:color w:val="auto"/>
                <w:w w:val="97"/>
              </w:rPr>
              <w:t>Lawrence J. Salva</w:t>
            </w:r>
          </w:p>
        </w:tc>
        <w:tc>
          <w:tcPr>
            <w:tcW w:w="2060" w:type="dxa"/>
            <w:vAlign w:val="bottom"/>
          </w:tcPr>
          <w:p>
            <w:pPr>
              <w:spacing w:after="0"/>
              <w:rPr>
                <w:sz w:val="18"/>
                <w:szCs w:val="18"/>
                <w:color w:val="auto"/>
              </w:rPr>
            </w:pPr>
          </w:p>
        </w:tc>
        <w:tc>
          <w:tcPr>
            <w:tcW w:w="3500" w:type="dxa"/>
            <w:vAlign w:val="bottom"/>
          </w:tcPr>
          <w:p>
            <w:pPr>
              <w:jc w:val="center"/>
              <w:ind w:right="819"/>
              <w:spacing w:after="0" w:line="195" w:lineRule="exact"/>
              <w:rPr>
                <w:sz w:val="20"/>
                <w:szCs w:val="20"/>
                <w:color w:val="auto"/>
              </w:rPr>
            </w:pPr>
            <w:r>
              <w:rPr>
                <w:rFonts w:ascii="Arial" w:cs="Arial" w:eastAsia="Arial" w:hAnsi="Arial"/>
                <w:sz w:val="18"/>
                <w:szCs w:val="18"/>
                <w:color w:val="auto"/>
                <w:w w:val="95"/>
              </w:rPr>
              <w:t>Media, LLC</w:t>
            </w:r>
          </w:p>
        </w:tc>
        <w:tc>
          <w:tcPr>
            <w:tcW w:w="1980" w:type="dxa"/>
            <w:vAlign w:val="bottom"/>
          </w:tcPr>
          <w:p>
            <w:pPr>
              <w:spacing w:after="0"/>
              <w:rPr>
                <w:sz w:val="18"/>
                <w:szCs w:val="18"/>
                <w:color w:val="auto"/>
              </w:rPr>
            </w:pPr>
          </w:p>
        </w:tc>
      </w:tr>
      <w:tr>
        <w:trPr>
          <w:trHeight w:val="515"/>
        </w:trPr>
        <w:tc>
          <w:tcPr>
            <w:tcW w:w="3880" w:type="dxa"/>
            <w:vAlign w:val="bottom"/>
          </w:tcPr>
          <w:p>
            <w:pPr>
              <w:spacing w:after="0"/>
              <w:rPr>
                <w:sz w:val="24"/>
                <w:szCs w:val="24"/>
                <w:color w:val="auto"/>
              </w:rPr>
            </w:pPr>
          </w:p>
        </w:tc>
        <w:tc>
          <w:tcPr>
            <w:tcW w:w="2060" w:type="dxa"/>
            <w:vAlign w:val="bottom"/>
          </w:tcPr>
          <w:p>
            <w:pPr>
              <w:jc w:val="right"/>
              <w:ind w:right="16"/>
              <w:spacing w:after="0"/>
              <w:rPr>
                <w:sz w:val="20"/>
                <w:szCs w:val="20"/>
                <w:color w:val="auto"/>
              </w:rPr>
            </w:pPr>
            <w:r>
              <w:rPr>
                <w:rFonts w:ascii="Arial" w:cs="Arial" w:eastAsia="Arial" w:hAnsi="Arial"/>
                <w:sz w:val="14"/>
                <w:szCs w:val="14"/>
                <w:b w:val="1"/>
                <w:bCs w:val="1"/>
                <w:color w:val="auto"/>
              </w:rPr>
              <w:t>93</w:t>
            </w:r>
          </w:p>
        </w:tc>
        <w:tc>
          <w:tcPr>
            <w:tcW w:w="5480" w:type="dxa"/>
            <w:vAlign w:val="bottom"/>
            <w:gridSpan w:val="2"/>
          </w:tcPr>
          <w:p>
            <w:pPr>
              <w:ind w:left="2540"/>
              <w:spacing w:after="0"/>
              <w:rPr>
                <w:sz w:val="20"/>
                <w:szCs w:val="20"/>
                <w:color w:val="auto"/>
              </w:rPr>
            </w:pPr>
            <w:r>
              <w:rPr>
                <w:rFonts w:ascii="Arial" w:cs="Arial" w:eastAsia="Arial" w:hAnsi="Arial"/>
                <w:sz w:val="14"/>
                <w:szCs w:val="14"/>
                <w:color w:val="auto"/>
                <w:w w:val="95"/>
              </w:rPr>
              <w:t>NBCUniversal 2012 Annual Report on Form 10-K</w:t>
            </w: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To the Member of NBCUniversal Media, LLC</w:t>
      </w:r>
    </w:p>
    <w:p>
      <w:pPr>
        <w:spacing w:after="0"/>
        <w:rPr>
          <w:sz w:val="20"/>
          <w:szCs w:val="20"/>
          <w:color w:val="auto"/>
        </w:rPr>
      </w:pPr>
      <w:r>
        <w:rPr>
          <w:rFonts w:ascii="Arial" w:cs="Arial" w:eastAsia="Arial" w:hAnsi="Arial"/>
          <w:sz w:val="18"/>
          <w:szCs w:val="18"/>
          <w:color w:val="auto"/>
        </w:rPr>
        <w:t>New York, New York</w:t>
      </w:r>
    </w:p>
    <w:p>
      <w:pPr>
        <w:spacing w:after="0" w:line="1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audited the consolidated balance sheets of NBCUniversal Media, LLC and subsidiaries (the “Company”) as of December 31, 2012 and 2011 (successor), the related consolidated statements of income, comprehensive income, cash flows and changes in equity for the year ended December 31, 2012 and the period from January 29, 2011 to December 31, 2011 (successor), and the consolidated statements of income, comprehensive income, cash flows and changes in equity of NBC Universal, Inc. and subsidiaries (the “Predecessor Company”) for the period from January 1, 2011 to January 28, 2011 (predecessor), and have issued our report thereon dated February 20, 2013 (which report expresses an unqualified opinion and includes an explanatory paragraph referring to General Electric Company’s transaction with Comcast Corporation on January 28, 2011); such financial statements and report are included elsewhere in this Form 10-K. Our audits also included the financial statement schedule of the Company listed in Item 15 for the periods ended December 31, 2012 and 2011 (successor) and the period ended January 28, 2011 (predecessor). This financial statement schedule is the responsibility of the Company’s management. Our responsibility is to express an opinion based on our audits.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2012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94</w:t>
            </w: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NBCUniversal Media, LLC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100" w:type="dxa"/>
            <w:vAlign w:val="bottom"/>
            <w:gridSpan w:val="2"/>
          </w:tcPr>
          <w:p>
            <w:pPr>
              <w:ind w:left="1760"/>
              <w:spacing w:after="0"/>
              <w:rPr>
                <w:sz w:val="20"/>
                <w:szCs w:val="20"/>
                <w:color w:val="auto"/>
              </w:rPr>
            </w:pPr>
            <w:r>
              <w:rPr>
                <w:rFonts w:ascii="Arial" w:cs="Arial" w:eastAsia="Arial" w:hAnsi="Arial"/>
                <w:sz w:val="14"/>
                <w:szCs w:val="14"/>
                <w:color w:val="auto"/>
              </w:rPr>
              <w:t>Balance at beginning</w:t>
            </w:r>
          </w:p>
        </w:tc>
        <w:tc>
          <w:tcPr>
            <w:tcW w:w="1380" w:type="dxa"/>
            <w:vAlign w:val="bottom"/>
            <w:gridSpan w:val="2"/>
          </w:tcPr>
          <w:p>
            <w:pPr>
              <w:ind w:left="80"/>
              <w:spacing w:after="0"/>
              <w:rPr>
                <w:sz w:val="20"/>
                <w:szCs w:val="20"/>
                <w:color w:val="auto"/>
              </w:rPr>
            </w:pPr>
            <w:r>
              <w:rPr>
                <w:rFonts w:ascii="Arial" w:cs="Arial" w:eastAsia="Arial" w:hAnsi="Arial"/>
                <w:sz w:val="14"/>
                <w:szCs w:val="14"/>
                <w:color w:val="auto"/>
              </w:rPr>
              <w:t>Additions charged to</w:t>
            </w:r>
          </w:p>
        </w:tc>
        <w:tc>
          <w:tcPr>
            <w:tcW w:w="1120" w:type="dxa"/>
            <w:vAlign w:val="bottom"/>
            <w:gridSpan w:val="2"/>
          </w:tcPr>
          <w:p>
            <w:pPr>
              <w:ind w:left="80"/>
              <w:spacing w:after="0"/>
              <w:rPr>
                <w:sz w:val="20"/>
                <w:szCs w:val="20"/>
                <w:color w:val="auto"/>
              </w:rPr>
            </w:pPr>
            <w:r>
              <w:rPr>
                <w:rFonts w:ascii="Arial" w:cs="Arial" w:eastAsia="Arial" w:hAnsi="Arial"/>
                <w:sz w:val="14"/>
                <w:szCs w:val="14"/>
                <w:color w:val="auto"/>
              </w:rPr>
              <w:t>Deductions from</w:t>
            </w:r>
          </w:p>
        </w:tc>
        <w:tc>
          <w:tcPr>
            <w:tcW w:w="1180" w:type="dxa"/>
            <w:vAlign w:val="bottom"/>
            <w:gridSpan w:val="2"/>
          </w:tcPr>
          <w:p>
            <w:pPr>
              <w:ind w:left="80"/>
              <w:spacing w:after="0"/>
              <w:rPr>
                <w:sz w:val="20"/>
                <w:szCs w:val="20"/>
                <w:color w:val="auto"/>
              </w:rPr>
            </w:pPr>
            <w:r>
              <w:rPr>
                <w:rFonts w:ascii="Arial" w:cs="Arial" w:eastAsia="Arial" w:hAnsi="Arial"/>
                <w:sz w:val="14"/>
                <w:szCs w:val="14"/>
                <w:color w:val="auto"/>
                <w:w w:val="99"/>
              </w:rPr>
              <w:t>Balance at end of</w:t>
            </w:r>
          </w:p>
        </w:tc>
      </w:tr>
      <w:tr>
        <w:trPr>
          <w:trHeight w:val="149"/>
        </w:trPr>
        <w:tc>
          <w:tcPr>
            <w:tcW w:w="46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of period</w:t>
            </w:r>
          </w:p>
        </w:tc>
        <w:tc>
          <w:tcPr>
            <w:tcW w:w="138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costs and expenses</w:t>
            </w: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reserves</w:t>
            </w: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period</w:t>
            </w:r>
          </w:p>
        </w:tc>
      </w:tr>
      <w:tr>
        <w:trPr>
          <w:trHeight w:val="177"/>
        </w:trPr>
        <w:tc>
          <w:tcPr>
            <w:tcW w:w="4640" w:type="dxa"/>
            <w:vAlign w:val="bottom"/>
          </w:tcPr>
          <w:p>
            <w:pPr>
              <w:spacing w:after="0" w:line="177" w:lineRule="exact"/>
              <w:rPr>
                <w:sz w:val="20"/>
                <w:szCs w:val="20"/>
                <w:color w:val="auto"/>
              </w:rPr>
            </w:pPr>
            <w:r>
              <w:rPr>
                <w:rFonts w:ascii="Arial" w:cs="Arial" w:eastAsia="Arial" w:hAnsi="Arial"/>
                <w:sz w:val="18"/>
                <w:szCs w:val="18"/>
                <w:b w:val="1"/>
                <w:bCs w:val="1"/>
                <w:color w:val="auto"/>
              </w:rPr>
              <w:t>Successor</w:t>
            </w:r>
          </w:p>
        </w:tc>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b w:val="1"/>
                <w:bCs w:val="1"/>
                <w:color w:val="auto"/>
              </w:rPr>
              <w:t>Period ended December 31, 2012</w:t>
            </w:r>
          </w:p>
        </w:tc>
        <w:tc>
          <w:tcPr>
            <w:tcW w:w="2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180" w:type="dxa"/>
            <w:vAlign w:val="bottom"/>
          </w:tcPr>
          <w:p>
            <w:pPr>
              <w:ind w:left="17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181"/>
        </w:trPr>
        <w:tc>
          <w:tcPr>
            <w:tcW w:w="4640" w:type="dxa"/>
            <w:vAlign w:val="bottom"/>
          </w:tcPr>
          <w:p>
            <w:pPr>
              <w:spacing w:after="0" w:line="181" w:lineRule="exact"/>
              <w:rPr>
                <w:sz w:val="20"/>
                <w:szCs w:val="20"/>
                <w:color w:val="auto"/>
              </w:rPr>
            </w:pPr>
            <w:r>
              <w:rPr>
                <w:rFonts w:ascii="Arial" w:cs="Arial" w:eastAsia="Arial" w:hAnsi="Arial"/>
                <w:sz w:val="18"/>
                <w:szCs w:val="18"/>
                <w:color w:val="auto"/>
              </w:rPr>
              <w:t>Allowance for returns and customer incentives</w:t>
            </w:r>
          </w:p>
        </w:tc>
        <w:tc>
          <w:tcPr>
            <w:tcW w:w="2180" w:type="dxa"/>
            <w:vAlign w:val="bottom"/>
          </w:tcPr>
          <w:p>
            <w:pPr>
              <w:ind w:left="1760"/>
              <w:spacing w:after="0" w:line="18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425</w:t>
            </w:r>
          </w:p>
        </w:tc>
        <w:tc>
          <w:tcPr>
            <w:tcW w:w="4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599</w:t>
            </w:r>
          </w:p>
        </w:tc>
        <w:tc>
          <w:tcPr>
            <w:tcW w:w="3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717</w:t>
            </w:r>
          </w:p>
        </w:tc>
        <w:tc>
          <w:tcPr>
            <w:tcW w:w="4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307</w:t>
            </w:r>
          </w:p>
        </w:tc>
      </w:tr>
      <w:tr>
        <w:trPr>
          <w:trHeight w:val="225"/>
        </w:trPr>
        <w:tc>
          <w:tcPr>
            <w:tcW w:w="4640" w:type="dxa"/>
            <w:vAlign w:val="bottom"/>
          </w:tcPr>
          <w:p>
            <w:pPr>
              <w:spacing w:after="0"/>
              <w:rPr>
                <w:sz w:val="20"/>
                <w:szCs w:val="20"/>
                <w:color w:val="auto"/>
              </w:rPr>
            </w:pPr>
            <w:r>
              <w:rPr>
                <w:rFonts w:ascii="Arial" w:cs="Arial" w:eastAsia="Arial" w:hAnsi="Arial"/>
                <w:sz w:val="18"/>
                <w:szCs w:val="18"/>
                <w:b w:val="1"/>
                <w:bCs w:val="1"/>
                <w:color w:val="auto"/>
              </w:rPr>
              <w:t>Period ended December 31, 2011</w:t>
            </w:r>
          </w:p>
        </w:tc>
        <w:tc>
          <w:tcPr>
            <w:tcW w:w="2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180" w:type="dxa"/>
            <w:vAlign w:val="bottom"/>
          </w:tcPr>
          <w:p>
            <w:pPr>
              <w:ind w:left="17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11"/>
        </w:trPr>
        <w:tc>
          <w:tcPr>
            <w:tcW w:w="4640" w:type="dxa"/>
            <w:vAlign w:val="bottom"/>
          </w:tcPr>
          <w:p>
            <w:pPr>
              <w:spacing w:after="0"/>
              <w:rPr>
                <w:sz w:val="20"/>
                <w:szCs w:val="20"/>
                <w:color w:val="auto"/>
              </w:rPr>
            </w:pPr>
            <w:r>
              <w:rPr>
                <w:rFonts w:ascii="Arial" w:cs="Arial" w:eastAsia="Arial" w:hAnsi="Arial"/>
                <w:sz w:val="18"/>
                <w:szCs w:val="18"/>
                <w:color w:val="auto"/>
              </w:rPr>
              <w:t>Allowance for returns and customer incentives</w:t>
            </w:r>
          </w:p>
        </w:tc>
        <w:tc>
          <w:tcPr>
            <w:tcW w:w="2180" w:type="dxa"/>
            <w:vAlign w:val="bottom"/>
          </w:tcPr>
          <w:p>
            <w:pPr>
              <w:ind w:left="17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388"/>
        </w:trPr>
        <w:tc>
          <w:tcPr>
            <w:tcW w:w="4640" w:type="dxa"/>
            <w:vAlign w:val="bottom"/>
          </w:tcPr>
          <w:p>
            <w:pPr>
              <w:spacing w:after="0"/>
              <w:rPr>
                <w:sz w:val="20"/>
                <w:szCs w:val="20"/>
                <w:color w:val="auto"/>
              </w:rPr>
            </w:pPr>
            <w:r>
              <w:rPr>
                <w:rFonts w:ascii="Arial" w:cs="Arial" w:eastAsia="Arial" w:hAnsi="Arial"/>
                <w:sz w:val="18"/>
                <w:szCs w:val="18"/>
                <w:b w:val="1"/>
                <w:bCs w:val="1"/>
                <w:color w:val="auto"/>
              </w:rPr>
              <w:t>Predecessor</w:t>
            </w: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b w:val="1"/>
                <w:bCs w:val="1"/>
                <w:color w:val="auto"/>
              </w:rPr>
              <w:t>Period ended January 28, 2011</w:t>
            </w:r>
          </w:p>
        </w:tc>
        <w:tc>
          <w:tcPr>
            <w:tcW w:w="2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180" w:type="dxa"/>
            <w:vAlign w:val="bottom"/>
          </w:tcPr>
          <w:p>
            <w:pPr>
              <w:ind w:left="17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181"/>
        </w:trPr>
        <w:tc>
          <w:tcPr>
            <w:tcW w:w="4640" w:type="dxa"/>
            <w:vAlign w:val="bottom"/>
          </w:tcPr>
          <w:p>
            <w:pPr>
              <w:spacing w:after="0" w:line="181" w:lineRule="exact"/>
              <w:rPr>
                <w:sz w:val="20"/>
                <w:szCs w:val="20"/>
                <w:color w:val="auto"/>
              </w:rPr>
            </w:pPr>
            <w:r>
              <w:rPr>
                <w:rFonts w:ascii="Arial" w:cs="Arial" w:eastAsia="Arial" w:hAnsi="Arial"/>
                <w:sz w:val="18"/>
                <w:szCs w:val="18"/>
                <w:color w:val="auto"/>
              </w:rPr>
              <w:t>Allowance for returns and customer incentives</w:t>
            </w:r>
          </w:p>
        </w:tc>
        <w:tc>
          <w:tcPr>
            <w:tcW w:w="2180" w:type="dxa"/>
            <w:vAlign w:val="bottom"/>
          </w:tcPr>
          <w:p>
            <w:pPr>
              <w:ind w:left="1760"/>
              <w:spacing w:after="0" w:line="18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485</w:t>
            </w:r>
          </w:p>
        </w:tc>
        <w:tc>
          <w:tcPr>
            <w:tcW w:w="4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10</w:t>
            </w:r>
          </w:p>
        </w:tc>
        <w:tc>
          <w:tcPr>
            <w:tcW w:w="3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4</w:t>
            </w:r>
          </w:p>
        </w:tc>
        <w:tc>
          <w:tcPr>
            <w:tcW w:w="4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491</w:t>
            </w:r>
          </w:p>
        </w:tc>
      </w:tr>
      <w:tr>
        <w:trPr>
          <w:trHeight w:val="225"/>
        </w:trPr>
        <w:tc>
          <w:tcPr>
            <w:tcW w:w="4640" w:type="dxa"/>
            <w:vAlign w:val="bottom"/>
          </w:tcPr>
          <w:p>
            <w:pPr>
              <w:spacing w:after="0"/>
              <w:rPr>
                <w:sz w:val="20"/>
                <w:szCs w:val="20"/>
                <w:color w:val="auto"/>
              </w:rPr>
            </w:pPr>
            <w:r>
              <w:rPr>
                <w:rFonts w:ascii="Arial" w:cs="Arial" w:eastAsia="Arial" w:hAnsi="Arial"/>
                <w:sz w:val="18"/>
                <w:szCs w:val="18"/>
                <w:b w:val="1"/>
                <w:bCs w:val="1"/>
                <w:color w:val="auto"/>
              </w:rPr>
              <w:t>Year ended December 31, 2010</w:t>
            </w:r>
          </w:p>
        </w:tc>
        <w:tc>
          <w:tcPr>
            <w:tcW w:w="2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180" w:type="dxa"/>
            <w:vAlign w:val="bottom"/>
          </w:tcPr>
          <w:p>
            <w:pPr>
              <w:ind w:left="17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199"/>
        </w:trPr>
        <w:tc>
          <w:tcPr>
            <w:tcW w:w="46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Allowance for returns and customer incentives</w:t>
            </w:r>
          </w:p>
        </w:tc>
        <w:tc>
          <w:tcPr>
            <w:tcW w:w="2180" w:type="dxa"/>
            <w:vAlign w:val="bottom"/>
            <w:tcBorders>
              <w:bottom w:val="single" w:sz="8" w:color="auto"/>
            </w:tcBorders>
          </w:tcPr>
          <w:p>
            <w:pPr>
              <w:ind w:left="1760"/>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491</w:t>
            </w:r>
          </w:p>
        </w:tc>
        <w:tc>
          <w:tcPr>
            <w:tcW w:w="46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931</w:t>
            </w:r>
          </w:p>
        </w:tc>
        <w:tc>
          <w:tcPr>
            <w:tcW w:w="36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937</w:t>
            </w:r>
          </w:p>
        </w:tc>
        <w:tc>
          <w:tcPr>
            <w:tcW w:w="46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485</w:t>
            </w:r>
          </w:p>
        </w:tc>
      </w:tr>
      <w:tr>
        <w:trPr>
          <w:trHeight w:val="506"/>
        </w:trPr>
        <w:tc>
          <w:tcPr>
            <w:tcW w:w="4640" w:type="dxa"/>
            <w:vAlign w:val="bottom"/>
          </w:tcPr>
          <w:p>
            <w:pPr>
              <w:spacing w:after="0"/>
              <w:rPr>
                <w:sz w:val="24"/>
                <w:szCs w:val="24"/>
                <w:color w:val="auto"/>
              </w:rPr>
            </w:pPr>
          </w:p>
        </w:tc>
        <w:tc>
          <w:tcPr>
            <w:tcW w:w="2180" w:type="dxa"/>
            <w:vAlign w:val="bottom"/>
          </w:tcPr>
          <w:p>
            <w:pPr>
              <w:ind w:left="1040"/>
              <w:spacing w:after="0"/>
              <w:rPr>
                <w:sz w:val="20"/>
                <w:szCs w:val="20"/>
                <w:color w:val="auto"/>
              </w:rPr>
            </w:pPr>
            <w:r>
              <w:rPr>
                <w:rFonts w:ascii="Arial" w:cs="Arial" w:eastAsia="Arial" w:hAnsi="Arial"/>
                <w:sz w:val="14"/>
                <w:szCs w:val="14"/>
                <w:b w:val="1"/>
                <w:bCs w:val="1"/>
                <w:color w:val="auto"/>
              </w:rPr>
              <w:t>95</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20" w:type="dxa"/>
            <w:vAlign w:val="bottom"/>
            <w:gridSpan w:val="5"/>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45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sz w:val="20"/>
                <w:szCs w:val="20"/>
                <w:color w:val="auto"/>
              </w:rPr>
            </w:pPr>
            <w:r>
              <w:rPr>
                <w:rFonts w:ascii="Arial" w:cs="Arial" w:eastAsia="Arial" w:hAnsi="Arial"/>
                <w:sz w:val="14"/>
                <w:szCs w:val="14"/>
                <w:color w:val="auto"/>
              </w:rPr>
              <w:t>ENTITY NAME</w:t>
            </w:r>
          </w:p>
        </w:tc>
        <w:tc>
          <w:tcPr>
            <w:tcW w:w="2560" w:type="dxa"/>
            <w:vAlign w:val="bottom"/>
            <w:gridSpan w:val="2"/>
          </w:tcPr>
          <w:p>
            <w:pPr>
              <w:spacing w:after="0"/>
              <w:rPr>
                <w:sz w:val="20"/>
                <w:szCs w:val="20"/>
                <w:color w:val="auto"/>
              </w:rPr>
            </w:pPr>
            <w:r>
              <w:rPr>
                <w:rFonts w:ascii="Arial" w:cs="Arial" w:eastAsia="Arial" w:hAnsi="Arial"/>
                <w:sz w:val="14"/>
                <w:szCs w:val="14"/>
                <w:color w:val="auto"/>
              </w:rPr>
              <w:t>JURISDICTION</w:t>
            </w:r>
          </w:p>
        </w:tc>
      </w:tr>
      <w:tr>
        <w:trPr>
          <w:trHeight w:val="201"/>
        </w:trPr>
        <w:tc>
          <w:tcPr>
            <w:tcW w:w="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&gt;NBBC, LLC</w:t>
            </w:r>
          </w:p>
        </w:tc>
        <w:tc>
          <w:tcPr>
            <w:tcW w:w="6460" w:type="dxa"/>
            <w:vAlign w:val="bottom"/>
          </w:tcPr>
          <w:p>
            <w:pPr>
              <w:spacing w:after="0"/>
              <w:rPr>
                <w:sz w:val="17"/>
                <w:szCs w:val="17"/>
                <w:color w:val="auto"/>
              </w:rPr>
            </w:pPr>
          </w:p>
        </w:tc>
        <w:tc>
          <w:tcPr>
            <w:tcW w:w="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6"/>
              </w:rPr>
              <w:t>United States</w:t>
            </w:r>
          </w:p>
        </w:tc>
        <w:tc>
          <w:tcPr>
            <w:tcW w:w="1600" w:type="dxa"/>
            <w:vAlign w:val="bottom"/>
          </w:tcPr>
          <w:p>
            <w:pPr>
              <w:ind w:left="20"/>
              <w:spacing w:after="0" w:line="201" w:lineRule="exact"/>
              <w:rPr>
                <w:sz w:val="20"/>
                <w:szCs w:val="20"/>
                <w:color w:val="auto"/>
              </w:rPr>
            </w:pPr>
            <w:r>
              <w:rPr>
                <w:rFonts w:ascii="Arial" w:cs="Arial" w:eastAsia="Arial" w:hAnsi="Arial"/>
                <w:sz w:val="18"/>
                <w:szCs w:val="18"/>
                <w:color w:val="auto"/>
              </w:rPr>
              <w:t>-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1440 Productions UK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29 Stories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3232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3BG Holdings Company II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3BG Holdings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AAB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Acume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Ako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Alli, Alliance of Action Sports,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Allstar Stats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New York</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Antarctic Films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Asia NBC (ANBC) Services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B.E Musical Limited</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Kingdom - England</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Banderole Development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Barricade Productions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Barter Music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Battleship Australia Pty Ltd</w:t>
            </w:r>
          </w:p>
        </w:tc>
        <w:tc>
          <w:tcPr>
            <w:tcW w:w="2560" w:type="dxa"/>
            <w:vAlign w:val="bottom"/>
            <w:gridSpan w:val="2"/>
          </w:tcPr>
          <w:p>
            <w:pPr>
              <w:spacing w:after="0"/>
              <w:rPr>
                <w:sz w:val="20"/>
                <w:szCs w:val="20"/>
                <w:color w:val="auto"/>
              </w:rPr>
            </w:pPr>
            <w:r>
              <w:rPr>
                <w:rFonts w:ascii="Arial" w:cs="Arial" w:eastAsia="Arial" w:hAnsi="Arial"/>
                <w:sz w:val="18"/>
                <w:szCs w:val="18"/>
                <w:color w:val="auto"/>
              </w:rPr>
              <w:t>Australia - Victoria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Battleship Delta Investments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Louisiana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Battleship Delta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Louisiana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Battleship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Beach City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Beautiful Day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Bell Tower Productions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Belmont Productions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Big Green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Big Minyan Films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Connecticut</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Billy Broadway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Billy London Limited</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Kingdom - England</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Billy National Tour General Partner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Billy National Tour II General Partner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Billy National Tour II LP</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Billy National Tour LP</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Billy Toronto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Birmingham Broadcasting (WVTM TV)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Alabama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BJD Films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BJD Films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Blank Pictures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Bleecker Production Services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Blenheim Films Limited</w:t>
            </w:r>
          </w:p>
        </w:tc>
        <w:tc>
          <w:tcPr>
            <w:tcW w:w="256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Bobwell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Bones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Bourne Film Productions Inc.</w:t>
            </w:r>
          </w:p>
        </w:tc>
        <w:tc>
          <w:tcPr>
            <w:tcW w:w="25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Bourne Four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Bravo Holding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Bravo Media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New York</w:t>
            </w: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Bravo Media Productions LLC</w:t>
            </w:r>
          </w:p>
        </w:tc>
        <w:tc>
          <w:tcPr>
            <w:tcW w:w="256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Bravo Peacock Music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Bravo Platinum Hit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Bring It On The Musical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Broadway Legends,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Bromley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News (Asia)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News (Europe)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Holding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Sports Southeast,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CACO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Canciones de Mun2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Carnival (Charles Dickens)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Carnival (Philanthropist)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Carnival Film &amp; Television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Carnival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Centenary Canada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Film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 Team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 Team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Children’s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Chiller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Chocolate Media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Cirque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Clara Film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Advertising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International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World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Worldwide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CNBC.com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CNBC/MSNBC,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Amateur Sports,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Children’s Network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Entertainment Productions,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Hockey,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Horror Entertainment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MO Cable News,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NECN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Programming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PSM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RL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-219710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Canada - Nova Scotia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China (Mainland)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Comcast Shared Services,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Comcast Sports Management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NY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Southwest,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SportsNet Bay Area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Chicago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Chicago,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LP,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New England,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Northwest,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Compound Films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Compound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Corpus Vivos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 Entertainment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Crater Lake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Crazy Hill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Creative Park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Creative Screen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Creative Writing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Crime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DailyCandy Commerce,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DailyCandy,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Dark Forest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Dark Mirror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Definitely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 Mar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Delamere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Delgany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Despereaux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DFA Deutsche Fersehnachrichten Agentur GmbH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Discos Telemundo,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Discover a 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DM Attractions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DM2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DM2 UK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Dotcom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3000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Drisco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Drunken Pig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Dylan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Europe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Hong Kong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-219710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ectPr>
          <w:pgSz w:w="11900" w:h="16838" w:orient="portrait"/>
          <w:cols w:equalWidth="0" w:num="2">
            <w:col w:w="6720" w:space="720"/>
            <w:col w:w="2779"/>
          </w:cols>
          <w:pgMar w:left="240" w:top="280" w:right="1440"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Entertainment Television International Holdings,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Networks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Networks Sales and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Earth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Ebb Tide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Estrella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Estudios Mexicanos Telemundo,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ETV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Evening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Evergreen Pictures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Exclamation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Exclamation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Exhibition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Exmont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Exposure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Fairest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Fandango Marketing,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Fandango,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Fantail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 North Entertainment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Farraday Films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Farraday Films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Farraday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Fast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Fast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Fastball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FF5 Productions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FF5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FF6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Film Distribution and Service S.C.R.L.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Filmmaker Production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Flagship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Flanimals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Flock of Peacocks Music JV/ASCAP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FNV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of Puerto Rico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Food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Games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FP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Friedgold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Friedgold Talent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Frigate Films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G4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G4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Geneon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Geneon Universal Entertainment Japan,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GEP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Get Him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Getting Away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GIGA Television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Gilmore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Golfcolorado.com,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GolfNow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Golfnow,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Machine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Machine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Gramercy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Twig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Hadrian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Happy Hours,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Harlan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Health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Healthology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Heartless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Heist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Hellboy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Hilltop Coffee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Hilltop Hot Dogs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Hilltop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Hop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Regional Sports Network,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Regional Sports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SportsNet Finance,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SportsNet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Husdawg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Hyde Park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Ice Harvest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Icebreaker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Theft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Theft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IFH-U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Illumination Mac Guff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Imagine Films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Incuborn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Infobonn Text-, Informations- und Pressebüro Verwaltungsgesellschaft mbH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Inheritance Pictures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Inittowinit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Intelligence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Business News Video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Kingdom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Interactive Desktop Video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Interlagos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Media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(Caymans)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International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Parenting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Jewel U.S.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Belsen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Kingsley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Knightly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Knowledgeweb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KNTV License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KNTV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Lacrosse Films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Laurel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Lauren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Lava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 Mins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Let It Rain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Lone Survivor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Branch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Lorax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Love Minky Television Development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Lucky Cricket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LX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Mammoth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Marital Assets,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Matchbox Pictures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Matchbox Productions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MCA Toys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MCA Toys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McPhee Farmyard Productions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Memory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Merchandising Company of America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Merry Men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MFV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Film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Minaret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Monkey Kingdom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Monkey Ventures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MPD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MSNBC Cable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-219710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New South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Victoria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MSNBC Canada Distribution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MSNBC Marks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MSNBC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MSNBC Super Desk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Muldiss Darton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Mun2 Television Music Publishing,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Mun2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Munchkinland Productions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Munich UNIVERSAL Films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Music of Syfy Channel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Music of USA Cable Entertainment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Music of USA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Musica Telemundo,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Must See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 Sports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NATV Sales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NATV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(UK)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Cable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Desktop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Digital Health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Digital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Facilities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Interactive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Archives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Bureaus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Channel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Digital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Overseas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Worldwide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Olympics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Olympics Planning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Pageants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Palm Beach Investment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Palm Beach Investment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Program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Records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Shop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Sports Network,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Sports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Stations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Stations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Storage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Sub (WCMH),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-219710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Subsidiary (KNBC-TV)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NBC Subsidiary (WCAU-TV),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Subsidiary (WMAQ-TV)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Subsidiary (WRC-TV)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Subsidiary (WTVJ-TV)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Syndication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Telemundo License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Telemundo License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Telemundo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Television Investments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TV Stations Sales &amp; Marketing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(Singapore) Holdings I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(Singapore) Holdings II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Digital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Australia (Services)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España,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Italia -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Japan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Latin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UK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NBC Universal International Television Distribution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NBC Universal International Television Distribution Singapore Pte.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NBC Universal Television Japan,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Television Studio Digital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Weather Plus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NBC/Hearst-Argyle Syndication,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NBC/IJV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NBC-A&amp;E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NBC-NPN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NBC-Rainbow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Chiller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Coop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Digital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Dutch Holding (Bermuda)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Dutch Holding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Emerging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Global Networks Asia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Global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Global Networks-2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New Site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World-wide Coöperatief U.A.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ectPr>
          <w:pgSz w:w="11900" w:h="16838" w:orient="portrait"/>
          <w:cols w:equalWidth="0" w:num="2">
            <w:col w:w="6720" w:space="720"/>
            <w:col w:w="2779"/>
          </w:cols>
          <w:pgMar w:left="240" w:top="280" w:right="1440"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NBCUniversal CSG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NBCUniversal Digital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NBCUniversal International Television Distribution South Africa (Proprietary)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Distribution Services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Networks International Brasil Programadora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Production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Real Estate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Receivables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NBC-VVTV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NBC-VVTV2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NBC-West Coast Holding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NBC-West Coast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NBC-XFL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England Cable News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 Lighting &amp; Grip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NewCo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Newsvine,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New-U Pictures Facilities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New-U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NF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Nicholas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American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Northbridge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Entertainment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Nueva Granada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Nuevo Mundo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NWI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O2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O2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Online Games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Open 4 Business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Original Content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Outlet Broadcasting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Outlet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Oxford House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Oxford Place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Oxygen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Oxygen Media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Oxygen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Oxygen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OZ Films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 - England &amp; Wales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ectPr>
          <w:pgSz w:w="11900" w:h="16838" w:orient="portrait"/>
          <w:cols w:equalWidth="0" w:num="2">
            <w:col w:w="6720" w:space="720"/>
            <w:col w:w="2779"/>
          </w:cols>
          <w:pgMar w:left="240" w:top="280" w:right="144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Pacific Regional Programming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Paqu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Parks Holdings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Parks Holdings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Pennebaker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 Cable Channel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 Filmed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Phenomenon Pictures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Prandial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Producer Services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Producer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CNBC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Ptown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Rachel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Realand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Film Distributors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Pacific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Pacific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Reservation Road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Reunion Committee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Ride Along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Rider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Ridgegarden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Rightgarden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RIPD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Rosemary &amp; Thyme Enterprises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Rosey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Rubin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Safe House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Savoy Pictures,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Fi (VCSF)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Fi Lab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Fi Lab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Sci-Fi Channel Europe,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Servicios de Produccion Reforma, S.A. de C.V.</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S-F Channel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Sherwood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 Feathers Music JV/BMI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 Tower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Smiley Face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Smokin’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 Happy For You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Seas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 Canadian Film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 Film Productions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-219710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Spanish-Language Productions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Sparrowhawk Distribution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International (HK)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Sparrowhawk International Channels India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Sparrowhawk International Channels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Latin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Media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Media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Speechless Features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Spirit Board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Sports Ventures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SportsChannel New England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SportsChannel Pacific Associates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Sprout Michigan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Cloud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Giles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Media Center &amp;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StarPlay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Station Operations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Station Venture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Station Venture Operations,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Stormfront,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Style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Style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 I - USA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Syfy Channel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Syfy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Syfy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Talbot House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Tale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Talk Video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Estudios Colombia,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Internacional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Las Vegas License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Mid-Atlantic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Network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Arizona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Chicago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Denver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Fresno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Telemundo of New England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Telemundo of Northern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Puerto Rico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Studios Miami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Television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Terra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TGC,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Thadfab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Comcast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Credit Union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Lew Wasserman Scholarship Foundation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Thing Films,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Today Show Charitable Foundation,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Tier One Subsidiary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Tiny Little Steps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TJ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Town Square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TPB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Transatlantic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Trio Entertainment 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Truck 44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True Blue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Tuxedo Terrace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Belmont Insurance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UCDP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UCS Project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Underworld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13th Street.com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1440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Animation Studios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Animation Studios Project 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Arenas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Cable Productions Development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Development Partners,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Florida Holding Co.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Florida Holding Co. II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City Property Management II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Productions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Travel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Film Exchanges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Film Exchanges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Films of India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First-Run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First-Run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HD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-219710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Vermont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Universal Home Entertainment Productions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Universal Home Entertainment Worldwide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Interactive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International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International Television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Media Studios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 Programming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Networks International (Asia)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Networks International (Japan)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Networks International Poland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Orlando Foundation,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Orlando Online Merchandise Store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Parks &amp; Resorts Management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(Australasia)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(Czech Republic)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(Denmark)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(Hungary)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(México)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(México) Services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Benelux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Canadian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Company of Puerto Rico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Corporation of China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Entertainment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Finland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Group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Hamburg Film - und Fernsehvertrieb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Iberia, S.L.U.</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Pictures Iberia, Sociedade Unipessoal Limitada - Em LiquidaCao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Australasia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Austria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Belgium SNC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Entertainment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Italy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Korea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Mexico S. de R. 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No.2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Spain,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UK &amp; EIRE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Italia S.r.l.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New South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Victoria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 Republic of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ectPr>
          <w:pgSz w:w="11900" w:h="16838" w:orient="portrait"/>
          <w:cols w:equalWidth="0" w:num="2">
            <w:col w:w="6720" w:space="720"/>
            <w:col w:w="2779"/>
          </w:cols>
          <w:pgMar w:left="240" w:top="280" w:right="1440"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Universal Pictures Limited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Universal Pictures México Gestión de Recursos, S.A. de C.V., SOFOM, E.N.R.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Nordic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Norway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Productions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Rus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Subscription Television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Vidéo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Visual Programming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Property Management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Reality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Stage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Arcade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Carousel Post Production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Channel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Child Care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China Investment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Corner Store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Development Venture Five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Development Venture Seven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Development Venture Six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Development Venture Two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Digital Cinema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Dubai Planning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Film Production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Fitness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Home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Home Entertainment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Hotel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Hotel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International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International Television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Korea Planning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Licensing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Moscow Planning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Music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Network Programming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Networks Brazil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NewCanada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Pacific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 Television Australia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 Television Australia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Kingdom - England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ectPr>
          <w:pgSz w:w="11900" w:h="16838" w:orient="portrait"/>
          <w:cols w:equalWidth="0" w:num="2">
            <w:col w:w="6720" w:space="720"/>
            <w:col w:w="2779"/>
          </w:cols>
          <w:pgMar w:left="240" w:top="280" w:right="1440"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Universal Studios Pay Television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 TV Latin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Pay-Per-View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Pay-Per-View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Studios Recreation China Planning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Universal Studios Recreation Japan Planning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Satellite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Singapore Planning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Store Hollywood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Store Orlando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Studios Television Distribution Spain, S.L.U.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TV Channel Poland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TV1 Australia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TV1 Australia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Water Parks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Syndicated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Networks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Canada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France SNC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Pictures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Pictures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Talk Video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VOD Venture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Worldwide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UPI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UPI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Brasil Enterprise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Brasil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Cable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Cable Entertainment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Networks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USANi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 USA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Asset Transfer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Interim LP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Australian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6720" w:space="720"/>
            <w:col w:w="2779"/>
          </w:cols>
          <w:pgMar w:left="240" w:top="280" w:right="1440"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USI Music Publishing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USI Network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USIE - USA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USI-New Bren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U-Talk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 - USA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Valor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Video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Video 44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Vision Video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VUE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Walter Lantz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Wanted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Warrior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Watch What You Play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WCAU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Westchester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Westlake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Flag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Australia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California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Chicago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London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London Production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Oz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Pacific Rim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Tour Canada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Tour Managing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Tour Productions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UK Tour Production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WKAQ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WKAQ of Puerto Rico Holdings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WKAQ of Puerto Rico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WNJU-TV Broadcasting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Wolf Man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Women.com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Title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Title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Title Music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Working Title Production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Working Title Theatre Productions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Film Productions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-219710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Jersey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6720" w:space="720"/>
            <w:col w:w="2779"/>
          </w:cols>
          <w:pgMar w:left="240" w:top="280" w:right="1440"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WT Venture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WT2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Xoom.com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 Total Health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ZAP Television Beteiligungs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ZAP Television GmbH &amp; Co. KG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-219710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6720" w:space="720"/>
            <w:col w:w="2779"/>
          </w:cols>
          <w:pgMar w:left="240" w:top="280" w:right="1440" w:bottom="1440" w:gutter="0" w:footer="0" w:header="0"/>
        </w:sectPr>
      </w:pPr>
    </w:p>
    <w:bookmarkStart w:id="114" w:name="page115"/>
    <w:bookmarkEnd w:id="114"/>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23.1</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 on Form S-8 (Nos. 333-177681) and Form S-3 (No. 333-184145) of our reports dated February 20, 2013, relating to the consolidated financial statements and financial statement schedule of NBC Universal, Inc. and subsidiaries (predecessor) and NBCUniversal Media, LLC (successor) (which report on the consolidated financial statements expresses an unqualified opinion and includes an explanatory paragraph referring to General Electric Company’s transaction with Comcast Corporation on January 28, 2011) appearing in this Annual Report on Form 10-K of NBCUniversal Media, LLC and subsidiaries for the period from January 1, 2011 to January 28, 2011 (predecessor period), for the period from January 29, 2011 to December 31, 2011, and for the year ended December 31, 2012 (successor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New York, 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2013</w:t>
      </w:r>
    </w:p>
    <w:p>
      <w:pPr>
        <w:sectPr>
          <w:pgSz w:w="11900" w:h="16838" w:orient="portrait"/>
          <w:cols w:equalWidth="0" w:num="1">
            <w:col w:w="11420"/>
          </w:cols>
          <w:pgMar w:left="240" w:top="121" w:right="239" w:bottom="1440" w:gutter="0" w:footer="0" w:header="0"/>
        </w:sectPr>
      </w:pPr>
    </w:p>
    <w:bookmarkStart w:id="115" w:name="page116"/>
    <w:bookmarkEnd w:id="115"/>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23.2</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 on Form S-8 (No. 333-177681) and Form S-3 (No. 333-184145) of our report dated February 28, 2011 except for Notes 1 &amp; 8 as to which the date is May 13, 2011, and except for the Consolidated Statement of Comprehensive Income and Note 19 as to which the date is February 22, 2012, with respect to the consolidated statements of income, comprehensive income, cash flows, and changes in equity of NBC Universal, Inc. and consolidated subsidiaries for the year ended December, 2010 (predecessor), appearing in the 2012 Annual Report on Form 10-K of NBCUniversal Media,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2013</w:t>
      </w:r>
    </w:p>
    <w:p>
      <w:pPr>
        <w:sectPr>
          <w:pgSz w:w="11900" w:h="16838" w:orient="portrait"/>
          <w:cols w:equalWidth="0" w:num="1">
            <w:col w:w="11420"/>
          </w:cols>
          <w:pgMar w:left="240" w:top="121" w:right="239" w:bottom="1440" w:gutter="0" w:footer="0" w:header="0"/>
        </w:sectPr>
      </w:pPr>
    </w:p>
    <w:bookmarkStart w:id="116" w:name="page117"/>
    <w:bookmarkEnd w:id="116"/>
    <w:p>
      <w:pPr>
        <w:spacing w:after="0"/>
        <w:tabs>
          <w:tab w:leader="none" w:pos="10580" w:val="left"/>
        </w:tabs>
        <w:rPr>
          <w:sz w:val="20"/>
          <w:szCs w:val="20"/>
          <w:color w:val="auto"/>
        </w:rPr>
      </w:pPr>
      <w:r>
        <w:rPr>
          <w:rFonts w:ascii="Arial" w:cs="Arial" w:eastAsia="Arial" w:hAnsi="Arial"/>
          <w:sz w:val="19"/>
          <w:szCs w:val="19"/>
          <w:color w:val="auto"/>
        </w:rPr>
        <w:t>Certifications</w:t>
      </w:r>
      <w:r>
        <w:rPr>
          <w:sz w:val="20"/>
          <w:szCs w:val="20"/>
          <w:color w:val="auto"/>
        </w:rPr>
        <w:tab/>
      </w:r>
      <w:r>
        <w:rPr>
          <w:rFonts w:ascii="Arial" w:cs="Arial" w:eastAsia="Arial" w:hAnsi="Arial"/>
          <w:sz w:val="26"/>
          <w:szCs w:val="26"/>
          <w:b w:val="1"/>
          <w:bCs w:val="1"/>
          <w:color w:val="auto"/>
          <w:vertAlign w:val="superscript"/>
        </w:rPr>
        <w:t>Exhibit 31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2013</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17"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2013</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Name: Michael J. Angelakis</w:t>
      </w:r>
    </w:p>
    <w:p>
      <w:pPr>
        <w:ind w:left="108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91"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99"/>
        </w:trPr>
        <w:tc>
          <w:tcPr>
            <w:tcW w:w="8420" w:type="dxa"/>
            <w:vAlign w:val="bottom"/>
          </w:tcPr>
          <w:p>
            <w:pPr>
              <w:spacing w:after="0"/>
              <w:rPr>
                <w:sz w:val="20"/>
                <w:szCs w:val="20"/>
                <w:color w:val="auto"/>
              </w:rPr>
            </w:pPr>
            <w:r>
              <w:rPr>
                <w:rFonts w:ascii="Arial" w:cs="Arial" w:eastAsia="Arial" w:hAnsi="Arial"/>
                <w:sz w:val="24"/>
                <w:szCs w:val="24"/>
                <w:color w:val="auto"/>
              </w:rPr>
              <w:t>Certification Pursuant to Section 906 of the Sarbanes-Oxley Act</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Exhibit 32</w:t>
            </w:r>
          </w:p>
        </w:tc>
      </w:tr>
      <w:tr>
        <w:trPr>
          <w:trHeight w:val="351"/>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February 20, 2013</w:t>
            </w:r>
          </w:p>
        </w:tc>
      </w:tr>
      <w:tr>
        <w:trPr>
          <w:trHeight w:val="302"/>
        </w:trPr>
        <w:tc>
          <w:tcPr>
            <w:tcW w:w="842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3000" w:type="dxa"/>
            <w:vAlign w:val="bottom"/>
          </w:tcPr>
          <w:p>
            <w:pPr>
              <w:spacing w:after="0"/>
              <w:rPr>
                <w:sz w:val="24"/>
                <w:szCs w:val="24"/>
                <w:color w:val="auto"/>
              </w:rPr>
            </w:pPr>
          </w:p>
        </w:tc>
      </w:tr>
      <w:tr>
        <w:trPr>
          <w:trHeight w:val="203"/>
        </w:trPr>
        <w:tc>
          <w:tcPr>
            <w:tcW w:w="8420" w:type="dxa"/>
            <w:vAlign w:val="bottom"/>
          </w:tcPr>
          <w:p>
            <w:pPr>
              <w:spacing w:after="0" w:line="202" w:lineRule="exact"/>
              <w:rPr>
                <w:sz w:val="20"/>
                <w:szCs w:val="20"/>
                <w:color w:val="auto"/>
              </w:rPr>
            </w:pPr>
            <w:r>
              <w:rPr>
                <w:rFonts w:ascii="Arial" w:cs="Arial" w:eastAsia="Arial" w:hAnsi="Arial"/>
                <w:sz w:val="18"/>
                <w:szCs w:val="18"/>
                <w:color w:val="auto"/>
              </w:rPr>
              <w:t>100 F Street, N.E.</w:t>
            </w:r>
          </w:p>
        </w:tc>
        <w:tc>
          <w:tcPr>
            <w:tcW w:w="3000" w:type="dxa"/>
            <w:vAlign w:val="bottom"/>
          </w:tcPr>
          <w:p>
            <w:pPr>
              <w:spacing w:after="0"/>
              <w:rPr>
                <w:sz w:val="17"/>
                <w:szCs w:val="17"/>
                <w:color w:val="auto"/>
              </w:rPr>
            </w:pPr>
          </w:p>
        </w:tc>
      </w:tr>
      <w:tr>
        <w:trPr>
          <w:trHeight w:val="211"/>
        </w:trPr>
        <w:tc>
          <w:tcPr>
            <w:tcW w:w="8420" w:type="dxa"/>
            <w:vAlign w:val="bottom"/>
          </w:tcPr>
          <w:p>
            <w:pPr>
              <w:spacing w:after="0"/>
              <w:rPr>
                <w:sz w:val="20"/>
                <w:szCs w:val="20"/>
                <w:color w:val="auto"/>
              </w:rPr>
            </w:pPr>
            <w:r>
              <w:rPr>
                <w:rFonts w:ascii="Arial" w:cs="Arial" w:eastAsia="Arial" w:hAnsi="Arial"/>
                <w:sz w:val="18"/>
                <w:szCs w:val="18"/>
                <w:color w:val="auto"/>
              </w:rPr>
              <w:t>Washington, D.C. 20549</w:t>
            </w:r>
          </w:p>
        </w:tc>
        <w:tc>
          <w:tcPr>
            <w:tcW w:w="3000" w:type="dxa"/>
            <w:vAlign w:val="bottom"/>
          </w:tcPr>
          <w:p>
            <w:pPr>
              <w:spacing w:after="0"/>
              <w:rPr>
                <w:sz w:val="18"/>
                <w:szCs w:val="18"/>
                <w:color w:val="auto"/>
              </w:rPr>
            </w:pPr>
          </w:p>
        </w:tc>
      </w:tr>
      <w:tr>
        <w:trPr>
          <w:trHeight w:val="311"/>
        </w:trPr>
        <w:tc>
          <w:tcPr>
            <w:tcW w:w="8420" w:type="dxa"/>
            <w:vAlign w:val="bottom"/>
          </w:tcPr>
          <w:p>
            <w:pPr>
              <w:spacing w:after="0"/>
              <w:rPr>
                <w:sz w:val="20"/>
                <w:szCs w:val="20"/>
                <w:color w:val="auto"/>
              </w:rPr>
            </w:pPr>
            <w:r>
              <w:rPr>
                <w:rFonts w:ascii="Arial" w:cs="Arial" w:eastAsia="Arial" w:hAnsi="Arial"/>
                <w:sz w:val="18"/>
                <w:szCs w:val="18"/>
                <w:color w:val="auto"/>
              </w:rPr>
              <w:t>Ladies and Gentlemen:</w:t>
            </w:r>
          </w:p>
        </w:tc>
        <w:tc>
          <w:tcPr>
            <w:tcW w:w="3000" w:type="dxa"/>
            <w:vAlign w:val="bottom"/>
          </w:tcPr>
          <w:p>
            <w:pPr>
              <w:spacing w:after="0"/>
              <w:rPr>
                <w:sz w:val="24"/>
                <w:szCs w:val="24"/>
                <w:color w:val="auto"/>
              </w:rPr>
            </w:pPr>
          </w:p>
        </w:tc>
      </w:tr>
    </w:tbl>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NBCUniversal Media, LLC (the “Report”) for the purpose of complying with Rule 13a-14(b) or Rule 15d-14(b) of the Securities Exchange Act of 1934 (the “Exchange Act”) and Section 1350 of Chapter 63 of Title 18 of the United States Code.</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74"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195"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22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Principal Executive Officer</w:t>
      </w:r>
    </w:p>
    <w:p>
      <w:pPr>
        <w:spacing w:after="0" w:line="21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8"/>
          <w:szCs w:val="18"/>
          <w:color w:val="auto"/>
        </w:rPr>
        <w:t>Name: Michael J. Angelakis</w:t>
      </w:r>
    </w:p>
    <w:p>
      <w:pPr>
        <w:ind w:left="794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Roman"/>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2"/>
    </w:lvl>
  </w:abstractNum>
  <w:abstractNum w:abstractNumId="18">
    <w:nsid w:val="8EDBDAB"/>
    <w:multiLevelType w:val="hybridMultilevel"/>
    <w:lvl w:ilvl="0">
      <w:lvlJc w:val="left"/>
      <w:lvlText w:val="(%1)"/>
      <w:numFmt w:val="lowerLetter"/>
      <w:start w:val="6"/>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Roman"/>
      <w:start w:val="5"/>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4"/>
      <w:numFmt w:val="bullet"/>
      <w:start w:val="1"/>
    </w:lvl>
  </w:abstractNum>
  <w:abstractNum w:abstractNumId="23">
    <w:nsid w:val="54E49EB4"/>
    <w:multiLevelType w:val="hybridMultilevel"/>
    <w:lvl w:ilvl="0">
      <w:lvlJc w:val="left"/>
      <w:lvlText w:val="%1"/>
      <w:numFmt w:val="decimal"/>
      <w:start w:val="31"/>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2019-12-06T08:51:35Z</dcterms:created>
  <dcterms:modified xsi:type="dcterms:W3CDTF">2019-12-06T08:51:35Z</dcterms:modified>
</cp:coreProperties>
</file>