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11-K</w:t>
      </w:r>
    </w:p>
    <w:p>
      <w:pPr>
        <w:spacing w:after="0" w:line="19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ANNUAL REPORT</w:t>
      </w:r>
    </w:p>
    <w:p>
      <w:pPr>
        <w:spacing w:after="0" w:line="198" w:lineRule="exact"/>
        <w:rPr>
          <w:sz w:val="24"/>
          <w:szCs w:val="24"/>
          <w:color w:val="auto"/>
        </w:rPr>
      </w:pPr>
    </w:p>
    <w:p>
      <w:pPr>
        <w:jc w:val="right"/>
        <w:ind w:right="4699"/>
        <w:spacing w:after="0"/>
        <w:rPr>
          <w:sz w:val="20"/>
          <w:szCs w:val="20"/>
          <w:color w:val="auto"/>
        </w:rPr>
      </w:pPr>
      <w:r>
        <w:rPr>
          <w:rFonts w:ascii="Courier New" w:cs="Courier New" w:eastAsia="Courier New" w:hAnsi="Courier New"/>
          <w:sz w:val="16"/>
          <w:szCs w:val="16"/>
          <w:color w:val="auto"/>
        </w:rPr>
        <w:t>Pursuant to Section 15(d) of the</w:t>
      </w:r>
    </w:p>
    <w:p>
      <w:pPr>
        <w:spacing w:after="0" w:line="8" w:lineRule="exact"/>
        <w:rPr>
          <w:sz w:val="24"/>
          <w:szCs w:val="24"/>
          <w:color w:val="auto"/>
        </w:rPr>
      </w:pPr>
    </w:p>
    <w:p>
      <w:pPr>
        <w:jc w:val="right"/>
        <w:ind w:right="469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9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[GRAPHIC OMITTED - LOGO]</w:t>
      </w:r>
    </w:p>
    <w:p>
      <w:pPr>
        <w:spacing w:after="0" w:line="19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COMCAST CORPORATION</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98" w:lineRule="exact"/>
        <w:rPr>
          <w:sz w:val="24"/>
          <w:szCs w:val="24"/>
          <w:color w:val="auto"/>
        </w:rPr>
      </w:pPr>
    </w:p>
    <w:p>
      <w:pPr>
        <w:ind w:left="980" w:hanging="880"/>
        <w:spacing w:after="0"/>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w:t>
      </w:r>
    </w:p>
    <w:p>
      <w:pPr>
        <w:sectPr>
          <w:pgSz w:w="11900" w:h="16838" w:orient="portrait"/>
          <w:cols w:equalWidth="0" w:num="1">
            <w:col w:w="10219"/>
          </w:cols>
          <w:pgMar w:left="240" w:top="243" w:right="1440" w:bottom="1440" w:gutter="0" w:footer="0" w:header="0"/>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6"/>
          <w:szCs w:val="16"/>
          <w:color w:val="auto"/>
        </w:rPr>
        <w:t>OF 1934.</w:t>
      </w:r>
    </w:p>
    <w:p>
      <w:pPr>
        <w:spacing w:after="0" w:line="8" w:lineRule="exact"/>
        <w:rPr>
          <w:sz w:val="24"/>
          <w:szCs w:val="24"/>
          <w:color w:val="auto"/>
        </w:rPr>
      </w:pPr>
    </w:p>
    <w:p>
      <w:pPr>
        <w:spacing w:after="0"/>
        <w:tabs>
          <w:tab w:leader="none" w:pos="2640" w:val="left"/>
        </w:tabs>
        <w:rPr>
          <w:sz w:val="20"/>
          <w:szCs w:val="20"/>
          <w:color w:val="auto"/>
        </w:rPr>
      </w:pPr>
      <w:r>
        <w:rPr>
          <w:rFonts w:ascii="Courier New" w:cs="Courier New" w:eastAsia="Courier New" w:hAnsi="Courier New"/>
          <w:sz w:val="16"/>
          <w:szCs w:val="16"/>
          <w:color w:val="auto"/>
        </w:rPr>
        <w:t>For the fiscal year ended</w:t>
        <w:tab/>
        <w:t>December 31, 2000.</w:t>
      </w:r>
    </w:p>
    <w:p>
      <w:pPr>
        <w:spacing w:after="0" w:line="198" w:lineRule="exact"/>
        <w:rPr>
          <w:sz w:val="24"/>
          <w:szCs w:val="24"/>
          <w:color w:val="auto"/>
        </w:rPr>
      </w:pPr>
    </w:p>
    <w:p>
      <w:pPr>
        <w:sectPr>
          <w:pgSz w:w="11900" w:h="16838" w:orient="portrait"/>
          <w:cols w:equalWidth="0" w:num="2">
            <w:col w:w="500" w:space="480"/>
            <w:col w:w="9239"/>
          </w:cols>
          <w:pgMar w:left="240" w:top="243"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43" w:right="1440" w:bottom="1440" w:gutter="0" w:footer="0" w:header="0"/>
          <w:type w:val="continuous"/>
        </w:sectPr>
      </w:pPr>
    </w:p>
    <w:p>
      <w:pPr>
        <w:spacing w:after="0" w:line="198" w:lineRule="exact"/>
        <w:rPr>
          <w:sz w:val="24"/>
          <w:szCs w:val="24"/>
          <w:color w:val="auto"/>
        </w:rPr>
      </w:pPr>
    </w:p>
    <w:p>
      <w:pPr>
        <w:ind w:left="980" w:right="2139" w:hanging="979"/>
        <w:spacing w:after="0" w:line="251" w:lineRule="auto"/>
        <w:tabs>
          <w:tab w:leader="none" w:pos="19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15(d) OF THE SECURITIES EXCHANGE ACT OF 1934.</w:t>
      </w: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transition period from _________ to ________</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0-6983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right="2339" w:firstLine="986"/>
        <w:spacing w:after="0" w:line="255" w:lineRule="auto"/>
        <w:rPr>
          <w:sz w:val="20"/>
          <w:szCs w:val="20"/>
          <w:color w:val="auto"/>
        </w:rPr>
      </w:pPr>
      <w:r>
        <w:rPr>
          <w:rFonts w:ascii="Courier New" w:cs="Courier New" w:eastAsia="Courier New" w:hAnsi="Courier New"/>
          <w:sz w:val="16"/>
          <w:szCs w:val="16"/>
          <w:color w:val="auto"/>
        </w:rPr>
        <w:t>A. Full title of the plan and the address of the plan, if different from that of the issuer named below:</w:t>
      </w:r>
    </w:p>
    <w:p>
      <w:pPr>
        <w:spacing w:after="0" w:line="184"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THE COMCAST CORPORATION RETIREMENT-INVESTMENT PLAN</w:t>
      </w:r>
    </w:p>
    <w:p>
      <w:pPr>
        <w:spacing w:after="0" w:line="198" w:lineRule="exact"/>
        <w:rPr>
          <w:sz w:val="24"/>
          <w:szCs w:val="24"/>
          <w:color w:val="auto"/>
        </w:rPr>
      </w:pPr>
    </w:p>
    <w:p>
      <w:pPr>
        <w:ind w:right="2339" w:firstLine="986"/>
        <w:spacing w:after="0" w:line="255" w:lineRule="auto"/>
        <w:rPr>
          <w:sz w:val="20"/>
          <w:szCs w:val="20"/>
          <w:color w:val="auto"/>
        </w:rPr>
      </w:pPr>
      <w:r>
        <w:rPr>
          <w:rFonts w:ascii="Courier New" w:cs="Courier New" w:eastAsia="Courier New" w:hAnsi="Courier New"/>
          <w:sz w:val="16"/>
          <w:szCs w:val="16"/>
          <w:color w:val="auto"/>
        </w:rPr>
        <w:t>B. Name of issuer of the securities held pursuant to the plan and the address of its principal executive office:</w:t>
      </w:r>
    </w:p>
    <w:p>
      <w:pPr>
        <w:spacing w:after="0" w:line="184"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COMCAST CORPORATION RETIREMENT-</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INVESTMENT PLAN</w:t>
      </w:r>
    </w:p>
    <w:p>
      <w:pPr>
        <w:spacing w:after="0" w:line="19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Financial Statements as of</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December 31, 2000 and 1999 and for each of the</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Three Years in the Period Ended December 31, 2000;</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Supplemental Schedule as of December 31, 2000;</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and Independent Auditors' Report</w:t>
      </w:r>
    </w:p>
    <w:p>
      <w:pPr>
        <w:sectPr>
          <w:pgSz w:w="11900" w:h="16838" w:orient="portrait"/>
          <w:cols w:equalWidth="0" w:num="1">
            <w:col w:w="10219"/>
          </w:cols>
          <w:pgMar w:left="240" w:top="243"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TABLE OF CONTENTS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90"/>
        </w:trPr>
        <w:tc>
          <w:tcPr>
            <w:tcW w:w="17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7200" w:type="dxa"/>
            <w:vAlign w:val="bottom"/>
            <w:gridSpan w:val="2"/>
          </w:tcPr>
          <w:p>
            <w:pPr>
              <w:spacing w:after="0"/>
              <w:rPr>
                <w:sz w:val="20"/>
                <w:szCs w:val="20"/>
                <w:color w:val="auto"/>
              </w:rPr>
            </w:pPr>
            <w:r>
              <w:rPr>
                <w:rFonts w:ascii="Courier New" w:cs="Courier New" w:eastAsia="Courier New" w:hAnsi="Courier New"/>
                <w:sz w:val="16"/>
                <w:szCs w:val="16"/>
                <w:color w:val="auto"/>
              </w:rPr>
              <w:t>INDEPENDENT AUDITORS' REPORT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79"/>
        </w:trPr>
        <w:tc>
          <w:tcPr>
            <w:tcW w:w="7200" w:type="dxa"/>
            <w:vAlign w:val="bottom"/>
            <w:gridSpan w:val="2"/>
          </w:tcPr>
          <w:p>
            <w:pPr>
              <w:spacing w:after="0"/>
              <w:rPr>
                <w:sz w:val="20"/>
                <w:szCs w:val="20"/>
                <w:color w:val="auto"/>
              </w:rPr>
            </w:pPr>
            <w:r>
              <w:rPr>
                <w:rFonts w:ascii="Courier New" w:cs="Courier New" w:eastAsia="Courier New" w:hAnsi="Courier New"/>
                <w:sz w:val="16"/>
                <w:szCs w:val="16"/>
                <w:color w:val="auto"/>
              </w:rPr>
              <w:t>FINANCIAL STATEMENTS:</w:t>
            </w:r>
          </w:p>
        </w:tc>
        <w:tc>
          <w:tcPr>
            <w:tcW w:w="680" w:type="dxa"/>
            <w:vAlign w:val="bottom"/>
          </w:tcPr>
          <w:p>
            <w:pPr>
              <w:spacing w:after="0"/>
              <w:rPr>
                <w:sz w:val="24"/>
                <w:szCs w:val="24"/>
                <w:color w:val="auto"/>
              </w:rPr>
            </w:pPr>
          </w:p>
        </w:tc>
      </w:tr>
      <w:tr>
        <w:trPr>
          <w:trHeight w:val="379"/>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Statement of</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Net Assets Available for Benefits as of December 31,</w:t>
            </w:r>
          </w:p>
        </w:tc>
        <w:tc>
          <w:tcPr>
            <w:tcW w:w="680" w:type="dxa"/>
            <w:vAlign w:val="bottom"/>
          </w:tcPr>
          <w:p>
            <w:pPr>
              <w:spacing w:after="0"/>
              <w:rPr>
                <w:sz w:val="24"/>
                <w:szCs w:val="24"/>
                <w:color w:val="auto"/>
              </w:rPr>
            </w:pPr>
          </w:p>
        </w:tc>
      </w:tr>
      <w:tr>
        <w:trPr>
          <w:trHeight w:val="190"/>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2000 and</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9"/>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Statement of</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Changes in Net Assets Available for Benefits for the</w:t>
            </w:r>
          </w:p>
        </w:tc>
        <w:tc>
          <w:tcPr>
            <w:tcW w:w="680" w:type="dxa"/>
            <w:vAlign w:val="bottom"/>
          </w:tcPr>
          <w:p>
            <w:pPr>
              <w:spacing w:after="0"/>
              <w:rPr>
                <w:sz w:val="24"/>
                <w:szCs w:val="24"/>
                <w:color w:val="auto"/>
              </w:rPr>
            </w:pPr>
          </w:p>
        </w:tc>
      </w:tr>
      <w:tr>
        <w:trPr>
          <w:trHeight w:val="190"/>
        </w:trPr>
        <w:tc>
          <w:tcPr>
            <w:tcW w:w="72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Years Ended December 31, 2000, 1999 and 1998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9"/>
        </w:trPr>
        <w:tc>
          <w:tcPr>
            <w:tcW w:w="720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Notes to Financial Statements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4-11</w:t>
            </w:r>
          </w:p>
        </w:tc>
      </w:tr>
      <w:tr>
        <w:trPr>
          <w:trHeight w:val="379"/>
        </w:trPr>
        <w:tc>
          <w:tcPr>
            <w:tcW w:w="720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SCHEDULE:</w:t>
            </w:r>
          </w:p>
        </w:tc>
        <w:tc>
          <w:tcPr>
            <w:tcW w:w="680" w:type="dxa"/>
            <w:vAlign w:val="bottom"/>
          </w:tcPr>
          <w:p>
            <w:pPr>
              <w:spacing w:after="0"/>
              <w:rPr>
                <w:sz w:val="24"/>
                <w:szCs w:val="24"/>
                <w:color w:val="auto"/>
              </w:rPr>
            </w:pPr>
          </w:p>
        </w:tc>
      </w:tr>
      <w:tr>
        <w:trPr>
          <w:trHeight w:val="379"/>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Schedule H -</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Line 4i - Schedule of Assets Held for Investment</w:t>
            </w:r>
          </w:p>
        </w:tc>
        <w:tc>
          <w:tcPr>
            <w:tcW w:w="680" w:type="dxa"/>
            <w:vAlign w:val="bottom"/>
          </w:tcPr>
          <w:p>
            <w:pPr>
              <w:spacing w:after="0"/>
              <w:rPr>
                <w:sz w:val="24"/>
                <w:szCs w:val="24"/>
                <w:color w:val="auto"/>
              </w:rPr>
            </w:pPr>
          </w:p>
        </w:tc>
      </w:tr>
      <w:tr>
        <w:trPr>
          <w:trHeight w:val="190"/>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Purposes</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as of December 31, 2000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9"/>
        </w:trPr>
        <w:tc>
          <w:tcPr>
            <w:tcW w:w="7200" w:type="dxa"/>
            <w:vAlign w:val="bottom"/>
            <w:gridSpan w:val="2"/>
          </w:tcPr>
          <w:p>
            <w:pPr>
              <w:spacing w:after="0"/>
              <w:rPr>
                <w:sz w:val="20"/>
                <w:szCs w:val="20"/>
                <w:color w:val="auto"/>
              </w:rPr>
            </w:pPr>
            <w:r>
              <w:rPr>
                <w:rFonts w:ascii="Courier New" w:cs="Courier New" w:eastAsia="Courier New" w:hAnsi="Courier New"/>
                <w:sz w:val="16"/>
                <w:szCs w:val="16"/>
                <w:color w:val="auto"/>
              </w:rPr>
              <w:t>INDEPENDENT AUDITORS' CONSENT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SIGNATURE</w:t>
            </w:r>
          </w:p>
        </w:tc>
        <w:tc>
          <w:tcPr>
            <w:tcW w:w="5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496" w:right="1440" w:bottom="1440" w:gutter="0" w:footer="0" w:header="0"/>
        </w:sectPr>
      </w:pPr>
    </w:p>
    <w:bookmarkStart w:id="2" w:name="page3"/>
    <w:bookmarkEnd w:id="2"/>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REPORT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Administrator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We have audited the accompanying statement of net assets available for benefits of the Comcast Corporation Retirement-Investment Plan (the "Plan") as of December 31, 2000 and 1999, and the related statement of changes in net assets available for benefits for each of the three years in the period ended December 31, 2000. These financial statements are the responsibility of the Plan's management. Our responsibility is to express an opinion on these financial statements based on our audits.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 our opinion, such financial statements present fairly, in all material respects, the net assets available for benefits of the Comcast Corporation Retirement-Investment Plan as of December 31, 2000 and 1999, and the related changes in net assets available for benefits for each of the three years in the period ended December 31, 2000 in conformity with accounting principles generally accepted in the United States of America.</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Our audits were conducted for the purpose of forming an opinion on the basic financial statements taken as a whole. The supplemental schedule of Assets Held for Investment Purposes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Such supplemental schedule has been subjected to the auditing procedures applied in our audit of the basic 2000 financial statements and, in our opinion, is fairly stated in all material respects when considered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22, 2001</w:t>
      </w: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4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NET ASSETS AVAILABLE FOR BENEFITS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 AND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December 31,</w:t>
            </w:r>
          </w:p>
        </w:tc>
        <w:tc>
          <w:tcPr>
            <w:tcW w:w="1080" w:type="dxa"/>
            <w:vAlign w:val="bottom"/>
          </w:tcPr>
          <w:p>
            <w:pPr>
              <w:spacing w:after="0"/>
              <w:rPr>
                <w:sz w:val="16"/>
                <w:szCs w:val="16"/>
                <w:color w:val="auto"/>
              </w:rPr>
            </w:pPr>
          </w:p>
        </w:tc>
      </w:tr>
      <w:tr>
        <w:trPr>
          <w:trHeight w:val="190"/>
        </w:trPr>
        <w:tc>
          <w:tcPr>
            <w:tcW w:w="4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2000</w:t>
            </w:r>
          </w:p>
        </w:tc>
        <w:tc>
          <w:tcPr>
            <w:tcW w:w="800" w:type="dxa"/>
            <w:vAlign w:val="bottom"/>
          </w:tcPr>
          <w:p>
            <w:pPr>
              <w:spacing w:after="0"/>
              <w:rPr>
                <w:sz w:val="16"/>
                <w:szCs w:val="16"/>
                <w:color w:val="auto"/>
              </w:rPr>
            </w:pPr>
          </w:p>
        </w:tc>
        <w:tc>
          <w:tcPr>
            <w:tcW w:w="10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1999</w:t>
            </w:r>
          </w:p>
        </w:tc>
      </w:tr>
      <w:tr>
        <w:trPr>
          <w:trHeight w:val="190"/>
        </w:trPr>
        <w:tc>
          <w:tcPr>
            <w:tcW w:w="4480" w:type="dxa"/>
            <w:vAlign w:val="bottom"/>
          </w:tcPr>
          <w:p>
            <w:pPr>
              <w:spacing w:after="0"/>
              <w:rPr>
                <w:sz w:val="16"/>
                <w:szCs w:val="16"/>
                <w:color w:val="auto"/>
              </w:rPr>
            </w:pPr>
          </w:p>
        </w:tc>
        <w:tc>
          <w:tcPr>
            <w:tcW w:w="22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44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Cash</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777,957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297,530</w:t>
            </w:r>
          </w:p>
        </w:tc>
      </w:tr>
      <w:tr>
        <w:trPr>
          <w:trHeight w:val="190"/>
        </w:trPr>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Investments, at fair or contract value</w:t>
            </w:r>
          </w:p>
        </w:tc>
        <w:tc>
          <w:tcPr>
            <w:tcW w:w="740" w:type="dxa"/>
            <w:vAlign w:val="bottom"/>
          </w:tcPr>
          <w:p>
            <w:pPr>
              <w:spacing w:after="0"/>
              <w:rPr>
                <w:sz w:val="16"/>
                <w:szCs w:val="16"/>
                <w:color w:val="auto"/>
              </w:rPr>
            </w:pPr>
          </w:p>
        </w:tc>
        <w:tc>
          <w:tcPr>
            <w:tcW w:w="14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336,926,203</w:t>
            </w:r>
          </w:p>
        </w:tc>
        <w:tc>
          <w:tcPr>
            <w:tcW w:w="8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351,245,592</w:t>
            </w:r>
          </w:p>
        </w:tc>
      </w:tr>
      <w:tr>
        <w:trPr>
          <w:trHeight w:val="190"/>
        </w:trPr>
        <w:tc>
          <w:tcPr>
            <w:tcW w:w="4480" w:type="dxa"/>
            <w:vAlign w:val="bottom"/>
          </w:tcPr>
          <w:p>
            <w:pPr>
              <w:ind w:left="300"/>
              <w:spacing w:after="0"/>
              <w:rPr>
                <w:sz w:val="20"/>
                <w:szCs w:val="20"/>
                <w:color w:val="auto"/>
              </w:rPr>
            </w:pPr>
            <w:r>
              <w:rPr>
                <w:rFonts w:ascii="Courier New" w:cs="Courier New" w:eastAsia="Courier New" w:hAnsi="Courier New"/>
                <w:sz w:val="16"/>
                <w:szCs w:val="16"/>
                <w:color w:val="auto"/>
              </w:rPr>
              <w:t>Loans receivable from participants</w:t>
            </w:r>
          </w:p>
        </w:tc>
        <w:tc>
          <w:tcPr>
            <w:tcW w:w="740" w:type="dxa"/>
            <w:vAlign w:val="bottom"/>
          </w:tcPr>
          <w:p>
            <w:pPr>
              <w:spacing w:after="0"/>
              <w:rPr>
                <w:sz w:val="16"/>
                <w:szCs w:val="16"/>
                <w:color w:val="auto"/>
              </w:rPr>
            </w:pPr>
          </w:p>
        </w:tc>
        <w:tc>
          <w:tcPr>
            <w:tcW w:w="14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9,620,740</w:t>
            </w:r>
          </w:p>
        </w:tc>
        <w:tc>
          <w:tcPr>
            <w:tcW w:w="8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8,910,690</w:t>
            </w:r>
          </w:p>
        </w:tc>
      </w:tr>
      <w:tr>
        <w:trPr>
          <w:trHeight w:val="190"/>
        </w:trPr>
        <w:tc>
          <w:tcPr>
            <w:tcW w:w="4480" w:type="dxa"/>
            <w:vAlign w:val="bottom"/>
          </w:tcPr>
          <w:p>
            <w:pPr>
              <w:spacing w:after="0"/>
              <w:rPr>
                <w:sz w:val="16"/>
                <w:szCs w:val="16"/>
                <w:color w:val="auto"/>
              </w:rPr>
            </w:pPr>
          </w:p>
        </w:tc>
        <w:tc>
          <w:tcPr>
            <w:tcW w:w="22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48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347,324,900</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$360,453,812</w:t>
            </w:r>
          </w:p>
        </w:tc>
      </w:tr>
      <w:tr>
        <w:trPr>
          <w:trHeight w:val="190"/>
        </w:trPr>
        <w:tc>
          <w:tcPr>
            <w:tcW w:w="4480" w:type="dxa"/>
            <w:vAlign w:val="bottom"/>
          </w:tcPr>
          <w:p>
            <w:pPr>
              <w:spacing w:after="0"/>
              <w:rPr>
                <w:sz w:val="16"/>
                <w:szCs w:val="16"/>
                <w:color w:val="auto"/>
              </w:rPr>
            </w:pPr>
          </w:p>
        </w:tc>
        <w:tc>
          <w:tcPr>
            <w:tcW w:w="22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5220"/>
        <w:spacing w:after="0" w:line="251" w:lineRule="auto"/>
        <w:rPr>
          <w:sz w:val="20"/>
          <w:szCs w:val="20"/>
          <w:color w:val="auto"/>
        </w:rPr>
      </w:pPr>
      <w:r>
        <w:rPr>
          <w:rFonts w:ascii="Courier New" w:cs="Courier New" w:eastAsia="Courier New" w:hAnsi="Courier New"/>
          <w:sz w:val="16"/>
          <w:szCs w:val="16"/>
          <w:color w:val="auto"/>
        </w:rPr>
        <w:t>STATEMENT OF CHANGES IN NET ASSETS AVAILABLE FOR BENEFITS YEARS ENDED DECEMBER 31, 2000, 1999 AND 1998</w:t>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5420" w:type="dxa"/>
            <w:vAlign w:val="bottom"/>
            <w:gridSpan w:val="3"/>
          </w:tcPr>
          <w:p>
            <w:pPr>
              <w:jc w:val="right"/>
              <w:ind w:right="1198"/>
              <w:spacing w:after="0"/>
              <w:rPr>
                <w:sz w:val="20"/>
                <w:szCs w:val="20"/>
                <w:color w:val="auto"/>
              </w:rPr>
            </w:pPr>
            <w:r>
              <w:rPr>
                <w:rFonts w:ascii="Courier New" w:cs="Courier New" w:eastAsia="Courier New" w:hAnsi="Courier New"/>
                <w:sz w:val="16"/>
                <w:szCs w:val="16"/>
                <w:color w:val="auto"/>
              </w:rPr>
              <w:t>Years Ended December 31,</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2000</w:t>
            </w:r>
          </w:p>
        </w:tc>
        <w:tc>
          <w:tcPr>
            <w:tcW w:w="16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1999</w:t>
            </w:r>
          </w:p>
        </w:tc>
        <w:tc>
          <w:tcPr>
            <w:tcW w:w="15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420" w:type="dxa"/>
            <w:vAlign w:val="bottom"/>
          </w:tcPr>
          <w:p>
            <w:pPr>
              <w:spacing w:after="0"/>
              <w:rPr>
                <w:sz w:val="20"/>
                <w:szCs w:val="20"/>
                <w:color w:val="auto"/>
              </w:rPr>
            </w:pPr>
            <w:r>
              <w:rPr>
                <w:rFonts w:ascii="Courier New" w:cs="Courier New" w:eastAsia="Courier New" w:hAnsi="Courier New"/>
                <w:sz w:val="16"/>
                <w:szCs w:val="16"/>
                <w:color w:val="auto"/>
              </w:rPr>
              <w:t>(DEDUCTIONS) ADDITIONS TO NET ASSETS</w:t>
            </w: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0"/>
        </w:trPr>
        <w:tc>
          <w:tcPr>
            <w:tcW w:w="5420" w:type="dxa"/>
            <w:vAlign w:val="bottom"/>
          </w:tcPr>
          <w:p>
            <w:pPr>
              <w:ind w:left="200"/>
              <w:spacing w:after="0"/>
              <w:rPr>
                <w:sz w:val="20"/>
                <w:szCs w:val="20"/>
                <w:color w:val="auto"/>
              </w:rPr>
            </w:pPr>
            <w:r>
              <w:rPr>
                <w:rFonts w:ascii="Courier New" w:cs="Courier New" w:eastAsia="Courier New" w:hAnsi="Courier New"/>
                <w:sz w:val="16"/>
                <w:szCs w:val="16"/>
                <w:color w:val="auto"/>
              </w:rPr>
              <w:t>ATTRIBUTED TO:</w:t>
            </w:r>
          </w:p>
        </w:tc>
        <w:tc>
          <w:tcPr>
            <w:tcW w:w="2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Investment income:</w:t>
            </w:r>
          </w:p>
        </w:tc>
        <w:tc>
          <w:tcPr>
            <w:tcW w:w="2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5420" w:type="dxa"/>
            <w:vAlign w:val="bottom"/>
          </w:tcPr>
          <w:p>
            <w:pPr>
              <w:ind w:left="500"/>
              <w:spacing w:after="0"/>
              <w:rPr>
                <w:sz w:val="20"/>
                <w:szCs w:val="20"/>
                <w:color w:val="auto"/>
              </w:rPr>
            </w:pPr>
            <w:r>
              <w:rPr>
                <w:rFonts w:ascii="Courier New" w:cs="Courier New" w:eastAsia="Courier New" w:hAnsi="Courier New"/>
                <w:sz w:val="16"/>
                <w:szCs w:val="16"/>
                <w:color w:val="auto"/>
              </w:rPr>
              <w:t>Net realized and unrealized (depreciation)</w:t>
            </w:r>
          </w:p>
        </w:tc>
        <w:tc>
          <w:tcPr>
            <w:tcW w:w="2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5420" w:type="dxa"/>
            <w:vAlign w:val="bottom"/>
          </w:tcPr>
          <w:p>
            <w:pPr>
              <w:ind w:left="700"/>
              <w:spacing w:after="0"/>
              <w:rPr>
                <w:sz w:val="20"/>
                <w:szCs w:val="20"/>
                <w:color w:val="auto"/>
              </w:rPr>
            </w:pPr>
            <w:r>
              <w:rPr>
                <w:rFonts w:ascii="Courier New" w:cs="Courier New" w:eastAsia="Courier New" w:hAnsi="Courier New"/>
                <w:sz w:val="16"/>
                <w:szCs w:val="16"/>
                <w:color w:val="auto"/>
              </w:rPr>
              <w:t>appreciation in fair value of investments</w:t>
            </w:r>
          </w:p>
        </w:tc>
        <w:tc>
          <w:tcPr>
            <w:tcW w:w="2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 (52,351,113)</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$ 84,771,033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$ 43,823,423</w:t>
            </w:r>
          </w:p>
        </w:tc>
      </w:tr>
      <w:tr>
        <w:trPr>
          <w:trHeight w:val="190"/>
        </w:trPr>
        <w:tc>
          <w:tcPr>
            <w:tcW w:w="5420" w:type="dxa"/>
            <w:vAlign w:val="bottom"/>
          </w:tcPr>
          <w:p>
            <w:pPr>
              <w:ind w:left="500"/>
              <w:spacing w:after="0"/>
              <w:rPr>
                <w:sz w:val="20"/>
                <w:szCs w:val="20"/>
                <w:color w:val="auto"/>
              </w:rPr>
            </w:pPr>
            <w:r>
              <w:rPr>
                <w:rFonts w:ascii="Courier New" w:cs="Courier New" w:eastAsia="Courier New" w:hAnsi="Courier New"/>
                <w:sz w:val="16"/>
                <w:szCs w:val="16"/>
                <w:color w:val="auto"/>
              </w:rPr>
              <w:t>Interest and dividends</w:t>
            </w: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14,403,290</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8,232,242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6,893,230</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(37,947,823)</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93,003,275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50,716,653</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Contributions:</w:t>
            </w:r>
          </w:p>
        </w:tc>
        <w:tc>
          <w:tcPr>
            <w:tcW w:w="2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5420" w:type="dxa"/>
            <w:vAlign w:val="bottom"/>
          </w:tcPr>
          <w:p>
            <w:pPr>
              <w:ind w:left="500"/>
              <w:spacing w:after="0"/>
              <w:rPr>
                <w:sz w:val="20"/>
                <w:szCs w:val="20"/>
                <w:color w:val="auto"/>
              </w:rPr>
            </w:pPr>
            <w:r>
              <w:rPr>
                <w:rFonts w:ascii="Courier New" w:cs="Courier New" w:eastAsia="Courier New" w:hAnsi="Courier New"/>
                <w:sz w:val="16"/>
                <w:szCs w:val="16"/>
                <w:color w:val="auto"/>
              </w:rPr>
              <w:t>Employee</w:t>
            </w: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26,802,014</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18,519,160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15,763,521</w:t>
            </w:r>
          </w:p>
        </w:tc>
      </w:tr>
      <w:tr>
        <w:trPr>
          <w:trHeight w:val="190"/>
        </w:trPr>
        <w:tc>
          <w:tcPr>
            <w:tcW w:w="5420" w:type="dxa"/>
            <w:vAlign w:val="bottom"/>
          </w:tcPr>
          <w:p>
            <w:pPr>
              <w:ind w:left="500"/>
              <w:spacing w:after="0"/>
              <w:rPr>
                <w:sz w:val="20"/>
                <w:szCs w:val="20"/>
                <w:color w:val="auto"/>
              </w:rPr>
            </w:pPr>
            <w:r>
              <w:rPr>
                <w:rFonts w:ascii="Courier New" w:cs="Courier New" w:eastAsia="Courier New" w:hAnsi="Courier New"/>
                <w:sz w:val="16"/>
                <w:szCs w:val="16"/>
                <w:color w:val="auto"/>
              </w:rPr>
              <w:t>Employer</w:t>
            </w: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10,145,463</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7,701,672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8,083,327</w:t>
            </w:r>
          </w:p>
        </w:tc>
      </w:tr>
      <w:tr>
        <w:trPr>
          <w:trHeight w:val="190"/>
        </w:trPr>
        <w:tc>
          <w:tcPr>
            <w:tcW w:w="5420" w:type="dxa"/>
            <w:vAlign w:val="bottom"/>
          </w:tcPr>
          <w:p>
            <w:pPr>
              <w:ind w:left="500"/>
              <w:spacing w:after="0"/>
              <w:rPr>
                <w:sz w:val="20"/>
                <w:szCs w:val="20"/>
                <w:color w:val="auto"/>
              </w:rPr>
            </w:pPr>
            <w:r>
              <w:rPr>
                <w:rFonts w:ascii="Courier New" w:cs="Courier New" w:eastAsia="Courier New" w:hAnsi="Courier New"/>
                <w:sz w:val="16"/>
                <w:szCs w:val="16"/>
                <w:color w:val="auto"/>
              </w:rPr>
              <w:t>Rollovers from merged plans (Note 2)</w:t>
            </w: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17,298,499</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54,633,073</w:t>
            </w:r>
          </w:p>
        </w:tc>
        <w:tc>
          <w:tcPr>
            <w:tcW w:w="1520" w:type="dxa"/>
            <w:vAlign w:val="bottom"/>
          </w:tcPr>
          <w:p>
            <w:pPr>
              <w:spacing w:after="0"/>
              <w:rPr>
                <w:sz w:val="16"/>
                <w:szCs w:val="16"/>
                <w:color w:val="auto"/>
              </w:rPr>
            </w:pP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54,245,976</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80,853,905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23,846,848</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420" w:type="dxa"/>
            <w:vAlign w:val="bottom"/>
          </w:tcPr>
          <w:p>
            <w:pPr>
              <w:spacing w:after="0"/>
              <w:rPr>
                <w:sz w:val="24"/>
                <w:szCs w:val="24"/>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16,298,153</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173,857,180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74,563,501</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420" w:type="dxa"/>
            <w:vAlign w:val="bottom"/>
          </w:tcPr>
          <w:p>
            <w:pPr>
              <w:spacing w:after="0"/>
              <w:rPr>
                <w:sz w:val="20"/>
                <w:szCs w:val="20"/>
                <w:color w:val="auto"/>
              </w:rPr>
            </w:pPr>
            <w:r>
              <w:rPr>
                <w:rFonts w:ascii="Courier New" w:cs="Courier New" w:eastAsia="Courier New" w:hAnsi="Courier New"/>
                <w:sz w:val="16"/>
                <w:szCs w:val="16"/>
                <w:color w:val="auto"/>
              </w:rPr>
              <w:t>DEDUCTIONS FROM NET ASSETS ATTRIBUTED TO:</w:t>
            </w: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0"/>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Benefits paid to participants or beneficiaries</w:t>
            </w: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29,427,065</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24,659,096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13,575,986</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29,427,065</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24,659,096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13,575,986</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(decrease) increase</w:t>
            </w:r>
          </w:p>
        </w:tc>
        <w:tc>
          <w:tcPr>
            <w:tcW w:w="2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(13,128,912)</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149,198,084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60,987,515</w:t>
            </w:r>
          </w:p>
        </w:tc>
      </w:tr>
      <w:tr>
        <w:trPr>
          <w:trHeight w:val="379"/>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0"/>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Beginning of year</w:t>
            </w: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360,453,812</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211,255,728</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150,268,213</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End of year</w:t>
            </w: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$347,324,900</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$360,453,812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$211,255,728</w:t>
            </w:r>
          </w:p>
        </w:tc>
      </w:tr>
      <w:tr>
        <w:trPr>
          <w:trHeight w:val="190"/>
        </w:trPr>
        <w:tc>
          <w:tcPr>
            <w:tcW w:w="5420" w:type="dxa"/>
            <w:vAlign w:val="bottom"/>
          </w:tcPr>
          <w:p>
            <w:pPr>
              <w:spacing w:after="0"/>
              <w:rPr>
                <w:sz w:val="16"/>
                <w:szCs w:val="16"/>
                <w:color w:val="auto"/>
              </w:rPr>
            </w:pPr>
          </w:p>
        </w:tc>
        <w:tc>
          <w:tcPr>
            <w:tcW w:w="2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40"/>
          </w:cols>
          <w:pgMar w:left="240" w:top="685" w:right="8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2000, 1999 AND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600" w:hanging="599"/>
        <w:spacing w:after="0"/>
        <w:tabs>
          <w:tab w:leader="none" w:pos="6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7"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8"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jc w:val="both"/>
        <w:ind w:left="6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of the Comcast Corporation Retirement-Investment Plan (the "Plan") are presented using the accrual basis of accounting. Investments in mutual funds and the Comcast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All costs associated with administering the Plan are paid or incurred by Comcast Corporation ("Comcast," the "Company" or the "Plan Administrator").</w:t>
      </w:r>
    </w:p>
    <w:p>
      <w:pPr>
        <w:spacing w:after="0" w:line="190" w:lineRule="exact"/>
        <w:rPr>
          <w:rFonts w:ascii="Courier New" w:cs="Courier New" w:eastAsia="Courier New" w:hAnsi="Courier New"/>
          <w:sz w:val="16"/>
          <w:szCs w:val="16"/>
          <w:color w:val="auto"/>
        </w:rPr>
      </w:pPr>
    </w:p>
    <w:p>
      <w:pPr>
        <w:jc w:val="both"/>
        <w:ind w:left="6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85" w:lineRule="exact"/>
        <w:rPr>
          <w:rFonts w:ascii="Courier New" w:cs="Courier New" w:eastAsia="Courier New" w:hAnsi="Courier New"/>
          <w:sz w:val="16"/>
          <w:szCs w:val="16"/>
          <w:color w:val="auto"/>
        </w:rPr>
      </w:pPr>
    </w:p>
    <w:p>
      <w:pPr>
        <w:ind w:left="600" w:hanging="599"/>
        <w:spacing w:after="0"/>
        <w:tabs>
          <w:tab w:leader="none" w:pos="6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DESCRIPTION</w:t>
      </w:r>
    </w:p>
    <w:p>
      <w:pPr>
        <w:spacing w:after="0" w:line="197"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8"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jc w:val="both"/>
        <w:ind w:left="6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description of the Plan provides only general information. Plan participants should refer to the Plan document and applicable amendments for a more complete description of the Plan's provisions. Copies of these documents are available from the Plan Administrator.</w:t>
      </w:r>
    </w:p>
    <w:p>
      <w:pPr>
        <w:spacing w:after="0" w:line="186" w:lineRule="exact"/>
        <w:rPr>
          <w:rFonts w:ascii="Courier New" w:cs="Courier New" w:eastAsia="Courier New" w:hAnsi="Courier New"/>
          <w:sz w:val="16"/>
          <w:szCs w:val="16"/>
          <w:color w:val="auto"/>
        </w:rPr>
      </w:pPr>
    </w:p>
    <w:p>
      <w:pPr>
        <w:jc w:val="both"/>
        <w:ind w:left="6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89" w:lineRule="exact"/>
        <w:rPr>
          <w:rFonts w:ascii="Courier New" w:cs="Courier New" w:eastAsia="Courier New" w:hAnsi="Courier New"/>
          <w:sz w:val="16"/>
          <w:szCs w:val="16"/>
          <w:color w:val="auto"/>
        </w:rPr>
      </w:pPr>
    </w:p>
    <w:p>
      <w:pPr>
        <w:jc w:val="both"/>
        <w:ind w:left="6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1999, the Plan was amended to allow an employee to become eligible for participation in the Plan upon completion of 91 days of service, as defined in the Plan, and to participate in allocations of employer matching contributions under the Plan after completion of one year of service. Prior to July 1, 1999, an employee was eligible for both participation and employer matching contributions upon completion of one year of service.</w:t>
      </w:r>
    </w:p>
    <w:p>
      <w:pPr>
        <w:spacing w:after="0" w:line="374" w:lineRule="exact"/>
        <w:rPr>
          <w:rFonts w:ascii="Courier New" w:cs="Courier New" w:eastAsia="Courier New" w:hAnsi="Courier New"/>
          <w:sz w:val="16"/>
          <w:szCs w:val="16"/>
          <w:color w:val="auto"/>
        </w:rPr>
      </w:pPr>
    </w:p>
    <w:p>
      <w:pPr>
        <w:jc w:val="both"/>
        <w:ind w:left="6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eligible employee may direct the Company to make contributions to the Plan of any whole percentage from 1% through 17% of their compensation, subject to certain limits imposed by the Code. For the three years ended December 31, 2000, the Company matched 100% of the participant's contribution up to 1% of the participant's compensation for such payroll period, and 50% of the participant's contribution in excess of 1% of the participant's compensation for such payroll period, up to a maximum total matching contribution of 3.5% of the participant's compensation.</w:t>
      </w:r>
    </w:p>
    <w:p>
      <w:pPr>
        <w:spacing w:after="0" w:line="189" w:lineRule="exact"/>
        <w:rPr>
          <w:rFonts w:ascii="Courier New" w:cs="Courier New" w:eastAsia="Courier New" w:hAnsi="Courier New"/>
          <w:sz w:val="16"/>
          <w:szCs w:val="16"/>
          <w:color w:val="auto"/>
        </w:rPr>
      </w:pPr>
    </w:p>
    <w:p>
      <w:pPr>
        <w:jc w:val="both"/>
        <w:ind w:left="6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2001, the Plan was amended to increase the employer matching contribution rate so that the Company matches 100% of the participant's contribution up to 3% of the participant's compensation for such payroll period, and 50% of the participant's contribution in excess of 3% of the participant's compensation for such payroll period, up to a maximum total matching contribution of 4.5% of the participant's compensation.</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5" w:right="1440" w:bottom="2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2000, 1999 AND 1998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600"/>
        <w:spacing w:after="0"/>
        <w:tabs>
          <w:tab w:leader="none" w:pos="1160" w:val="left"/>
          <w:tab w:leader="none" w:pos="4820" w:val="left"/>
          <w:tab w:leader="none" w:pos="6380" w:val="left"/>
        </w:tabs>
        <w:rPr>
          <w:sz w:val="20"/>
          <w:szCs w:val="20"/>
          <w:color w:val="auto"/>
        </w:rPr>
      </w:pPr>
      <w:r>
        <w:rPr>
          <w:rFonts w:ascii="Courier New" w:cs="Courier New" w:eastAsia="Courier New" w:hAnsi="Courier New"/>
          <w:sz w:val="16"/>
          <w:szCs w:val="16"/>
          <w:color w:val="auto"/>
        </w:rPr>
        <w:t>Each</w:t>
        <w:tab/>
        <w:t>participant has at all times a 100%</w:t>
        <w:tab/>
        <w:t>nonforfeitable</w:t>
        <w:tab/>
        <w:t>interest in the</w:t>
      </w:r>
    </w:p>
    <w:p>
      <w:pPr>
        <w:spacing w:after="0" w:line="8" w:lineRule="exact"/>
        <w:rPr>
          <w:sz w:val="20"/>
          <w:szCs w:val="20"/>
          <w:color w:val="auto"/>
        </w:rPr>
      </w:pPr>
    </w:p>
    <w:p>
      <w:pPr>
        <w:jc w:val="both"/>
        <w:ind w:left="600" w:right="2339"/>
        <w:spacing w:after="0" w:line="253" w:lineRule="auto"/>
        <w:rPr>
          <w:sz w:val="20"/>
          <w:szCs w:val="20"/>
          <w:color w:val="auto"/>
        </w:rPr>
      </w:pPr>
      <w:r>
        <w:rPr>
          <w:rFonts w:ascii="Courier New" w:cs="Courier New" w:eastAsia="Courier New" w:hAnsi="Courier New"/>
          <w:sz w:val="16"/>
          <w:szCs w:val="16"/>
          <w:color w:val="auto"/>
        </w:rPr>
        <w:t>participant's contributions and earnings attributable thereto. Contributions by the Company and earnings thereon during the three years ended December 31, 2000 vested according to the following schedule:</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Years of Service</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Vested Percentage</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1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year but less than 2 years</w:t>
            </w:r>
          </w:p>
        </w:tc>
        <w:tc>
          <w:tcPr>
            <w:tcW w:w="26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20%</w:t>
            </w:r>
          </w:p>
        </w:tc>
      </w:tr>
      <w:tr>
        <w:trPr>
          <w:trHeight w:val="190"/>
        </w:trPr>
        <w:tc>
          <w:tcPr>
            <w:tcW w:w="1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years but less than 3 years</w:t>
            </w:r>
          </w:p>
        </w:tc>
        <w:tc>
          <w:tcPr>
            <w:tcW w:w="266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40</w:t>
            </w:r>
          </w:p>
        </w:tc>
      </w:tr>
      <w:tr>
        <w:trPr>
          <w:trHeight w:val="190"/>
        </w:trPr>
        <w:tc>
          <w:tcPr>
            <w:tcW w:w="1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years but less than 4 years</w:t>
            </w:r>
          </w:p>
        </w:tc>
        <w:tc>
          <w:tcPr>
            <w:tcW w:w="266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60</w:t>
            </w:r>
          </w:p>
        </w:tc>
      </w:tr>
      <w:tr>
        <w:trPr>
          <w:trHeight w:val="190"/>
        </w:trPr>
        <w:tc>
          <w:tcPr>
            <w:tcW w:w="1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years but less than 5 years</w:t>
            </w:r>
          </w:p>
        </w:tc>
        <w:tc>
          <w:tcPr>
            <w:tcW w:w="266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80</w:t>
            </w:r>
          </w:p>
        </w:tc>
      </w:tr>
      <w:tr>
        <w:trPr>
          <w:trHeight w:val="190"/>
        </w:trPr>
        <w:tc>
          <w:tcPr>
            <w:tcW w:w="1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years or more</w:t>
            </w:r>
          </w:p>
        </w:tc>
        <w:tc>
          <w:tcPr>
            <w:tcW w:w="266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100</w:t>
            </w:r>
          </w:p>
        </w:tc>
      </w:tr>
    </w:tbl>
    <w:p>
      <w:pPr>
        <w:spacing w:after="0" w:line="194" w:lineRule="exact"/>
        <w:rPr>
          <w:sz w:val="20"/>
          <w:szCs w:val="20"/>
          <w:color w:val="auto"/>
        </w:rPr>
      </w:pPr>
    </w:p>
    <w:p>
      <w:pPr>
        <w:jc w:val="both"/>
        <w:ind w:left="600" w:right="2339"/>
        <w:spacing w:after="0" w:line="252" w:lineRule="auto"/>
        <w:rPr>
          <w:sz w:val="20"/>
          <w:szCs w:val="20"/>
          <w:color w:val="auto"/>
        </w:rPr>
      </w:pPr>
      <w:r>
        <w:rPr>
          <w:rFonts w:ascii="Courier New" w:cs="Courier New" w:eastAsia="Courier New" w:hAnsi="Courier New"/>
          <w:sz w:val="16"/>
          <w:szCs w:val="16"/>
          <w:color w:val="auto"/>
        </w:rPr>
        <w:t>Effective January 1, 2001, the Plan was amended to provide that Company matching contributions allocated with respect to participation in plan years beginning after December 31, 2000 shall be fully and immediately vested. The applicable vesting schedule under the Plan for Company matching contributions allocated with respect to participation in plan years ending before January 1, 2001 was not affected by this Plan amendment.</w:t>
      </w:r>
    </w:p>
    <w:p>
      <w:pPr>
        <w:spacing w:after="0" w:line="375"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For employees hired on or before January 15, 1999, the Company contributed cash to purchase 10 shares of the Company's Class A Special Common Stock for the account of each newly eligible participant. These contributions were recorded at the market value of the shares at the date contributed. Effective for employees hired after January 15, 1999, the Company discontinued such contributions to the accounts of newly eligible participants.</w:t>
      </w:r>
    </w:p>
    <w:p>
      <w:pPr>
        <w:spacing w:after="0" w:line="190"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Each participant has the right, in accordance with the provisions of the Plan, to direct the investment by the trustee of the Plan (the "Trustee") of all amounts allocated to the separate accounts of the participant under the Plan among any one or more of the investment fund options (see Note 3). The Trustee pays benefits and expenses upon the written direction of the Plan Administrator.</w:t>
      </w:r>
    </w:p>
    <w:p>
      <w:pPr>
        <w:spacing w:after="0" w:line="190"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compensation for that Plan year bears to the compensation for all such participants for the Plan year.</w:t>
      </w:r>
    </w:p>
    <w:p>
      <w:pPr>
        <w:spacing w:after="0" w:line="190"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Any participant who has a separation from service for any reason except death, disability or attainment of age 65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any combination of the foregoing or a rollover into another qualified plan.</w:t>
      </w:r>
    </w:p>
    <w:p>
      <w:pPr>
        <w:spacing w:after="0" w:line="190" w:lineRule="exact"/>
        <w:rPr>
          <w:sz w:val="20"/>
          <w:szCs w:val="20"/>
          <w:color w:val="auto"/>
        </w:rPr>
      </w:pPr>
    </w:p>
    <w:p>
      <w:pPr>
        <w:jc w:val="both"/>
        <w:ind w:left="600" w:right="2339"/>
        <w:spacing w:after="0" w:line="253" w:lineRule="auto"/>
        <w:rPr>
          <w:sz w:val="20"/>
          <w:szCs w:val="20"/>
          <w:color w:val="auto"/>
        </w:rPr>
      </w:pPr>
      <w:r>
        <w:rPr>
          <w:rFonts w:ascii="Courier New" w:cs="Courier New" w:eastAsia="Courier New" w:hAnsi="Courier New"/>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participant's account balance will become fully vested.</w:t>
      </w:r>
    </w:p>
    <w:p>
      <w:pPr>
        <w:spacing w:after="0" w:line="373"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Rollover of Assets from Merged Plans</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both"/>
        <w:ind w:left="600" w:right="2339"/>
        <w:spacing w:after="0" w:line="252" w:lineRule="auto"/>
        <w:rPr>
          <w:sz w:val="20"/>
          <w:szCs w:val="20"/>
          <w:color w:val="auto"/>
        </w:rPr>
      </w:pPr>
      <w:r>
        <w:rPr>
          <w:rFonts w:ascii="Courier New" w:cs="Courier New" w:eastAsia="Courier New" w:hAnsi="Courier New"/>
          <w:sz w:val="16"/>
          <w:szCs w:val="16"/>
          <w:color w:val="auto"/>
        </w:rPr>
        <w:t>Effective April 1, 1999, pursuant to the Company's acquisition of assets associated with the operation of certain cable systems of Marcus Cable Operating Company, L.P. and Marcus Cable of Delaware and Maryland, L.P. ("Marcus"), the Compensation Committee of the Board of Directors of the Company resolved to merge the Marcus</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5"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2000, 1999 AND 1998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jc w:val="both"/>
        <w:ind w:left="600" w:right="2339"/>
        <w:spacing w:after="0" w:line="252" w:lineRule="auto"/>
        <w:rPr>
          <w:sz w:val="20"/>
          <w:szCs w:val="20"/>
          <w:color w:val="auto"/>
        </w:rPr>
      </w:pPr>
      <w:r>
        <w:rPr>
          <w:rFonts w:ascii="Courier New" w:cs="Courier New" w:eastAsia="Courier New" w:hAnsi="Courier New"/>
          <w:sz w:val="16"/>
          <w:szCs w:val="16"/>
          <w:color w:val="auto"/>
        </w:rPr>
        <w:t>Cable Operating Company, L.P. 401(k) Plan (the "Marcus Plan") with and into the Plan. Effective on the merger date, the assets and liabilities of the Marcus Plan became assets and liabilities of the Plan. The transfer is included in the accompanying statement of changes in net assets available for benefits as "Rollovers from merged plans" and approximated $213,000.</w:t>
      </w:r>
    </w:p>
    <w:p>
      <w:pPr>
        <w:spacing w:after="0" w:line="186"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Effective October 1, 1999, pursuant to the Company's acquisition of a controlling interest in Jones Intercable, Inc. ("Jones") on April 7, 1999, the Compensation Committee of the Board of Directors of the Company resolved to merge the Jones Intercable, Inc. Et Al Profit Sharing/Retirement Plan and the Jones Intercable, Inc. Et Al Defined Contribution Transfer Plan (the "Jones Plans") with and into the Plan. Effective on the merger date, the assets and liabilities of the Jones Plans became assets and liabilities of the Plan. The transfer is included in the accompanying statement of changes in net assets available for benefits as "Rollovers from merged plans" and approximated $53,041,000.</w:t>
      </w:r>
    </w:p>
    <w:p>
      <w:pPr>
        <w:spacing w:after="0" w:line="190"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Effective November 1, 1999, pursuant to the Company's acquisition of Greater Philadelphia Cablevision, Inc. ("Greater Philadelphia") from Greater Media, Inc., the Compensation Committee of the Board of Directors of the Company resolved to merge the Greater Media, Inc. 401(k) Plan (the "Greater Media Plan") with and into the Plan. Effective on the merger date, the assets and liabilities of the Greater Media Plan became assets and liabilities of the Plan. The transfer is included in the accompanying statement of changes in net assets available for benefits as "Rollovers from merged plans" and approximated $1,379,000.</w:t>
      </w:r>
    </w:p>
    <w:p>
      <w:pPr>
        <w:spacing w:after="0" w:line="190"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Effective May 1, 2000, pursuant to the Company's acquisition of assets of Garden State Cablevision, L.P., the Compensation Committee of the Board of Directors of the Company resolved to merge the Garden State Cablevision Retirement-Investment Plan (the "GSCTV Plan") with and into the Plan. Effective on the merger date, the assets and liabilities of the GSCTV Plan became assets and liabilities of the Plan. The transfer is included in the accompanying statement of changes in net assets available for benefits as "Rollovers from merged plans" and approximated $11,571,000.</w:t>
      </w:r>
    </w:p>
    <w:p>
      <w:pPr>
        <w:spacing w:after="0" w:line="190"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Effective August 1, 2000, pursuant to the Company's acquisition of assets of Prime Communications--Potomac LLC, the Compensation Committee of the Board of Directors of the Company resolved to merge the Prime Communications--Potomac LLC 401(k) Retirement &amp; Savings Plan and the Prime Cable 401(k) Savings and Security Plan (the "Prime Plans") with and into the Plan. Effective on the merger date, the assets and liabilities of the Prime Plans became assets and liabilities of the Plan. The transfer is included in the accompanying statement of changes in net assets available for benefits as "Rollovers from merged plans" and approximated $5,727,000.</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Removal and Appointment of Trustee</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Effective April 1, 1999, State Street Bank and Trust Company was removed as Trustee of the trust established under the Plan and Putnam Fiduciary Trust Company, a Massachusetts trust company, was appointed Trustee of the trust established under the Plan. Concurrent with the change in Trustee, several mutual funds previously provided as investment funds under the Plan were eliminated and several new mutual funds with similar investment strategies were added.</w:t>
      </w:r>
    </w:p>
    <w:p>
      <w:pPr>
        <w:spacing w:after="0" w:line="190" w:lineRule="exact"/>
        <w:rPr>
          <w:sz w:val="20"/>
          <w:szCs w:val="20"/>
          <w:color w:val="auto"/>
        </w:rPr>
      </w:pPr>
    </w:p>
    <w:p>
      <w:pPr>
        <w:ind w:left="600" w:hanging="599"/>
        <w:spacing w:after="0"/>
        <w:tabs>
          <w:tab w:leader="none" w:pos="6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OPTIONS</w:t>
      </w:r>
    </w:p>
    <w:p>
      <w:pPr>
        <w:spacing w:after="0" w:line="197" w:lineRule="exact"/>
        <w:rPr>
          <w:rFonts w:ascii="Courier New" w:cs="Courier New" w:eastAsia="Courier New" w:hAnsi="Courier New"/>
          <w:sz w:val="16"/>
          <w:szCs w:val="16"/>
          <w:color w:val="auto"/>
        </w:rPr>
      </w:pPr>
    </w:p>
    <w:p>
      <w:pPr>
        <w:jc w:val="both"/>
        <w:ind w:left="6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Upon enrollment in the Plan, a participant may direct employee contributions and employer contributions (if applicable) in whole percentage increments among one or more of the funds listed below. A brief summary of each fund, as described in each fund's prospectus (where applicable), is as follows:</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2000, 1999 AND 1998 (Continued)</w:t>
      </w:r>
    </w:p>
    <w:p>
      <w:pPr>
        <w:spacing w:after="0" w:line="8" w:lineRule="exact"/>
        <w:rPr>
          <w:sz w:val="20"/>
          <w:szCs w:val="20"/>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7"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Dodge and Cox Balanced Fund - The Fund seeks regular income, conservation of principal and an opportunity for long-term growth of principal and income. The Fund invests in a diversified portfolio of common stocks, preferred stocks and bonds. In selecting equity investments, the Fund invests in companies that, in the Fund's opinion, appear to be temporarily undervalued by the stock market and have a favorable outlook for long-term growth. The Fund focuses on the underlying financial condition and prospects of individual companies, including future earnings, cash flow and dividends. Companies are also selected with an emphasis on financial strength and sound economic condition. The returns on these investments vary as the stock and bond markets fluctuate and there is no guarantee of principal or rate of return.</w:t>
      </w:r>
    </w:p>
    <w:p>
      <w:pPr>
        <w:spacing w:after="0" w:line="189"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Investors Fund - The Fund seeks long-term growth of capital and any increased income that results from this growth. The Fund invests mainly in common stocks of United States companies, with a focus on growth stocks. Growth stocks are issued by companies that the Fund believes are fast-growing and whose earnings the Fund believes are likely to increase over time. Growth in earnings may lead to an increase in the price of the stock. The Fund invests mainly in large companies. The return of the Fund varies as the stock markets fluctuate and there is no guarantee of principal or rate of return.</w:t>
      </w:r>
    </w:p>
    <w:p>
      <w:pPr>
        <w:spacing w:after="0" w:line="189"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New Opportunities Fund - The Fund seeks long-term capital appreciation. The Fund invests mainly in common stocks of United States companies, with a focus on growth stocks in sectors of the economy that the Fund believes have high growth potential. Growth stocks are issued by companies that the Fund believes are fast-growing and whose earnings are likely to increase over time. Growth in earnings may lead to an increase in the price of the stock. The growth</w:t>
      </w:r>
    </w:p>
    <w:p>
      <w:pPr>
        <w:jc w:val="both"/>
        <w:ind w:left="98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sectors currently emphasized include communications, media/entertainment, medical technology/cost containment, industrial and environmental services, applied/advanced technology, financial services, consumer products and services and business services. The Fund may invest in companies of any size. The return on the Fund varies as the stock markets fluctuate and there is no guarantee of principal or rate of return.</w:t>
      </w:r>
    </w:p>
    <w:p>
      <w:pPr>
        <w:spacing w:after="0" w:line="189"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International Growth Fund - The Fund seeks capital appreciation. The Fund invests mainly in common stocks of companies outside the United States. The Fund first selects the countries and industries it believes are attractive, then seeks stocks offering opportunity for gain. The Fund looks for companies with stock prices that reflect a value lower than that which the Fund places on the company or whose earnings the Fund believes are likely to grow over time. The Fund also looks for the presence of factors it thinks will cause the stock price to increase. The Fund invests mainly in mid-sized and large companies, although it can invest in companies of any size. Although the Fund emphasizes investments in developed countries, it may also invest in companies located in developing (also known as emerging) markets. The return of the Fund varies as the stock markets fluctuate and there is no guarantee of principal or rate of return.</w:t>
      </w:r>
    </w:p>
    <w:p>
      <w:pPr>
        <w:spacing w:after="0" w:line="379"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Vanguard Windsor II Fund - The Fund seeks to provide long-term growth of capital. As a secondary objective, the Fund seeks to provide some dividend income. The Fund invests primarily in large and medium-sized companies whose stocks are considered by the Fund to be undervalued. Undervalued stocks are generally those that are out of favor with investors and currently trading at prices that, the Fund feels, are below what the stocks are worth in relation to their earnings. These stocks typically, but not always, have lower than average price/earnings (P/E) ratios and higher than average dividend yields. The return of the Fund varies as the stock markets fluctuate and there is no guarantee of principal or rate of return.</w:t>
      </w:r>
    </w:p>
    <w:p>
      <w:pPr>
        <w:spacing w:after="0" w:line="189"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S&amp;P 500 Index Fund - The Fund seeks to achieve a return, before the assessment of any fees, that closely approximates the return of the Standard &amp; Poor's 500 Composite Stock Price Index (the "Index"), a common measure of United States market performance. The Fund will invest primarily in the securities that constitute the Index, either directly or through the purchase of shares of collective investment trusts having investment objectives similar to that of the Fund. The Index is a broad market-weighted composite of 500 selected common stocks, most of which are listed on the New York Stock Exchange.</w:t>
      </w:r>
    </w:p>
    <w:p>
      <w:pPr>
        <w:sectPr>
          <w:pgSz w:w="11900" w:h="16838" w:orient="portrait"/>
          <w:cols w:equalWidth="0" w:num="1">
            <w:col w:w="10219"/>
          </w:cols>
          <w:pgMar w:left="240" w:top="685" w:right="1440" w:bottom="0" w:gutter="0" w:footer="0" w:header="0"/>
        </w:sectPr>
      </w:pPr>
    </w:p>
    <w:bookmarkStart w:id="9" w:name="page10"/>
    <w:bookmarkEnd w:id="9"/>
    <w:p>
      <w:pPr>
        <w:jc w:val="both"/>
        <w:ind w:right="2339"/>
        <w:spacing w:after="0" w:line="253" w:lineRule="auto"/>
        <w:rPr>
          <w:sz w:val="20"/>
          <w:szCs w:val="20"/>
          <w:color w:val="auto"/>
        </w:rPr>
      </w:pPr>
      <w:r>
        <w:rPr>
          <w:rFonts w:ascii="Courier New" w:cs="Courier New" w:eastAsia="Courier New" w:hAnsi="Courier New"/>
          <w:sz w:val="16"/>
          <w:szCs w:val="16"/>
          <w:color w:val="auto"/>
        </w:rPr>
        <w:t>Except as set forth below, the Fund attempts to be fully invested at all times in the stocks that compose the Index either directly or through</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239"/>
          </w:cols>
          <w:pgMar w:left="1220" w:top="14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2000, 1999 AND 1998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collective investment trusts. However, it is not anticipated that the Fund's portfolio will duplicate the Index exactly. To maintain adequate liquidity, the Fund may invest a small portion of its assets in high-quality money market instruments and in money market funds that invest exclusively in high-quality money market instruments. To manage transaction costs and minimize tracking errors between the Fund and the Index, the Fund may invest in exchange-traded stock index futures contracts. The return of the Fund varies as the stock markets fluctuate and there is no guarantee of principal or rate of return.</w:t>
      </w:r>
    </w:p>
    <w:p>
      <w:pPr>
        <w:spacing w:after="0" w:line="190" w:lineRule="exact"/>
        <w:rPr>
          <w:sz w:val="20"/>
          <w:szCs w:val="20"/>
          <w:color w:val="auto"/>
        </w:rPr>
      </w:pPr>
    </w:p>
    <w:p>
      <w:pPr>
        <w:jc w:val="both"/>
        <w:ind w:left="980" w:right="2339" w:hanging="387"/>
        <w:spacing w:after="0" w:line="251" w:lineRule="auto"/>
        <w:tabs>
          <w:tab w:leader="none" w:pos="9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Stock Fund - The assets of the Comcast Corporation Stock Fund are invested in the Company's Class A Special Common Stock. The Fund purchases the stock at prevailing rates in the open market and, in the normal course of business, sells such stock to meet the distribution requirements of the Plan. The value of the Fund fluctuates and there is no guarantee of principal or rate of return.</w:t>
      </w:r>
    </w:p>
    <w:p>
      <w:pPr>
        <w:spacing w:after="0" w:line="189"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Stable Value Fund - The Fund emphasizes stability of principal while seeking to earn a competitive rate of return. The Fund invests in investment contracts issued by insurance companies, banks and other financial institutions. The Fund may also invest in security-backed investment contracts that consist of one or more fixed-income securities and a wrap contract issued by an insurance company, bank or other financial institution. The wrap contract provides book-value liquidity for benefit payments and offers enhanced diversification. The interest rates credited under security-backed investment contracts may vary based on the performance of the specific securities and withdrawal experience.</w:t>
      </w:r>
    </w:p>
    <w:p>
      <w:pPr>
        <w:spacing w:after="0" w:line="189"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Jones Intercable Stock Fund - As of December 31, 1999, the assets of the Jones Intercable Stock Fund were invested in Jones' Class A Common Stock. The Fund was a former fund of the Jones Intercable, Inc. Et Al Profit Sharing/Retirement Plan and became an investment fund of the Plan when the Jones Plans were merged with and into the Plan (see Note 2). The Fund was frozen effective on the merger date, and no purchases of the Jones Class A Common Stock were subsequently made. The Fund sold such stock in the normal course of business to meet the distribution requirements of the Plan. On March 2, 2000, the shareholders of Jones approved a merger pursuant to which the Company acquired all of the remaining shares of Jones not then owned by the Company. As a result, Jones was merged with and into Comcast JOIN Holdings, Inc., a wholly- owned subsidiary of the Company, on that date and Jones common stock ceased to be publicly-traded. Each former Jones stockholder received 1.4 shares of Comcast Class A Special Common Stock for each share of Jones common stock. Each share of Jones Class A Common Stock invested in the Jones Intercable Stock Fund was converted into 1.4 shares of the Company's Class A Special Common Stock and invested in the Comcast Corporation Stock Fund.</w:t>
      </w:r>
    </w:p>
    <w:p>
      <w:pPr>
        <w:spacing w:after="0" w:line="190" w:lineRule="exact"/>
        <w:rPr>
          <w:sz w:val="20"/>
          <w:szCs w:val="20"/>
          <w:color w:val="auto"/>
        </w:rPr>
      </w:pPr>
    </w:p>
    <w:p>
      <w:pPr>
        <w:jc w:val="both"/>
        <w:ind w:left="600" w:right="2339"/>
        <w:spacing w:after="0" w:line="251" w:lineRule="auto"/>
        <w:rPr>
          <w:sz w:val="20"/>
          <w:szCs w:val="20"/>
          <w:color w:val="auto"/>
        </w:rPr>
      </w:pPr>
      <w:r>
        <w:rPr>
          <w:rFonts w:ascii="Courier New" w:cs="Courier New" w:eastAsia="Courier New" w:hAnsi="Courier New"/>
          <w:sz w:val="16"/>
          <w:szCs w:val="16"/>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 If no investment direction is made by a participant, the participant's account is invested in the Comcast Stable Value Fund at the direction of the Plan Administrator.</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2000, 1999 AND 1998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600" w:hanging="599"/>
        <w:spacing w:after="0"/>
        <w:tabs>
          <w:tab w:leader="none" w:pos="6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7" w:lineRule="exact"/>
        <w:rPr>
          <w:rFonts w:ascii="Courier New" w:cs="Courier New" w:eastAsia="Courier New" w:hAnsi="Courier New"/>
          <w:sz w:val="16"/>
          <w:szCs w:val="16"/>
          <w:color w:val="auto"/>
        </w:rPr>
      </w:pPr>
    </w:p>
    <w:p>
      <w:pPr>
        <w:jc w:val="both"/>
        <w:ind w:left="6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investments are held by a trust fund and are presented in the following table. Investments that represent 5% or more of the Plan's net assets available for benefits as of December 31, 2000 and 1999 are separately identified (number of units/shares are rounded to the nearest whole unit or share).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rPr>
              <w:t>December 31, 2000</w:t>
            </w:r>
          </w:p>
        </w:tc>
      </w:tr>
      <w:tr>
        <w:trPr>
          <w:trHeight w:val="190"/>
        </w:trPr>
        <w:tc>
          <w:tcPr>
            <w:tcW w:w="4440" w:type="dxa"/>
            <w:vAlign w:val="bottom"/>
          </w:tcPr>
          <w:p>
            <w:pPr>
              <w:spacing w:after="0"/>
              <w:rPr>
                <w:sz w:val="16"/>
                <w:szCs w:val="16"/>
                <w:color w:val="auto"/>
              </w:rPr>
            </w:pPr>
          </w:p>
        </w:tc>
        <w:tc>
          <w:tcPr>
            <w:tcW w:w="44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ind w:left="840"/>
              <w:spacing w:after="0"/>
              <w:rPr>
                <w:sz w:val="20"/>
                <w:szCs w:val="20"/>
                <w:color w:val="auto"/>
              </w:rPr>
            </w:pPr>
            <w:r>
              <w:rPr>
                <w:rFonts w:ascii="Courier New" w:cs="Courier New" w:eastAsia="Courier New" w:hAnsi="Courier New"/>
                <w:sz w:val="16"/>
                <w:szCs w:val="16"/>
                <w:color w:val="auto"/>
              </w:rPr>
              <w:t>Fair or</w:t>
            </w:r>
          </w:p>
        </w:tc>
      </w:tr>
      <w:tr>
        <w:trPr>
          <w:trHeight w:val="190"/>
        </w:trPr>
        <w:tc>
          <w:tcPr>
            <w:tcW w:w="4440" w:type="dxa"/>
            <w:vAlign w:val="bottom"/>
          </w:tcPr>
          <w:p>
            <w:pPr>
              <w:spacing w:after="0"/>
              <w:rPr>
                <w:sz w:val="16"/>
                <w:szCs w:val="16"/>
                <w:color w:val="auto"/>
              </w:rPr>
            </w:pPr>
          </w:p>
        </w:tc>
        <w:tc>
          <w:tcPr>
            <w:tcW w:w="2620" w:type="dxa"/>
            <w:vAlign w:val="bottom"/>
            <w:gridSpan w:val="2"/>
          </w:tcPr>
          <w:p>
            <w:pPr>
              <w:jc w:val="right"/>
              <w:ind w:right="758"/>
              <w:spacing w:after="0"/>
              <w:rPr>
                <w:sz w:val="20"/>
                <w:szCs w:val="20"/>
                <w:color w:val="auto"/>
              </w:rPr>
            </w:pPr>
            <w:r>
              <w:rPr>
                <w:rFonts w:ascii="Courier New" w:cs="Courier New" w:eastAsia="Courier New" w:hAnsi="Courier New"/>
                <w:sz w:val="16"/>
                <w:szCs w:val="16"/>
                <w:color w:val="auto"/>
              </w:rPr>
              <w:t>Number of</w:t>
            </w:r>
          </w:p>
        </w:tc>
        <w:tc>
          <w:tcPr>
            <w:tcW w:w="1820" w:type="dxa"/>
            <w:vAlign w:val="bottom"/>
          </w:tcPr>
          <w:p>
            <w:pPr>
              <w:ind w:left="840"/>
              <w:spacing w:after="0"/>
              <w:rPr>
                <w:sz w:val="20"/>
                <w:szCs w:val="20"/>
                <w:color w:val="auto"/>
              </w:rPr>
            </w:pPr>
            <w:r>
              <w:rPr>
                <w:rFonts w:ascii="Courier New" w:cs="Courier New" w:eastAsia="Courier New" w:hAnsi="Courier New"/>
                <w:sz w:val="16"/>
                <w:szCs w:val="16"/>
                <w:color w:val="auto"/>
              </w:rPr>
              <w:t>Contract</w:t>
            </w:r>
          </w:p>
        </w:tc>
      </w:tr>
      <w:tr>
        <w:trPr>
          <w:trHeight w:val="190"/>
        </w:trPr>
        <w:tc>
          <w:tcPr>
            <w:tcW w:w="4440" w:type="dxa"/>
            <w:vAlign w:val="bottom"/>
          </w:tcPr>
          <w:p>
            <w:pPr>
              <w:spacing w:after="0"/>
              <w:rPr>
                <w:sz w:val="16"/>
                <w:szCs w:val="16"/>
                <w:color w:val="auto"/>
              </w:rPr>
            </w:pPr>
          </w:p>
        </w:tc>
        <w:tc>
          <w:tcPr>
            <w:tcW w:w="262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Units/Shares</w:t>
            </w:r>
          </w:p>
        </w:tc>
        <w:tc>
          <w:tcPr>
            <w:tcW w:w="18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Value</w:t>
            </w:r>
          </w:p>
        </w:tc>
      </w:tr>
      <w:tr>
        <w:trPr>
          <w:trHeight w:val="190"/>
        </w:trPr>
        <w:tc>
          <w:tcPr>
            <w:tcW w:w="4440" w:type="dxa"/>
            <w:vAlign w:val="bottom"/>
          </w:tcPr>
          <w:p>
            <w:pPr>
              <w:spacing w:after="0"/>
              <w:rPr>
                <w:sz w:val="16"/>
                <w:szCs w:val="16"/>
                <w:color w:val="auto"/>
              </w:rPr>
            </w:pPr>
          </w:p>
        </w:tc>
        <w:tc>
          <w:tcPr>
            <w:tcW w:w="262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440" w:type="dxa"/>
            <w:vAlign w:val="bottom"/>
          </w:tcPr>
          <w:p>
            <w:pPr>
              <w:spacing w:after="0"/>
              <w:rPr>
                <w:sz w:val="20"/>
                <w:szCs w:val="20"/>
                <w:color w:val="auto"/>
              </w:rPr>
            </w:pPr>
            <w:r>
              <w:rPr>
                <w:rFonts w:ascii="Courier New" w:cs="Courier New" w:eastAsia="Courier New" w:hAnsi="Courier New"/>
                <w:sz w:val="16"/>
                <w:szCs w:val="16"/>
                <w:color w:val="auto"/>
              </w:rPr>
              <w:t>Mutual Funds</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Dodge and Cox Balanced Fund</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481,899</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$ 30,562,037</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Putnam Investors Fund</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3,521,321</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54,474,835</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Putnam New Opportunities Fund</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314,337</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18,816,193</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Putnam International Growth Fund</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648,560</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16,084,287</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Vanguard Windsor II Fund</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450,509</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12,253,847</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Putnam S&amp;P 500 Index Fund</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612,289</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19,397,329</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151,588,528</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Comcast Corporation Stock Fund</w:t>
            </w: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Class A Special Common Stock</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3,091,635</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129,075,764</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Cash</w:t>
            </w: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777,957</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129,853,721</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Comcast Stable Value Fund</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The Putnam Stable Value Fund</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32,367,133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32,367,133</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Other investment contracts</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23,894,778</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23,894,778</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56,261,911</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440" w:type="dxa"/>
            <w:vAlign w:val="bottom"/>
          </w:tcPr>
          <w:p>
            <w:pPr>
              <w:spacing w:after="0"/>
              <w:rPr>
                <w:sz w:val="20"/>
                <w:szCs w:val="20"/>
                <w:color w:val="auto"/>
              </w:rPr>
            </w:pPr>
            <w:r>
              <w:rPr>
                <w:rFonts w:ascii="Courier New" w:cs="Courier New" w:eastAsia="Courier New" w:hAnsi="Courier New"/>
                <w:sz w:val="16"/>
                <w:szCs w:val="16"/>
                <w:color w:val="auto"/>
              </w:rPr>
              <w:t>Participant Loan Fund</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(interest rates from 6.28% to 11.00%;</w:t>
            </w: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maturities from 2001 to 2010)</w:t>
            </w: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9,620,740</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$347,324,900</w:t>
            </w:r>
          </w:p>
        </w:tc>
      </w:tr>
      <w:tr>
        <w:trPr>
          <w:trHeight w:val="190"/>
        </w:trPr>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4440" w:type="dxa"/>
            <w:vAlign w:val="bottom"/>
          </w:tcPr>
          <w:p>
            <w:pPr>
              <w:ind w:left="2660"/>
              <w:spacing w:after="0"/>
              <w:rPr>
                <w:sz w:val="20"/>
                <w:szCs w:val="20"/>
                <w:color w:val="auto"/>
              </w:rPr>
            </w:pPr>
            <w:r>
              <w:rPr>
                <w:rFonts w:ascii="Courier New" w:cs="Courier New" w:eastAsia="Courier New" w:hAnsi="Courier New"/>
                <w:sz w:val="16"/>
                <w:szCs w:val="16"/>
                <w:color w:val="auto"/>
              </w:rPr>
              <w:t>-9-</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0219"/>
          </w:cols>
          <w:pgMar w:left="240" w:top="68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2000, 1999 AND 1998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December 31, 1999</w:t>
            </w:r>
          </w:p>
        </w:tc>
      </w:tr>
      <w:tr>
        <w:trPr>
          <w:trHeight w:val="190"/>
        </w:trPr>
        <w:tc>
          <w:tcPr>
            <w:tcW w:w="4440" w:type="dxa"/>
            <w:vAlign w:val="bottom"/>
          </w:tcPr>
          <w:p>
            <w:pPr>
              <w:spacing w:after="0"/>
              <w:rPr>
                <w:sz w:val="16"/>
                <w:szCs w:val="16"/>
                <w:color w:val="auto"/>
              </w:rPr>
            </w:pPr>
          </w:p>
        </w:tc>
        <w:tc>
          <w:tcPr>
            <w:tcW w:w="4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ind w:left="720"/>
              <w:spacing w:after="0"/>
              <w:rPr>
                <w:sz w:val="20"/>
                <w:szCs w:val="20"/>
                <w:color w:val="auto"/>
              </w:rPr>
            </w:pPr>
            <w:r>
              <w:rPr>
                <w:rFonts w:ascii="Courier New" w:cs="Courier New" w:eastAsia="Courier New" w:hAnsi="Courier New"/>
                <w:sz w:val="16"/>
                <w:szCs w:val="16"/>
                <w:color w:val="auto"/>
              </w:rPr>
              <w:t>Fair or</w:t>
            </w:r>
          </w:p>
        </w:tc>
      </w:tr>
      <w:tr>
        <w:trPr>
          <w:trHeight w:val="190"/>
        </w:trPr>
        <w:tc>
          <w:tcPr>
            <w:tcW w:w="4440" w:type="dxa"/>
            <w:vAlign w:val="bottom"/>
          </w:tcPr>
          <w:p>
            <w:pPr>
              <w:spacing w:after="0"/>
              <w:rPr>
                <w:sz w:val="16"/>
                <w:szCs w:val="16"/>
                <w:color w:val="auto"/>
              </w:rPr>
            </w:pPr>
          </w:p>
        </w:tc>
        <w:tc>
          <w:tcPr>
            <w:tcW w:w="17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Number of</w:t>
            </w:r>
          </w:p>
        </w:tc>
        <w:tc>
          <w:tcPr>
            <w:tcW w:w="1040" w:type="dxa"/>
            <w:vAlign w:val="bottom"/>
          </w:tcPr>
          <w:p>
            <w:pPr>
              <w:spacing w:after="0"/>
              <w:rPr>
                <w:sz w:val="16"/>
                <w:szCs w:val="16"/>
                <w:color w:val="auto"/>
              </w:rPr>
            </w:pPr>
          </w:p>
        </w:tc>
        <w:tc>
          <w:tcPr>
            <w:tcW w:w="1920" w:type="dxa"/>
            <w:vAlign w:val="bottom"/>
          </w:tcPr>
          <w:p>
            <w:pPr>
              <w:ind w:left="720"/>
              <w:spacing w:after="0"/>
              <w:rPr>
                <w:sz w:val="20"/>
                <w:szCs w:val="20"/>
                <w:color w:val="auto"/>
              </w:rPr>
            </w:pPr>
            <w:r>
              <w:rPr>
                <w:rFonts w:ascii="Courier New" w:cs="Courier New" w:eastAsia="Courier New" w:hAnsi="Courier New"/>
                <w:sz w:val="16"/>
                <w:szCs w:val="16"/>
                <w:color w:val="auto"/>
              </w:rPr>
              <w:t>Contract</w:t>
            </w:r>
          </w:p>
        </w:tc>
      </w:tr>
      <w:tr>
        <w:trPr>
          <w:trHeight w:val="190"/>
        </w:trPr>
        <w:tc>
          <w:tcPr>
            <w:tcW w:w="4440" w:type="dxa"/>
            <w:vAlign w:val="bottom"/>
          </w:tcPr>
          <w:p>
            <w:pPr>
              <w:spacing w:after="0"/>
              <w:rPr>
                <w:sz w:val="16"/>
                <w:szCs w:val="16"/>
                <w:color w:val="auto"/>
              </w:rPr>
            </w:pPr>
          </w:p>
        </w:tc>
        <w:tc>
          <w:tcPr>
            <w:tcW w:w="2820" w:type="dxa"/>
            <w:vAlign w:val="bottom"/>
            <w:gridSpan w:val="2"/>
          </w:tcPr>
          <w:p>
            <w:pPr>
              <w:jc w:val="center"/>
              <w:ind w:right="158"/>
              <w:spacing w:after="0"/>
              <w:rPr>
                <w:sz w:val="20"/>
                <w:szCs w:val="20"/>
                <w:color w:val="auto"/>
              </w:rPr>
            </w:pPr>
            <w:r>
              <w:rPr>
                <w:rFonts w:ascii="Courier New" w:cs="Courier New" w:eastAsia="Courier New" w:hAnsi="Courier New"/>
                <w:sz w:val="16"/>
                <w:szCs w:val="16"/>
                <w:color w:val="auto"/>
              </w:rPr>
              <w:t>Units/Shares</w:t>
            </w:r>
          </w:p>
        </w:tc>
        <w:tc>
          <w:tcPr>
            <w:tcW w:w="19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Value</w:t>
            </w:r>
          </w:p>
        </w:tc>
      </w:tr>
      <w:tr>
        <w:trPr>
          <w:trHeight w:val="190"/>
        </w:trPr>
        <w:tc>
          <w:tcPr>
            <w:tcW w:w="4440" w:type="dxa"/>
            <w:vAlign w:val="bottom"/>
          </w:tcPr>
          <w:p>
            <w:pPr>
              <w:spacing w:after="0"/>
              <w:rPr>
                <w:sz w:val="16"/>
                <w:szCs w:val="16"/>
                <w:color w:val="auto"/>
              </w:rPr>
            </w:pPr>
          </w:p>
        </w:tc>
        <w:tc>
          <w:tcPr>
            <w:tcW w:w="2820" w:type="dxa"/>
            <w:vAlign w:val="bottom"/>
            <w:gridSpan w:val="2"/>
          </w:tcPr>
          <w:p>
            <w:pPr>
              <w:jc w:val="right"/>
              <w:ind w:right="578"/>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440" w:type="dxa"/>
            <w:vAlign w:val="bottom"/>
          </w:tcPr>
          <w:p>
            <w:pPr>
              <w:spacing w:after="0"/>
              <w:rPr>
                <w:sz w:val="20"/>
                <w:szCs w:val="20"/>
                <w:color w:val="auto"/>
              </w:rPr>
            </w:pPr>
            <w:r>
              <w:rPr>
                <w:rFonts w:ascii="Courier New" w:cs="Courier New" w:eastAsia="Courier New" w:hAnsi="Courier New"/>
                <w:sz w:val="16"/>
                <w:szCs w:val="16"/>
                <w:color w:val="auto"/>
              </w:rPr>
              <w:t>Mutual Funds</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Dodge and Cox Balanced Fund</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375,365</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$ 24,665,250</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Putnam Investors Fund</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3,583,136</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68,975,376</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Putnam New Opportunities Fund</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170,183</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15,726,582</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Putnam International Growth Fund</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444,319</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13,236,255</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Vanguard Windsor II Fund</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222,590</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5,558,064</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Putnam S&amp;P 500 Index Fund</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548,571</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19,167,068</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147,328,595</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Comcast Corporation Stock Fund</w:t>
            </w: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Class A Special Common Stock</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2,778,316</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140,478,600</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Cash</w:t>
            </w: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297,530</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140,776,130</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Comcast Stable Value Fund</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The Putnam Stable Value Fund</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26,102,385</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26,102,385</w:t>
            </w: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Other investment contracts</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32,007,591</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32,007,591</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58,109,976</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440" w:type="dxa"/>
            <w:vAlign w:val="bottom"/>
          </w:tcPr>
          <w:p>
            <w:pPr>
              <w:spacing w:after="0"/>
              <w:rPr>
                <w:sz w:val="20"/>
                <w:szCs w:val="20"/>
                <w:color w:val="auto"/>
              </w:rPr>
            </w:pPr>
            <w:r>
              <w:rPr>
                <w:rFonts w:ascii="Courier New" w:cs="Courier New" w:eastAsia="Courier New" w:hAnsi="Courier New"/>
                <w:sz w:val="16"/>
                <w:szCs w:val="16"/>
                <w:color w:val="auto"/>
              </w:rPr>
              <w:t>Jones Intercable Stock Fund</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Class A Common Stock</w:t>
            </w: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76,875</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5,328,421</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440" w:type="dxa"/>
            <w:vAlign w:val="bottom"/>
          </w:tcPr>
          <w:p>
            <w:pPr>
              <w:spacing w:after="0"/>
              <w:rPr>
                <w:sz w:val="20"/>
                <w:szCs w:val="20"/>
                <w:color w:val="auto"/>
              </w:rPr>
            </w:pPr>
            <w:r>
              <w:rPr>
                <w:rFonts w:ascii="Courier New" w:cs="Courier New" w:eastAsia="Courier New" w:hAnsi="Courier New"/>
                <w:sz w:val="16"/>
                <w:szCs w:val="16"/>
                <w:color w:val="auto"/>
              </w:rPr>
              <w:t>Participant Loan Fund</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(interest rates from 6.28% to 11.50%;</w:t>
            </w: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0"/>
        </w:trPr>
        <w:tc>
          <w:tcPr>
            <w:tcW w:w="4440" w:type="dxa"/>
            <w:vAlign w:val="bottom"/>
          </w:tcPr>
          <w:p>
            <w:pPr>
              <w:ind w:left="400"/>
              <w:spacing w:after="0"/>
              <w:rPr>
                <w:sz w:val="20"/>
                <w:szCs w:val="20"/>
                <w:color w:val="auto"/>
              </w:rPr>
            </w:pPr>
            <w:r>
              <w:rPr>
                <w:rFonts w:ascii="Courier New" w:cs="Courier New" w:eastAsia="Courier New" w:hAnsi="Courier New"/>
                <w:sz w:val="16"/>
                <w:szCs w:val="16"/>
                <w:color w:val="auto"/>
              </w:rPr>
              <w:t>maturities from 2000 to 2010)</w:t>
            </w: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8,910,690</w:t>
            </w:r>
          </w:p>
        </w:tc>
      </w:tr>
      <w:tr>
        <w:trPr>
          <w:trHeight w:val="190"/>
        </w:trPr>
        <w:tc>
          <w:tcPr>
            <w:tcW w:w="4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9080"/>
        <w:spacing w:after="0"/>
        <w:rPr>
          <w:sz w:val="20"/>
          <w:szCs w:val="20"/>
          <w:color w:val="auto"/>
        </w:rPr>
      </w:pPr>
      <w:r>
        <w:rPr>
          <w:rFonts w:ascii="Courier New" w:cs="Courier New" w:eastAsia="Courier New" w:hAnsi="Courier New"/>
          <w:sz w:val="16"/>
          <w:szCs w:val="16"/>
          <w:color w:val="auto"/>
        </w:rPr>
        <w:t>$360,453,812</w:t>
      </w:r>
    </w:p>
    <w:p>
      <w:pPr>
        <w:spacing w:after="0" w:line="8" w:lineRule="exact"/>
        <w:rPr>
          <w:sz w:val="20"/>
          <w:szCs w:val="20"/>
          <w:color w:val="auto"/>
        </w:rPr>
      </w:pPr>
    </w:p>
    <w:p>
      <w:pPr>
        <w:ind w:left="888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jc w:val="both"/>
        <w:ind w:left="600" w:right="2480"/>
        <w:spacing w:after="0" w:line="251" w:lineRule="auto"/>
        <w:rPr>
          <w:sz w:val="20"/>
          <w:szCs w:val="20"/>
          <w:color w:val="auto"/>
        </w:rPr>
      </w:pPr>
      <w:r>
        <w:rPr>
          <w:rFonts w:ascii="Courier New" w:cs="Courier New" w:eastAsia="Courier New" w:hAnsi="Courier New"/>
          <w:sz w:val="16"/>
          <w:szCs w:val="16"/>
          <w:color w:val="auto"/>
        </w:rPr>
        <w:t>The contract and fair values of assets included in the Comcast Stable Value Fund were $56,261,911 and $56,936,205, respectively, as of December 31, 2000. The contract and fair values of assets included in the Comcast Stable Value Fund were $58,109,976 and $57,990,792, respectively, as of December 31, 1999. The average yield of investment contracts held as of December 31, 2000 and 1999 was 6.41% and 6.22%, respectively. The average yield on investment contracts for the years ended December 31, 2000 and 1999 was 6.11% and 6.09%, respectively.</w:t>
      </w:r>
    </w:p>
    <w:p>
      <w:pPr>
        <w:spacing w:after="0" w:line="190" w:lineRule="exact"/>
        <w:rPr>
          <w:sz w:val="20"/>
          <w:szCs w:val="20"/>
          <w:color w:val="auto"/>
        </w:rPr>
      </w:pPr>
    </w:p>
    <w:p>
      <w:pPr>
        <w:ind w:left="600" w:hanging="599"/>
        <w:spacing w:after="0"/>
        <w:tabs>
          <w:tab w:leader="none" w:pos="6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LOANS AND HARDSHIP WITHDRAWALS</w:t>
      </w:r>
    </w:p>
    <w:p>
      <w:pPr>
        <w:spacing w:after="0" w:line="197" w:lineRule="exact"/>
        <w:rPr>
          <w:rFonts w:ascii="Courier New" w:cs="Courier New" w:eastAsia="Courier New" w:hAnsi="Courier New"/>
          <w:sz w:val="16"/>
          <w:szCs w:val="16"/>
          <w:color w:val="auto"/>
        </w:rPr>
      </w:pPr>
    </w:p>
    <w:p>
      <w:pPr>
        <w:jc w:val="both"/>
        <w:ind w:left="600" w:right="248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a rate charged by commercial lenders for comparable loans on the date the loan application is approved. Loan transactions are treated as a transfer from (to) the investment fund to (from) the participant loan fund.</w:t>
      </w:r>
    </w:p>
    <w:p>
      <w:pPr>
        <w:spacing w:after="0" w:line="189" w:lineRule="exact"/>
        <w:rPr>
          <w:rFonts w:ascii="Courier New" w:cs="Courier New" w:eastAsia="Courier New" w:hAnsi="Courier New"/>
          <w:sz w:val="16"/>
          <w:szCs w:val="16"/>
          <w:color w:val="auto"/>
        </w:rPr>
      </w:pPr>
    </w:p>
    <w:p>
      <w:pPr>
        <w:jc w:val="both"/>
        <w:ind w:left="600" w:right="248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withdraw all or a portion of his/her benefits derived from salary reduction, rollovers or the vested portion of employer contributions, and earnings thereon, on account of hardship, as defined by the Plan</w:t>
      </w:r>
    </w:p>
    <w:p>
      <w:pPr>
        <w:sectPr>
          <w:pgSz w:w="11900" w:h="16838" w:orient="portrait"/>
          <w:cols w:equalWidth="0" w:num="1">
            <w:col w:w="10360"/>
          </w:cols>
          <w:pgMar w:left="240" w:top="685" w:right="1299" w:bottom="0" w:gutter="0" w:footer="0" w:header="0"/>
        </w:sectPr>
      </w:pPr>
    </w:p>
    <w:bookmarkStart w:id="13" w:name="page14"/>
    <w:bookmarkEnd w:id="13"/>
    <w:p>
      <w:pPr>
        <w:ind w:left="2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14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 2000, 1999 AND 1998 (Concluded)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jc w:val="both"/>
        <w:ind w:left="600" w:right="2339"/>
        <w:spacing w:after="0" w:line="252" w:lineRule="auto"/>
        <w:rPr>
          <w:sz w:val="20"/>
          <w:szCs w:val="20"/>
          <w:color w:val="auto"/>
        </w:rPr>
      </w:pPr>
      <w:r>
        <w:rPr>
          <w:rFonts w:ascii="Courier New" w:cs="Courier New" w:eastAsia="Courier New" w:hAnsi="Courier New"/>
          <w:sz w:val="16"/>
          <w:szCs w:val="16"/>
          <w:color w:val="auto"/>
        </w:rPr>
        <w:t>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w:t>
      </w:r>
    </w:p>
    <w:p>
      <w:pPr>
        <w:spacing w:after="0" w:line="186" w:lineRule="exact"/>
        <w:rPr>
          <w:sz w:val="20"/>
          <w:szCs w:val="20"/>
          <w:color w:val="auto"/>
        </w:rPr>
      </w:pPr>
    </w:p>
    <w:p>
      <w:pPr>
        <w:ind w:left="600" w:hanging="599"/>
        <w:spacing w:after="0"/>
        <w:tabs>
          <w:tab w:leader="none" w:pos="6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7" w:lineRule="exact"/>
        <w:rPr>
          <w:rFonts w:ascii="Courier New" w:cs="Courier New" w:eastAsia="Courier New" w:hAnsi="Courier New"/>
          <w:sz w:val="16"/>
          <w:szCs w:val="16"/>
          <w:color w:val="auto"/>
        </w:rPr>
      </w:pPr>
    </w:p>
    <w:p>
      <w:pPr>
        <w:jc w:val="both"/>
        <w:ind w:left="6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86" w:lineRule="exact"/>
        <w:rPr>
          <w:rFonts w:ascii="Courier New" w:cs="Courier New" w:eastAsia="Courier New" w:hAnsi="Courier New"/>
          <w:sz w:val="16"/>
          <w:szCs w:val="16"/>
          <w:color w:val="auto"/>
        </w:rPr>
      </w:pPr>
    </w:p>
    <w:p>
      <w:pPr>
        <w:ind w:left="600" w:hanging="599"/>
        <w:spacing w:after="0"/>
        <w:tabs>
          <w:tab w:leader="none" w:pos="6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TAX CONSIDERATIONS</w:t>
      </w:r>
    </w:p>
    <w:p>
      <w:pPr>
        <w:spacing w:after="0" w:line="197" w:lineRule="exact"/>
        <w:rPr>
          <w:rFonts w:ascii="Courier New" w:cs="Courier New" w:eastAsia="Courier New" w:hAnsi="Courier New"/>
          <w:sz w:val="16"/>
          <w:szCs w:val="16"/>
          <w:color w:val="auto"/>
        </w:rPr>
      </w:pPr>
    </w:p>
    <w:p>
      <w:pPr>
        <w:jc w:val="both"/>
        <w:ind w:left="980" w:right="2339" w:hanging="387"/>
        <w:spacing w:after="0" w:line="251" w:lineRule="auto"/>
        <w:tabs>
          <w:tab w:leader="none" w:pos="9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Status of the Plan - The Plan received a determination letter dated December 19, 1995 in which the IRS stated that the Plan, as amended and restated effective January 1, 1993, is qualified and that the trust established under the Plan is tax-exempt. The Plan has been amended since receiving the determination letter (see Note 2). The Company believes that the Plan continues to comply in form and operation with the applicable requirements of the Code. Therefore, the Company believes that the Plan was qualified and the related trust was tax-exempt as of December 31, 2000. Therefore, no provision for income taxes has been included in the Plan's financial statements.</w:t>
      </w:r>
    </w:p>
    <w:p>
      <w:pPr>
        <w:spacing w:after="0" w:line="189" w:lineRule="exact"/>
        <w:rPr>
          <w:rFonts w:ascii="Courier New" w:cs="Courier New" w:eastAsia="Courier New" w:hAnsi="Courier New"/>
          <w:sz w:val="16"/>
          <w:szCs w:val="16"/>
          <w:color w:val="auto"/>
        </w:rPr>
      </w:pPr>
    </w:p>
    <w:p>
      <w:pPr>
        <w:jc w:val="both"/>
        <w:ind w:left="980" w:right="2339" w:hanging="387"/>
        <w:spacing w:after="0" w:line="252" w:lineRule="auto"/>
        <w:tabs>
          <w:tab w:leader="none" w:pos="9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200" w:lineRule="exact"/>
        <w:rPr>
          <w:sz w:val="20"/>
          <w:szCs w:val="20"/>
          <w:color w:val="auto"/>
        </w:rPr>
      </w:pPr>
    </w:p>
    <w:p>
      <w:pPr>
        <w:spacing w:after="0" w:line="36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COMCAST CORPORATION RETIREMENT-INVESTMENT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4620"/>
        <w:spacing w:after="0" w:line="251" w:lineRule="auto"/>
        <w:rPr>
          <w:sz w:val="20"/>
          <w:szCs w:val="20"/>
          <w:color w:val="auto"/>
        </w:rPr>
      </w:pPr>
      <w:r>
        <w:rPr>
          <w:rFonts w:ascii="Courier New" w:cs="Courier New" w:eastAsia="Courier New" w:hAnsi="Courier New"/>
          <w:sz w:val="16"/>
          <w:szCs w:val="16"/>
          <w:color w:val="auto"/>
        </w:rPr>
        <w:t>SCHEDULE H - LINE 4i - SCHEDULE OF ASSETS HELD FOR INVESTMENT PURPOSES DECEMBER 31, 2000</w:t>
      </w: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FEIN #23-1709202</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60" w:type="dxa"/>
            <w:vAlign w:val="bottom"/>
            <w:gridSpan w:val="2"/>
          </w:tcPr>
          <w:p>
            <w:pPr>
              <w:jc w:val="right"/>
              <w:ind w:right="898"/>
              <w:spacing w:after="0"/>
              <w:rPr>
                <w:sz w:val="20"/>
                <w:szCs w:val="20"/>
                <w:color w:val="auto"/>
              </w:rPr>
            </w:pPr>
            <w:r>
              <w:rPr>
                <w:rFonts w:ascii="Courier New" w:cs="Courier New" w:eastAsia="Courier New" w:hAnsi="Courier New"/>
                <w:sz w:val="16"/>
                <w:szCs w:val="16"/>
                <w:color w:val="auto"/>
              </w:rPr>
              <w:t>PLAN #001</w:t>
            </w:r>
          </w:p>
        </w:tc>
      </w:tr>
      <w:tr>
        <w:trPr>
          <w:trHeight w:val="569"/>
        </w:trPr>
        <w:tc>
          <w:tcPr>
            <w:tcW w:w="7000" w:type="dxa"/>
            <w:vAlign w:val="bottom"/>
          </w:tcPr>
          <w:p>
            <w:pPr>
              <w:spacing w:after="0"/>
              <w:rPr>
                <w:sz w:val="24"/>
                <w:szCs w:val="24"/>
                <w:color w:val="auto"/>
              </w:rPr>
            </w:pPr>
          </w:p>
        </w:tc>
        <w:tc>
          <w:tcPr>
            <w:tcW w:w="1980" w:type="dxa"/>
            <w:vAlign w:val="bottom"/>
          </w:tcPr>
          <w:p>
            <w:pPr>
              <w:jc w:val="center"/>
              <w:ind w:left="518"/>
              <w:spacing w:after="0"/>
              <w:rPr>
                <w:sz w:val="20"/>
                <w:szCs w:val="20"/>
                <w:color w:val="auto"/>
              </w:rPr>
            </w:pPr>
            <w:r>
              <w:rPr>
                <w:rFonts w:ascii="Courier New" w:cs="Courier New" w:eastAsia="Courier New" w:hAnsi="Courier New"/>
                <w:sz w:val="16"/>
                <w:szCs w:val="16"/>
                <w:color w:val="auto"/>
              </w:rPr>
              <w:t>Description of</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7000" w:type="dxa"/>
            <w:vAlign w:val="bottom"/>
          </w:tcPr>
          <w:p>
            <w:pPr>
              <w:spacing w:after="0"/>
              <w:rPr>
                <w:sz w:val="16"/>
                <w:szCs w:val="16"/>
                <w:color w:val="auto"/>
              </w:rPr>
            </w:pPr>
          </w:p>
        </w:tc>
        <w:tc>
          <w:tcPr>
            <w:tcW w:w="1980" w:type="dxa"/>
            <w:vAlign w:val="bottom"/>
          </w:tcPr>
          <w:p>
            <w:pPr>
              <w:jc w:val="center"/>
              <w:ind w:left="418"/>
              <w:spacing w:after="0"/>
              <w:rPr>
                <w:sz w:val="20"/>
                <w:szCs w:val="20"/>
                <w:color w:val="auto"/>
              </w:rPr>
            </w:pPr>
            <w:r>
              <w:rPr>
                <w:rFonts w:ascii="Courier New" w:cs="Courier New" w:eastAsia="Courier New" w:hAnsi="Courier New"/>
                <w:sz w:val="16"/>
                <w:szCs w:val="16"/>
                <w:color w:val="auto"/>
              </w:rPr>
              <w:t>Investment,</w:t>
            </w:r>
          </w:p>
        </w:tc>
        <w:tc>
          <w:tcPr>
            <w:tcW w:w="840" w:type="dxa"/>
            <w:vAlign w:val="bottom"/>
          </w:tcPr>
          <w:p>
            <w:pPr>
              <w:spacing w:after="0"/>
              <w:rPr>
                <w:sz w:val="16"/>
                <w:szCs w:val="16"/>
                <w:color w:val="auto"/>
              </w:rPr>
            </w:pPr>
          </w:p>
        </w:tc>
        <w:tc>
          <w:tcPr>
            <w:tcW w:w="16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Fair or</w:t>
            </w:r>
          </w:p>
        </w:tc>
      </w:tr>
      <w:tr>
        <w:trPr>
          <w:trHeight w:val="190"/>
        </w:trPr>
        <w:tc>
          <w:tcPr>
            <w:tcW w:w="7000" w:type="dxa"/>
            <w:vAlign w:val="bottom"/>
          </w:tcPr>
          <w:p>
            <w:pPr>
              <w:ind w:left="2860"/>
              <w:spacing w:after="0"/>
              <w:rPr>
                <w:sz w:val="20"/>
                <w:szCs w:val="20"/>
                <w:color w:val="auto"/>
              </w:rPr>
            </w:pPr>
            <w:r>
              <w:rPr>
                <w:rFonts w:ascii="Courier New" w:cs="Courier New" w:eastAsia="Courier New" w:hAnsi="Courier New"/>
                <w:sz w:val="16"/>
                <w:szCs w:val="16"/>
                <w:color w:val="auto"/>
              </w:rPr>
              <w:t>Identity of</w:t>
            </w:r>
          </w:p>
        </w:tc>
        <w:tc>
          <w:tcPr>
            <w:tcW w:w="2820" w:type="dxa"/>
            <w:vAlign w:val="bottom"/>
            <w:gridSpan w:val="2"/>
          </w:tcPr>
          <w:p>
            <w:pPr>
              <w:jc w:val="center"/>
              <w:ind w:right="178"/>
              <w:spacing w:after="0"/>
              <w:rPr>
                <w:sz w:val="20"/>
                <w:szCs w:val="20"/>
                <w:color w:val="auto"/>
              </w:rPr>
            </w:pPr>
            <w:r>
              <w:rPr>
                <w:rFonts w:ascii="Courier New" w:cs="Courier New" w:eastAsia="Courier New" w:hAnsi="Courier New"/>
                <w:sz w:val="16"/>
                <w:szCs w:val="16"/>
                <w:color w:val="auto"/>
              </w:rPr>
              <w:t>Including Maturity</w:t>
            </w:r>
          </w:p>
        </w:tc>
        <w:tc>
          <w:tcPr>
            <w:tcW w:w="16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Contract</w:t>
            </w:r>
          </w:p>
        </w:tc>
      </w:tr>
      <w:tr>
        <w:trPr>
          <w:trHeight w:val="190"/>
        </w:trPr>
        <w:tc>
          <w:tcPr>
            <w:tcW w:w="7000" w:type="dxa"/>
            <w:vAlign w:val="bottom"/>
          </w:tcPr>
          <w:p>
            <w:pPr>
              <w:ind w:left="2260"/>
              <w:spacing w:after="0"/>
              <w:rPr>
                <w:sz w:val="20"/>
                <w:szCs w:val="20"/>
                <w:color w:val="auto"/>
              </w:rPr>
            </w:pPr>
            <w:r>
              <w:rPr>
                <w:rFonts w:ascii="Courier New" w:cs="Courier New" w:eastAsia="Courier New" w:hAnsi="Courier New"/>
                <w:sz w:val="16"/>
                <w:szCs w:val="16"/>
                <w:color w:val="auto"/>
              </w:rPr>
              <w:t>Issue, Borrower, Lessor</w:t>
            </w:r>
          </w:p>
        </w:tc>
        <w:tc>
          <w:tcPr>
            <w:tcW w:w="2820" w:type="dxa"/>
            <w:vAlign w:val="bottom"/>
            <w:gridSpan w:val="2"/>
          </w:tcPr>
          <w:p>
            <w:pPr>
              <w:jc w:val="center"/>
              <w:ind w:right="278"/>
              <w:spacing w:after="0"/>
              <w:rPr>
                <w:sz w:val="20"/>
                <w:szCs w:val="20"/>
                <w:color w:val="auto"/>
              </w:rPr>
            </w:pPr>
            <w:r>
              <w:rPr>
                <w:rFonts w:ascii="Courier New" w:cs="Courier New" w:eastAsia="Courier New" w:hAnsi="Courier New"/>
                <w:sz w:val="16"/>
                <w:szCs w:val="16"/>
                <w:color w:val="auto"/>
              </w:rPr>
              <w:t>Date, Rate of Interest,</w:t>
            </w:r>
          </w:p>
        </w:tc>
        <w:tc>
          <w:tcPr>
            <w:tcW w:w="162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Value</w:t>
            </w:r>
          </w:p>
        </w:tc>
      </w:tr>
      <w:tr>
        <w:trPr>
          <w:trHeight w:val="190"/>
        </w:trPr>
        <w:tc>
          <w:tcPr>
            <w:tcW w:w="7000" w:type="dxa"/>
            <w:vAlign w:val="bottom"/>
          </w:tcPr>
          <w:p>
            <w:pPr>
              <w:ind w:left="2660"/>
              <w:spacing w:after="0"/>
              <w:rPr>
                <w:sz w:val="20"/>
                <w:szCs w:val="20"/>
                <w:color w:val="auto"/>
              </w:rPr>
            </w:pPr>
            <w:r>
              <w:rPr>
                <w:rFonts w:ascii="Courier New" w:cs="Courier New" w:eastAsia="Courier New" w:hAnsi="Courier New"/>
                <w:sz w:val="16"/>
                <w:szCs w:val="16"/>
                <w:color w:val="auto"/>
              </w:rPr>
              <w:t>or Similar Party</w:t>
            </w:r>
          </w:p>
        </w:tc>
        <w:tc>
          <w:tcPr>
            <w:tcW w:w="2820" w:type="dxa"/>
            <w:vAlign w:val="bottom"/>
            <w:gridSpan w:val="2"/>
          </w:tcPr>
          <w:p>
            <w:pPr>
              <w:jc w:val="center"/>
              <w:ind w:right="278"/>
              <w:spacing w:after="0"/>
              <w:rPr>
                <w:sz w:val="20"/>
                <w:szCs w:val="20"/>
                <w:color w:val="auto"/>
              </w:rPr>
            </w:pPr>
            <w:r>
              <w:rPr>
                <w:rFonts w:ascii="Courier New" w:cs="Courier New" w:eastAsia="Courier New" w:hAnsi="Courier New"/>
                <w:sz w:val="16"/>
                <w:szCs w:val="16"/>
                <w:color w:val="auto"/>
              </w:rPr>
              <w:t>Par or Maturity Value</w:t>
            </w:r>
          </w:p>
        </w:tc>
        <w:tc>
          <w:tcPr>
            <w:tcW w:w="1620" w:type="dxa"/>
            <w:vAlign w:val="bottom"/>
          </w:tcPr>
          <w:p>
            <w:pPr>
              <w:spacing w:after="0"/>
              <w:rPr>
                <w:sz w:val="16"/>
                <w:szCs w:val="16"/>
                <w:color w:val="auto"/>
              </w:rPr>
            </w:pP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7000" w:type="dxa"/>
            <w:vAlign w:val="bottom"/>
          </w:tcPr>
          <w:p>
            <w:pPr>
              <w:spacing w:after="0"/>
              <w:rPr>
                <w:sz w:val="20"/>
                <w:szCs w:val="20"/>
                <w:color w:val="auto"/>
              </w:rPr>
            </w:pPr>
            <w:r>
              <w:rPr>
                <w:rFonts w:ascii="Courier New" w:cs="Courier New" w:eastAsia="Courier New" w:hAnsi="Courier New"/>
                <w:sz w:val="16"/>
                <w:szCs w:val="16"/>
                <w:color w:val="auto"/>
              </w:rPr>
              <w:t>Mutual Funds</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Dodge and Cox Balanced Fund</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481,899</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$ 30,562,037</w:t>
            </w: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Putnam Investors Fund</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3,521,321</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54,474,835</w:t>
            </w: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Putnam New Opportunities Fund</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314,337</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18,816,193</w:t>
            </w: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Putnam International Growth Fund</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648,560</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16,084,287</w:t>
            </w: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Vanguard Windsor II Fund</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450,509</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12,253,847</w:t>
            </w: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Putnam S&amp;P 500 Index Fund</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612,289</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19,397,329</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151,588,528</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7000" w:type="dxa"/>
            <w:vAlign w:val="bottom"/>
          </w:tcPr>
          <w:p>
            <w:pPr>
              <w:spacing w:after="0"/>
              <w:rPr>
                <w:sz w:val="20"/>
                <w:szCs w:val="20"/>
                <w:color w:val="auto"/>
              </w:rPr>
            </w:pPr>
            <w:r>
              <w:rPr>
                <w:rFonts w:ascii="Courier New" w:cs="Courier New" w:eastAsia="Courier New" w:hAnsi="Courier New"/>
                <w:sz w:val="16"/>
                <w:szCs w:val="16"/>
                <w:color w:val="auto"/>
              </w:rPr>
              <w:t>Comcast Corporation* Stock Fund</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Class A Special Common Stock</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3,091,635</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129,075,764</w:t>
            </w: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Cash</w:t>
            </w: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777,957</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129,853,721</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7000" w:type="dxa"/>
            <w:vAlign w:val="bottom"/>
          </w:tcPr>
          <w:p>
            <w:pPr>
              <w:spacing w:after="0"/>
              <w:rPr>
                <w:sz w:val="20"/>
                <w:szCs w:val="20"/>
                <w:color w:val="auto"/>
              </w:rPr>
            </w:pPr>
            <w:r>
              <w:rPr>
                <w:rFonts w:ascii="Courier New" w:cs="Courier New" w:eastAsia="Courier New" w:hAnsi="Courier New"/>
                <w:sz w:val="16"/>
                <w:szCs w:val="16"/>
                <w:color w:val="auto"/>
              </w:rPr>
              <w:t>Comcast Stable Value Fund</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The Putnam Stable Value Fund</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32,367,133</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32,367,133</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Traditional Investment Contracts</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GE Life &amp; Annuity Assurance Co.; 12/16/02 Maturity; 6.00%</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1,186,272</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1,186,272</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John Hancock Life Insurance Co.; 11/22/02 Maturity; 5.83%</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1,507,237</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1,507,237</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Ohio National Life Insurance Co.; 3/14/03 Maturity; 6.26%</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1,193,234</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1,193,234</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Pacific Life Insurance Co.; 4/15/03 Maturity; 5.15%</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2,236,828</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2,236,828</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Principal Life Insurance Co.; 5/15/03 Maturity; 5.45%</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1,682,304</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1,682,304</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SAFECO; 9/16/02 Maturity; 6.93%</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1,406,358</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1,406,358</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Transamerica Occidental; 1/16/01 Maturity; 5.76%</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1,981,085</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1,981,065</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11,193,298</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Security-Backed Investment Contracts</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Bankers Trust; 9/15/02 Maturity; 6.42%</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2,246,701</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2,246,701</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Caisse des Depots; 12/24/01 Maturity; 6.54%</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2,316,726</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2,316,726</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Monumental Life Insurance Co.; 5/15/01 Maturity; 6.90%</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1,136,174</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1,136,174</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Westdeutsche Landsbank; 2/25/03 Maturity; 6.42%</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2,000,611</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2,000,611</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Westdeutsche Landsbank; 9/7/03 Maturity; 6.72%</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2,000,041</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2,000,041</w:t>
            </w:r>
          </w:p>
        </w:tc>
      </w:tr>
      <w:tr>
        <w:trPr>
          <w:trHeight w:val="190"/>
        </w:trPr>
        <w:tc>
          <w:tcPr>
            <w:tcW w:w="7000" w:type="dxa"/>
            <w:vAlign w:val="bottom"/>
          </w:tcPr>
          <w:p>
            <w:pPr>
              <w:ind w:left="700"/>
              <w:spacing w:after="0"/>
              <w:rPr>
                <w:sz w:val="20"/>
                <w:szCs w:val="20"/>
                <w:color w:val="auto"/>
              </w:rPr>
            </w:pPr>
            <w:r>
              <w:rPr>
                <w:rFonts w:ascii="Courier New" w:cs="Courier New" w:eastAsia="Courier New" w:hAnsi="Courier New"/>
                <w:sz w:val="16"/>
                <w:szCs w:val="16"/>
                <w:color w:val="auto"/>
              </w:rPr>
              <w:t>Westdeutsche Landsbank; 9/15/02 Maturity; 6.78%</w:t>
            </w:r>
          </w:p>
        </w:tc>
        <w:tc>
          <w:tcPr>
            <w:tcW w:w="1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3,001,227</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units</w:t>
            </w: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3,001,227</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12,701,480</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7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56,261,911</w:t>
            </w:r>
          </w:p>
        </w:tc>
      </w:tr>
      <w:tr>
        <w:trPr>
          <w:trHeight w:val="190"/>
        </w:trPr>
        <w:tc>
          <w:tcPr>
            <w:tcW w:w="7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7000" w:type="dxa"/>
            <w:vAlign w:val="bottom"/>
          </w:tcPr>
          <w:p>
            <w:pPr>
              <w:spacing w:after="0"/>
              <w:rPr>
                <w:sz w:val="20"/>
                <w:szCs w:val="20"/>
                <w:color w:val="auto"/>
              </w:rPr>
            </w:pPr>
            <w:r>
              <w:rPr>
                <w:rFonts w:ascii="Courier New" w:cs="Courier New" w:eastAsia="Courier New" w:hAnsi="Courier New"/>
                <w:sz w:val="16"/>
                <w:szCs w:val="16"/>
                <w:color w:val="auto"/>
              </w:rPr>
              <w:t>Participant Loan Fund</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(Interest rates from 6.28% to 11.00%;</w:t>
            </w: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0"/>
        </w:trPr>
        <w:tc>
          <w:tcPr>
            <w:tcW w:w="7000" w:type="dxa"/>
            <w:vAlign w:val="bottom"/>
          </w:tcPr>
          <w:p>
            <w:pPr>
              <w:ind w:left="500"/>
              <w:spacing w:after="0"/>
              <w:rPr>
                <w:sz w:val="20"/>
                <w:szCs w:val="20"/>
                <w:color w:val="auto"/>
              </w:rPr>
            </w:pPr>
            <w:r>
              <w:rPr>
                <w:rFonts w:ascii="Courier New" w:cs="Courier New" w:eastAsia="Courier New" w:hAnsi="Courier New"/>
                <w:sz w:val="16"/>
                <w:szCs w:val="16"/>
                <w:color w:val="auto"/>
              </w:rPr>
              <w:t>maturities from 2001 to 2010)</w:t>
            </w: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9,620,740</w:t>
            </w:r>
          </w:p>
        </w:tc>
      </w:tr>
    </w:tbl>
    <w:p>
      <w:pPr>
        <w:spacing w:after="0" w:line="5" w:lineRule="exact"/>
        <w:rPr>
          <w:sz w:val="20"/>
          <w:szCs w:val="20"/>
          <w:color w:val="auto"/>
        </w:rPr>
      </w:pPr>
    </w:p>
    <w:p>
      <w:pPr>
        <w:ind w:left="9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0060"/>
        <w:spacing w:after="0"/>
        <w:rPr>
          <w:sz w:val="20"/>
          <w:szCs w:val="20"/>
          <w:color w:val="auto"/>
        </w:rPr>
      </w:pPr>
      <w:r>
        <w:rPr>
          <w:rFonts w:ascii="Courier New" w:cs="Courier New" w:eastAsia="Courier New" w:hAnsi="Courier New"/>
          <w:sz w:val="16"/>
          <w:szCs w:val="16"/>
          <w:color w:val="auto"/>
        </w:rPr>
        <w:t>$347,324,900</w:t>
      </w:r>
    </w:p>
    <w:p>
      <w:pPr>
        <w:spacing w:after="0" w:line="8" w:lineRule="exact"/>
        <w:rPr>
          <w:sz w:val="20"/>
          <w:szCs w:val="20"/>
          <w:color w:val="auto"/>
        </w:rPr>
      </w:pPr>
    </w:p>
    <w:p>
      <w:pPr>
        <w:ind w:left="99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Represents a party-in-interest to the Plan.</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520"/>
          </w:cols>
          <w:pgMar w:left="240" w:top="1064" w:right="139" w:bottom="2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98"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We consent to the incorporation by reference in Registration Statement No. 33-63223 of Comcast Corporation on Form S-8 of our report dated June 22, 2001 appearing in the Annual Report on Form 11-K of the Comcast Corporation Retirement-Investment Plan for the year ended December 31, 2000.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2001</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64" w:right="1440" w:bottom="1440" w:gutter="0" w:footer="0" w:header="0"/>
        </w:sectPr>
      </w:pPr>
    </w:p>
    <w:bookmarkStart w:id="17" w:name="page18"/>
    <w:bookmarkEnd w:id="17"/>
    <w:p>
      <w:pPr>
        <w:ind w:left="356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THE COMCAST CORPORATION</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RETIREMENT-INVESTMENT PLAN</w:t>
      </w:r>
    </w:p>
    <w:p>
      <w:pPr>
        <w:sectPr>
          <w:pgSz w:w="11900" w:h="16838" w:orient="portrait"/>
          <w:cols w:equalWidth="0" w:num="1">
            <w:col w:w="10219"/>
          </w:cols>
          <w:pgMar w:left="240" w:top="685" w:right="1440" w:bottom="1440" w:gutter="0" w:footer="0" w:header="0"/>
        </w:sectPr>
      </w:pPr>
    </w:p>
    <w:p>
      <w:pPr>
        <w:spacing w:after="0" w:line="38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Administrator</w:t>
      </w:r>
    </w:p>
    <w:p>
      <w:pPr>
        <w:spacing w:after="0" w:line="200" w:lineRule="exact"/>
        <w:rPr>
          <w:sz w:val="20"/>
          <w:szCs w:val="20"/>
          <w:color w:val="auto"/>
        </w:rPr>
      </w:pPr>
    </w:p>
    <w:p>
      <w:pPr>
        <w:sectPr>
          <w:pgSz w:w="11900" w:h="16838" w:orient="portrait"/>
          <w:cols w:equalWidth="0" w:num="2">
            <w:col w:w="4540" w:space="200"/>
            <w:col w:w="5479"/>
          </w:cols>
          <w:pgMar w:left="240" w:top="685"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2001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 Lawrence J. Salva --------------------------------</w:t>
      </w:r>
    </w:p>
    <w:p>
      <w:pPr>
        <w:spacing w:after="0" w:line="1" w:lineRule="exact"/>
        <w:rPr>
          <w:sz w:val="20"/>
          <w:szCs w:val="20"/>
          <w:color w:val="auto"/>
        </w:rPr>
      </w:pPr>
    </w:p>
    <w:p>
      <w:pPr>
        <w:sectPr>
          <w:pgSz w:w="11900" w:h="16838" w:orient="portrait"/>
          <w:cols w:equalWidth="0" w:num="3">
            <w:col w:w="3520" w:space="720"/>
            <w:col w:w="300" w:space="200"/>
            <w:col w:w="5479"/>
          </w:cols>
          <w:pgMar w:left="240" w:top="685"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6"/>
          <w:szCs w:val="16"/>
          <w:color w:val="auto"/>
        </w:rPr>
        <w:t>Lawrence J. Salva</w:t>
      </w:r>
    </w:p>
    <w:p>
      <w:pPr>
        <w:spacing w:after="0" w:line="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Senior Vice President and Chief</w:t>
      </w:r>
    </w:p>
    <w:p>
      <w:pPr>
        <w:spacing w:after="0" w:line="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sectPr>
      <w:pgSz w:w="11900" w:h="16838" w:orient="portrait"/>
      <w:cols w:equalWidth="0" w:num="1">
        <w:col w:w="10219"/>
      </w:cols>
      <w:pgMar w:left="240" w:top="6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
      <w:numFmt w:val="bullet"/>
      <w:start w:val="1"/>
    </w:lvl>
    <w:lvl w:ilvl="1">
      <w:lvlJc w:val="left"/>
      <w:lvlText w:val="%2."/>
      <w:numFmt w:val="lowerLetter"/>
      <w:start w:val="1"/>
    </w:lvl>
  </w:abstractNum>
  <w:abstractNum w:abstractNumId="5">
    <w:nsid w:val="79E2A9E3"/>
    <w:multiLevelType w:val="hybridMultilevel"/>
    <w:lvl w:ilvl="0">
      <w:lvlJc w:val="left"/>
      <w:lvlText w:val="%1."/>
      <w:numFmt w:val="lowerLetter"/>
      <w:start w:val="7"/>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5"/>
    </w:lvl>
  </w:abstractNum>
  <w:abstractNum w:abstractNumId="8">
    <w:nsid w:val="5BD062C2"/>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2019-12-12T23:15:55Z</dcterms:created>
  <dcterms:modified xsi:type="dcterms:W3CDTF">2019-12-12T23:15:55Z</dcterms:modified>
</cp:coreProperties>
</file>