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Cavanagh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325,987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325,987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325,987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subject to the achievement of performance conditions, which were attained on the transaction date. The restricted stock units vest 100% on the 3rd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4481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3353</Characters>
  <CharactersWithSpaces>3906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