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auto"/>
        </w:rPr>
        <w:t>Date of report (Date of earliest event reported): October 26,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Comcast Corporation</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78" w:lineRule="exact"/>
        <w:rPr>
          <w:sz w:val="24"/>
          <w:szCs w:val="24"/>
          <w:color w:val="auto"/>
        </w:rPr>
      </w:pPr>
    </w:p>
    <w:tbl>
      <w:tblPr>
        <w:tblLayout w:type="fixed"/>
        <w:tblInd w:w="1500" w:type="dxa"/>
        <w:tblCellMar>
          <w:top w:w="0" w:type="dxa"/>
          <w:left w:w="0" w:type="dxa"/>
          <w:bottom w:w="0" w:type="dxa"/>
          <w:right w:w="0" w:type="dxa"/>
        </w:tblCellMar>
      </w:tblPr>
      <w:tr>
        <w:trPr>
          <w:trHeight w:val="218"/>
        </w:trPr>
        <w:tc>
          <w:tcPr>
            <w:tcW w:w="4480" w:type="dxa"/>
            <w:vAlign w:val="bottom"/>
          </w:tcPr>
          <w:p>
            <w:pPr>
              <w:jc w:val="center"/>
              <w:ind w:right="1682"/>
              <w:spacing w:after="0"/>
              <w:rPr>
                <w:sz w:val="20"/>
                <w:szCs w:val="20"/>
                <w:color w:val="auto"/>
              </w:rPr>
            </w:pPr>
            <w:r>
              <w:rPr>
                <w:rFonts w:ascii="Arial" w:cs="Arial" w:eastAsia="Arial" w:hAnsi="Arial"/>
                <w:sz w:val="18"/>
                <w:szCs w:val="18"/>
                <w:b w:val="1"/>
                <w:bCs w:val="1"/>
                <w:color w:val="auto"/>
                <w:w w:val="88"/>
              </w:rPr>
              <w:t>001-32871</w:t>
            </w:r>
          </w:p>
        </w:tc>
        <w:tc>
          <w:tcPr>
            <w:tcW w:w="3680" w:type="dxa"/>
            <w:vAlign w:val="bottom"/>
          </w:tcPr>
          <w:p>
            <w:pPr>
              <w:jc w:val="center"/>
              <w:ind w:left="1642"/>
              <w:spacing w:after="0"/>
              <w:rPr>
                <w:sz w:val="20"/>
                <w:szCs w:val="20"/>
                <w:color w:val="auto"/>
              </w:rPr>
            </w:pPr>
            <w:r>
              <w:rPr>
                <w:rFonts w:ascii="Arial" w:cs="Arial" w:eastAsia="Arial" w:hAnsi="Arial"/>
                <w:sz w:val="18"/>
                <w:szCs w:val="18"/>
                <w:b w:val="1"/>
                <w:bCs w:val="1"/>
                <w:color w:val="auto"/>
                <w:w w:val="87"/>
              </w:rPr>
              <w:t>27-0000798</w:t>
            </w:r>
          </w:p>
        </w:tc>
      </w:tr>
      <w:tr>
        <w:trPr>
          <w:trHeight w:val="174"/>
        </w:trPr>
        <w:tc>
          <w:tcPr>
            <w:tcW w:w="4480" w:type="dxa"/>
            <w:vAlign w:val="bottom"/>
          </w:tcPr>
          <w:p>
            <w:pPr>
              <w:jc w:val="center"/>
              <w:ind w:right="1682"/>
              <w:spacing w:after="0"/>
              <w:rPr>
                <w:sz w:val="20"/>
                <w:szCs w:val="20"/>
                <w:color w:val="auto"/>
              </w:rPr>
            </w:pPr>
            <w:r>
              <w:rPr>
                <w:rFonts w:ascii="Arial" w:cs="Arial" w:eastAsia="Arial" w:hAnsi="Arial"/>
                <w:sz w:val="14"/>
                <w:szCs w:val="14"/>
                <w:b w:val="1"/>
                <w:bCs w:val="1"/>
                <w:color w:val="auto"/>
                <w:w w:val="87"/>
              </w:rPr>
              <w:t>(Commission File Number)</w:t>
            </w:r>
          </w:p>
        </w:tc>
        <w:tc>
          <w:tcPr>
            <w:tcW w:w="3680" w:type="dxa"/>
            <w:vAlign w:val="bottom"/>
          </w:tcPr>
          <w:p>
            <w:pPr>
              <w:jc w:val="center"/>
              <w:ind w:left="164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93"/>
        </w:trPr>
        <w:tc>
          <w:tcPr>
            <w:tcW w:w="4480" w:type="dxa"/>
            <w:vAlign w:val="bottom"/>
          </w:tcPr>
          <w:p>
            <w:pPr>
              <w:jc w:val="center"/>
              <w:ind w:right="1662"/>
              <w:spacing w:after="0"/>
              <w:rPr>
                <w:sz w:val="20"/>
                <w:szCs w:val="20"/>
                <w:color w:val="auto"/>
              </w:rPr>
            </w:pPr>
            <w:r>
              <w:rPr>
                <w:rFonts w:ascii="Arial" w:cs="Arial" w:eastAsia="Arial" w:hAnsi="Arial"/>
                <w:sz w:val="18"/>
                <w:szCs w:val="18"/>
                <w:b w:val="1"/>
                <w:bCs w:val="1"/>
                <w:color w:val="auto"/>
                <w:w w:val="89"/>
              </w:rPr>
              <w:t>1500 Market Street Philadelphia, PA</w:t>
            </w:r>
          </w:p>
        </w:tc>
        <w:tc>
          <w:tcPr>
            <w:tcW w:w="3680" w:type="dxa"/>
            <w:vAlign w:val="bottom"/>
          </w:tcPr>
          <w:p>
            <w:pPr>
              <w:jc w:val="center"/>
              <w:ind w:left="1642"/>
              <w:spacing w:after="0"/>
              <w:rPr>
                <w:sz w:val="20"/>
                <w:szCs w:val="20"/>
                <w:color w:val="auto"/>
              </w:rPr>
            </w:pPr>
            <w:r>
              <w:rPr>
                <w:rFonts w:ascii="Arial" w:cs="Arial" w:eastAsia="Arial" w:hAnsi="Arial"/>
                <w:sz w:val="18"/>
                <w:szCs w:val="18"/>
                <w:b w:val="1"/>
                <w:bCs w:val="1"/>
                <w:color w:val="auto"/>
                <w:w w:val="87"/>
              </w:rPr>
              <w:t>19102-2148</w:t>
            </w:r>
          </w:p>
        </w:tc>
      </w:tr>
      <w:tr>
        <w:trPr>
          <w:trHeight w:val="174"/>
        </w:trPr>
        <w:tc>
          <w:tcPr>
            <w:tcW w:w="4480" w:type="dxa"/>
            <w:vAlign w:val="bottom"/>
          </w:tcPr>
          <w:p>
            <w:pPr>
              <w:jc w:val="center"/>
              <w:ind w:right="166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680" w:type="dxa"/>
            <w:vAlign w:val="bottom"/>
          </w:tcPr>
          <w:p>
            <w:pPr>
              <w:jc w:val="center"/>
              <w:ind w:left="166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(215) 665-1700</w:t>
      </w:r>
    </w:p>
    <w:p>
      <w:pPr>
        <w:spacing w:after="0" w:line="374"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Attached as Exhibit 100 to this report are the following financial statements from Comcast Corporation’s Quarterly Report on Form 10-Q for the three and nine months ended September 30, 2007, filed with the Securities and Exchange Commission on October 26, 2007, formatted in XBRL (eXtensible Business Reporting Language): (i) the Condensed Consolidated Balance Sheet as of September 30, 2007 and December 31, 2006, (ii) the Condensed Consolidated Statement of Operations for the Three and Nine Months Ended September 30, 2007 and 2006, and (iii) the Condensed Consolidated Statement of Cash Flows for the Nine Months Ended September 30, 2007 and 2006. Users of this data are advised pursuant to Rule 401 of Regulation S-T that the financial and other information contained in the XBRL document is unaudited and that these are not the official publicly filed financial statements of Comcast Corporation. The purpose of submitting these XBRL formatted documents is to test the related format and technology and, as a result, investors should continue to rely on the official filed version of the furnished documents and not rely on the information in this Current Report on Form 8-K, including Exhibit 100, in making investment decisions.</w:t>
      </w:r>
    </w:p>
    <w:p>
      <w:pPr>
        <w:spacing w:after="0" w:line="10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accordance with Rule 402 of Regulation S-T, the information in this Current Report on Form 8-K, including Exhibit 100,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4" w:lineRule="exact"/>
        <w:rPr>
          <w:sz w:val="20"/>
          <w:szCs w:val="20"/>
          <w:color w:val="auto"/>
        </w:rPr>
      </w:pPr>
    </w:p>
    <w:p>
      <w:pPr>
        <w:ind w:left="820" w:hanging="812"/>
        <w:spacing w:after="0" w:line="255"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financial statements from Comcast Corporation’s Quarterly Report on Form 10-Q for the three and nine months ended September 30, 2007, filed with the Securities and Exchange Commission on October 26, 2007, formatted in XBRL: (i) the Condensed Consolidated Balance Sheet as of September 30, 2007 and December 31, 2006, (ii) the Condensed Consolidated Statement of Operations for the Three and Nine Months Ended September 30, 2007 and 2006, and (iii) the Condensed Consolidated Statement of Cash Flows for the Nine Months Ended September 30, 2007 and 2006.</w:t>
      </w:r>
    </w:p>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November 27, 2007</w:t>
      </w:r>
      <w:r>
        <w:rPr>
          <w:sz w:val="20"/>
          <w:szCs w:val="20"/>
          <w:color w:val="auto"/>
        </w:rPr>
        <w:tab/>
      </w:r>
      <w:r>
        <w:rPr>
          <w:rFonts w:ascii="Arial" w:cs="Arial" w:eastAsia="Arial" w:hAnsi="Arial"/>
          <w:sz w:val="16"/>
          <w:szCs w:val="16"/>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Lawrence J. Salva</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Chief Accounting Officer and Controller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Accounting Officer)</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2019-12-12T03:04:37Z</dcterms:created>
  <dcterms:modified xsi:type="dcterms:W3CDTF">2019-12-12T03:04:37Z</dcterms:modified>
</cp:coreProperties>
</file>