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14a-6(b)</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7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are excerpts from an investor conference:</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Jessica Reif Cohen</w:t>
      </w:r>
    </w:p>
    <w:p>
      <w:pPr>
        <w:spacing w:after="0" w:line="27" w:lineRule="exact"/>
        <w:rPr>
          <w:sz w:val="24"/>
          <w:szCs w:val="24"/>
          <w:color w:val="auto"/>
        </w:rPr>
      </w:pPr>
    </w:p>
    <w:p>
      <w:pPr>
        <w:ind w:right="40"/>
        <w:spacing w:after="0" w:line="262" w:lineRule="auto"/>
        <w:rPr>
          <w:sz w:val="20"/>
          <w:szCs w:val="20"/>
          <w:color w:val="auto"/>
        </w:rPr>
      </w:pPr>
      <w:r>
        <w:rPr>
          <w:rFonts w:ascii="Arial" w:cs="Arial" w:eastAsia="Arial" w:hAnsi="Arial"/>
          <w:sz w:val="18"/>
          <w:szCs w:val="18"/>
          <w:color w:val="auto"/>
        </w:rPr>
        <w:t>…So let's switch gears to the pending transactions. Can you give us any updates on the progress towards closing the announced acquisition of Time Warner Cable, the timeline to complete the related Charter transaction?</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Brian Roberts</w:t>
      </w:r>
    </w:p>
    <w:p>
      <w:pPr>
        <w:spacing w:after="0" w:line="27" w:lineRule="exact"/>
        <w:rPr>
          <w:sz w:val="24"/>
          <w:szCs w:val="24"/>
          <w:color w:val="auto"/>
        </w:rPr>
      </w:pPr>
    </w:p>
    <w:p>
      <w:pPr>
        <w:ind w:right="20"/>
        <w:spacing w:after="0" w:line="251" w:lineRule="auto"/>
        <w:rPr>
          <w:sz w:val="20"/>
          <w:szCs w:val="20"/>
          <w:color w:val="auto"/>
        </w:rPr>
      </w:pPr>
      <w:r>
        <w:rPr>
          <w:rFonts w:ascii="Arial" w:cs="Arial" w:eastAsia="Arial" w:hAnsi="Arial"/>
          <w:sz w:val="18"/>
          <w:szCs w:val="18"/>
          <w:color w:val="auto"/>
        </w:rPr>
        <w:t>I don't know that I have any new today except to just reinforce what I think you already know, which is we are saying publicly the beginning of 2015 we have the shareholder vote coming up in October for both companies. Everything is on track. The total lengthy review process that all of the cable deals have at least gone through and so far that's what's been going on and I'm cautiously optimistic here, as we always had said in the beginning, it's going to get lots of scrutiny, but we don't compete and overlap in any markets. We are bringing better products we believe to New York, Los Angeles, Texas and other markets than exist today. We are going to be able to spend more money, have a stronger balance sheet than other companies and I think the scale will bring real benefits and we think public interest filings to make our case to that effect and the process is underway in earnest. We've gotten many state and local communities to already approve the transfer. It is a complicated deal, as you know. There's multiple parts. There's a spin transaction, as well as a sale and a swap. So lots of things that are more complicated than normal, but basically we are hopeful that we will put it all in place (inaudible) the end of the year.</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Jessica Reif Cohen</w:t>
      </w:r>
    </w:p>
    <w:p>
      <w:pPr>
        <w:spacing w:after="0" w:line="27" w:lineRule="exact"/>
        <w:rPr>
          <w:sz w:val="24"/>
          <w:szCs w:val="24"/>
          <w:color w:val="auto"/>
        </w:rPr>
      </w:pPr>
    </w:p>
    <w:p>
      <w:pPr>
        <w:ind w:right="60"/>
        <w:spacing w:after="0" w:line="254" w:lineRule="auto"/>
        <w:rPr>
          <w:sz w:val="20"/>
          <w:szCs w:val="20"/>
          <w:color w:val="auto"/>
        </w:rPr>
      </w:pPr>
      <w:r>
        <w:rPr>
          <w:rFonts w:ascii="Arial" w:cs="Arial" w:eastAsia="Arial" w:hAnsi="Arial"/>
          <w:sz w:val="18"/>
          <w:szCs w:val="18"/>
          <w:color w:val="auto"/>
        </w:rPr>
        <w:t>You and your team have been very clear on laying out the expense and capital spending synergies, but you've been a lot less specific in guidance in terms of the potential revenue synergies. Can you discuss the impact the acquisition will have on business services, advertising? It seems like there's two opportunities there, targeted advertising or addressable, as well as national. So anything you can help with in terms of what the revenue benefits will be?</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Brian Roberts</w:t>
      </w:r>
    </w:p>
    <w:p>
      <w:pPr>
        <w:spacing w:after="0" w:line="27" w:lineRule="exact"/>
        <w:rPr>
          <w:sz w:val="24"/>
          <w:szCs w:val="24"/>
          <w:color w:val="auto"/>
        </w:rPr>
      </w:pPr>
    </w:p>
    <w:p>
      <w:pPr>
        <w:ind w:right="40"/>
        <w:spacing w:after="0" w:line="251" w:lineRule="auto"/>
        <w:rPr>
          <w:sz w:val="20"/>
          <w:szCs w:val="20"/>
          <w:color w:val="auto"/>
        </w:rPr>
      </w:pPr>
      <w:r>
        <w:rPr>
          <w:rFonts w:ascii="Arial" w:cs="Arial" w:eastAsia="Arial" w:hAnsi="Arial"/>
          <w:sz w:val="18"/>
          <w:szCs w:val="18"/>
          <w:color w:val="auto"/>
        </w:rPr>
        <w:t>Well, let me -- I'd rather underpromise and overdeliver than the other case and so we came in initially and said don't assume any revenue synergies. Here is what the expense synergies are around $1.5 billion a year. It will take us about three years to ramp to that level. So let me just say we have now been at it for nearly six months or so and that our work that Neil Smit and his team are doing who runs our cable business reveals no surprises to the negative and hopefully some opportunities to the positive. But work is ongoing and I feel better about it today than I did six months ago. On the revenue side, we have not said anything yet specific. I think that a lot depends market by market, but you have public information as do we that our revenue per customer has been higher in most of our markets than in the Time Warner markets in certain categories and certain products. So we think there are opportunities to package differently, to emphasize differently, have done some things in single play. We've done more things in triple play. It's not uniformly one statement, but I think we feel again that there are real opportunities and I think Neil has commented on that in the past as well. And I think at some point when we get at closing and beyond, we will get more granular, but I think it's around 6.5 times cash flow was the price that we said at the time that if we did all that just on the expense synergies in that window that would be perhaps the best price that we've gotten for any cable acquisition in the 50 year history of the Company. That would be the lowest price, so you really have to ask yourself how do you feel about the business. And we continue and I continue to feel extremely positive. It's not that there aren't a lot of issues to talk about at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 w:name="page2"/>
    <w:bookmarkEnd w:id="1"/>
    <w:p>
      <w:pPr>
        <w:spacing w:after="0" w:line="253" w:lineRule="auto"/>
        <w:rPr>
          <w:sz w:val="20"/>
          <w:szCs w:val="20"/>
          <w:color w:val="auto"/>
        </w:rPr>
      </w:pPr>
      <w:r>
        <w:rPr>
          <w:rFonts w:ascii="Arial" w:cs="Arial" w:eastAsia="Arial" w:hAnsi="Arial"/>
          <w:sz w:val="18"/>
          <w:szCs w:val="18"/>
          <w:color w:val="auto"/>
        </w:rPr>
        <w:t>conference and beyond and internally as management on changes to that business, but the broadband pipe, the two-way nature of the hybrid fiber co-ax, the ability to sell new products and to go to your best customers and sell them even more new products, to take advantage of more of a national footprint like some of our competitors have for things like business services and advertising that are real revenue opportunities just feel intuitive and feel very real. And how to size them is something we will work on and you can make your own model, but I like the opportunity and that's what got us excited to do the deal in the first place and nothing has changed since then.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So as we look at Time Warner, we think it's really great to pick up New York and LA and to be able to look at the Comcast markets all up and down the East Coast where there is a lot of congestion and a need for WiFi and commuting times for people working and cafes and outside of the home experiences.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Jessica Reif Cohen</w:t>
      </w:r>
    </w:p>
    <w:p>
      <w:pPr>
        <w:spacing w:after="0" w:line="27" w:lineRule="exact"/>
        <w:rPr>
          <w:sz w:val="20"/>
          <w:szCs w:val="20"/>
          <w:color w:val="auto"/>
        </w:rPr>
      </w:pPr>
    </w:p>
    <w:p>
      <w:pPr>
        <w:ind w:right="140" w:firstLine="8"/>
        <w:spacing w:after="0" w:line="254" w:lineRule="auto"/>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 switching gears a little bit, you've committed to an incremental $2.5 billion in share repurchases by the close of this Time Warner Cable acquisition, post the shareholder vote and before the close. But you have not committed to a specific repurchase amount in 2015, but clearly you will have significant capacity. We estimate nearly $15 billion once you close the Charter transaction. When can we expect some kind of comment from you on a specific buyback for 2015?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Brian Roberts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 think at the close of the transaction. When we know exactly where we are at, we will have more to comment than what we've already announced. Typically that has been around our February fourth-quarter earnings results we've laid out the capital plan for the next 12 months. We did that last year. We did that the year before. And I would suspect we will try to do that again. The only difference may be the timing of the close versus that date and so around the close, we hope to have transparency. I would also mention, because I think you didn't mention it and in addition to the $3 billion buyback that we are doing in 2014, you are correct, there is an additional $2.5 billion that we said we would do as soon as we got the shareholder vote. So between that date and the closing….</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 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6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568960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71" w:right="259" w:bottom="1440" w:gutter="0" w:footer="0" w:header="0"/>
        </w:sectPr>
      </w:pPr>
    </w:p>
    <w:bookmarkStart w:id="2" w:name="page3"/>
    <w:bookmarkEnd w:id="2"/>
    <w:p>
      <w:pPr>
        <w:spacing w:after="0" w:line="251" w:lineRule="auto"/>
        <w:rPr>
          <w:sz w:val="20"/>
          <w:szCs w:val="20"/>
          <w:color w:val="auto"/>
        </w:rPr>
      </w:pPr>
      <w:r>
        <w:rPr>
          <w:rFonts w:ascii="Arial" w:cs="Arial" w:eastAsia="Arial" w:hAnsi="Arial"/>
          <w:sz w:val="18"/>
          <w:szCs w:val="18"/>
          <w:color w:val="auto"/>
        </w:rPr>
        <w:t>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70" w:right="259" w:bottom="1440" w:gutter="0" w:footer="0" w:header="0"/>
        </w:sectPr>
      </w:pPr>
    </w:p>
    <w:bookmarkStart w:id="3" w:name="page4"/>
    <w:bookmarkEnd w:id="3"/>
    <w:p>
      <w:pPr>
        <w:spacing w:after="0" w:line="251" w:lineRule="auto"/>
        <w:rPr>
          <w:sz w:val="20"/>
          <w:szCs w:val="20"/>
          <w:color w:val="auto"/>
        </w:rPr>
      </w:pPr>
      <w:r>
        <w:rPr>
          <w:rFonts w:ascii="Arial" w:cs="Arial" w:eastAsia="Arial" w:hAnsi="Arial"/>
          <w:sz w:val="18"/>
          <w:szCs w:val="18"/>
          <w:color w:val="auto"/>
        </w:rPr>
        <w:t>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sectPr>
      <w:pgSz w:w="11900" w:h="16838" w:orient="portrait"/>
      <w:cols w:equalWidth="0" w:num="1">
        <w:col w:w="11240"/>
      </w:cols>
      <w:pgMar w:left="240" w:top="107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2019-12-16T12:31:35Z</dcterms:created>
  <dcterms:modified xsi:type="dcterms:W3CDTF">2019-12-16T12:31:35Z</dcterms:modified>
</cp:coreProperties>
</file>