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24"/>
        <w:gridCol w:w="905"/>
        <w:gridCol w:w="778"/>
        <w:gridCol w:w="601"/>
        <w:gridCol w:w="330"/>
        <w:gridCol w:w="984"/>
        <w:gridCol w:w="401"/>
        <w:gridCol w:w="981"/>
        <w:gridCol w:w="1566"/>
        <w:gridCol w:w="935"/>
        <w:gridCol w:w="9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11/14/2023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276,719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17,525,660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  <w:tr>
        <w:trPr/>
        <w:tc>
          <w:tcPr>
            <w:tcW w:w="18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11/14/2023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616,143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41.9179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16,909,517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  <w:tr>
        <w:trPr/>
        <w:tc>
          <w:tcPr>
            <w:tcW w:w="18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6,951,876.526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$41.770 to $42.215.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exempt estate planning transactions pursuant to Rule 16a-13 that resulted in a net increase in the number of shares of Class A common stock (i) directly owned by the Reporting Person and (ii) indirectly owned by the Trusts and a corresponding net decrease in the number of shares of Class A common stock indirectly owned by the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6394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706</Words>
  <Characters>3795</Characters>
  <CharactersWithSpaces>4423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