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FORM 11-K</w:t>
      </w:r>
    </w:p>
    <w:p>
      <w:pPr>
        <w:spacing w:after="0" w:line="2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ANNUAL REPORT</w:t>
      </w:r>
    </w:p>
    <w:p>
      <w:pPr>
        <w:spacing w:after="0" w:line="23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color w:val="auto"/>
        </w:rPr>
        <w:t>Pursuant to Section 15(d) of the</w:t>
      </w:r>
    </w:p>
    <w:p>
      <w:pPr>
        <w:spacing w:after="0" w:line="1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2000250</wp:posOffset>
            </wp:positionH>
            <wp:positionV relativeFrom="paragraph">
              <wp:posOffset>150495</wp:posOffset>
            </wp:positionV>
            <wp:extent cx="245237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23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24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(Mark One):</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1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ANNUAL REPORT PURSUANT TO SECTION 15(d) OF THE SECURITIES</w:t>
            </w:r>
          </w:p>
        </w:tc>
      </w:tr>
      <w:tr>
        <w:trPr>
          <w:trHeight w:val="230"/>
        </w:trPr>
        <w:tc>
          <w:tcPr>
            <w:tcW w:w="100" w:type="dxa"/>
            <w:vAlign w:val="bottom"/>
          </w:tcPr>
          <w:p>
            <w:pPr>
              <w:spacing w:after="0"/>
              <w:rPr>
                <w:sz w:val="20"/>
                <w:szCs w:val="20"/>
                <w:color w:val="auto"/>
              </w:rPr>
            </w:pPr>
          </w:p>
        </w:tc>
        <w:tc>
          <w:tcPr>
            <w:tcW w:w="48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22"/>
                <w:szCs w:val="22"/>
                <w:color w:val="auto"/>
                <w:w w:val="87"/>
              </w:rPr>
              <w:t>X</w:t>
            </w:r>
          </w:p>
        </w:tc>
        <w:tc>
          <w:tcPr>
            <w:tcW w:w="7120" w:type="dxa"/>
            <w:vAlign w:val="bottom"/>
          </w:tcPr>
          <w:p>
            <w:pPr>
              <w:ind w:left="240"/>
              <w:spacing w:after="0" w:line="230" w:lineRule="exact"/>
              <w:rPr>
                <w:sz w:val="20"/>
                <w:szCs w:val="20"/>
                <w:color w:val="auto"/>
              </w:rPr>
            </w:pPr>
            <w:r>
              <w:rPr>
                <w:rFonts w:ascii="Times New Roman" w:cs="Times New Roman" w:eastAsia="Times New Roman" w:hAnsi="Times New Roman"/>
                <w:sz w:val="22"/>
                <w:szCs w:val="22"/>
                <w:color w:val="auto"/>
              </w:rPr>
              <w:t>EXCHANGE ACT OF 1934.</w:t>
            </w:r>
          </w:p>
        </w:tc>
      </w:tr>
      <w:tr>
        <w:trPr>
          <w:trHeight w:val="303"/>
        </w:trPr>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1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For the fiscal year ended December 31, 2004.</w:t>
            </w:r>
          </w:p>
        </w:tc>
      </w:tr>
      <w:tr>
        <w:trPr>
          <w:trHeight w:val="810"/>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20" w:type="dxa"/>
            <w:vAlign w:val="bottom"/>
          </w:tcPr>
          <w:p>
            <w:pPr>
              <w:ind w:left="3900"/>
              <w:spacing w:after="0"/>
              <w:rPr>
                <w:sz w:val="20"/>
                <w:szCs w:val="20"/>
                <w:color w:val="auto"/>
              </w:rPr>
            </w:pPr>
            <w:r>
              <w:rPr>
                <w:rFonts w:ascii="Times New Roman" w:cs="Times New Roman" w:eastAsia="Times New Roman" w:hAnsi="Times New Roman"/>
                <w:sz w:val="22"/>
                <w:szCs w:val="22"/>
                <w:color w:val="auto"/>
              </w:rPr>
              <w:t>OR</w:t>
            </w:r>
          </w:p>
        </w:tc>
      </w:tr>
      <w:tr>
        <w:trPr>
          <w:trHeight w:val="528"/>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TRANSITION REPORT PURSUANT TO SECTION 15(d) OF THE</w:t>
            </w:r>
          </w:p>
        </w:tc>
      </w:tr>
      <w:tr>
        <w:trPr>
          <w:trHeight w:val="270"/>
        </w:trPr>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2"/>
                <w:szCs w:val="22"/>
                <w:color w:val="auto"/>
                <w:w w:val="96"/>
              </w:rPr>
              <w:t>___</w:t>
            </w:r>
          </w:p>
        </w:tc>
        <w:tc>
          <w:tcPr>
            <w:tcW w:w="71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SECURITIES EXCHANGE ACT OF 1934.</w:t>
            </w:r>
          </w:p>
        </w:tc>
      </w:tr>
      <w:tr>
        <w:trPr>
          <w:trHeight w:val="283"/>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For the transition period from _________ to ________</w:t>
            </w:r>
          </w:p>
        </w:tc>
      </w:tr>
    </w:tbl>
    <w:p>
      <w:pPr>
        <w:spacing w:after="0" w:line="200" w:lineRule="exact"/>
        <w:rPr>
          <w:sz w:val="24"/>
          <w:szCs w:val="24"/>
          <w:color w:val="auto"/>
        </w:rPr>
      </w:pPr>
    </w:p>
    <w:p>
      <w:pPr>
        <w:spacing w:after="0" w:line="3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u w:val="single" w:color="auto"/>
          <w:color w:val="auto"/>
        </w:rPr>
        <w:t>000-50093</w:t>
      </w:r>
    </w:p>
    <w:p>
      <w:pPr>
        <w:spacing w:after="0" w:line="28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color w:val="auto"/>
        </w:rPr>
        <w:t>A. Full title of the plan and the address of the plan, if different from that of the issuer named below:</w:t>
      </w:r>
    </w:p>
    <w:p>
      <w:pPr>
        <w:spacing w:after="0" w:line="28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color w:val="auto"/>
        </w:rPr>
        <w:t>COMCAST CORPORATION RETIREMENT-INVESTMENT PLAN</w:t>
      </w:r>
    </w:p>
    <w:p>
      <w:pPr>
        <w:spacing w:after="0" w:line="28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1"/>
          <w:szCs w:val="21"/>
          <w:color w:val="auto"/>
        </w:rPr>
        <w:t>B. Name of issuer of the securities held pursuant to the plan and the address of its principal executive office:</w:t>
      </w:r>
    </w:p>
    <w:p>
      <w:pPr>
        <w:spacing w:after="0" w:line="29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3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color w:val="auto"/>
        </w:rPr>
        <w:t>1500 Market Street</w:t>
      </w:r>
    </w:p>
    <w:p>
      <w:pPr>
        <w:spacing w:after="0" w:line="1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color w:val="auto"/>
        </w:rPr>
        <w:t>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-402590</wp:posOffset>
            </wp:positionH>
            <wp:positionV relativeFrom="paragraph">
              <wp:posOffset>867410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880" w:top="706" w:right="1139" w:bottom="1440" w:gutter="0" w:footer="0" w:header="0"/>
        </w:sectPr>
      </w:pPr>
    </w:p>
    <w:bookmarkStart w:id="1" w:name="page2"/>
    <w:bookmarkEnd w:id="1"/>
    <w:p>
      <w:pPr>
        <w:ind w:left="600" w:right="3339"/>
        <w:spacing w:after="0" w:line="287" w:lineRule="auto"/>
        <w:rPr>
          <w:sz w:val="20"/>
          <w:szCs w:val="20"/>
          <w:color w:val="auto"/>
        </w:rPr>
      </w:pPr>
      <w:r>
        <w:rPr>
          <w:rFonts w:ascii="Times New Roman" w:cs="Times New Roman" w:eastAsia="Times New Roman" w:hAnsi="Times New Roman"/>
          <w:sz w:val="25"/>
          <w:szCs w:val="25"/>
          <w:b w:val="1"/>
          <w:bCs w:val="1"/>
          <w:color w:val="auto"/>
        </w:rPr>
        <w:t>COMCAST CORPORATION RETIREMENT-INVESTMENT PLAN</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Financial Statements as of</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December 31, 2004 and 2003 and for</w:t>
      </w:r>
    </w:p>
    <w:p>
      <w:pPr>
        <w:ind w:left="600"/>
        <w:spacing w:after="0" w:line="230" w:lineRule="auto"/>
        <w:rPr>
          <w:sz w:val="20"/>
          <w:szCs w:val="20"/>
          <w:color w:val="auto"/>
        </w:rPr>
      </w:pPr>
      <w:r>
        <w:rPr>
          <w:rFonts w:ascii="Times New Roman" w:cs="Times New Roman" w:eastAsia="Times New Roman" w:hAnsi="Times New Roman"/>
          <w:sz w:val="22"/>
          <w:szCs w:val="22"/>
          <w:color w:val="auto"/>
        </w:rPr>
        <w:t>the Year Ended December 31, 2004;</w:t>
      </w:r>
    </w:p>
    <w:p>
      <w:pPr>
        <w:ind w:left="600"/>
        <w:spacing w:after="0" w:line="231" w:lineRule="auto"/>
        <w:rPr>
          <w:sz w:val="20"/>
          <w:szCs w:val="20"/>
          <w:color w:val="auto"/>
        </w:rPr>
      </w:pPr>
      <w:r>
        <w:rPr>
          <w:rFonts w:ascii="Times New Roman" w:cs="Times New Roman" w:eastAsia="Times New Roman" w:hAnsi="Times New Roman"/>
          <w:sz w:val="22"/>
          <w:szCs w:val="22"/>
          <w:color w:val="auto"/>
        </w:rPr>
        <w:t>Supplemental Schedule as of December 31, 2004;</w:t>
      </w:r>
    </w:p>
    <w:p>
      <w:pPr>
        <w:ind w:left="600"/>
        <w:spacing w:after="0" w:line="230" w:lineRule="auto"/>
        <w:rPr>
          <w:sz w:val="20"/>
          <w:szCs w:val="20"/>
          <w:color w:val="auto"/>
        </w:rPr>
      </w:pPr>
      <w:r>
        <w:rPr>
          <w:rFonts w:ascii="Times New Roman" w:cs="Times New Roman" w:eastAsia="Times New Roman" w:hAnsi="Times New Roman"/>
          <w:sz w:val="22"/>
          <w:szCs w:val="22"/>
          <w:color w:val="auto"/>
        </w:rPr>
        <w:t>and Reports of Independent Registered Public</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Accounting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680085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auto"/>
        </w:rPr>
        <w:t>COMCAST CORPORATION RETIREMENT-INVESTMENT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07"/>
        </w:trPr>
        <w:tc>
          <w:tcPr>
            <w:tcW w:w="1034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REPORTS OF INDEPENDENT REGISTERED PUBLIC ACCOUNTING FIRMS: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1"/>
        </w:trPr>
        <w:tc>
          <w:tcPr>
            <w:tcW w:w="660" w:type="dxa"/>
            <w:vAlign w:val="bottom"/>
          </w:tcPr>
          <w:p>
            <w:pPr>
              <w:spacing w:after="0"/>
              <w:rPr>
                <w:sz w:val="24"/>
                <w:szCs w:val="24"/>
                <w:color w:val="auto"/>
              </w:rPr>
            </w:pPr>
          </w:p>
        </w:tc>
        <w:tc>
          <w:tcPr>
            <w:tcW w:w="1940" w:type="dxa"/>
            <w:vAlign w:val="bottom"/>
            <w:tcBorders>
              <w:bottom w:val="single" w:sz="8" w:color="0000EE"/>
            </w:tcBorders>
            <w:gridSpan w:val="3"/>
          </w:tcPr>
          <w:p>
            <w:pPr>
              <w:spacing w:after="0"/>
              <w:rPr>
                <w:rFonts w:ascii="Times New Roman" w:cs="Times New Roman" w:eastAsia="Times New Roman" w:hAnsi="Times New Roman"/>
                <w:sz w:val="22"/>
                <w:szCs w:val="22"/>
                <w:color w:val="0000EE"/>
                <w:w w:val="96"/>
              </w:rPr>
            </w:pPr>
            <w:hyperlink w:anchor="page4">
              <w:r>
                <w:rPr>
                  <w:rFonts w:ascii="Times New Roman" w:cs="Times New Roman" w:eastAsia="Times New Roman" w:hAnsi="Times New Roman"/>
                  <w:sz w:val="22"/>
                  <w:szCs w:val="22"/>
                  <w:color w:val="0000EE"/>
                  <w:w w:val="96"/>
                </w:rPr>
                <w:t>Mitchell &amp; Titus, LLP</w:t>
              </w:r>
            </w:hyperlink>
          </w:p>
        </w:tc>
        <w:tc>
          <w:tcPr>
            <w:tcW w:w="7740" w:type="dxa"/>
            <w:vAlign w:val="bottom"/>
            <w:gridSpan w:val="7"/>
          </w:tcPr>
          <w:p>
            <w:pPr>
              <w:spacing w:after="0"/>
              <w:rPr>
                <w:sz w:val="24"/>
                <w:szCs w:val="24"/>
                <w:color w:val="auto"/>
              </w:rPr>
            </w:pPr>
          </w:p>
        </w:tc>
        <w:tc>
          <w:tcPr>
            <w:tcW w:w="480" w:type="dxa"/>
            <w:vAlign w:val="bottom"/>
            <w:gridSpan w:val="3"/>
          </w:tcPr>
          <w:p>
            <w:pPr>
              <w:spacing w:after="0"/>
              <w:rPr>
                <w:sz w:val="24"/>
                <w:szCs w:val="24"/>
                <w:color w:val="auto"/>
              </w:rPr>
            </w:pPr>
          </w:p>
        </w:tc>
        <w:tc>
          <w:tcPr>
            <w:tcW w:w="120" w:type="dxa"/>
            <w:vAlign w:val="bottom"/>
            <w:tcBorders>
              <w:bottom w:val="single" w:sz="8" w:color="0000EE"/>
            </w:tcBorders>
          </w:tcPr>
          <w:p>
            <w:pPr>
              <w:jc w:val="center"/>
              <w:spacing w:after="0"/>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1</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2040" w:type="dxa"/>
            <w:vAlign w:val="bottom"/>
            <w:tcBorders>
              <w:bottom w:val="single" w:sz="8" w:color="0000EE"/>
            </w:tcBorders>
            <w:gridSpan w:val="5"/>
          </w:tcPr>
          <w:p>
            <w:pPr>
              <w:spacing w:after="0"/>
              <w:rPr>
                <w:rFonts w:ascii="Times New Roman" w:cs="Times New Roman" w:eastAsia="Times New Roman" w:hAnsi="Times New Roman"/>
                <w:sz w:val="22"/>
                <w:szCs w:val="22"/>
                <w:color w:val="0000EE"/>
                <w:w w:val="96"/>
              </w:rPr>
            </w:pPr>
            <w:hyperlink w:anchor="page5">
              <w:r>
                <w:rPr>
                  <w:rFonts w:ascii="Times New Roman" w:cs="Times New Roman" w:eastAsia="Times New Roman" w:hAnsi="Times New Roman"/>
                  <w:sz w:val="22"/>
                  <w:szCs w:val="22"/>
                  <w:color w:val="0000EE"/>
                  <w:w w:val="96"/>
                </w:rPr>
                <w:t>Deloitte &amp; Touche LLP</w:t>
              </w:r>
            </w:hyperlink>
          </w:p>
        </w:tc>
        <w:tc>
          <w:tcPr>
            <w:tcW w:w="7640" w:type="dxa"/>
            <w:vAlign w:val="bottom"/>
            <w:gridSpan w:val="5"/>
          </w:tcPr>
          <w:p>
            <w:pPr>
              <w:spacing w:after="0"/>
              <w:rPr>
                <w:sz w:val="24"/>
                <w:szCs w:val="24"/>
                <w:color w:val="auto"/>
              </w:rPr>
            </w:pPr>
          </w:p>
        </w:tc>
        <w:tc>
          <w:tcPr>
            <w:tcW w:w="480" w:type="dxa"/>
            <w:vAlign w:val="bottom"/>
            <w:gridSpan w:val="3"/>
          </w:tcPr>
          <w:p>
            <w:pPr>
              <w:spacing w:after="0"/>
              <w:rPr>
                <w:sz w:val="24"/>
                <w:szCs w:val="24"/>
                <w:color w:val="auto"/>
              </w:rPr>
            </w:pPr>
          </w:p>
        </w:tc>
        <w:tc>
          <w:tcPr>
            <w:tcW w:w="120" w:type="dxa"/>
            <w:vAlign w:val="bottom"/>
            <w:tcBorders>
              <w:bottom w:val="single" w:sz="8" w:color="0000EE"/>
            </w:tcBorders>
          </w:tcPr>
          <w:p>
            <w:pPr>
              <w:jc w:val="center"/>
              <w:spacing w:after="0"/>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2</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46"/>
        </w:trPr>
        <w:tc>
          <w:tcPr>
            <w:tcW w:w="1034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8"/>
        </w:trPr>
        <w:tc>
          <w:tcPr>
            <w:tcW w:w="66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Times New Roman" w:cs="Times New Roman" w:eastAsia="Times New Roman" w:hAnsi="Times New Roman"/>
                <w:sz w:val="22"/>
                <w:szCs w:val="22"/>
                <w:color w:val="0000EE"/>
                <w:w w:val="97"/>
              </w:rPr>
            </w:pPr>
            <w:hyperlink w:anchor="page6">
              <w:r>
                <w:rPr>
                  <w:rFonts w:ascii="Times New Roman" w:cs="Times New Roman" w:eastAsia="Times New Roman" w:hAnsi="Times New Roman"/>
                  <w:sz w:val="22"/>
                  <w:szCs w:val="22"/>
                  <w:color w:val="0000EE"/>
                  <w:w w:val="97"/>
                </w:rPr>
                <w:t>Statements of Net Assets Available for Benefits as of December 31, 2004 and 2003</w:t>
              </w:r>
            </w:hyperlink>
          </w:p>
        </w:tc>
        <w:tc>
          <w:tcPr>
            <w:tcW w:w="248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120" w:type="dxa"/>
            <w:vAlign w:val="bottom"/>
            <w:tcBorders>
              <w:bottom w:val="single" w:sz="8" w:color="0000EE"/>
            </w:tcBorders>
          </w:tcPr>
          <w:p>
            <w:pPr>
              <w:jc w:val="center"/>
              <w:spacing w:after="0"/>
              <w:rPr>
                <w:rFonts w:ascii="Times New Roman" w:cs="Times New Roman" w:eastAsia="Times New Roman" w:hAnsi="Times New Roman"/>
                <w:sz w:val="22"/>
                <w:szCs w:val="22"/>
                <w:color w:val="0000EE"/>
              </w:rPr>
            </w:pPr>
            <w:hyperlink w:anchor="page6">
              <w:r>
                <w:rPr>
                  <w:rFonts w:ascii="Times New Roman" w:cs="Times New Roman" w:eastAsia="Times New Roman" w:hAnsi="Times New Roman"/>
                  <w:sz w:val="22"/>
                  <w:szCs w:val="22"/>
                  <w:color w:val="0000EE"/>
                </w:rPr>
                <w:t>3</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rFonts w:ascii="Times New Roman" w:cs="Times New Roman" w:eastAsia="Times New Roman" w:hAnsi="Times New Roman"/>
                <w:sz w:val="22"/>
                <w:szCs w:val="22"/>
                <w:color w:val="0000EE"/>
                <w:w w:val="97"/>
              </w:rPr>
            </w:pPr>
            <w:hyperlink w:anchor="page7">
              <w:r>
                <w:rPr>
                  <w:rFonts w:ascii="Times New Roman" w:cs="Times New Roman" w:eastAsia="Times New Roman" w:hAnsi="Times New Roman"/>
                  <w:sz w:val="22"/>
                  <w:szCs w:val="22"/>
                  <w:color w:val="0000EE"/>
                  <w:w w:val="97"/>
                </w:rPr>
                <w:t>Statement of Changes in Net Assets Available for Benefits for the Year Ended</w:t>
              </w:r>
            </w:hyperlink>
          </w:p>
        </w:tc>
        <w:tc>
          <w:tcPr>
            <w:tcW w:w="29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Borders>
              <w:bottom w:val="single" w:sz="8" w:color="0000EE"/>
            </w:tcBorders>
            <w:gridSpan w:val="3"/>
          </w:tcPr>
          <w:p>
            <w:pPr>
              <w:spacing w:after="0" w:line="250" w:lineRule="exact"/>
              <w:rPr>
                <w:rFonts w:ascii="Times New Roman" w:cs="Times New Roman" w:eastAsia="Times New Roman" w:hAnsi="Times New Roman"/>
                <w:sz w:val="22"/>
                <w:szCs w:val="22"/>
                <w:color w:val="0000EE"/>
                <w:w w:val="97"/>
              </w:rPr>
            </w:pPr>
            <w:hyperlink w:anchor="page7">
              <w:r>
                <w:rPr>
                  <w:rFonts w:ascii="Times New Roman" w:cs="Times New Roman" w:eastAsia="Times New Roman" w:hAnsi="Times New Roman"/>
                  <w:sz w:val="22"/>
                  <w:szCs w:val="22"/>
                  <w:color w:val="0000EE"/>
                  <w:w w:val="97"/>
                </w:rPr>
                <w:t>December 31, 2004</w:t>
              </w:r>
            </w:hyperlink>
          </w:p>
        </w:tc>
        <w:tc>
          <w:tcPr>
            <w:tcW w:w="7660" w:type="dxa"/>
            <w:vAlign w:val="bottom"/>
            <w:gridSpan w:val="6"/>
          </w:tcPr>
          <w:p>
            <w:pPr>
              <w:spacing w:after="0"/>
              <w:rPr>
                <w:sz w:val="21"/>
                <w:szCs w:val="21"/>
                <w:color w:val="auto"/>
              </w:rPr>
            </w:pPr>
          </w:p>
        </w:tc>
        <w:tc>
          <w:tcPr>
            <w:tcW w:w="480" w:type="dxa"/>
            <w:vAlign w:val="bottom"/>
            <w:gridSpan w:val="3"/>
          </w:tcPr>
          <w:p>
            <w:pPr>
              <w:spacing w:after="0"/>
              <w:rPr>
                <w:sz w:val="21"/>
                <w:szCs w:val="21"/>
                <w:color w:val="auto"/>
              </w:rPr>
            </w:pPr>
          </w:p>
        </w:tc>
        <w:tc>
          <w:tcPr>
            <w:tcW w:w="120" w:type="dxa"/>
            <w:vAlign w:val="bottom"/>
            <w:tcBorders>
              <w:bottom w:val="single" w:sz="8" w:color="0000EE"/>
            </w:tcBorders>
          </w:tcPr>
          <w:p>
            <w:pPr>
              <w:jc w:val="center"/>
              <w:spacing w:after="0" w:line="250"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4</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20"/>
        </w:trPr>
        <w:tc>
          <w:tcPr>
            <w:tcW w:w="660" w:type="dxa"/>
            <w:vAlign w:val="bottom"/>
          </w:tcPr>
          <w:p>
            <w:pPr>
              <w:spacing w:after="0"/>
              <w:rPr>
                <w:sz w:val="24"/>
                <w:szCs w:val="24"/>
                <w:color w:val="auto"/>
              </w:rPr>
            </w:pPr>
          </w:p>
        </w:tc>
        <w:tc>
          <w:tcPr>
            <w:tcW w:w="9680" w:type="dxa"/>
            <w:vAlign w:val="bottom"/>
            <w:gridSpan w:val="10"/>
          </w:tcPr>
          <w:p>
            <w:pPr>
              <w:spacing w:after="0"/>
              <w:rPr>
                <w:rFonts w:ascii="Times New Roman" w:cs="Times New Roman" w:eastAsia="Times New Roman" w:hAnsi="Times New Roman"/>
                <w:sz w:val="22"/>
                <w:szCs w:val="22"/>
                <w:color w:val="0000EE"/>
              </w:rPr>
            </w:pPr>
            <w:hyperlink w:anchor="page8">
              <w:r>
                <w:rPr>
                  <w:rFonts w:ascii="Times New Roman" w:cs="Times New Roman" w:eastAsia="Times New Roman" w:hAnsi="Times New Roman"/>
                  <w:sz w:val="22"/>
                  <w:szCs w:val="22"/>
                  <w:color w:val="0000EE"/>
                </w:rPr>
                <w:t>Notes to Financial Statements</w:t>
              </w:r>
            </w:hyperlink>
          </w:p>
        </w:tc>
        <w:tc>
          <w:tcPr>
            <w:tcW w:w="740" w:type="dxa"/>
            <w:vAlign w:val="bottom"/>
            <w:gridSpan w:val="6"/>
          </w:tcPr>
          <w:p>
            <w:pPr>
              <w:jc w:val="center"/>
              <w:ind w:left="232"/>
              <w:spacing w:after="0"/>
              <w:rPr>
                <w:rFonts w:ascii="Times New Roman" w:cs="Times New Roman" w:eastAsia="Times New Roman" w:hAnsi="Times New Roman"/>
                <w:sz w:val="22"/>
                <w:szCs w:val="22"/>
                <w:color w:val="0000EE"/>
                <w:w w:val="99"/>
              </w:rPr>
            </w:pPr>
            <w:hyperlink w:anchor="page8">
              <w:r>
                <w:rPr>
                  <w:rFonts w:ascii="Times New Roman" w:cs="Times New Roman" w:eastAsia="Times New Roman" w:hAnsi="Times New Roman"/>
                  <w:sz w:val="22"/>
                  <w:szCs w:val="22"/>
                  <w:color w:val="0000EE"/>
                  <w:w w:val="99"/>
                </w:rPr>
                <w:t>5-10</w:t>
              </w:r>
            </w:hyperlink>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46"/>
        </w:trPr>
        <w:tc>
          <w:tcPr>
            <w:tcW w:w="1034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SUPPLEMENTAL SCHEDULE: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8"/>
        </w:trPr>
        <w:tc>
          <w:tcPr>
            <w:tcW w:w="660" w:type="dxa"/>
            <w:vAlign w:val="bottom"/>
          </w:tcPr>
          <w:p>
            <w:pPr>
              <w:spacing w:after="0"/>
              <w:rPr>
                <w:sz w:val="24"/>
                <w:szCs w:val="24"/>
                <w:color w:val="auto"/>
              </w:rPr>
            </w:pPr>
          </w:p>
        </w:tc>
        <w:tc>
          <w:tcPr>
            <w:tcW w:w="9680" w:type="dxa"/>
            <w:vAlign w:val="bottom"/>
            <w:gridSpan w:val="10"/>
          </w:tcPr>
          <w:p>
            <w:pPr>
              <w:spacing w:after="0"/>
              <w:rPr>
                <w:rFonts w:ascii="Times New Roman" w:cs="Times New Roman" w:eastAsia="Times New Roman" w:hAnsi="Times New Roman"/>
                <w:sz w:val="22"/>
                <w:szCs w:val="22"/>
                <w:color w:val="0000EE"/>
              </w:rPr>
            </w:pPr>
            <w:hyperlink w:anchor="page14">
              <w:r>
                <w:rPr>
                  <w:rFonts w:ascii="Times New Roman" w:cs="Times New Roman" w:eastAsia="Times New Roman" w:hAnsi="Times New Roman"/>
                  <w:sz w:val="22"/>
                  <w:szCs w:val="22"/>
                  <w:color w:val="0000EE"/>
                </w:rPr>
                <w:t>Schedule H - Line 4i - Schedule of Assets (Held at End of Year) as of</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700" w:type="dxa"/>
            <w:vAlign w:val="bottom"/>
            <w:tcBorders>
              <w:top w:val="single" w:sz="8" w:color="0000EE"/>
            </w:tcBorders>
            <w:gridSpan w:val="3"/>
          </w:tcPr>
          <w:p>
            <w:pPr>
              <w:spacing w:after="0" w:line="250" w:lineRule="exact"/>
              <w:rPr>
                <w:rFonts w:ascii="Times New Roman" w:cs="Times New Roman" w:eastAsia="Times New Roman" w:hAnsi="Times New Roman"/>
                <w:sz w:val="22"/>
                <w:szCs w:val="22"/>
                <w:color w:val="0000EE"/>
                <w:w w:val="97"/>
              </w:rPr>
            </w:pPr>
            <w:hyperlink w:anchor="page14">
              <w:r>
                <w:rPr>
                  <w:rFonts w:ascii="Times New Roman" w:cs="Times New Roman" w:eastAsia="Times New Roman" w:hAnsi="Times New Roman"/>
                  <w:sz w:val="22"/>
                  <w:szCs w:val="22"/>
                  <w:color w:val="0000EE"/>
                  <w:w w:val="97"/>
                </w:rPr>
                <w:t>December 31, 2004</w:t>
              </w:r>
            </w:hyperlink>
          </w:p>
        </w:tc>
        <w:tc>
          <w:tcPr>
            <w:tcW w:w="3980" w:type="dxa"/>
            <w:vAlign w:val="bottom"/>
            <w:tcBorders>
              <w:top w:val="single" w:sz="8" w:color="0000EE"/>
            </w:tcBorders>
            <w:gridSpan w:val="3"/>
          </w:tcPr>
          <w:p>
            <w:pPr>
              <w:spacing w:after="0"/>
              <w:rPr>
                <w:sz w:val="21"/>
                <w:szCs w:val="21"/>
                <w:color w:val="auto"/>
              </w:rPr>
            </w:pPr>
          </w:p>
        </w:tc>
        <w:tc>
          <w:tcPr>
            <w:tcW w:w="3680" w:type="dxa"/>
            <w:vAlign w:val="bottom"/>
            <w:gridSpan w:val="3"/>
          </w:tcPr>
          <w:p>
            <w:pPr>
              <w:spacing w:after="0"/>
              <w:rPr>
                <w:sz w:val="21"/>
                <w:szCs w:val="21"/>
                <w:color w:val="auto"/>
              </w:rPr>
            </w:pPr>
          </w:p>
        </w:tc>
        <w:tc>
          <w:tcPr>
            <w:tcW w:w="740" w:type="dxa"/>
            <w:vAlign w:val="bottom"/>
            <w:gridSpan w:val="6"/>
          </w:tcPr>
          <w:p>
            <w:pPr>
              <w:jc w:val="center"/>
              <w:ind w:left="152"/>
              <w:spacing w:after="0" w:line="250" w:lineRule="exact"/>
              <w:rPr>
                <w:rFonts w:ascii="Times New Roman" w:cs="Times New Roman" w:eastAsia="Times New Roman" w:hAnsi="Times New Roman"/>
                <w:sz w:val="22"/>
                <w:szCs w:val="22"/>
                <w:color w:val="0000EE"/>
                <w:w w:val="93"/>
              </w:rPr>
            </w:pPr>
            <w:hyperlink w:anchor="page14">
              <w:r>
                <w:rPr>
                  <w:rFonts w:ascii="Times New Roman" w:cs="Times New Roman" w:eastAsia="Times New Roman" w:hAnsi="Times New Roman"/>
                  <w:sz w:val="22"/>
                  <w:szCs w:val="22"/>
                  <w:color w:val="0000EE"/>
                  <w:w w:val="93"/>
                </w:rPr>
                <w:t>11-12</w:t>
              </w:r>
            </w:hyperlink>
          </w:p>
        </w:tc>
        <w:tc>
          <w:tcPr>
            <w:tcW w:w="3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573"/>
        </w:trPr>
        <w:tc>
          <w:tcPr>
            <w:tcW w:w="1034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CONSENTS OF INDEPENDENT REGISTERED PUBLIC ACCOUNTING FIRMS: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1"/>
        </w:trPr>
        <w:tc>
          <w:tcPr>
            <w:tcW w:w="660" w:type="dxa"/>
            <w:vAlign w:val="bottom"/>
          </w:tcPr>
          <w:p>
            <w:pPr>
              <w:spacing w:after="0"/>
              <w:rPr>
                <w:sz w:val="24"/>
                <w:szCs w:val="24"/>
                <w:color w:val="auto"/>
              </w:rPr>
            </w:pPr>
          </w:p>
        </w:tc>
        <w:tc>
          <w:tcPr>
            <w:tcW w:w="1940" w:type="dxa"/>
            <w:vAlign w:val="bottom"/>
            <w:gridSpan w:val="3"/>
          </w:tcPr>
          <w:p>
            <w:pPr>
              <w:spacing w:after="0"/>
              <w:rPr>
                <w:rFonts w:ascii="Times New Roman" w:cs="Times New Roman" w:eastAsia="Times New Roman" w:hAnsi="Times New Roman"/>
                <w:sz w:val="22"/>
                <w:szCs w:val="22"/>
                <w:color w:val="0000EE"/>
                <w:w w:val="96"/>
              </w:rPr>
            </w:pPr>
            <w:hyperlink w:anchor="page17">
              <w:r>
                <w:rPr>
                  <w:rFonts w:ascii="Times New Roman" w:cs="Times New Roman" w:eastAsia="Times New Roman" w:hAnsi="Times New Roman"/>
                  <w:sz w:val="22"/>
                  <w:szCs w:val="22"/>
                  <w:color w:val="0000EE"/>
                  <w:w w:val="96"/>
                </w:rPr>
                <w:t>Mitchell &amp; Titus, LLP</w:t>
              </w:r>
            </w:hyperlink>
          </w:p>
        </w:tc>
        <w:tc>
          <w:tcPr>
            <w:tcW w:w="7740" w:type="dxa"/>
            <w:vAlign w:val="bottom"/>
            <w:gridSpan w:val="7"/>
          </w:tcPr>
          <w:p>
            <w:pPr>
              <w:spacing w:after="0"/>
              <w:rPr>
                <w:sz w:val="24"/>
                <w:szCs w:val="24"/>
                <w:color w:val="auto"/>
              </w:rPr>
            </w:pPr>
          </w:p>
        </w:tc>
        <w:tc>
          <w:tcPr>
            <w:tcW w:w="740" w:type="dxa"/>
            <w:vAlign w:val="bottom"/>
            <w:gridSpan w:val="6"/>
          </w:tcPr>
          <w:p>
            <w:pPr>
              <w:jc w:val="center"/>
              <w:ind w:left="232"/>
              <w:spacing w:after="0"/>
              <w:rPr>
                <w:rFonts w:ascii="Times New Roman" w:cs="Times New Roman" w:eastAsia="Times New Roman" w:hAnsi="Times New Roman"/>
                <w:sz w:val="22"/>
                <w:szCs w:val="22"/>
                <w:color w:val="0000EE"/>
                <w:w w:val="90"/>
              </w:rPr>
            </w:pPr>
            <w:hyperlink w:anchor="page17">
              <w:r>
                <w:rPr>
                  <w:rFonts w:ascii="Times New Roman" w:cs="Times New Roman" w:eastAsia="Times New Roman" w:hAnsi="Times New Roman"/>
                  <w:sz w:val="22"/>
                  <w:szCs w:val="22"/>
                  <w:color w:val="0000EE"/>
                  <w:w w:val="90"/>
                </w:rPr>
                <w:t>13</w:t>
              </w:r>
            </w:hyperlink>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74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93"/>
        </w:trPr>
        <w:tc>
          <w:tcPr>
            <w:tcW w:w="660" w:type="dxa"/>
            <w:vAlign w:val="bottom"/>
          </w:tcPr>
          <w:p>
            <w:pPr>
              <w:spacing w:after="0"/>
              <w:rPr>
                <w:sz w:val="24"/>
                <w:szCs w:val="24"/>
                <w:color w:val="auto"/>
              </w:rPr>
            </w:pPr>
          </w:p>
        </w:tc>
        <w:tc>
          <w:tcPr>
            <w:tcW w:w="2040" w:type="dxa"/>
            <w:vAlign w:val="bottom"/>
            <w:gridSpan w:val="5"/>
          </w:tcPr>
          <w:p>
            <w:pPr>
              <w:spacing w:after="0"/>
              <w:rPr>
                <w:rFonts w:ascii="Times New Roman" w:cs="Times New Roman" w:eastAsia="Times New Roman" w:hAnsi="Times New Roman"/>
                <w:sz w:val="22"/>
                <w:szCs w:val="22"/>
                <w:color w:val="0000EE"/>
                <w:w w:val="96"/>
              </w:rPr>
            </w:pPr>
            <w:hyperlink w:anchor="page18">
              <w:r>
                <w:rPr>
                  <w:rFonts w:ascii="Times New Roman" w:cs="Times New Roman" w:eastAsia="Times New Roman" w:hAnsi="Times New Roman"/>
                  <w:sz w:val="22"/>
                  <w:szCs w:val="22"/>
                  <w:color w:val="0000EE"/>
                  <w:w w:val="96"/>
                </w:rPr>
                <w:t>Deloitte &amp; Touche LLP</w:t>
              </w:r>
            </w:hyperlink>
          </w:p>
        </w:tc>
        <w:tc>
          <w:tcPr>
            <w:tcW w:w="7640" w:type="dxa"/>
            <w:vAlign w:val="bottom"/>
            <w:gridSpan w:val="5"/>
          </w:tcPr>
          <w:p>
            <w:pPr>
              <w:spacing w:after="0"/>
              <w:rPr>
                <w:sz w:val="24"/>
                <w:szCs w:val="24"/>
                <w:color w:val="auto"/>
              </w:rPr>
            </w:pPr>
          </w:p>
        </w:tc>
        <w:tc>
          <w:tcPr>
            <w:tcW w:w="740" w:type="dxa"/>
            <w:vAlign w:val="bottom"/>
            <w:gridSpan w:val="6"/>
          </w:tcPr>
          <w:p>
            <w:pPr>
              <w:jc w:val="center"/>
              <w:ind w:left="232"/>
              <w:spacing w:after="0"/>
              <w:rPr>
                <w:rFonts w:ascii="Times New Roman" w:cs="Times New Roman" w:eastAsia="Times New Roman" w:hAnsi="Times New Roman"/>
                <w:sz w:val="22"/>
                <w:szCs w:val="22"/>
                <w:color w:val="0000EE"/>
                <w:w w:val="90"/>
              </w:rPr>
            </w:pPr>
            <w:hyperlink w:anchor="page18">
              <w:r>
                <w:rPr>
                  <w:rFonts w:ascii="Times New Roman" w:cs="Times New Roman" w:eastAsia="Times New Roman" w:hAnsi="Times New Roman"/>
                  <w:sz w:val="22"/>
                  <w:szCs w:val="22"/>
                  <w:color w:val="0000EE"/>
                  <w:w w:val="90"/>
                </w:rPr>
                <w:t>14</w:t>
              </w:r>
            </w:hyperlink>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736"/>
        </w:trPr>
        <w:tc>
          <w:tcPr>
            <w:tcW w:w="10340" w:type="dxa"/>
            <w:vAlign w:val="bottom"/>
            <w:gridSpan w:val="11"/>
          </w:tcPr>
          <w:p>
            <w:pPr>
              <w:spacing w:after="0"/>
              <w:rPr>
                <w:rFonts w:ascii="Times New Roman" w:cs="Times New Roman" w:eastAsia="Times New Roman" w:hAnsi="Times New Roman"/>
                <w:sz w:val="22"/>
                <w:szCs w:val="22"/>
                <w:color w:val="0000EE"/>
              </w:rPr>
            </w:pPr>
            <w:hyperlink w:anchor="page19">
              <w:r>
                <w:rPr>
                  <w:rFonts w:ascii="Times New Roman" w:cs="Times New Roman" w:eastAsia="Times New Roman" w:hAnsi="Times New Roman"/>
                  <w:sz w:val="22"/>
                  <w:szCs w:val="22"/>
                  <w:color w:val="0000EE"/>
                </w:rPr>
                <w:t>SIGNATURE</w:t>
              </w:r>
            </w:hyperlink>
          </w:p>
        </w:tc>
        <w:tc>
          <w:tcPr>
            <w:tcW w:w="740" w:type="dxa"/>
            <w:vAlign w:val="bottom"/>
            <w:gridSpan w:val="6"/>
          </w:tcPr>
          <w:p>
            <w:pPr>
              <w:jc w:val="center"/>
              <w:ind w:left="232"/>
              <w:spacing w:after="0"/>
              <w:rPr>
                <w:rFonts w:ascii="Times New Roman" w:cs="Times New Roman" w:eastAsia="Times New Roman" w:hAnsi="Times New Roman"/>
                <w:sz w:val="22"/>
                <w:szCs w:val="22"/>
                <w:color w:val="0000EE"/>
                <w:w w:val="90"/>
              </w:rPr>
            </w:pPr>
            <w:hyperlink w:anchor="page19">
              <w:r>
                <w:rPr>
                  <w:rFonts w:ascii="Times New Roman" w:cs="Times New Roman" w:eastAsia="Times New Roman" w:hAnsi="Times New Roman"/>
                  <w:sz w:val="22"/>
                  <w:szCs w:val="22"/>
                  <w:color w:val="0000EE"/>
                  <w:w w:val="90"/>
                </w:rPr>
                <w:t>15</w:t>
              </w:r>
            </w:hyperlink>
          </w:p>
        </w:tc>
        <w:tc>
          <w:tcPr>
            <w:tcW w:w="340" w:type="dxa"/>
            <w:vAlign w:val="bottom"/>
          </w:tcPr>
          <w:p>
            <w:pPr>
              <w:spacing w:after="0"/>
              <w:rPr>
                <w:sz w:val="24"/>
                <w:szCs w:val="24"/>
                <w:color w:val="auto"/>
              </w:rPr>
            </w:pPr>
          </w:p>
        </w:tc>
      </w:tr>
      <w:tr>
        <w:trPr>
          <w:trHeight w:val="1368"/>
        </w:trPr>
        <w:tc>
          <w:tcPr>
            <w:tcW w:w="6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Administrator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Corporation Retirement-Investment Plan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2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2"/>
          <w:szCs w:val="22"/>
          <w:color w:val="auto"/>
        </w:rPr>
        <w:t>We have audited the accompanying statement of net assets available for benefits of the Comcast Corporation Retirement-Investment Plan (the “Plan”) as of December 31, 2004,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2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2"/>
          <w:szCs w:val="22"/>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0"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22"/>
          <w:szCs w:val="22"/>
          <w:color w:val="auto"/>
        </w:rPr>
        <w:t>In our opinion, the financial statements referred to above present fairly, in all material respects, the net assets available for benefits of the Plan as of December 31, 2004, and the related changes in net assets available for benefits of the Plan for the year then ended in conformity with accounting principles generally accepted in the United States of America.</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Our audit was conducted for the purpose of forming an opinion on the basic financial statements taken as a whole. The supplemental schedule of assets (held at end of year) as of December 31, 2004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 of the basic 2004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MITCHELL &amp; TITUS,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 w:name="page5"/>
    <w:bookmarkEnd w:id="4"/>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Administrator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Corporation Retirement-Investment Plan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2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We have audited the accompanying statement of net assets available for benefits of the Comcast Corporation Retirement-Investment Plan (the “Plan”) as of December 31, 2003. This financial statement is the responsibility of the Plan's management. Our responsibility is to express an opinion on this financial statement based on our audit.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We conducted our audit in accordance with the standards of the Public Company Accounting Oversight Board (United States).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2"/>
          <w:szCs w:val="22"/>
          <w:color w:val="auto"/>
        </w:rPr>
        <w:t>In our opinion, such financial statement presents fairly, in all material respects, the net assets available for benefits of the Plan as of December 31, 2003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240"/>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STATEMENTS OF NET ASSETS AVAILABLE FOR BENEFITS DECEMBER 31, 2004 AND 2003 </w:t>
      </w:r>
      <w:r>
        <w:rPr>
          <w:rFonts w:ascii="Times New Roman" w:cs="Times New Roman" w:eastAsia="Times New Roman" w:hAnsi="Times New Roman"/>
          <w:sz w:val="22"/>
          <w:szCs w:val="22"/>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87"/>
        </w:trPr>
        <w:tc>
          <w:tcPr>
            <w:tcW w:w="8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2004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2003</w:t>
            </w:r>
          </w:p>
        </w:tc>
      </w:tr>
      <w:tr>
        <w:trPr>
          <w:trHeight w:val="494"/>
        </w:trPr>
        <w:tc>
          <w:tcPr>
            <w:tcW w:w="8340" w:type="dxa"/>
            <w:vAlign w:val="bottom"/>
          </w:tcPr>
          <w:p>
            <w:pPr>
              <w:spacing w:after="0"/>
              <w:rPr>
                <w:sz w:val="20"/>
                <w:szCs w:val="20"/>
                <w:color w:val="auto"/>
              </w:rPr>
            </w:pPr>
            <w:r>
              <w:rPr>
                <w:rFonts w:ascii="Times New Roman" w:cs="Times New Roman" w:eastAsia="Times New Roman" w:hAnsi="Times New Roman"/>
                <w:sz w:val="22"/>
                <w:szCs w:val="22"/>
                <w:color w:val="auto"/>
              </w:rPr>
              <w:t>ASSETS: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Cash</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1,642</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Contributions receivable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8,716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8,260</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Investments, at fair or contract value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1,628,745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1,447,430</w:t>
            </w:r>
          </w:p>
        </w:tc>
      </w:tr>
      <w:tr>
        <w:trPr>
          <w:trHeight w:val="310"/>
        </w:trPr>
        <w:tc>
          <w:tcPr>
            <w:tcW w:w="8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Loans receivable from participants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47,952</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50,518</w:t>
            </w:r>
          </w:p>
        </w:tc>
      </w:tr>
      <w:tr>
        <w:trPr>
          <w:trHeight w:val="507"/>
        </w:trPr>
        <w:tc>
          <w:tcPr>
            <w:tcW w:w="8340" w:type="dxa"/>
            <w:vAlign w:val="bottom"/>
          </w:tcPr>
          <w:p>
            <w:pPr>
              <w:spacing w:after="0"/>
              <w:rPr>
                <w:sz w:val="20"/>
                <w:szCs w:val="20"/>
                <w:color w:val="auto"/>
              </w:rPr>
            </w:pPr>
            <w:r>
              <w:rPr>
                <w:rFonts w:ascii="Times New Roman" w:cs="Times New Roman" w:eastAsia="Times New Roman" w:hAnsi="Times New Roman"/>
                <w:sz w:val="22"/>
                <w:szCs w:val="22"/>
                <w:color w:val="auto"/>
              </w:rPr>
              <w:t>NET ASSETS AVAILABLE FOR BENEFITS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1,687,055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1,507,111</w:t>
            </w:r>
          </w:p>
        </w:tc>
      </w:tr>
      <w:tr>
        <w:trPr>
          <w:trHeight w:val="20"/>
        </w:trPr>
        <w:tc>
          <w:tcPr>
            <w:tcW w:w="8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8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ENDED DECEMBER 31, 2004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22"/>
          <w:szCs w:val="22"/>
          <w:b w:val="1"/>
          <w:bCs w:val="1"/>
          <w:color w:val="auto"/>
        </w:rPr>
        <w:t>Year Ended</w:t>
      </w:r>
    </w:p>
    <w:p>
      <w:pPr>
        <w:spacing w:after="0" w:line="34"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21"/>
          <w:szCs w:val="21"/>
          <w:b w:val="1"/>
          <w:bCs w:val="1"/>
          <w:color w:val="auto"/>
        </w:rPr>
        <w:t>December 31,</w:t>
      </w:r>
    </w:p>
    <w:p>
      <w:pPr>
        <w:spacing w:after="0" w:line="29" w:lineRule="exact"/>
        <w:rPr>
          <w:sz w:val="20"/>
          <w:szCs w:val="20"/>
          <w:color w:val="auto"/>
        </w:rPr>
      </w:pPr>
    </w:p>
    <w:p>
      <w:pPr>
        <w:jc w:val="center"/>
        <w:ind w:left="9840"/>
        <w:spacing w:after="0"/>
        <w:rPr>
          <w:sz w:val="20"/>
          <w:szCs w:val="20"/>
          <w:color w:val="auto"/>
        </w:rPr>
      </w:pPr>
      <w:r>
        <w:rPr>
          <w:rFonts w:ascii="Times New Roman" w:cs="Times New Roman" w:eastAsia="Times New Roman" w:hAnsi="Times New Roman"/>
          <w:sz w:val="22"/>
          <w:szCs w:val="22"/>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12065</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80"/>
          </w:cols>
          <w:pgMar w:left="240" w:top="851" w:right="279"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ADDITIONS TO NET ASSETS ATTRIBUTED TO:</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Investments:</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Net realized and unrealized appreciation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 fair value of investments</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Interest and dividends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Contributions:</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Employee</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Employer</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Rollovers from affiliated entity plan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DEDUCTIONS FROM NET ASSETS ATTRIBUTED TO:</w:t>
      </w:r>
    </w:p>
    <w:p>
      <w:pPr>
        <w:spacing w:after="0" w:line="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Benefits paid to participants or beneficiaries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increase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 ASSETS AVAILABLE FOR BENEFITS:</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Beginning of year</w:t>
      </w:r>
    </w:p>
    <w:p>
      <w:pPr>
        <w:spacing w:after="0" w:line="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hanging="772"/>
        <w:spacing w:after="0"/>
        <w:tabs>
          <w:tab w:leader="none" w:pos="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75,386</w:t>
      </w:r>
    </w:p>
    <w:p>
      <w:pPr>
        <w:spacing w:after="0" w:line="4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42,160</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117,546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8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135,808</w:t>
      </w:r>
    </w:p>
    <w:p>
      <w:pPr>
        <w:spacing w:after="0" w:line="3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97,080</w:t>
      </w:r>
    </w:p>
    <w:p>
      <w:pPr>
        <w:spacing w:after="0" w:line="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1,109</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351,543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(171,599)</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(171,599)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179,944</w:t>
      </w: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1,507,111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81"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1,687,055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440"/>
          </w:cols>
          <w:pgMar w:left="240" w:top="851" w:right="279" w:bottom="1440" w:gutter="0" w:footer="0" w:header="0"/>
          <w:type w:val="continuous"/>
        </w:sectPr>
      </w:pP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See notes to financial statements.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1" w:right="2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DESCRIPTION</w:t>
      </w: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287" w:lineRule="exact"/>
        <w:rPr>
          <w:sz w:val="20"/>
          <w:szCs w:val="20"/>
          <w:color w:val="auto"/>
        </w:rPr>
      </w:pPr>
    </w:p>
    <w:p>
      <w:pPr>
        <w:ind w:left="500" w:right="40"/>
        <w:spacing w:after="0" w:line="263" w:lineRule="auto"/>
        <w:rPr>
          <w:sz w:val="20"/>
          <w:szCs w:val="20"/>
          <w:color w:val="auto"/>
        </w:rPr>
      </w:pPr>
      <w:r>
        <w:rPr>
          <w:rFonts w:ascii="Times New Roman" w:cs="Times New Roman" w:eastAsia="Times New Roman" w:hAnsi="Times New Roman"/>
          <w:sz w:val="22"/>
          <w:szCs w:val="22"/>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235" w:lineRule="exact"/>
        <w:rPr>
          <w:sz w:val="20"/>
          <w:szCs w:val="20"/>
          <w:color w:val="auto"/>
        </w:rPr>
      </w:pPr>
    </w:p>
    <w:p>
      <w:pPr>
        <w:ind w:left="500" w:right="80"/>
        <w:spacing w:after="0" w:line="265" w:lineRule="auto"/>
        <w:rPr>
          <w:sz w:val="20"/>
          <w:szCs w:val="20"/>
          <w:color w:val="auto"/>
        </w:rPr>
      </w:pPr>
      <w:r>
        <w:rPr>
          <w:rFonts w:ascii="Times New Roman" w:cs="Times New Roman" w:eastAsia="Times New Roman" w:hAnsi="Times New Roman"/>
          <w:sz w:val="22"/>
          <w:szCs w:val="22"/>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33" w:lineRule="exact"/>
        <w:rPr>
          <w:sz w:val="20"/>
          <w:szCs w:val="20"/>
          <w:color w:val="auto"/>
        </w:rPr>
      </w:pPr>
    </w:p>
    <w:p>
      <w:pPr>
        <w:ind w:left="500" w:right="20"/>
        <w:spacing w:after="0" w:line="263" w:lineRule="auto"/>
        <w:rPr>
          <w:sz w:val="20"/>
          <w:szCs w:val="20"/>
          <w:color w:val="auto"/>
        </w:rPr>
      </w:pPr>
      <w:r>
        <w:rPr>
          <w:rFonts w:ascii="Times New Roman" w:cs="Times New Roman" w:eastAsia="Times New Roman" w:hAnsi="Times New Roman"/>
          <w:sz w:val="22"/>
          <w:szCs w:val="22"/>
          <w:color w:val="auto"/>
        </w:rPr>
        <w:t>Effective January 1, 2003, the Plan was amended such that full-time employees become eligible to participate in the Plan after completion of six months of service and part-time employees become eligible to participate in the Plan after one year and completion of 1,000 hours of service. Also, effective January 1, 2003, the Plan was amended to reduce the service requirement for full-time employees to become eligible for Company matching contributions from one year to six months except for certain collectively bargained employees.</w:t>
      </w:r>
    </w:p>
    <w:p>
      <w:pPr>
        <w:spacing w:after="0" w:line="235" w:lineRule="exact"/>
        <w:rPr>
          <w:sz w:val="20"/>
          <w:szCs w:val="20"/>
          <w:color w:val="auto"/>
        </w:rPr>
      </w:pPr>
    </w:p>
    <w:p>
      <w:pPr>
        <w:ind w:left="500" w:right="20"/>
        <w:spacing w:after="0" w:line="262" w:lineRule="auto"/>
        <w:rPr>
          <w:sz w:val="20"/>
          <w:szCs w:val="20"/>
          <w:color w:val="auto"/>
        </w:rPr>
      </w:pPr>
      <w:r>
        <w:rPr>
          <w:rFonts w:ascii="Times New Roman" w:cs="Times New Roman" w:eastAsia="Times New Roman" w:hAnsi="Times New Roman"/>
          <w:sz w:val="22"/>
          <w:szCs w:val="22"/>
          <w:color w:val="auto"/>
        </w:rPr>
        <w:t>Effective July 1, 2003, the Plan was amended to increase the maximum amount of eligible compensation that may be deferred from 17% to 50%, subject to certain limits imposed by the Code.</w:t>
      </w:r>
    </w:p>
    <w:p>
      <w:pPr>
        <w:jc w:val="both"/>
        <w:ind w:left="500" w:right="320"/>
        <w:spacing w:after="0" w:line="264" w:lineRule="auto"/>
        <w:rPr>
          <w:sz w:val="20"/>
          <w:szCs w:val="20"/>
          <w:color w:val="auto"/>
        </w:rPr>
      </w:pPr>
      <w:r>
        <w:rPr>
          <w:rFonts w:ascii="Times New Roman" w:cs="Times New Roman" w:eastAsia="Times New Roman" w:hAnsi="Times New Roman"/>
          <w:sz w:val="22"/>
          <w:szCs w:val="22"/>
          <w:color w:val="auto"/>
        </w:rPr>
        <w:t>Effective January 1, 2003, the Plan was amended to increase the employer matching contribution rate so that the Company matches 100% of the participant’s contribution up to 6% of the participant’s eligible compensation for such payroll period except for certain collectively bargained employees.</w:t>
      </w:r>
    </w:p>
    <w:p>
      <w:pPr>
        <w:spacing w:after="0" w:line="233" w:lineRule="exact"/>
        <w:rPr>
          <w:sz w:val="20"/>
          <w:szCs w:val="20"/>
          <w:color w:val="auto"/>
        </w:rPr>
      </w:pPr>
    </w:p>
    <w:p>
      <w:pPr>
        <w:ind w:left="500" w:right="20"/>
        <w:spacing w:after="0" w:line="288" w:lineRule="auto"/>
        <w:rPr>
          <w:sz w:val="20"/>
          <w:szCs w:val="20"/>
          <w:color w:val="auto"/>
        </w:rPr>
      </w:pPr>
      <w:r>
        <w:rPr>
          <w:rFonts w:ascii="Times New Roman" w:cs="Times New Roman" w:eastAsia="Times New Roman" w:hAnsi="Times New Roman"/>
          <w:sz w:val="21"/>
          <w:szCs w:val="21"/>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211" w:lineRule="exact"/>
        <w:rPr>
          <w:sz w:val="20"/>
          <w:szCs w:val="20"/>
          <w:color w:val="auto"/>
        </w:rPr>
      </w:pPr>
    </w:p>
    <w:p>
      <w:pPr>
        <w:ind w:left="500" w:right="420"/>
        <w:spacing w:after="0" w:line="288" w:lineRule="auto"/>
        <w:rPr>
          <w:sz w:val="20"/>
          <w:szCs w:val="20"/>
          <w:color w:val="auto"/>
        </w:rPr>
      </w:pPr>
      <w:r>
        <w:rPr>
          <w:rFonts w:ascii="Times New Roman" w:cs="Times New Roman" w:eastAsia="Times New Roman" w:hAnsi="Times New Roman"/>
          <w:sz w:val="21"/>
          <w:szCs w:val="21"/>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211" w:lineRule="exact"/>
        <w:rPr>
          <w:sz w:val="20"/>
          <w:szCs w:val="20"/>
          <w:color w:val="auto"/>
        </w:rPr>
      </w:pPr>
    </w:p>
    <w:p>
      <w:pPr>
        <w:ind w:left="500" w:right="100"/>
        <w:spacing w:after="0" w:line="260" w:lineRule="auto"/>
        <w:rPr>
          <w:sz w:val="20"/>
          <w:szCs w:val="20"/>
          <w:color w:val="auto"/>
        </w:rPr>
      </w:pPr>
      <w:r>
        <w:rPr>
          <w:rFonts w:ascii="Times New Roman" w:cs="Times New Roman" w:eastAsia="Times New Roman" w:hAnsi="Times New Roman"/>
          <w:sz w:val="22"/>
          <w:szCs w:val="22"/>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for the years ended December 31, 2004 and 2003, amounted to $411,648 and $58,720, respectively.</w:t>
      </w:r>
    </w:p>
    <w:p>
      <w:pPr>
        <w:spacing w:after="0" w:line="242"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22"/>
          <w:szCs w:val="22"/>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392"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00" w:right="320"/>
        <w:spacing w:after="0" w:line="284" w:lineRule="auto"/>
        <w:rPr>
          <w:sz w:val="20"/>
          <w:szCs w:val="20"/>
          <w:color w:val="auto"/>
        </w:rPr>
      </w:pPr>
      <w:r>
        <w:rPr>
          <w:rFonts w:ascii="Times New Roman" w:cs="Times New Roman" w:eastAsia="Times New Roman" w:hAnsi="Times New Roman"/>
          <w:sz w:val="22"/>
          <w:szCs w:val="22"/>
          <w:color w:val="auto"/>
        </w:rPr>
        <w:t>of the foregoing or a rollover into another qualified plan. On October 28, 2002, the Plan was amended to eliminate annuity forms of payment, effective February 28, 2003.</w:t>
      </w:r>
    </w:p>
    <w:p>
      <w:pPr>
        <w:spacing w:after="0" w:line="212" w:lineRule="exact"/>
        <w:rPr>
          <w:sz w:val="20"/>
          <w:szCs w:val="20"/>
          <w:color w:val="auto"/>
        </w:rPr>
      </w:pPr>
    </w:p>
    <w:p>
      <w:pPr>
        <w:ind w:left="500" w:right="80"/>
        <w:spacing w:after="0" w:line="270" w:lineRule="auto"/>
        <w:rPr>
          <w:sz w:val="20"/>
          <w:szCs w:val="20"/>
          <w:color w:val="auto"/>
        </w:rPr>
      </w:pPr>
      <w:r>
        <w:rPr>
          <w:rFonts w:ascii="Times New Roman" w:cs="Times New Roman" w:eastAsia="Times New Roman" w:hAnsi="Times New Roman"/>
          <w:sz w:val="22"/>
          <w:szCs w:val="22"/>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u w:val="single" w:color="auto"/>
          <w:color w:val="auto"/>
        </w:rPr>
        <w:t>Rollovers of Assets from Affiliated Entity Plan</w:t>
      </w:r>
    </w:p>
    <w:p>
      <w:pPr>
        <w:spacing w:after="0" w:line="287" w:lineRule="exact"/>
        <w:rPr>
          <w:sz w:val="20"/>
          <w:szCs w:val="20"/>
          <w:color w:val="auto"/>
        </w:rPr>
      </w:pPr>
    </w:p>
    <w:p>
      <w:pPr>
        <w:ind w:left="500" w:right="20"/>
        <w:spacing w:after="0" w:line="270" w:lineRule="auto"/>
        <w:rPr>
          <w:sz w:val="20"/>
          <w:szCs w:val="20"/>
          <w:color w:val="auto"/>
        </w:rPr>
      </w:pPr>
      <w:r>
        <w:rPr>
          <w:rFonts w:ascii="Times New Roman" w:cs="Times New Roman" w:eastAsia="Times New Roman" w:hAnsi="Times New Roman"/>
          <w:sz w:val="22"/>
          <w:szCs w:val="22"/>
          <w:color w:val="auto"/>
        </w:rPr>
        <w:t>On June 30 and July 1, 2004, certain participant accounts of the Comcast-Spectacor 401(k) Plan were transferred into the Plan. The transfer is included in the accompanying statement of changes in net assets available for benefits in "Rollovers from affiliated entity plan" and approximated $1.1 million.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u w:val="single" w:color="auto"/>
          <w:color w:val="auto"/>
        </w:rPr>
        <w:t>Trustee</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Fidelity Management Trust Company is the appointed Trustee of the Plan.</w:t>
      </w:r>
    </w:p>
    <w:p>
      <w:pPr>
        <w:spacing w:after="0" w:line="283"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 OF SIGNIFICANT ACCOUNTING POLICIES</w:t>
      </w:r>
    </w:p>
    <w:p>
      <w:pPr>
        <w:spacing w:after="0" w:line="291"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22"/>
          <w:szCs w:val="22"/>
          <w:color w:val="auto"/>
        </w:rPr>
        <w:t>The financial statements of the Plan are presented using the accrual basis of accounting. Contributions receivable represent amounts due to the Plan relating to December 24, 2004 participant and employer matching contributions not remitted to the Plan until subsequent to year-end. Investments in mutual funds, the AT&amp;T Stock Fund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Benefits are recorded when paid.</w:t>
      </w:r>
    </w:p>
    <w:p>
      <w:pPr>
        <w:spacing w:after="0" w:line="238" w:lineRule="exact"/>
        <w:rPr>
          <w:sz w:val="20"/>
          <w:szCs w:val="20"/>
          <w:color w:val="auto"/>
        </w:rPr>
      </w:pPr>
    </w:p>
    <w:p>
      <w:pPr>
        <w:jc w:val="both"/>
        <w:ind w:left="500"/>
        <w:spacing w:after="0" w:line="265" w:lineRule="auto"/>
        <w:rPr>
          <w:sz w:val="20"/>
          <w:szCs w:val="20"/>
          <w:color w:val="auto"/>
        </w:rPr>
      </w:pPr>
      <w:r>
        <w:rPr>
          <w:rFonts w:ascii="Times New Roman" w:cs="Times New Roman" w:eastAsia="Times New Roman" w:hAnsi="Times New Roman"/>
          <w:sz w:val="22"/>
          <w:szCs w:val="22"/>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233" w:lineRule="exact"/>
        <w:rPr>
          <w:sz w:val="20"/>
          <w:szCs w:val="20"/>
          <w:color w:val="auto"/>
        </w:rPr>
      </w:pPr>
    </w:p>
    <w:p>
      <w:pPr>
        <w:jc w:val="both"/>
        <w:ind w:left="500"/>
        <w:spacing w:after="0" w:line="270"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INVESTMENTS</w:t>
      </w:r>
    </w:p>
    <w:p>
      <w:pPr>
        <w:spacing w:after="0" w:line="291"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22"/>
          <w:szCs w:val="22"/>
          <w:color w:val="auto"/>
        </w:rPr>
        <w:t>The Plan's investments are held by a trust fund and are presented in the following table (dollars in thousands, units/shares rounded to nearest whole unit or share).</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87"/>
        </w:trPr>
        <w:tc>
          <w:tcPr>
            <w:tcW w:w="5620" w:type="dxa"/>
            <w:vAlign w:val="bottom"/>
          </w:tcPr>
          <w:p>
            <w:pPr>
              <w:spacing w:after="0"/>
              <w:rPr>
                <w:sz w:val="24"/>
                <w:szCs w:val="24"/>
                <w:color w:val="auto"/>
              </w:rPr>
            </w:pPr>
          </w:p>
        </w:tc>
        <w:tc>
          <w:tcPr>
            <w:tcW w:w="298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22"/>
                <w:szCs w:val="22"/>
                <w:b w:val="1"/>
                <w:bCs w:val="1"/>
                <w:color w:val="auto"/>
                <w:w w:val="98"/>
              </w:rPr>
              <w:t>December 31, 2004</w:t>
            </w: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46"/>
        </w:trPr>
        <w:tc>
          <w:tcPr>
            <w:tcW w:w="5620" w:type="dxa"/>
            <w:vAlign w:val="bottom"/>
          </w:tcPr>
          <w:p>
            <w:pPr>
              <w:spacing w:after="0"/>
              <w:rPr>
                <w:sz w:val="21"/>
                <w:szCs w:val="21"/>
                <w:color w:val="auto"/>
              </w:rPr>
            </w:pPr>
          </w:p>
        </w:tc>
        <w:tc>
          <w:tcPr>
            <w:tcW w:w="1780" w:type="dxa"/>
            <w:vAlign w:val="bottom"/>
          </w:tcPr>
          <w:p>
            <w:pPr>
              <w:jc w:val="right"/>
              <w:ind w:right="132"/>
              <w:spacing w:after="0" w:line="246"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87"/>
        </w:trPr>
        <w:tc>
          <w:tcPr>
            <w:tcW w:w="5620" w:type="dxa"/>
            <w:vAlign w:val="bottom"/>
          </w:tcPr>
          <w:p>
            <w:pPr>
              <w:spacing w:after="0"/>
              <w:rPr>
                <w:sz w:val="24"/>
                <w:szCs w:val="24"/>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Units/Shares</w:t>
            </w:r>
          </w:p>
        </w:tc>
        <w:tc>
          <w:tcPr>
            <w:tcW w:w="3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22"/>
                <w:szCs w:val="22"/>
                <w:b w:val="1"/>
                <w:bCs w:val="1"/>
                <w:color w:val="auto"/>
              </w:rPr>
              <w:t>Amount</w:t>
            </w:r>
          </w:p>
        </w:tc>
      </w:tr>
      <w:tr>
        <w:trPr>
          <w:trHeight w:val="251"/>
        </w:trPr>
        <w:tc>
          <w:tcPr>
            <w:tcW w:w="56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Mutual Funds (at fair value)</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5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Ariel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1,075,778</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$ 57,199</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Dodge and Cox Balanced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1,166,954</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92,598*</w:t>
            </w: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Blue Chip Growth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4,080,098</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170,181*</w:t>
            </w: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Brokeragelink</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3,031,352</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3,031</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Diversified International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2,787,517</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79,835*</w:t>
            </w: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Freedom 2010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1,443,587</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19,662</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Freedom 2020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3,428,061</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47,856</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Freedom 2030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2,840,574</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39,995</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Freedom 2040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1,416,316</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11,713</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Freedom Income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235,316</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2,652</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Small Cap Stock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3,625,073</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65,831</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US Bond Index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1,734,600</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19,323</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Pimco Total Return Institutional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2,914,725</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31,100</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Spartan International Index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141,615</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4,535</w:t>
            </w:r>
          </w:p>
        </w:tc>
        <w:tc>
          <w:tcPr>
            <w:tcW w:w="180" w:type="dxa"/>
            <w:vAlign w:val="bottom"/>
          </w:tcPr>
          <w:p>
            <w:pPr>
              <w:spacing w:after="0"/>
              <w:rPr>
                <w:sz w:val="23"/>
                <w:szCs w:val="23"/>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Spartan US Equity Index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3,357,883</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143,919*</w:t>
            </w:r>
          </w:p>
        </w:tc>
      </w:tr>
      <w:tr>
        <w:trPr>
          <w:trHeight w:val="270"/>
        </w:trPr>
        <w:tc>
          <w:tcPr>
            <w:tcW w:w="5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Templeton World Fund, Class A</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1,072,250</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19,032</w:t>
            </w:r>
          </w:p>
        </w:tc>
        <w:tc>
          <w:tcPr>
            <w:tcW w:w="180" w:type="dxa"/>
            <w:vAlign w:val="bottom"/>
          </w:tcPr>
          <w:p>
            <w:pPr>
              <w:spacing w:after="0"/>
              <w:rPr>
                <w:sz w:val="23"/>
                <w:szCs w:val="23"/>
                <w:color w:val="auto"/>
              </w:rPr>
            </w:pPr>
          </w:p>
        </w:tc>
      </w:tr>
      <w:tr>
        <w:trPr>
          <w:trHeight w:val="270"/>
        </w:trPr>
        <w:tc>
          <w:tcPr>
            <w:tcW w:w="5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Vanguard SM Cap Index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834,378</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22,386</w:t>
            </w:r>
          </w:p>
        </w:tc>
        <w:tc>
          <w:tcPr>
            <w:tcW w:w="180" w:type="dxa"/>
            <w:vAlign w:val="bottom"/>
          </w:tcPr>
          <w:p>
            <w:pPr>
              <w:spacing w:after="0"/>
              <w:rPr>
                <w:sz w:val="23"/>
                <w:szCs w:val="23"/>
                <w:color w:val="auto"/>
              </w:rPr>
            </w:pPr>
          </w:p>
        </w:tc>
      </w:tr>
      <w:tr>
        <w:trPr>
          <w:trHeight w:val="270"/>
        </w:trPr>
        <w:tc>
          <w:tcPr>
            <w:tcW w:w="5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Vanguard Total Stock Market Index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407,846</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11,734</w:t>
            </w:r>
          </w:p>
        </w:tc>
        <w:tc>
          <w:tcPr>
            <w:tcW w:w="180" w:type="dxa"/>
            <w:vAlign w:val="bottom"/>
          </w:tcPr>
          <w:p>
            <w:pPr>
              <w:spacing w:after="0"/>
              <w:rPr>
                <w:sz w:val="23"/>
                <w:szCs w:val="23"/>
                <w:color w:val="auto"/>
              </w:rPr>
            </w:pPr>
          </w:p>
        </w:tc>
      </w:tr>
      <w:tr>
        <w:trPr>
          <w:trHeight w:val="283"/>
        </w:trPr>
        <w:tc>
          <w:tcPr>
            <w:tcW w:w="56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Vanguard Windsor II Fund</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1,265,769</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69,048</w:t>
            </w:r>
          </w:p>
        </w:tc>
        <w:tc>
          <w:tcPr>
            <w:tcW w:w="180" w:type="dxa"/>
            <w:vAlign w:val="bottom"/>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911,630</w:t>
            </w:r>
          </w:p>
        </w:tc>
        <w:tc>
          <w:tcPr>
            <w:tcW w:w="180" w:type="dxa"/>
            <w:vAlign w:val="bottom"/>
          </w:tcPr>
          <w:p>
            <w:pPr>
              <w:spacing w:after="0"/>
              <w:rPr>
                <w:sz w:val="22"/>
                <w:szCs w:val="22"/>
                <w:color w:val="auto"/>
              </w:rPr>
            </w:pPr>
          </w:p>
        </w:tc>
      </w:tr>
      <w:tr>
        <w:trPr>
          <w:trHeight w:val="505"/>
        </w:trPr>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AT&amp;T Stock Fund (at fair value)</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1,320,328</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25,165</w:t>
            </w:r>
          </w:p>
        </w:tc>
        <w:tc>
          <w:tcPr>
            <w:tcW w:w="180" w:type="dxa"/>
            <w:vAlign w:val="bottom"/>
          </w:tcPr>
          <w:p>
            <w:pPr>
              <w:spacing w:after="0"/>
              <w:rPr>
                <w:sz w:val="24"/>
                <w:szCs w:val="24"/>
                <w:color w:val="auto"/>
              </w:rPr>
            </w:pPr>
          </w:p>
        </w:tc>
      </w:tr>
      <w:tr>
        <w:trPr>
          <w:trHeight w:val="494"/>
        </w:trPr>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Comcast Corporation Stock Fund (at fair value)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Class A Common Stock</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5,208,900</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shares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173,352*</w:t>
            </w:r>
          </w:p>
        </w:tc>
      </w:tr>
      <w:tr>
        <w:trPr>
          <w:trHeight w:val="283"/>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Class A Special Common Stock</w:t>
            </w:r>
          </w:p>
        </w:tc>
        <w:tc>
          <w:tcPr>
            <w:tcW w:w="17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2,455,409</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shares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80,636*</w:t>
            </w:r>
          </w:p>
        </w:tc>
      </w:tr>
      <w:tr>
        <w:trPr>
          <w:trHeight w:val="264"/>
        </w:trPr>
        <w:tc>
          <w:tcPr>
            <w:tcW w:w="5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253,988</w:t>
            </w:r>
          </w:p>
        </w:tc>
        <w:tc>
          <w:tcPr>
            <w:tcW w:w="180" w:type="dxa"/>
            <w:vAlign w:val="bottom"/>
          </w:tcPr>
          <w:p>
            <w:pPr>
              <w:spacing w:after="0"/>
              <w:rPr>
                <w:sz w:val="22"/>
                <w:szCs w:val="22"/>
                <w:color w:val="auto"/>
              </w:rPr>
            </w:pPr>
          </w:p>
        </w:tc>
      </w:tr>
      <w:tr>
        <w:trPr>
          <w:trHeight w:val="493"/>
        </w:trPr>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Comcast Stable Value Fund (at contract value)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Fidelity Stable Value Fund</w:t>
            </w: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6,678,942</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6,679</w:t>
            </w:r>
          </w:p>
        </w:tc>
        <w:tc>
          <w:tcPr>
            <w:tcW w:w="180" w:type="dxa"/>
            <w:vAlign w:val="bottom"/>
          </w:tcPr>
          <w:p>
            <w:pPr>
              <w:spacing w:after="0"/>
              <w:rPr>
                <w:sz w:val="23"/>
                <w:szCs w:val="23"/>
                <w:color w:val="auto"/>
              </w:rPr>
            </w:pPr>
          </w:p>
        </w:tc>
      </w:tr>
      <w:tr>
        <w:trPr>
          <w:trHeight w:val="283"/>
        </w:trPr>
        <w:tc>
          <w:tcPr>
            <w:tcW w:w="56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Other Investment Contracts</w:t>
            </w: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431,283,490</w:t>
            </w:r>
          </w:p>
        </w:tc>
        <w:tc>
          <w:tcPr>
            <w:tcW w:w="1200" w:type="dxa"/>
            <w:vAlign w:val="bottom"/>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units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431,283*</w:t>
            </w:r>
          </w:p>
        </w:tc>
      </w:tr>
      <w:tr>
        <w:trPr>
          <w:trHeight w:val="264"/>
        </w:trPr>
        <w:tc>
          <w:tcPr>
            <w:tcW w:w="5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437,962</w:t>
            </w:r>
          </w:p>
        </w:tc>
        <w:tc>
          <w:tcPr>
            <w:tcW w:w="180" w:type="dxa"/>
            <w:vAlign w:val="bottom"/>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$1,628,745</w:t>
            </w:r>
          </w:p>
        </w:tc>
        <w:tc>
          <w:tcPr>
            <w:tcW w:w="180" w:type="dxa"/>
            <w:vAlign w:val="bottom"/>
          </w:tcPr>
          <w:p>
            <w:pPr>
              <w:spacing w:after="0"/>
              <w:rPr>
                <w:sz w:val="22"/>
                <w:szCs w:val="22"/>
                <w:color w:val="auto"/>
              </w:rPr>
            </w:pPr>
          </w:p>
        </w:tc>
      </w:tr>
      <w:tr>
        <w:trPr>
          <w:trHeight w:val="20"/>
        </w:trPr>
        <w:tc>
          <w:tcPr>
            <w:tcW w:w="5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820" w:type="dxa"/>
            <w:vAlign w:val="bottom"/>
          </w:tcPr>
          <w:p>
            <w:pPr>
              <w:spacing w:after="0"/>
              <w:rPr>
                <w:sz w:val="24"/>
                <w:szCs w:val="24"/>
                <w:color w:val="auto"/>
              </w:rPr>
            </w:pPr>
          </w:p>
        </w:tc>
        <w:tc>
          <w:tcPr>
            <w:tcW w:w="2960" w:type="dxa"/>
            <w:vAlign w:val="bottom"/>
            <w:tcBorders>
              <w:bottom w:val="single" w:sz="8" w:color="auto"/>
            </w:tcBorders>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December 31, 2003</w:t>
            </w: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46"/>
        </w:trPr>
        <w:tc>
          <w:tcPr>
            <w:tcW w:w="5820" w:type="dxa"/>
            <w:vAlign w:val="bottom"/>
          </w:tcPr>
          <w:p>
            <w:pPr>
              <w:spacing w:after="0"/>
              <w:rPr>
                <w:sz w:val="21"/>
                <w:szCs w:val="21"/>
                <w:color w:val="auto"/>
              </w:rPr>
            </w:pPr>
          </w:p>
        </w:tc>
        <w:tc>
          <w:tcPr>
            <w:tcW w:w="1720" w:type="dxa"/>
            <w:vAlign w:val="bottom"/>
          </w:tcPr>
          <w:p>
            <w:pPr>
              <w:jc w:val="right"/>
              <w:ind w:right="72"/>
              <w:spacing w:after="0" w:line="246" w:lineRule="exact"/>
              <w:rPr>
                <w:sz w:val="20"/>
                <w:szCs w:val="20"/>
                <w:color w:val="auto"/>
              </w:rPr>
            </w:pPr>
            <w:r>
              <w:rPr>
                <w:rFonts w:ascii="Times New Roman" w:cs="Times New Roman" w:eastAsia="Times New Roman" w:hAnsi="Times New Roman"/>
                <w:sz w:val="22"/>
                <w:szCs w:val="22"/>
                <w:b w:val="1"/>
                <w:bCs w:val="1"/>
                <w:color w:val="auto"/>
              </w:rPr>
              <w:t>Number of</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7"/>
        </w:trPr>
        <w:tc>
          <w:tcPr>
            <w:tcW w:w="582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Units/Shares</w:t>
            </w:r>
          </w:p>
        </w:tc>
        <w:tc>
          <w:tcPr>
            <w:tcW w:w="3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22"/>
                <w:szCs w:val="22"/>
                <w:b w:val="1"/>
                <w:bCs w:val="1"/>
                <w:color w:val="auto"/>
                <w:w w:val="96"/>
              </w:rPr>
              <w:t>Amount</w:t>
            </w:r>
          </w:p>
        </w:tc>
      </w:tr>
      <w:tr>
        <w:trPr>
          <w:trHeight w:val="251"/>
        </w:trPr>
        <w:tc>
          <w:tcPr>
            <w:tcW w:w="58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Mutual Funds (at fair value)</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Ariel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744,852</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$ 33,608</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Dodge and Cox Balanced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901,603</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65,853</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Blue Chip Growth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3,905,384</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154,770*</w:t>
            </w: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Brokeragelink</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3,662,169</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3,662</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Diversified International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2,428,392</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58,573</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Freedom 2010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1,392,631</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18,132</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Freedom 2020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3,197,244</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41,628</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Freedom 2030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2,539,055</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32,881</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Freedom 2040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977,963</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7,393</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Freedom Income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173,331</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1,922</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Small Cap Stock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2,720,886</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46,527</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US Bond Index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1,510,709</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16,905</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Pimco Total Return Institutional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2,456,841</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26,313</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Spartan International Index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63,740</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1,738</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Spartan US Equity Index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3,221,656</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126,965*</w:t>
            </w: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Templeton World Fund, Class A</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776,094</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13,093</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Vanguard SM Cap Index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716,036</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16,182</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Vanguard Total Stock Market Index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271,705</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7,062</w:t>
            </w:r>
          </w:p>
        </w:tc>
        <w:tc>
          <w:tcPr>
            <w:tcW w:w="340" w:type="dxa"/>
            <w:vAlign w:val="bottom"/>
          </w:tcPr>
          <w:p>
            <w:pPr>
              <w:spacing w:after="0"/>
              <w:rPr>
                <w:sz w:val="23"/>
                <w:szCs w:val="23"/>
                <w:color w:val="auto"/>
              </w:rPr>
            </w:pPr>
          </w:p>
        </w:tc>
      </w:tr>
      <w:tr>
        <w:trPr>
          <w:trHeight w:val="283"/>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Vanguard Windsor II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1,098,879</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51,669</w:t>
            </w:r>
          </w:p>
        </w:tc>
        <w:tc>
          <w:tcPr>
            <w:tcW w:w="340" w:type="dxa"/>
            <w:vAlign w:val="bottom"/>
          </w:tcPr>
          <w:p>
            <w:pPr>
              <w:spacing w:after="0"/>
              <w:rPr>
                <w:sz w:val="24"/>
                <w:szCs w:val="24"/>
                <w:color w:val="auto"/>
              </w:rPr>
            </w:pPr>
          </w:p>
        </w:tc>
      </w:tr>
      <w:tr>
        <w:trPr>
          <w:trHeight w:val="264"/>
        </w:trPr>
        <w:tc>
          <w:tcPr>
            <w:tcW w:w="58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724,876</w:t>
            </w:r>
          </w:p>
        </w:tc>
        <w:tc>
          <w:tcPr>
            <w:tcW w:w="340" w:type="dxa"/>
            <w:vAlign w:val="bottom"/>
          </w:tcPr>
          <w:p>
            <w:pPr>
              <w:spacing w:after="0"/>
              <w:rPr>
                <w:sz w:val="22"/>
                <w:szCs w:val="22"/>
                <w:color w:val="auto"/>
              </w:rPr>
            </w:pPr>
          </w:p>
        </w:tc>
      </w:tr>
      <w:tr>
        <w:trPr>
          <w:trHeight w:val="505"/>
        </w:trPr>
        <w:tc>
          <w:tcPr>
            <w:tcW w:w="5820" w:type="dxa"/>
            <w:vAlign w:val="bottom"/>
          </w:tcPr>
          <w:p>
            <w:pPr>
              <w:spacing w:after="0"/>
              <w:rPr>
                <w:sz w:val="20"/>
                <w:szCs w:val="20"/>
                <w:color w:val="auto"/>
              </w:rPr>
            </w:pPr>
            <w:r>
              <w:rPr>
                <w:rFonts w:ascii="Times New Roman" w:cs="Times New Roman" w:eastAsia="Times New Roman" w:hAnsi="Times New Roman"/>
                <w:sz w:val="22"/>
                <w:szCs w:val="22"/>
                <w:color w:val="auto"/>
              </w:rPr>
              <w:t>AT&amp;T Stock Fund (at fair value)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1,818,547</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36,917</w:t>
            </w:r>
          </w:p>
        </w:tc>
        <w:tc>
          <w:tcPr>
            <w:tcW w:w="340" w:type="dxa"/>
            <w:vAlign w:val="bottom"/>
          </w:tcPr>
          <w:p>
            <w:pPr>
              <w:spacing w:after="0"/>
              <w:rPr>
                <w:sz w:val="24"/>
                <w:szCs w:val="24"/>
                <w:color w:val="auto"/>
              </w:rPr>
            </w:pPr>
          </w:p>
        </w:tc>
      </w:tr>
      <w:tr>
        <w:trPr>
          <w:trHeight w:val="494"/>
        </w:trPr>
        <w:tc>
          <w:tcPr>
            <w:tcW w:w="5820" w:type="dxa"/>
            <w:vAlign w:val="bottom"/>
          </w:tcPr>
          <w:p>
            <w:pPr>
              <w:spacing w:after="0"/>
              <w:rPr>
                <w:sz w:val="20"/>
                <w:szCs w:val="20"/>
                <w:color w:val="auto"/>
              </w:rPr>
            </w:pPr>
            <w:r>
              <w:rPr>
                <w:rFonts w:ascii="Times New Roman" w:cs="Times New Roman" w:eastAsia="Times New Roman" w:hAnsi="Times New Roman"/>
                <w:sz w:val="22"/>
                <w:szCs w:val="22"/>
                <w:color w:val="auto"/>
              </w:rPr>
              <w:t>Comcast Corporation Stock Fund (at fair value)</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Class A Common Stock</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5,095,742</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shares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167,089*</w:t>
            </w:r>
          </w:p>
        </w:tc>
      </w:tr>
      <w:tr>
        <w:trPr>
          <w:trHeight w:val="283"/>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Class A Special Common Stock</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2,781,533</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shares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87,034*</w:t>
            </w:r>
          </w:p>
        </w:tc>
      </w:tr>
      <w:tr>
        <w:trPr>
          <w:trHeight w:val="264"/>
        </w:trPr>
        <w:tc>
          <w:tcPr>
            <w:tcW w:w="58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254,123</w:t>
            </w:r>
          </w:p>
        </w:tc>
        <w:tc>
          <w:tcPr>
            <w:tcW w:w="340" w:type="dxa"/>
            <w:vAlign w:val="bottom"/>
          </w:tcPr>
          <w:p>
            <w:pPr>
              <w:spacing w:after="0"/>
              <w:rPr>
                <w:sz w:val="22"/>
                <w:szCs w:val="22"/>
                <w:color w:val="auto"/>
              </w:rPr>
            </w:pPr>
          </w:p>
        </w:tc>
      </w:tr>
      <w:tr>
        <w:trPr>
          <w:trHeight w:val="493"/>
        </w:trPr>
        <w:tc>
          <w:tcPr>
            <w:tcW w:w="5820" w:type="dxa"/>
            <w:vAlign w:val="bottom"/>
          </w:tcPr>
          <w:p>
            <w:pPr>
              <w:spacing w:after="0"/>
              <w:rPr>
                <w:sz w:val="20"/>
                <w:szCs w:val="20"/>
                <w:color w:val="auto"/>
              </w:rPr>
            </w:pPr>
            <w:r>
              <w:rPr>
                <w:rFonts w:ascii="Times New Roman" w:cs="Times New Roman" w:eastAsia="Times New Roman" w:hAnsi="Times New Roman"/>
                <w:sz w:val="22"/>
                <w:szCs w:val="22"/>
                <w:color w:val="auto"/>
              </w:rPr>
              <w:t>Comcast Stable Value Fund (at contract value)</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Stable Value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10,453,878</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10,454</w:t>
            </w:r>
          </w:p>
        </w:tc>
        <w:tc>
          <w:tcPr>
            <w:tcW w:w="340" w:type="dxa"/>
            <w:vAlign w:val="bottom"/>
          </w:tcPr>
          <w:p>
            <w:pPr>
              <w:spacing w:after="0"/>
              <w:rPr>
                <w:sz w:val="23"/>
                <w:szCs w:val="23"/>
                <w:color w:val="auto"/>
              </w:rPr>
            </w:pPr>
          </w:p>
        </w:tc>
      </w:tr>
      <w:tr>
        <w:trPr>
          <w:trHeight w:val="270"/>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Putnam Stable Value Fund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47,072,624</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47,073</w:t>
            </w:r>
          </w:p>
        </w:tc>
        <w:tc>
          <w:tcPr>
            <w:tcW w:w="340" w:type="dxa"/>
            <w:vAlign w:val="bottom"/>
          </w:tcPr>
          <w:p>
            <w:pPr>
              <w:spacing w:after="0"/>
              <w:rPr>
                <w:sz w:val="23"/>
                <w:szCs w:val="23"/>
                <w:color w:val="auto"/>
              </w:rPr>
            </w:pPr>
          </w:p>
        </w:tc>
      </w:tr>
      <w:tr>
        <w:trPr>
          <w:trHeight w:val="283"/>
        </w:trPr>
        <w:tc>
          <w:tcPr>
            <w:tcW w:w="5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Other Investment Contracts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373,987,558</w:t>
            </w: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8"/>
              </w:rPr>
              <w:t>units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373,987*</w:t>
            </w:r>
          </w:p>
        </w:tc>
      </w:tr>
      <w:tr>
        <w:trPr>
          <w:trHeight w:val="264"/>
        </w:trPr>
        <w:tc>
          <w:tcPr>
            <w:tcW w:w="58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431,514</w:t>
            </w:r>
          </w:p>
        </w:tc>
        <w:tc>
          <w:tcPr>
            <w:tcW w:w="340" w:type="dxa"/>
            <w:vAlign w:val="bottom"/>
          </w:tcPr>
          <w:p>
            <w:pPr>
              <w:spacing w:after="0"/>
              <w:rPr>
                <w:sz w:val="22"/>
                <w:szCs w:val="22"/>
                <w:color w:val="auto"/>
              </w:rPr>
            </w:pPr>
          </w:p>
        </w:tc>
      </w:tr>
      <w:tr>
        <w:trPr>
          <w:trHeight w:val="264"/>
        </w:trPr>
        <w:tc>
          <w:tcPr>
            <w:tcW w:w="58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$1,447,430</w:t>
            </w:r>
          </w:p>
        </w:tc>
        <w:tc>
          <w:tcPr>
            <w:tcW w:w="3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Represents greater than 5% of the Plan’s net assets.</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851" w:right="1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 w:right="200"/>
        <w:spacing w:after="0" w:line="284" w:lineRule="auto"/>
        <w:rPr>
          <w:sz w:val="20"/>
          <w:szCs w:val="20"/>
          <w:color w:val="auto"/>
        </w:rPr>
      </w:pPr>
      <w:r>
        <w:rPr>
          <w:rFonts w:ascii="Times New Roman" w:cs="Times New Roman" w:eastAsia="Times New Roman" w:hAnsi="Times New Roman"/>
          <w:sz w:val="22"/>
          <w:szCs w:val="22"/>
          <w:color w:val="auto"/>
        </w:rPr>
        <w:t>During 2004, the Plan’s investments (including gains and losses on investments bought and sold, as well as held during the year) appreciated in value as follows (in thousands):</w:t>
      </w:r>
    </w:p>
    <w:p>
      <w:pPr>
        <w:spacing w:after="0" w:line="212" w:lineRule="exact"/>
        <w:rPr>
          <w:sz w:val="20"/>
          <w:szCs w:val="20"/>
          <w:color w:val="auto"/>
        </w:rPr>
      </w:pPr>
    </w:p>
    <w:tbl>
      <w:tblPr>
        <w:tblLayout w:type="fixed"/>
        <w:tblInd w:w="4200" w:type="dxa"/>
        <w:tblCellMar>
          <w:top w:w="0" w:type="dxa"/>
          <w:left w:w="0" w:type="dxa"/>
          <w:bottom w:w="0" w:type="dxa"/>
          <w:right w:w="0" w:type="dxa"/>
        </w:tblCellMar>
      </w:tblP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Mutual Funds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$71,861</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3,525</w:t>
            </w:r>
          </w:p>
        </w:tc>
      </w:tr>
      <w:tr>
        <w:trPr>
          <w:trHeight w:val="264"/>
        </w:trPr>
        <w:tc>
          <w:tcPr>
            <w:tcW w:w="1500" w:type="dxa"/>
            <w:vAlign w:val="bottom"/>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$75,386</w:t>
            </w:r>
          </w:p>
        </w:tc>
      </w:tr>
    </w:tbl>
    <w:p>
      <w:pPr>
        <w:spacing w:after="0" w:line="256" w:lineRule="exact"/>
        <w:rPr>
          <w:sz w:val="20"/>
          <w:szCs w:val="20"/>
          <w:color w:val="auto"/>
        </w:rPr>
      </w:pPr>
    </w:p>
    <w:p>
      <w:pPr>
        <w:ind w:left="500" w:right="60"/>
        <w:spacing w:after="0" w:line="288" w:lineRule="auto"/>
        <w:rPr>
          <w:sz w:val="20"/>
          <w:szCs w:val="20"/>
          <w:color w:val="auto"/>
        </w:rPr>
      </w:pPr>
      <w:r>
        <w:rPr>
          <w:rFonts w:ascii="Times New Roman" w:cs="Times New Roman" w:eastAsia="Times New Roman" w:hAnsi="Times New Roman"/>
          <w:sz w:val="21"/>
          <w:szCs w:val="21"/>
          <w:color w:val="auto"/>
        </w:rPr>
        <w:t>The fair value of assets included in the Comcast Stable Value Fund was $438,147,000 and $437,345,000 as of December 31, 2004 and 2003, respectively. The average yield of investment contracts held as of December 31, 2004 and 2003 was 3.49% and 4.27%, respectively. The average yield on investment contracts for the year ended December 31, 2004 was 3.74%.</w:t>
      </w:r>
    </w:p>
    <w:p>
      <w:pPr>
        <w:spacing w:after="0" w:line="207"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 LOANS AND HARDSHIP WITHDRAWALS</w:t>
      </w:r>
    </w:p>
    <w:p>
      <w:pPr>
        <w:spacing w:after="0" w:line="291"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21"/>
          <w:szCs w:val="21"/>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4.25% to 11.50% for the years ended December 31, 2004 and 2003, respectively. Maturities on active outstanding loans ranged from 2004 to 2024 for the years ended December 31, 2004 and 2003. Loan transactions are treated as a transfer from (to) the investment fund to (from) the participant loan fund.</w:t>
      </w:r>
    </w:p>
    <w:p>
      <w:pPr>
        <w:spacing w:after="0" w:line="234" w:lineRule="exact"/>
        <w:rPr>
          <w:sz w:val="20"/>
          <w:szCs w:val="20"/>
          <w:color w:val="auto"/>
        </w:rPr>
      </w:pPr>
    </w:p>
    <w:p>
      <w:pPr>
        <w:ind w:left="500" w:right="560"/>
        <w:spacing w:after="0" w:line="309" w:lineRule="auto"/>
        <w:rPr>
          <w:sz w:val="20"/>
          <w:szCs w:val="20"/>
          <w:color w:val="auto"/>
        </w:rPr>
      </w:pPr>
      <w:r>
        <w:rPr>
          <w:rFonts w:ascii="Times New Roman" w:cs="Times New Roman" w:eastAsia="Times New Roman" w:hAnsi="Times New Roman"/>
          <w:sz w:val="21"/>
          <w:szCs w:val="21"/>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188" w:lineRule="exact"/>
        <w:rPr>
          <w:sz w:val="20"/>
          <w:szCs w:val="20"/>
          <w:color w:val="auto"/>
        </w:rPr>
      </w:pPr>
    </w:p>
    <w:p>
      <w:pPr>
        <w:ind w:left="500" w:right="120"/>
        <w:spacing w:after="0" w:line="263" w:lineRule="auto"/>
        <w:rPr>
          <w:sz w:val="20"/>
          <w:szCs w:val="20"/>
          <w:color w:val="auto"/>
        </w:rPr>
      </w:pPr>
      <w:r>
        <w:rPr>
          <w:rFonts w:ascii="Times New Roman" w:cs="Times New Roman" w:eastAsia="Times New Roman" w:hAnsi="Times New Roman"/>
          <w:sz w:val="22"/>
          <w:szCs w:val="22"/>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31"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91" w:lineRule="exact"/>
        <w:rPr>
          <w:sz w:val="20"/>
          <w:szCs w:val="20"/>
          <w:color w:val="auto"/>
        </w:rPr>
      </w:pPr>
    </w:p>
    <w:p>
      <w:pPr>
        <w:jc w:val="both"/>
        <w:ind w:left="500" w:right="160"/>
        <w:spacing w:after="0" w:line="270" w:lineRule="auto"/>
        <w:rPr>
          <w:sz w:val="20"/>
          <w:szCs w:val="20"/>
          <w:color w:val="auto"/>
        </w:rPr>
      </w:pPr>
      <w:r>
        <w:rPr>
          <w:rFonts w:ascii="Times New Roman" w:cs="Times New Roman" w:eastAsia="Times New Roman" w:hAnsi="Times New Roman"/>
          <w:sz w:val="22"/>
          <w:szCs w:val="22"/>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2004 and 2003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00" w:hanging="406"/>
        <w:spacing w:after="0"/>
        <w:tabs>
          <w:tab w:leader="none" w:pos="9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FEDERAL TAX CONSIDERATIONS</w:t>
      </w:r>
    </w:p>
    <w:p>
      <w:pPr>
        <w:spacing w:after="0" w:line="285" w:lineRule="exact"/>
        <w:rPr>
          <w:rFonts w:ascii="Times New Roman" w:cs="Times New Roman" w:eastAsia="Times New Roman" w:hAnsi="Times New Roman"/>
          <w:sz w:val="22"/>
          <w:szCs w:val="22"/>
          <w:b w:val="1"/>
          <w:bCs w:val="1"/>
          <w:color w:val="auto"/>
        </w:rPr>
      </w:pPr>
    </w:p>
    <w:p>
      <w:pPr>
        <w:ind w:left="820" w:hanging="2"/>
        <w:spacing w:after="0" w:line="258" w:lineRule="auto"/>
        <w:tabs>
          <w:tab w:leader="none" w:pos="151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Income Tax Status of the Plan </w:t>
      </w:r>
      <w:r>
        <w:rPr>
          <w:rFonts w:ascii="Times New Roman" w:cs="Times New Roman" w:eastAsia="Times New Roman" w:hAnsi="Times New Roman"/>
          <w:sz w:val="22"/>
          <w:szCs w:val="22"/>
          <w:color w:val="auto"/>
        </w:rPr>
        <w:t>- The Plan received a determination letter dated December 19, 1995 in which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IRS stated that the Plan, as amended and restated effective January 1, 1993, is qualified and that the trust established under the Plan is tax-exempt. The Plan has been amended since receiving the determination letter (see Note 1). A request for an updated determination letter, which considers the 2002 amendments, was filed with the IRS on February 27, 2002. On March 14, 2003, the Plan received a favorable determination letter with respect to the Company’s request indicating that the form of the Plan as amended and restated, effective January 1, 1997 satisfies the applicable requirements of the Code and the form of the related trust satisfies the applicable requirements for exemption from federal income tax under the Code. On September 10, 2003 a request for an updated determination letter, which considers the 2003 amendments, was filed with the IRS. On April 21, 2005, the Plan received a favorable determination letter with respect to the Company’s request indicating that the form of the Plan as amended and restated, effective January 1, 2003 satisfies the applicable requirements for exemption from federal income tax under the Code. The Company believes that the Plan continues to comply in form and operation with the applicable requirements of the Code. Therefore, the Company believes that the Plan was qualified and the related trust was tax-exempt as of December 31, 2004 and 2003. Therefore, no provision for income taxes has been included in the Plan’s financial statements.</w:t>
      </w:r>
    </w:p>
    <w:p>
      <w:pPr>
        <w:spacing w:after="0" w:line="244" w:lineRule="exact"/>
        <w:rPr>
          <w:rFonts w:ascii="Times New Roman" w:cs="Times New Roman" w:eastAsia="Times New Roman" w:hAnsi="Times New Roman"/>
          <w:sz w:val="22"/>
          <w:szCs w:val="22"/>
          <w:color w:val="auto"/>
        </w:rPr>
      </w:pPr>
    </w:p>
    <w:p>
      <w:pPr>
        <w:ind w:left="820" w:right="160" w:hanging="2"/>
        <w:spacing w:after="0" w:line="273" w:lineRule="auto"/>
        <w:tabs>
          <w:tab w:leader="none" w:pos="152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Impact on Plan Participants </w:t>
      </w:r>
      <w:r>
        <w:rPr>
          <w:rFonts w:ascii="Times New Roman" w:cs="Times New Roman" w:eastAsia="Times New Roman" w:hAnsi="Times New Roman"/>
          <w:sz w:val="22"/>
          <w:szCs w:val="22"/>
          <w:color w:val="auto"/>
        </w:rPr>
        <w:t>- Matching contributions and salary reduction contributions, as well as earnings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assets, are generally not subject to federal income tax until distributed from a qualified plan that meets the requirements of Sections 401(a), 401(k) and 401(m)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2" w:right="259" w:bottom="1440" w:gutter="0" w:footer="0" w:header="0"/>
        </w:sectPr>
      </w:pPr>
    </w:p>
    <w:bookmarkStart w:id="13" w:name="page14"/>
    <w:bookmarkEnd w:id="13"/>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 LINE 4i - SCHEDULE OF ASSETS (HELD AT END OF YEAR)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FEIN #27-0000798</w:t>
            </w:r>
          </w:p>
        </w:tc>
        <w:tc>
          <w:tcPr>
            <w:tcW w:w="0" w:type="dxa"/>
            <w:vAlign w:val="bottom"/>
          </w:tcPr>
          <w:p>
            <w:pPr>
              <w:spacing w:after="0"/>
              <w:rPr>
                <w:sz w:val="1"/>
                <w:szCs w:val="1"/>
                <w:color w:val="auto"/>
              </w:rPr>
            </w:pPr>
          </w:p>
        </w:tc>
      </w:tr>
      <w:tr>
        <w:trPr>
          <w:trHeight w:val="287"/>
        </w:trPr>
        <w:tc>
          <w:tcPr>
            <w:tcW w:w="2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PLAN #001</w:t>
            </w:r>
          </w:p>
        </w:tc>
        <w:tc>
          <w:tcPr>
            <w:tcW w:w="0" w:type="dxa"/>
            <w:vAlign w:val="bottom"/>
          </w:tcPr>
          <w:p>
            <w:pPr>
              <w:spacing w:after="0"/>
              <w:rPr>
                <w:sz w:val="1"/>
                <w:szCs w:val="1"/>
                <w:color w:val="auto"/>
              </w:rPr>
            </w:pPr>
          </w:p>
        </w:tc>
      </w:tr>
      <w:tr>
        <w:trPr>
          <w:trHeight w:val="483"/>
        </w:trPr>
        <w:tc>
          <w:tcPr>
            <w:tcW w:w="2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Description of Investment,</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6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Including Maturity Date,</w:t>
            </w:r>
          </w:p>
        </w:tc>
        <w:tc>
          <w:tcPr>
            <w:tcW w:w="0" w:type="dxa"/>
            <w:vAlign w:val="bottom"/>
          </w:tcPr>
          <w:p>
            <w:pPr>
              <w:spacing w:after="0"/>
              <w:rPr>
                <w:sz w:val="1"/>
                <w:szCs w:val="1"/>
                <w:color w:val="auto"/>
              </w:rPr>
            </w:pPr>
          </w:p>
        </w:tc>
      </w:tr>
      <w:tr>
        <w:trPr>
          <w:trHeight w:val="270"/>
        </w:trPr>
        <w:tc>
          <w:tcPr>
            <w:tcW w:w="6040" w:type="dxa"/>
            <w:vAlign w:val="bottom"/>
            <w:gridSpan w:val="2"/>
          </w:tcPr>
          <w:p>
            <w:pPr>
              <w:ind w:left="1420"/>
              <w:spacing w:after="0"/>
              <w:rPr>
                <w:sz w:val="20"/>
                <w:szCs w:val="20"/>
                <w:color w:val="auto"/>
              </w:rPr>
            </w:pPr>
            <w:r>
              <w:rPr>
                <w:rFonts w:ascii="Times New Roman" w:cs="Times New Roman" w:eastAsia="Times New Roman" w:hAnsi="Times New Roman"/>
                <w:sz w:val="22"/>
                <w:szCs w:val="22"/>
                <w:b w:val="1"/>
                <w:bCs w:val="1"/>
                <w:color w:val="auto"/>
              </w:rPr>
              <w:t>Identity of Issue, Borrower, Lessor,</w:t>
            </w:r>
          </w:p>
        </w:tc>
        <w:tc>
          <w:tcPr>
            <w:tcW w:w="240" w:type="dxa"/>
            <w:vAlign w:val="bottom"/>
          </w:tcPr>
          <w:p>
            <w:pPr>
              <w:spacing w:after="0"/>
              <w:rPr>
                <w:sz w:val="23"/>
                <w:szCs w:val="23"/>
                <w:color w:val="auto"/>
              </w:rPr>
            </w:pPr>
          </w:p>
        </w:tc>
        <w:tc>
          <w:tcPr>
            <w:tcW w:w="516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Rate of Interest, Collateral, Par, or</w:t>
            </w:r>
          </w:p>
        </w:tc>
        <w:tc>
          <w:tcPr>
            <w:tcW w:w="0" w:type="dxa"/>
            <w:vAlign w:val="bottom"/>
          </w:tcPr>
          <w:p>
            <w:pPr>
              <w:spacing w:after="0"/>
              <w:rPr>
                <w:sz w:val="1"/>
                <w:szCs w:val="1"/>
                <w:color w:val="auto"/>
              </w:rPr>
            </w:pPr>
          </w:p>
        </w:tc>
      </w:tr>
      <w:tr>
        <w:trPr>
          <w:trHeight w:val="287"/>
        </w:trPr>
        <w:tc>
          <w:tcPr>
            <w:tcW w:w="604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22"/>
                <w:szCs w:val="22"/>
                <w:b w:val="1"/>
                <w:bCs w:val="1"/>
                <w:color w:val="auto"/>
              </w:rPr>
              <w:t>or Similar Party</w:t>
            </w:r>
          </w:p>
        </w:tc>
        <w:tc>
          <w:tcPr>
            <w:tcW w:w="240" w:type="dxa"/>
            <w:vAlign w:val="bottom"/>
          </w:tcPr>
          <w:p>
            <w:pPr>
              <w:spacing w:after="0"/>
              <w:rPr>
                <w:sz w:val="24"/>
                <w:szCs w:val="24"/>
                <w:color w:val="auto"/>
              </w:rPr>
            </w:pPr>
          </w:p>
        </w:tc>
        <w:tc>
          <w:tcPr>
            <w:tcW w:w="3340" w:type="dxa"/>
            <w:vAlign w:val="bottom"/>
            <w:tcBorders>
              <w:bottom w:val="single" w:sz="8" w:color="auto"/>
            </w:tcBorders>
            <w:gridSpan w:val="2"/>
          </w:tcPr>
          <w:p>
            <w:pPr>
              <w:jc w:val="center"/>
              <w:ind w:left="1692"/>
              <w:spacing w:after="0"/>
              <w:rPr>
                <w:sz w:val="20"/>
                <w:szCs w:val="20"/>
                <w:color w:val="auto"/>
              </w:rPr>
            </w:pPr>
            <w:r>
              <w:rPr>
                <w:rFonts w:ascii="Times New Roman" w:cs="Times New Roman" w:eastAsia="Times New Roman" w:hAnsi="Times New Roman"/>
                <w:sz w:val="22"/>
                <w:szCs w:val="22"/>
                <w:b w:val="1"/>
                <w:bCs w:val="1"/>
                <w:color w:val="auto"/>
                <w:w w:val="97"/>
              </w:rPr>
              <w:t>Maturity Value</w:t>
            </w: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Current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278"/>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Mutual Funds (at fair value)</w:t>
            </w: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 in thousands)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520" w:type="dxa"/>
            <w:vAlign w:val="bottom"/>
            <w:vMerge w:val="continue"/>
          </w:tcPr>
          <w:p>
            <w:pPr>
              <w:spacing w:after="0"/>
              <w:rPr>
                <w:sz w:val="21"/>
                <w:szCs w:val="21"/>
                <w:color w:val="auto"/>
              </w:rPr>
            </w:pPr>
          </w:p>
        </w:tc>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Ariel Fund</w:t>
            </w:r>
          </w:p>
        </w:tc>
        <w:tc>
          <w:tcPr>
            <w:tcW w:w="352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1,075,778</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   57,199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Dodge and Cox Balanced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1,166,954</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92,598</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Blue Chip Growth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4,080,098</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170,181</w:t>
            </w:r>
          </w:p>
        </w:tc>
        <w:tc>
          <w:tcPr>
            <w:tcW w:w="0" w:type="dxa"/>
            <w:vAlign w:val="bottom"/>
          </w:tcPr>
          <w:p>
            <w:pPr>
              <w:spacing w:after="0"/>
              <w:rPr>
                <w:sz w:val="1"/>
                <w:szCs w:val="1"/>
                <w:color w:val="auto"/>
              </w:rPr>
            </w:pPr>
          </w:p>
        </w:tc>
      </w:tr>
      <w:tr>
        <w:trPr>
          <w:trHeight w:val="270"/>
        </w:trPr>
        <w:tc>
          <w:tcPr>
            <w:tcW w:w="2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Fidelity Brokeragelink</w:t>
            </w:r>
          </w:p>
        </w:tc>
        <w:tc>
          <w:tcPr>
            <w:tcW w:w="352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3,031,352</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3,031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Diversified International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2,787,517</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79,835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Freedom 2010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1,443,587</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19,662</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Freedom 2020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3,428,061</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47,856</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Freedom 2030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2,840,574</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39,995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Freedom 2040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1,416,316</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11,713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Freedom Income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235,316</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2,652</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Small Cap Stock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3,625,073</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65,831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US Bond Index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1,734,600</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19,323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Pimco Total Return Institutional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2,914,725</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31,100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Spartan International Index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141,615</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4,535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Spartan US Equity Index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3,357,883</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143,919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Templeton World Fund, Class A</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1,072,250</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19,032</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Vanguard SM Cap Index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834,378</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22,386</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Vanguard Total Stock Market Index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407,846</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11,734</w:t>
            </w:r>
          </w:p>
        </w:tc>
        <w:tc>
          <w:tcPr>
            <w:tcW w:w="0" w:type="dxa"/>
            <w:vAlign w:val="bottom"/>
          </w:tcPr>
          <w:p>
            <w:pPr>
              <w:spacing w:after="0"/>
              <w:rPr>
                <w:sz w:val="1"/>
                <w:szCs w:val="1"/>
                <w:color w:val="auto"/>
              </w:rPr>
            </w:pPr>
          </w:p>
        </w:tc>
      </w:tr>
      <w:tr>
        <w:trPr>
          <w:trHeight w:val="283"/>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Vanguard Windsor II Fund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1,265,769</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69,048</w:t>
            </w:r>
          </w:p>
        </w:tc>
        <w:tc>
          <w:tcPr>
            <w:tcW w:w="0" w:type="dxa"/>
            <w:vAlign w:val="bottom"/>
          </w:tcPr>
          <w:p>
            <w:pPr>
              <w:spacing w:after="0"/>
              <w:rPr>
                <w:sz w:val="1"/>
                <w:szCs w:val="1"/>
                <w:color w:val="auto"/>
              </w:rPr>
            </w:pPr>
          </w:p>
        </w:tc>
      </w:tr>
      <w:tr>
        <w:trPr>
          <w:trHeight w:val="265"/>
        </w:trPr>
        <w:tc>
          <w:tcPr>
            <w:tcW w:w="25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911,630</w:t>
            </w:r>
          </w:p>
        </w:tc>
        <w:tc>
          <w:tcPr>
            <w:tcW w:w="0" w:type="dxa"/>
            <w:vAlign w:val="bottom"/>
          </w:tcPr>
          <w:p>
            <w:pPr>
              <w:spacing w:after="0"/>
              <w:rPr>
                <w:sz w:val="1"/>
                <w:szCs w:val="1"/>
                <w:color w:val="auto"/>
              </w:rPr>
            </w:pPr>
          </w:p>
        </w:tc>
      </w:tr>
      <w:tr>
        <w:trPr>
          <w:trHeight w:val="505"/>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AT&amp;T Stock Fund (at fair value)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1,320,328</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25,165</w:t>
            </w:r>
          </w:p>
        </w:tc>
        <w:tc>
          <w:tcPr>
            <w:tcW w:w="0" w:type="dxa"/>
            <w:vAlign w:val="bottom"/>
          </w:tcPr>
          <w:p>
            <w:pPr>
              <w:spacing w:after="0"/>
              <w:rPr>
                <w:sz w:val="1"/>
                <w:szCs w:val="1"/>
                <w:color w:val="auto"/>
              </w:rPr>
            </w:pPr>
          </w:p>
        </w:tc>
      </w:tr>
      <w:tr>
        <w:trPr>
          <w:trHeight w:val="494"/>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Corporation Stock Fund (at fair value)*</w:t>
            </w: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Class A Common Stock</w:t>
            </w:r>
          </w:p>
        </w:tc>
        <w:tc>
          <w:tcPr>
            <w:tcW w:w="352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5,208,900</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173,352</w:t>
            </w:r>
          </w:p>
        </w:tc>
        <w:tc>
          <w:tcPr>
            <w:tcW w:w="0" w:type="dxa"/>
            <w:vAlign w:val="bottom"/>
          </w:tcPr>
          <w:p>
            <w:pPr>
              <w:spacing w:after="0"/>
              <w:rPr>
                <w:sz w:val="1"/>
                <w:szCs w:val="1"/>
                <w:color w:val="auto"/>
              </w:rPr>
            </w:pPr>
          </w:p>
        </w:tc>
      </w:tr>
      <w:tr>
        <w:trPr>
          <w:trHeight w:val="283"/>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Class A Special Common Stock</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2,455,409</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80,636</w:t>
            </w:r>
          </w:p>
        </w:tc>
        <w:tc>
          <w:tcPr>
            <w:tcW w:w="0" w:type="dxa"/>
            <w:vAlign w:val="bottom"/>
          </w:tcPr>
          <w:p>
            <w:pPr>
              <w:spacing w:after="0"/>
              <w:rPr>
                <w:sz w:val="1"/>
                <w:szCs w:val="1"/>
                <w:color w:val="auto"/>
              </w:rPr>
            </w:pPr>
          </w:p>
        </w:tc>
      </w:tr>
      <w:tr>
        <w:trPr>
          <w:trHeight w:val="265"/>
        </w:trPr>
        <w:tc>
          <w:tcPr>
            <w:tcW w:w="25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253,988</w:t>
            </w:r>
          </w:p>
        </w:tc>
        <w:tc>
          <w:tcPr>
            <w:tcW w:w="0" w:type="dxa"/>
            <w:vAlign w:val="bottom"/>
          </w:tcPr>
          <w:p>
            <w:pPr>
              <w:spacing w:after="0"/>
              <w:rPr>
                <w:sz w:val="1"/>
                <w:szCs w:val="1"/>
                <w:color w:val="auto"/>
              </w:rPr>
            </w:pPr>
          </w:p>
        </w:tc>
      </w:tr>
      <w:tr>
        <w:trPr>
          <w:trHeight w:val="493"/>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Comcast Stable Value Fund (at contract value)</w:t>
            </w: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Fidelity Stable Value Fund; 1.90%</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6,678,942</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6,679</w:t>
            </w:r>
          </w:p>
        </w:tc>
        <w:tc>
          <w:tcPr>
            <w:tcW w:w="0" w:type="dxa"/>
            <w:vAlign w:val="bottom"/>
          </w:tcPr>
          <w:p>
            <w:pPr>
              <w:spacing w:after="0"/>
              <w:rPr>
                <w:sz w:val="1"/>
                <w:szCs w:val="1"/>
                <w:color w:val="auto"/>
              </w:rPr>
            </w:pPr>
          </w:p>
        </w:tc>
      </w:tr>
      <w:tr>
        <w:trPr>
          <w:trHeight w:val="494"/>
        </w:trPr>
        <w:tc>
          <w:tcPr>
            <w:tcW w:w="6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Traditional Investment Contracts</w:t>
            </w: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Travelers Life &amp; Annuity; 03/01/07</w:t>
            </w: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Maturity;</w:t>
            </w:r>
          </w:p>
        </w:tc>
        <w:tc>
          <w:tcPr>
            <w:tcW w:w="3520" w:type="dxa"/>
            <w:vAlign w:val="bottom"/>
          </w:tcPr>
          <w:p>
            <w:pPr>
              <w:jc w:val="right"/>
              <w:ind w:right="2772"/>
              <w:spacing w:after="0"/>
              <w:rPr>
                <w:sz w:val="20"/>
                <w:szCs w:val="20"/>
                <w:color w:val="auto"/>
              </w:rPr>
            </w:pPr>
            <w:r>
              <w:rPr>
                <w:rFonts w:ascii="Times New Roman" w:cs="Times New Roman" w:eastAsia="Times New Roman" w:hAnsi="Times New Roman"/>
                <w:sz w:val="22"/>
                <w:szCs w:val="22"/>
                <w:color w:val="auto"/>
              </w:rPr>
              <w:t>4.22%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3,293,130</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3,293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Canada Life Insurance; 06/01/07</w:t>
            </w: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Maturity;</w:t>
            </w:r>
          </w:p>
        </w:tc>
        <w:tc>
          <w:tcPr>
            <w:tcW w:w="3520" w:type="dxa"/>
            <w:vAlign w:val="bottom"/>
          </w:tcPr>
          <w:p>
            <w:pPr>
              <w:jc w:val="right"/>
              <w:ind w:right="2752"/>
              <w:spacing w:after="0"/>
              <w:rPr>
                <w:sz w:val="20"/>
                <w:szCs w:val="20"/>
                <w:color w:val="auto"/>
              </w:rPr>
            </w:pPr>
            <w:r>
              <w:rPr>
                <w:rFonts w:ascii="Times New Roman" w:cs="Times New Roman" w:eastAsia="Times New Roman" w:hAnsi="Times New Roman"/>
                <w:sz w:val="22"/>
                <w:szCs w:val="22"/>
                <w:color w:val="auto"/>
              </w:rPr>
              <w:t>4.84%</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3,426,367</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3,426</w:t>
            </w:r>
          </w:p>
        </w:tc>
        <w:tc>
          <w:tcPr>
            <w:tcW w:w="0" w:type="dxa"/>
            <w:vAlign w:val="bottom"/>
          </w:tcPr>
          <w:p>
            <w:pPr>
              <w:spacing w:after="0"/>
              <w:rPr>
                <w:sz w:val="1"/>
                <w:szCs w:val="1"/>
                <w:color w:val="auto"/>
              </w:rPr>
            </w:pPr>
          </w:p>
        </w:tc>
      </w:tr>
      <w:tr>
        <w:trPr>
          <w:trHeight w:val="270"/>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John Hancock Life Insurance Company; 03/01/06</w:t>
            </w: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5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Maturity; 5.64%</w:t>
            </w:r>
          </w:p>
        </w:tc>
        <w:tc>
          <w:tcPr>
            <w:tcW w:w="352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1,550,118</w:t>
            </w:r>
          </w:p>
        </w:tc>
        <w:tc>
          <w:tcPr>
            <w:tcW w:w="1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1,550</w:t>
            </w:r>
          </w:p>
        </w:tc>
        <w:tc>
          <w:tcPr>
            <w:tcW w:w="0" w:type="dxa"/>
            <w:vAlign w:val="bottom"/>
          </w:tcPr>
          <w:p>
            <w:pPr>
              <w:spacing w:after="0"/>
              <w:rPr>
                <w:sz w:val="1"/>
                <w:szCs w:val="1"/>
                <w:color w:val="auto"/>
              </w:rPr>
            </w:pPr>
          </w:p>
        </w:tc>
      </w:tr>
    </w:tbl>
    <w:p>
      <w:pPr>
        <w:sectPr>
          <w:pgSz w:w="11900" w:h="16855" w:orient="portrait"/>
          <w:cols w:equalWidth="0" w:num="1">
            <w:col w:w="11420"/>
          </w:cols>
          <w:pgMar w:left="240" w:top="1094"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John Hancock Life Insurance Company; 04/01/05</w:t>
            </w:r>
          </w:p>
        </w:tc>
        <w:tc>
          <w:tcPr>
            <w:tcW w:w="38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Maturity; 5.54%</w:t>
            </w:r>
          </w:p>
        </w:tc>
        <w:tc>
          <w:tcPr>
            <w:tcW w:w="38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1,087,393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77470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2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COMCAST CORPORATION RETIREMENT-INVESTMENT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 LINE 4i - SCHEDULE OF ASSETS (HELD AT END OF YEAR)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FEIN #27-0000798</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PLAN #001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8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Description of Investment,</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80" w:type="dxa"/>
            <w:vAlign w:val="bottom"/>
            <w:gridSpan w:val="3"/>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8"/>
              </w:rPr>
              <w:t>Including Maturity Date,</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420"/>
              <w:spacing w:after="0"/>
              <w:rPr>
                <w:sz w:val="20"/>
                <w:szCs w:val="20"/>
                <w:color w:val="auto"/>
              </w:rPr>
            </w:pPr>
            <w:r>
              <w:rPr>
                <w:rFonts w:ascii="Times New Roman" w:cs="Times New Roman" w:eastAsia="Times New Roman" w:hAnsi="Times New Roman"/>
                <w:sz w:val="22"/>
                <w:szCs w:val="22"/>
                <w:b w:val="1"/>
                <w:bCs w:val="1"/>
                <w:color w:val="auto"/>
              </w:rPr>
              <w:t>Identity of Issue, Borrower, Lessor,</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16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Rate of Interest, Collateral, Par, or</w:t>
            </w:r>
          </w:p>
        </w:tc>
        <w:tc>
          <w:tcPr>
            <w:tcW w:w="0" w:type="dxa"/>
            <w:vAlign w:val="bottom"/>
          </w:tcPr>
          <w:p>
            <w:pPr>
              <w:spacing w:after="0"/>
              <w:rPr>
                <w:sz w:val="1"/>
                <w:szCs w:val="1"/>
                <w:color w:val="auto"/>
              </w:rPr>
            </w:pPr>
          </w:p>
        </w:tc>
      </w:tr>
      <w:tr>
        <w:trPr>
          <w:trHeight w:val="287"/>
        </w:trPr>
        <w:tc>
          <w:tcPr>
            <w:tcW w:w="47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22"/>
                <w:szCs w:val="22"/>
                <w:b w:val="1"/>
                <w:bCs w:val="1"/>
                <w:color w:val="auto"/>
              </w:rPr>
              <w:t>or Similar Party</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Borders>
              <w:bottom w:val="single" w:sz="8" w:color="auto"/>
            </w:tcBorders>
            <w:gridSpan w:val="3"/>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Maturity Value</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center"/>
              <w:ind w:right="232"/>
              <w:spacing w:after="0" w:line="247" w:lineRule="exact"/>
              <w:rPr>
                <w:sz w:val="20"/>
                <w:szCs w:val="20"/>
                <w:color w:val="auto"/>
              </w:rPr>
            </w:pPr>
            <w:r>
              <w:rPr>
                <w:rFonts w:ascii="Times New Roman" w:cs="Times New Roman" w:eastAsia="Times New Roman" w:hAnsi="Times New Roman"/>
                <w:sz w:val="22"/>
                <w:szCs w:val="22"/>
                <w:b w:val="1"/>
                <w:bCs w:val="1"/>
                <w:color w:val="auto"/>
                <w:w w:val="98"/>
              </w:rPr>
              <w:t>Current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278"/>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 in thousands)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Protective Life Insurance Company; 05/02/05</w:t>
            </w: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Maturity;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931,460</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5.58%</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Prudential Financial; 08/01/07 Maturity; 4.48%</w:t>
            </w:r>
          </w:p>
        </w:tc>
        <w:tc>
          <w:tcPr>
            <w:tcW w:w="126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3,313,320</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3,313</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13,600</w:t>
            </w:r>
          </w:p>
        </w:tc>
        <w:tc>
          <w:tcPr>
            <w:tcW w:w="0" w:type="dxa"/>
            <w:vAlign w:val="bottom"/>
          </w:tcPr>
          <w:p>
            <w:pPr>
              <w:spacing w:after="0"/>
              <w:rPr>
                <w:sz w:val="1"/>
                <w:szCs w:val="1"/>
                <w:color w:val="auto"/>
              </w:rPr>
            </w:pPr>
          </w:p>
        </w:tc>
      </w:tr>
      <w:tr>
        <w:trPr>
          <w:trHeight w:val="493"/>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Security-Backed Investment Contracts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Bank of America; 3.68%</w:t>
            </w:r>
          </w:p>
        </w:tc>
        <w:tc>
          <w:tcPr>
            <w:tcW w:w="126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104,423,000</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104,423</w:t>
            </w:r>
          </w:p>
        </w:tc>
        <w:tc>
          <w:tcPr>
            <w:tcW w:w="0" w:type="dxa"/>
            <w:vAlign w:val="bottom"/>
          </w:tcPr>
          <w:p>
            <w:pPr>
              <w:spacing w:after="0"/>
              <w:rPr>
                <w:sz w:val="1"/>
                <w:szCs w:val="1"/>
                <w:color w:val="auto"/>
              </w:rPr>
            </w:pPr>
          </w:p>
        </w:tc>
      </w:tr>
      <w:tr>
        <w:trPr>
          <w:trHeight w:val="270"/>
        </w:trPr>
        <w:tc>
          <w:tcPr>
            <w:tcW w:w="47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JPMorgan Chase Bank; 3.68%</w:t>
            </w:r>
          </w:p>
        </w:tc>
        <w:tc>
          <w:tcPr>
            <w:tcW w:w="126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104,423,000</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104,423</w:t>
            </w:r>
          </w:p>
        </w:tc>
        <w:tc>
          <w:tcPr>
            <w:tcW w:w="0" w:type="dxa"/>
            <w:vAlign w:val="bottom"/>
          </w:tcPr>
          <w:p>
            <w:pPr>
              <w:spacing w:after="0"/>
              <w:rPr>
                <w:sz w:val="1"/>
                <w:szCs w:val="1"/>
                <w:color w:val="auto"/>
              </w:rPr>
            </w:pPr>
          </w:p>
        </w:tc>
      </w:tr>
      <w:tr>
        <w:trPr>
          <w:trHeight w:val="270"/>
        </w:trPr>
        <w:tc>
          <w:tcPr>
            <w:tcW w:w="47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Rabobank Netherland; 3.68%</w:t>
            </w:r>
          </w:p>
        </w:tc>
        <w:tc>
          <w:tcPr>
            <w:tcW w:w="1260" w:type="dxa"/>
            <w:vAlign w:val="bottom"/>
          </w:tcPr>
          <w:p>
            <w:pPr>
              <w:spacing w:after="0"/>
              <w:rPr>
                <w:sz w:val="23"/>
                <w:szCs w:val="23"/>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104,414,000</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104,414</w:t>
            </w:r>
          </w:p>
        </w:tc>
        <w:tc>
          <w:tcPr>
            <w:tcW w:w="0" w:type="dxa"/>
            <w:vAlign w:val="bottom"/>
          </w:tcPr>
          <w:p>
            <w:pPr>
              <w:spacing w:after="0"/>
              <w:rPr>
                <w:sz w:val="1"/>
                <w:szCs w:val="1"/>
                <w:color w:val="auto"/>
              </w:rPr>
            </w:pPr>
          </w:p>
        </w:tc>
      </w:tr>
      <w:tr>
        <w:trPr>
          <w:trHeight w:val="283"/>
        </w:trPr>
        <w:tc>
          <w:tcPr>
            <w:tcW w:w="47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State Street Bank &amp; Trust Company; 3.68%</w:t>
            </w:r>
          </w:p>
        </w:tc>
        <w:tc>
          <w:tcPr>
            <w:tcW w:w="126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104,423,000</w:t>
            </w: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units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104,423</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417,683</w:t>
            </w:r>
          </w:p>
        </w:tc>
        <w:tc>
          <w:tcPr>
            <w:tcW w:w="0" w:type="dxa"/>
            <w:vAlign w:val="bottom"/>
          </w:tcPr>
          <w:p>
            <w:pPr>
              <w:spacing w:after="0"/>
              <w:rPr>
                <w:sz w:val="1"/>
                <w:szCs w:val="1"/>
                <w:color w:val="auto"/>
              </w:rPr>
            </w:pPr>
          </w:p>
        </w:tc>
      </w:tr>
      <w:tr>
        <w:trPr>
          <w:trHeight w:val="505"/>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437,962</w:t>
            </w:r>
          </w:p>
        </w:tc>
        <w:tc>
          <w:tcPr>
            <w:tcW w:w="0" w:type="dxa"/>
            <w:vAlign w:val="bottom"/>
          </w:tcPr>
          <w:p>
            <w:pPr>
              <w:spacing w:after="0"/>
              <w:rPr>
                <w:sz w:val="1"/>
                <w:szCs w:val="1"/>
                <w:color w:val="auto"/>
              </w:rPr>
            </w:pPr>
          </w:p>
        </w:tc>
      </w:tr>
      <w:tr>
        <w:trPr>
          <w:trHeight w:val="251"/>
        </w:trPr>
        <w:tc>
          <w:tcPr>
            <w:tcW w:w="47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Participant Loan Fund</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(at cost, which approximates fair value)</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(interest rates from 4.25% to 11.5%;</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maturities from 2004 to 2024)</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47,952</w:t>
            </w:r>
          </w:p>
        </w:tc>
        <w:tc>
          <w:tcPr>
            <w:tcW w:w="0" w:type="dxa"/>
            <w:vAlign w:val="bottom"/>
          </w:tcPr>
          <w:p>
            <w:pPr>
              <w:spacing w:after="0"/>
              <w:rPr>
                <w:sz w:val="1"/>
                <w:szCs w:val="1"/>
                <w:color w:val="auto"/>
              </w:rPr>
            </w:pPr>
          </w:p>
        </w:tc>
      </w:tr>
      <w:tr>
        <w:trPr>
          <w:trHeight w:val="506"/>
        </w:trPr>
        <w:tc>
          <w:tcPr>
            <w:tcW w:w="4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$1,676,697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Represents a party-in-interest to the Plan.</w:t>
            </w:r>
          </w:p>
        </w:tc>
        <w:tc>
          <w:tcPr>
            <w:tcW w:w="1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-12-</w:t>
            </w: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8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7"/>
        </w:trPr>
        <w:tc>
          <w:tcPr>
            <w:tcW w:w="47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7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6" w:name="page17"/>
    <w:bookmarkEnd w:id="16"/>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No. 333-101295 of Comcast Corporation on Form S-8 of our report dated June 24, 2005, relating to the statement of net assets available for benefits as of December 31, 2004, the related statement of changes in net assets available for benefits for the year then ended and the related supplemental information of Schedule H - Line 4i - schedule of assets (held at end of year) as of December 31, 2004, which report appears in the December 31, 2004 Annual Report on Form 11-K of the Comcast Corporation Retirement-Investment Plan.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Mitchell &amp; Titus,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24, 2005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333-101295 of Comcast Corporation on Form S-8 of our report dated June 23, 2004, relating to the statement of net assets available for benefits of the Comcast Corporation Retirement-Investment Plan as of December 31, 2003, appearing in this Annual Report on Form 11-K of the Comcast Corporation Retirement-Investment Plan for the year ended December 31, 2004.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3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RETIREMENT-INVESTMENT PLAN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tcPr>
          <w:p>
            <w:pPr>
              <w:spacing w:after="0"/>
              <w:rPr>
                <w:sz w:val="23"/>
                <w:szCs w:val="23"/>
                <w:color w:val="auto"/>
              </w:rPr>
            </w:pPr>
          </w:p>
        </w:tc>
        <w:tc>
          <w:tcPr>
            <w:tcW w:w="3480" w:type="dxa"/>
            <w:vAlign w:val="bottom"/>
          </w:tcPr>
          <w:p>
            <w:pPr>
              <w:ind w:left="292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Comcast Corporation</w:t>
            </w:r>
          </w:p>
        </w:tc>
      </w:tr>
      <w:tr>
        <w:trPr>
          <w:trHeight w:val="283"/>
        </w:trPr>
        <w:tc>
          <w:tcPr>
            <w:tcW w:w="4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Plan Administrator</w:t>
            </w:r>
          </w:p>
        </w:tc>
      </w:tr>
      <w:tr>
        <w:trPr>
          <w:trHeight w:val="757"/>
        </w:trPr>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June 29, 2005</w:t>
            </w:r>
          </w:p>
        </w:tc>
        <w:tc>
          <w:tcPr>
            <w:tcW w:w="3480" w:type="dxa"/>
            <w:vAlign w:val="bottom"/>
          </w:tcPr>
          <w:p>
            <w:pPr>
              <w:ind w:left="292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Lawrence J. Salva</w:t>
            </w:r>
          </w:p>
        </w:tc>
      </w:tr>
      <w:tr>
        <w:trPr>
          <w:trHeight w:val="250"/>
        </w:trPr>
        <w:tc>
          <w:tcPr>
            <w:tcW w:w="41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8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Lawrence J. Salva</w:t>
            </w:r>
          </w:p>
        </w:tc>
      </w:tr>
      <w:tr>
        <w:trPr>
          <w:trHeight w:val="270"/>
        </w:trPr>
        <w:tc>
          <w:tcPr>
            <w:tcW w:w="41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 Chief</w:t>
            </w:r>
          </w:p>
        </w:tc>
      </w:tr>
      <w:tr>
        <w:trPr>
          <w:trHeight w:val="270"/>
        </w:trPr>
        <w:tc>
          <w:tcPr>
            <w:tcW w:w="41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Accounting Officer and</w:t>
            </w:r>
          </w:p>
        </w:tc>
      </w:tr>
      <w:tr>
        <w:trPr>
          <w:trHeight w:val="283"/>
        </w:trPr>
        <w:tc>
          <w:tcPr>
            <w:tcW w:w="4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2"/>
                <w:szCs w:val="22"/>
                <w:color w:val="auto"/>
              </w:rPr>
              <w:t>Controller</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sectPr>
      <w:pgSz w:w="11900" w:h="16838" w:orient="portrait"/>
      <w:cols w:equalWidth="0" w:num="1">
        <w:col w:w="11420"/>
      </w:cols>
      <w:pgMar w:left="240" w:top="6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2019-12-15T05:14:38Z</dcterms:created>
  <dcterms:modified xsi:type="dcterms:W3CDTF">2019-12-15T05:14:38Z</dcterms:modified>
</cp:coreProperties>
</file>